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ind w:left="3880" w:right="1760" w:hanging="3872"/>
        <w:spacing w:after="0" w:line="532"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440" w:right="1740" w:hanging="3432"/>
        <w:spacing w:after="0" w:line="532" w:lineRule="auto"/>
        <w:tabs>
          <w:tab w:leader="none" w:pos="33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to__________</w:t>
      </w: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001-38790</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83-1482060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111 W. 19th Street, 8th Floor</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5"/>
              </w:rPr>
              <w:t>New York, NY</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10011</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(516) 268-7400</w:t>
      </w:r>
    </w:p>
    <w:p>
      <w:pPr>
        <w:spacing w:after="0" w:line="25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7" w:right="339" w:bottom="1440" w:gutter="0" w:footer="0" w:header="0"/>
        </w:sectPr>
      </w:pP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340" w:space="720"/>
            <w:col w:w="2180"/>
          </w:cols>
          <w:pgMar w:left="320" w:top="927" w:right="339" w:bottom="1440" w:gutter="0" w:footer="0" w:header="0"/>
          <w:type w:val="continuous"/>
        </w:sectPr>
      </w:pPr>
    </w:p>
    <w:p>
      <w:pPr>
        <w:spacing w:after="0" w:line="59"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9"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212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Title of each class</w:t>
            </w:r>
          </w:p>
        </w:tc>
        <w:tc>
          <w:tcPr>
            <w:tcW w:w="378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6"/>
        </w:trPr>
        <w:tc>
          <w:tcPr>
            <w:tcW w:w="23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7"/>
              </w:rPr>
              <w:t>Class A common stock</w:t>
            </w:r>
          </w:p>
        </w:tc>
        <w:tc>
          <w:tcPr>
            <w:tcW w:w="620" w:type="dxa"/>
            <w:vAlign w:val="bottom"/>
          </w:tcPr>
          <w:p>
            <w:pPr>
              <w:spacing w:after="0"/>
              <w:rPr>
                <w:sz w:val="20"/>
                <w:szCs w:val="20"/>
                <w:color w:val="auto"/>
              </w:rPr>
            </w:pPr>
          </w:p>
        </w:tc>
        <w:tc>
          <w:tcPr>
            <w:tcW w:w="31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“NFE”</w:t>
            </w:r>
          </w:p>
        </w:tc>
        <w:tc>
          <w:tcPr>
            <w:tcW w:w="3180" w:type="dxa"/>
            <w:vAlign w:val="bottom"/>
          </w:tcPr>
          <w:p>
            <w:pPr>
              <w:ind w:left="54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2021, the registrant had 206,698,564 shares of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60" w:type="dxa"/>
            <w:vAlign w:val="bottom"/>
            <w:gridSpan w:val="5"/>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GLOSSARY OF TERMS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ON FORWARD-LOOKING STATEMENTS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PART II OTHER INFORMATION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1A.</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Unregistered Sales of Equity Securities and Use of Proceeds.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Defaults upon Senior Securities.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Mine Safety Disclosures.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5.</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6.</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Exhibits.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SIGNATURES</w:t>
              </w:r>
            </w:hyperlink>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 the terms listed below have the following meanings: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Btu</w:t>
            </w:r>
          </w:p>
        </w:tc>
        <w:tc>
          <w:tcPr>
            <w:tcW w:w="8300" w:type="dxa"/>
            <w:vAlign w:val="bottom"/>
          </w:tcPr>
          <w:p>
            <w:pPr>
              <w:ind w:left="1560"/>
              <w:spacing w:after="0"/>
              <w:rPr>
                <w:sz w:val="20"/>
                <w:szCs w:val="20"/>
                <w:color w:val="auto"/>
              </w:rPr>
            </w:pPr>
            <w:r>
              <w:rPr>
                <w:rFonts w:ascii="Arial" w:cs="Arial" w:eastAsia="Arial" w:hAnsi="Arial"/>
                <w:sz w:val="18"/>
                <w:szCs w:val="18"/>
                <w:color w:val="auto"/>
                <w:w w:val="91"/>
              </w:rPr>
              <w:t>the amount of heat required to raise the temperature of one avoirdupois pound of pure water</w:t>
            </w:r>
          </w:p>
        </w:tc>
      </w:tr>
      <w:tr>
        <w:trPr>
          <w:trHeight w:val="216"/>
        </w:trPr>
        <w:tc>
          <w:tcPr>
            <w:tcW w:w="2940" w:type="dxa"/>
            <w:vAlign w:val="bottom"/>
          </w:tcPr>
          <w:p>
            <w:pPr>
              <w:spacing w:after="0"/>
              <w:rPr>
                <w:sz w:val="18"/>
                <w:szCs w:val="18"/>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w w:val="95"/>
              </w:rPr>
              <w:t>from 59 degrees Fahrenheit to 60 degrees Fahrenheit at an absolute pressure of 14.696</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pounds per square inch gage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CAA</w:t>
            </w:r>
          </w:p>
        </w:tc>
        <w:tc>
          <w:tcPr>
            <w:tcW w:w="8300" w:type="dxa"/>
            <w:vAlign w:val="bottom"/>
          </w:tcPr>
          <w:p>
            <w:pPr>
              <w:ind w:left="1560"/>
              <w:spacing w:after="0"/>
              <w:rPr>
                <w:sz w:val="20"/>
                <w:szCs w:val="20"/>
                <w:color w:val="auto"/>
              </w:rPr>
            </w:pPr>
            <w:r>
              <w:rPr>
                <w:rFonts w:ascii="Arial" w:cs="Arial" w:eastAsia="Arial" w:hAnsi="Arial"/>
                <w:sz w:val="18"/>
                <w:szCs w:val="18"/>
                <w:color w:val="auto"/>
              </w:rPr>
              <w:t>Clean Air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CERCLA</w:t>
            </w:r>
          </w:p>
        </w:tc>
        <w:tc>
          <w:tcPr>
            <w:tcW w:w="8300" w:type="dxa"/>
            <w:vAlign w:val="bottom"/>
          </w:tcPr>
          <w:p>
            <w:pPr>
              <w:ind w:left="1560"/>
              <w:spacing w:after="0"/>
              <w:rPr>
                <w:sz w:val="20"/>
                <w:szCs w:val="20"/>
                <w:color w:val="auto"/>
              </w:rPr>
            </w:pPr>
            <w:r>
              <w:rPr>
                <w:rFonts w:ascii="Arial" w:cs="Arial" w:eastAsia="Arial" w:hAnsi="Arial"/>
                <w:sz w:val="18"/>
                <w:szCs w:val="18"/>
                <w:color w:val="auto"/>
              </w:rPr>
              <w:t>Comprehensive Environmental Response, Compensation and Liability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CWA</w:t>
            </w:r>
          </w:p>
        </w:tc>
        <w:tc>
          <w:tcPr>
            <w:tcW w:w="8300" w:type="dxa"/>
            <w:vAlign w:val="bottom"/>
          </w:tcPr>
          <w:p>
            <w:pPr>
              <w:ind w:left="1560"/>
              <w:spacing w:after="0"/>
              <w:rPr>
                <w:sz w:val="20"/>
                <w:szCs w:val="20"/>
                <w:color w:val="auto"/>
              </w:rPr>
            </w:pPr>
            <w:r>
              <w:rPr>
                <w:rFonts w:ascii="Arial" w:cs="Arial" w:eastAsia="Arial" w:hAnsi="Arial"/>
                <w:sz w:val="18"/>
                <w:szCs w:val="18"/>
                <w:color w:val="auto"/>
              </w:rPr>
              <w:t>Clean Water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DOE</w:t>
            </w:r>
          </w:p>
        </w:tc>
        <w:tc>
          <w:tcPr>
            <w:tcW w:w="8300" w:type="dxa"/>
            <w:vAlign w:val="bottom"/>
          </w:tcPr>
          <w:p>
            <w:pPr>
              <w:ind w:left="1560"/>
              <w:spacing w:after="0"/>
              <w:rPr>
                <w:sz w:val="20"/>
                <w:szCs w:val="20"/>
                <w:color w:val="auto"/>
              </w:rPr>
            </w:pPr>
            <w:r>
              <w:rPr>
                <w:rFonts w:ascii="Arial" w:cs="Arial" w:eastAsia="Arial" w:hAnsi="Arial"/>
                <w:sz w:val="18"/>
                <w:szCs w:val="18"/>
                <w:color w:val="auto"/>
              </w:rPr>
              <w:t>U.S. Department of Energy</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FERC</w:t>
            </w:r>
          </w:p>
        </w:tc>
        <w:tc>
          <w:tcPr>
            <w:tcW w:w="8300" w:type="dxa"/>
            <w:vAlign w:val="bottom"/>
          </w:tcPr>
          <w:p>
            <w:pPr>
              <w:ind w:left="1560"/>
              <w:spacing w:after="0"/>
              <w:rPr>
                <w:sz w:val="20"/>
                <w:szCs w:val="20"/>
                <w:color w:val="auto"/>
              </w:rPr>
            </w:pPr>
            <w:r>
              <w:rPr>
                <w:rFonts w:ascii="Arial" w:cs="Arial" w:eastAsia="Arial" w:hAnsi="Arial"/>
                <w:sz w:val="18"/>
                <w:szCs w:val="18"/>
                <w:color w:val="auto"/>
              </w:rPr>
              <w:t>Federal Energy Regulatory Commission</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GAAP</w:t>
            </w:r>
          </w:p>
        </w:tc>
        <w:tc>
          <w:tcPr>
            <w:tcW w:w="8300" w:type="dxa"/>
            <w:vAlign w:val="bottom"/>
          </w:tcPr>
          <w:p>
            <w:pPr>
              <w:ind w:left="156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GHG</w:t>
            </w:r>
          </w:p>
        </w:tc>
        <w:tc>
          <w:tcPr>
            <w:tcW w:w="8300" w:type="dxa"/>
            <w:vAlign w:val="bottom"/>
          </w:tcPr>
          <w:p>
            <w:pPr>
              <w:ind w:left="1560"/>
              <w:spacing w:after="0"/>
              <w:rPr>
                <w:sz w:val="20"/>
                <w:szCs w:val="20"/>
                <w:color w:val="auto"/>
              </w:rPr>
            </w:pPr>
            <w:r>
              <w:rPr>
                <w:rFonts w:ascii="Arial" w:cs="Arial" w:eastAsia="Arial" w:hAnsi="Arial"/>
                <w:sz w:val="18"/>
                <w:szCs w:val="18"/>
                <w:color w:val="auto"/>
              </w:rPr>
              <w:t>greenhouse gases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GSA</w:t>
            </w:r>
          </w:p>
        </w:tc>
        <w:tc>
          <w:tcPr>
            <w:tcW w:w="8300" w:type="dxa"/>
            <w:vAlign w:val="bottom"/>
          </w:tcPr>
          <w:p>
            <w:pPr>
              <w:ind w:left="1560"/>
              <w:spacing w:after="0"/>
              <w:rPr>
                <w:sz w:val="20"/>
                <w:szCs w:val="20"/>
                <w:color w:val="auto"/>
              </w:rPr>
            </w:pPr>
            <w:r>
              <w:rPr>
                <w:rFonts w:ascii="Arial" w:cs="Arial" w:eastAsia="Arial" w:hAnsi="Arial"/>
                <w:sz w:val="18"/>
                <w:szCs w:val="18"/>
                <w:color w:val="auto"/>
              </w:rPr>
              <w:t>gas sales agreement</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Henry Hub</w:t>
            </w:r>
          </w:p>
        </w:tc>
        <w:tc>
          <w:tcPr>
            <w:tcW w:w="8300" w:type="dxa"/>
            <w:vAlign w:val="bottom"/>
          </w:tcPr>
          <w:p>
            <w:pPr>
              <w:ind w:left="1560"/>
              <w:spacing w:after="0"/>
              <w:rPr>
                <w:sz w:val="20"/>
                <w:szCs w:val="20"/>
                <w:color w:val="auto"/>
              </w:rPr>
            </w:pPr>
            <w:r>
              <w:rPr>
                <w:rFonts w:ascii="Arial" w:cs="Arial" w:eastAsia="Arial" w:hAnsi="Arial"/>
                <w:sz w:val="18"/>
                <w:szCs w:val="18"/>
                <w:color w:val="auto"/>
                <w:w w:val="92"/>
              </w:rPr>
              <w:t>a natural gas pipeline located in Erath, Louisiana that serves as the official delivery location</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for futures contracts on the New York Mercantile Exchange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ISO container</w:t>
            </w:r>
          </w:p>
        </w:tc>
        <w:tc>
          <w:tcPr>
            <w:tcW w:w="8300" w:type="dxa"/>
            <w:vAlign w:val="bottom"/>
          </w:tcPr>
          <w:p>
            <w:pPr>
              <w:ind w:left="1560"/>
              <w:spacing w:after="0"/>
              <w:rPr>
                <w:sz w:val="20"/>
                <w:szCs w:val="20"/>
                <w:color w:val="auto"/>
              </w:rPr>
            </w:pPr>
            <w:r>
              <w:rPr>
                <w:rFonts w:ascii="Arial" w:cs="Arial" w:eastAsia="Arial" w:hAnsi="Arial"/>
                <w:sz w:val="18"/>
                <w:szCs w:val="18"/>
                <w:color w:val="auto"/>
              </w:rPr>
              <w:t>International Organization of Standardization, an intermodal container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LNG</w:t>
            </w:r>
          </w:p>
        </w:tc>
        <w:tc>
          <w:tcPr>
            <w:tcW w:w="8300" w:type="dxa"/>
            <w:vAlign w:val="bottom"/>
          </w:tcPr>
          <w:p>
            <w:pPr>
              <w:ind w:left="1560"/>
              <w:spacing w:after="0"/>
              <w:rPr>
                <w:sz w:val="20"/>
                <w:szCs w:val="20"/>
                <w:color w:val="auto"/>
              </w:rPr>
            </w:pPr>
            <w:r>
              <w:rPr>
                <w:rFonts w:ascii="Arial" w:cs="Arial" w:eastAsia="Arial" w:hAnsi="Arial"/>
                <w:sz w:val="18"/>
                <w:szCs w:val="18"/>
                <w:color w:val="auto"/>
                <w:w w:val="96"/>
              </w:rPr>
              <w:t>natural gas in its liquid state at or below its boiling point at or near atmospheric pressure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MMBtu</w:t>
            </w:r>
          </w:p>
        </w:tc>
        <w:tc>
          <w:tcPr>
            <w:tcW w:w="8300" w:type="dxa"/>
            <w:vAlign w:val="bottom"/>
          </w:tcPr>
          <w:p>
            <w:pPr>
              <w:ind w:left="1560"/>
              <w:spacing w:after="0"/>
              <w:rPr>
                <w:sz w:val="20"/>
                <w:szCs w:val="20"/>
                <w:color w:val="auto"/>
              </w:rPr>
            </w:pPr>
            <w:r>
              <w:rPr>
                <w:rFonts w:ascii="Arial" w:cs="Arial" w:eastAsia="Arial" w:hAnsi="Arial"/>
                <w:sz w:val="18"/>
                <w:szCs w:val="18"/>
                <w:color w:val="auto"/>
              </w:rPr>
              <w:t>one million Btus, which corresponds to approximately 12.1 gallons of LNG</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MW</w:t>
            </w:r>
          </w:p>
        </w:tc>
        <w:tc>
          <w:tcPr>
            <w:tcW w:w="8300" w:type="dxa"/>
            <w:vAlign w:val="bottom"/>
          </w:tcPr>
          <w:p>
            <w:pPr>
              <w:ind w:left="1560"/>
              <w:spacing w:after="0"/>
              <w:rPr>
                <w:sz w:val="20"/>
                <w:szCs w:val="20"/>
                <w:color w:val="auto"/>
              </w:rPr>
            </w:pPr>
            <w:r>
              <w:rPr>
                <w:rFonts w:ascii="Arial" w:cs="Arial" w:eastAsia="Arial" w:hAnsi="Arial"/>
                <w:sz w:val="18"/>
                <w:szCs w:val="18"/>
                <w:color w:val="auto"/>
                <w:w w:val="96"/>
              </w:rPr>
              <w:t>megawatt. We estimate 2,500 LNG gallons would be required to produce one megawatt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NGA</w:t>
            </w:r>
          </w:p>
        </w:tc>
        <w:tc>
          <w:tcPr>
            <w:tcW w:w="8300" w:type="dxa"/>
            <w:vAlign w:val="bottom"/>
          </w:tcPr>
          <w:p>
            <w:pPr>
              <w:ind w:left="1560"/>
              <w:spacing w:after="0"/>
              <w:rPr>
                <w:sz w:val="20"/>
                <w:szCs w:val="20"/>
                <w:color w:val="auto"/>
              </w:rPr>
            </w:pPr>
            <w:r>
              <w:rPr>
                <w:rFonts w:ascii="Arial" w:cs="Arial" w:eastAsia="Arial" w:hAnsi="Arial"/>
                <w:sz w:val="18"/>
                <w:szCs w:val="18"/>
                <w:color w:val="auto"/>
              </w:rPr>
              <w:t>Natural Gas Act of 1938, as amended</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non-FTA countries</w:t>
            </w:r>
          </w:p>
        </w:tc>
        <w:tc>
          <w:tcPr>
            <w:tcW w:w="8300" w:type="dxa"/>
            <w:vAlign w:val="bottom"/>
          </w:tcPr>
          <w:p>
            <w:pPr>
              <w:ind w:left="1560"/>
              <w:spacing w:after="0"/>
              <w:rPr>
                <w:sz w:val="20"/>
                <w:szCs w:val="20"/>
                <w:color w:val="auto"/>
              </w:rPr>
            </w:pPr>
            <w:r>
              <w:rPr>
                <w:rFonts w:ascii="Arial" w:cs="Arial" w:eastAsia="Arial" w:hAnsi="Arial"/>
                <w:sz w:val="18"/>
                <w:szCs w:val="18"/>
                <w:color w:val="auto"/>
                <w:w w:val="99"/>
              </w:rPr>
              <w:t>countries without a free trade agreement with the United States providing for national</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treatment for trade in natural gas and with which trade is permitted</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OPA</w:t>
            </w:r>
          </w:p>
        </w:tc>
        <w:tc>
          <w:tcPr>
            <w:tcW w:w="8300" w:type="dxa"/>
            <w:vAlign w:val="bottom"/>
          </w:tcPr>
          <w:p>
            <w:pPr>
              <w:ind w:left="1560"/>
              <w:spacing w:after="0"/>
              <w:rPr>
                <w:sz w:val="20"/>
                <w:szCs w:val="20"/>
                <w:color w:val="auto"/>
              </w:rPr>
            </w:pPr>
            <w:r>
              <w:rPr>
                <w:rFonts w:ascii="Arial" w:cs="Arial" w:eastAsia="Arial" w:hAnsi="Arial"/>
                <w:sz w:val="18"/>
                <w:szCs w:val="18"/>
                <w:color w:val="auto"/>
              </w:rPr>
              <w:t>Oil Pollution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OUR</w:t>
            </w:r>
          </w:p>
        </w:tc>
        <w:tc>
          <w:tcPr>
            <w:tcW w:w="8300" w:type="dxa"/>
            <w:vAlign w:val="bottom"/>
          </w:tcPr>
          <w:p>
            <w:pPr>
              <w:ind w:left="1560"/>
              <w:spacing w:after="0"/>
              <w:rPr>
                <w:sz w:val="20"/>
                <w:szCs w:val="20"/>
                <w:color w:val="auto"/>
              </w:rPr>
            </w:pPr>
            <w:r>
              <w:rPr>
                <w:rFonts w:ascii="Arial" w:cs="Arial" w:eastAsia="Arial" w:hAnsi="Arial"/>
                <w:sz w:val="18"/>
                <w:szCs w:val="18"/>
                <w:color w:val="auto"/>
              </w:rPr>
              <w:t>Office of Utilities Regulation (Jamaica)</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PHMSA</w:t>
            </w:r>
          </w:p>
        </w:tc>
        <w:tc>
          <w:tcPr>
            <w:tcW w:w="8300" w:type="dxa"/>
            <w:vAlign w:val="bottom"/>
          </w:tcPr>
          <w:p>
            <w:pPr>
              <w:ind w:left="156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PPA</w:t>
            </w:r>
          </w:p>
        </w:tc>
        <w:tc>
          <w:tcPr>
            <w:tcW w:w="8300" w:type="dxa"/>
            <w:vAlign w:val="bottom"/>
          </w:tcPr>
          <w:p>
            <w:pPr>
              <w:ind w:left="1560"/>
              <w:spacing w:after="0"/>
              <w:rPr>
                <w:sz w:val="20"/>
                <w:szCs w:val="20"/>
                <w:color w:val="auto"/>
              </w:rPr>
            </w:pPr>
            <w:r>
              <w:rPr>
                <w:rFonts w:ascii="Arial" w:cs="Arial" w:eastAsia="Arial" w:hAnsi="Arial"/>
                <w:sz w:val="18"/>
                <w:szCs w:val="18"/>
                <w:color w:val="auto"/>
              </w:rPr>
              <w:t>power purchase agreement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SSA</w:t>
            </w:r>
          </w:p>
        </w:tc>
        <w:tc>
          <w:tcPr>
            <w:tcW w:w="8300" w:type="dxa"/>
            <w:vAlign w:val="bottom"/>
          </w:tcPr>
          <w:p>
            <w:pPr>
              <w:ind w:left="1560"/>
              <w:spacing w:after="0"/>
              <w:rPr>
                <w:sz w:val="20"/>
                <w:szCs w:val="20"/>
                <w:color w:val="auto"/>
              </w:rPr>
            </w:pPr>
            <w:r>
              <w:rPr>
                <w:rFonts w:ascii="Arial" w:cs="Arial" w:eastAsia="Arial" w:hAnsi="Arial"/>
                <w:sz w:val="18"/>
                <w:szCs w:val="18"/>
                <w:color w:val="auto"/>
              </w:rPr>
              <w:t>steam supply agreement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TBtu</w:t>
            </w:r>
          </w:p>
        </w:tc>
        <w:tc>
          <w:tcPr>
            <w:tcW w:w="8300" w:type="dxa"/>
            <w:vAlign w:val="bottom"/>
          </w:tcPr>
          <w:p>
            <w:pPr>
              <w:ind w:left="1560"/>
              <w:spacing w:after="0"/>
              <w:rPr>
                <w:sz w:val="20"/>
                <w:szCs w:val="20"/>
                <w:color w:val="auto"/>
              </w:rPr>
            </w:pPr>
            <w:r>
              <w:rPr>
                <w:rFonts w:ascii="Arial" w:cs="Arial" w:eastAsia="Arial" w:hAnsi="Arial"/>
                <w:sz w:val="18"/>
                <w:szCs w:val="18"/>
                <w:color w:val="auto"/>
              </w:rPr>
              <w:t>one trillion Btus, which corresponds to approximately 12,100,000 gallons of LNG</w:t>
            </w:r>
          </w:p>
        </w:tc>
      </w:tr>
      <w:tr>
        <w:trPr>
          <w:trHeight w:val="596"/>
        </w:trPr>
        <w:tc>
          <w:tcPr>
            <w:tcW w:w="2940" w:type="dxa"/>
            <w:vAlign w:val="bottom"/>
          </w:tcPr>
          <w:p>
            <w:pPr>
              <w:spacing w:after="0"/>
              <w:rPr>
                <w:sz w:val="24"/>
                <w:szCs w:val="24"/>
                <w:color w:val="auto"/>
              </w:rPr>
            </w:pPr>
          </w:p>
        </w:tc>
        <w:tc>
          <w:tcPr>
            <w:tcW w:w="8300" w:type="dxa"/>
            <w:vAlign w:val="bottom"/>
          </w:tcPr>
          <w:p>
            <w:pPr>
              <w:ind w:left="2640"/>
              <w:spacing w:after="0"/>
              <w:rPr>
                <w:sz w:val="20"/>
                <w:szCs w:val="20"/>
                <w:color w:val="auto"/>
              </w:rPr>
            </w:pPr>
            <w:r>
              <w:rPr>
                <w:rFonts w:ascii="Arial" w:cs="Arial" w:eastAsia="Arial" w:hAnsi="Arial"/>
                <w:sz w:val="14"/>
                <w:szCs w:val="14"/>
                <w:color w:val="auto"/>
              </w:rPr>
              <w:t>ii</w:t>
            </w:r>
          </w:p>
        </w:tc>
      </w:tr>
      <w:tr>
        <w:trPr>
          <w:trHeight w:val="46"/>
        </w:trPr>
        <w:tc>
          <w:tcPr>
            <w:tcW w:w="294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56" w:lineRule="exact"/>
        <w:rPr>
          <w:sz w:val="20"/>
          <w:szCs w:val="20"/>
          <w:color w:val="auto"/>
        </w:rPr>
      </w:pPr>
    </w:p>
    <w:p>
      <w:pPr>
        <w:ind w:right="400" w:firstLine="583"/>
        <w:spacing w:after="0" w:line="290" w:lineRule="auto"/>
        <w:rPr>
          <w:sz w:val="20"/>
          <w:szCs w:val="20"/>
          <w:color w:val="auto"/>
        </w:rPr>
      </w:pPr>
      <w:r>
        <w:rPr>
          <w:rFonts w:ascii="Arial" w:cs="Arial" w:eastAsia="Arial" w:hAnsi="Arial"/>
          <w:sz w:val="16"/>
          <w:szCs w:val="16"/>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9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on a fixed-price basis, or otherwise to manage LNG price risks, including hedging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(as defined herein) and the terms of our construction contracts for the completion of these assets;</w:t>
      </w: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integrate the businesses and realize the anticipated benefits of the Mergers;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operational, regulatory, environmental, political, legal and economic risks pertaining to the construction and operation of our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the Exchange Transactions (as defined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jurisdictions in which we do, or seek to do, business, particularly Florida, Jamaica, Brazil and the Caribbean;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Quarterly Report.</w:t>
      </w:r>
    </w:p>
    <w:p>
      <w:pPr>
        <w:spacing w:after="0" w:line="238" w:lineRule="exact"/>
        <w:rPr>
          <w:sz w:val="20"/>
          <w:szCs w:val="20"/>
          <w:color w:val="auto"/>
        </w:rPr>
      </w:pPr>
    </w:p>
    <w:p>
      <w:pPr>
        <w:jc w:val="both"/>
        <w:ind w:right="640" w:firstLine="583"/>
        <w:spacing w:after="0" w:line="272" w:lineRule="auto"/>
        <w:rPr>
          <w:sz w:val="20"/>
          <w:szCs w:val="20"/>
          <w:color w:val="auto"/>
        </w:rPr>
      </w:pPr>
      <w:r>
        <w:rPr>
          <w:rFonts w:ascii="Arial" w:cs="Arial" w:eastAsia="Arial" w:hAnsi="Arial"/>
          <w:sz w:val="17"/>
          <w:szCs w:val="17"/>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2020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New Fortress Energy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As of June 30, 2021 and December 31, 2020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(Unaudited, in thousands of U.S. dollars, except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9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r>
      <w:tr>
        <w:trPr>
          <w:trHeight w:val="198"/>
        </w:trPr>
        <w:tc>
          <w:tcPr>
            <w:tcW w:w="94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74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60" w:type="dxa"/>
            <w:vAlign w:val="bottom"/>
            <w:gridSpan w:val="2"/>
          </w:tcPr>
          <w:p>
            <w:pPr>
              <w:ind w:left="1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net of allowances of $90 and $98, respectively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76,544</w:t>
            </w:r>
          </w:p>
        </w:tc>
      </w:tr>
      <w:tr>
        <w:trPr>
          <w:trHeight w:val="216"/>
        </w:trPr>
        <w:tc>
          <w:tcPr>
            <w:tcW w:w="9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23"/>
        </w:trPr>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475,954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762,010</w:t>
            </w:r>
          </w:p>
        </w:tc>
      </w:tr>
      <w:tr>
        <w:trPr>
          <w:trHeight w:val="216"/>
        </w:trPr>
        <w:tc>
          <w:tcPr>
            <w:tcW w:w="8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234,037</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614,206</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139,136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141,347</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46,102</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Finance leases,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23"/>
        </w:trPr>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w w:val="88"/>
              </w:rPr>
              <w:t>Total assets</w:t>
            </w:r>
          </w:p>
        </w:tc>
        <w:tc>
          <w:tcPr>
            <w:tcW w:w="7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6,392,075</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1"/>
        </w:trPr>
        <w:tc>
          <w:tcPr>
            <w:tcW w:w="9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204,551</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21,331</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192,723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90,352</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35,481</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Due to affiliates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8,980</w:t>
            </w:r>
          </w:p>
        </w:tc>
      </w:tr>
      <w:tr>
        <w:trPr>
          <w:trHeight w:val="223"/>
        </w:trPr>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635,464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191,150</w:t>
            </w:r>
          </w:p>
        </w:tc>
      </w:tr>
      <w:tr>
        <w:trPr>
          <w:trHeight w:val="216"/>
        </w:trPr>
        <w:tc>
          <w:tcPr>
            <w:tcW w:w="8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3,326,303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84,323</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293,073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4,390,156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1,533,005</w:t>
            </w:r>
          </w:p>
        </w:tc>
      </w:tr>
      <w:tr>
        <w:trPr>
          <w:trHeight w:val="216"/>
        </w:trPr>
        <w:tc>
          <w:tcPr>
            <w:tcW w:w="836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Class A common stock, $0.01 par value, 750.0 million shares authorized, 206.7 million issued and outstanding</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June 30, 2021; 174.6 million issued and outstanding as of December 31, 2020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1,932,318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594,534</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(273,450)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(229,503)</w:t>
            </w:r>
          </w:p>
        </w:tc>
      </w:tr>
      <w:tr>
        <w:trPr>
          <w:trHeight w:val="223"/>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101,422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1,762,350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366,959</w:t>
            </w:r>
          </w:p>
        </w:tc>
        <w:tc>
          <w:tcPr>
            <w:tcW w:w="100" w:type="dxa"/>
            <w:vAlign w:val="bottom"/>
            <w:shd w:val="clear" w:color="auto" w:fill="CCEEFF"/>
          </w:tcPr>
          <w:p>
            <w:pPr>
              <w:spacing w:after="0"/>
              <w:rPr>
                <w:sz w:val="18"/>
                <w:szCs w:val="18"/>
                <w:color w:val="auto"/>
              </w:rPr>
            </w:pPr>
          </w:p>
        </w:tc>
      </w:tr>
      <w:tr>
        <w:trPr>
          <w:trHeight w:val="223"/>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239,569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8,127</w:t>
            </w:r>
          </w:p>
        </w:tc>
      </w:tr>
      <w:tr>
        <w:trPr>
          <w:trHeight w:val="223"/>
        </w:trPr>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2,001,919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6,392,075</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0"/>
        </w:trPr>
        <w:tc>
          <w:tcPr>
            <w:tcW w:w="9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142"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42"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Vessel charter revenue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64,561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29,417</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223,839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94,566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369,523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169,096</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31,846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78,152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60,216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123,906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124,114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236,080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242,771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404,071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353,302</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loss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(148,205)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17,198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50,162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31,088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9,557</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91"/>
              </w:rPr>
              <w:t>Net loss before income from equity method investments and income taxes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(36,266)</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(166,402)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(226,461)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from equity method investments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38,941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Net loss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(166,519)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(41,243)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(226,574)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80,851</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Net loss attributable to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(6,044)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(137,425)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(43,947)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(145,723)</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202,331,304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57,341,215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189,885,473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41,771,849</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(226,574)</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(101,690)</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(100,693)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99,956</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(226,423)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(4,637)</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29,009</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(2,157)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81,082</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 (loss) attributable to stockholders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95,319</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(136,990)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Class A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Class B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w w:val="93"/>
              </w:rPr>
              <w:t>Class A common stock</w:t>
            </w:r>
          </w:p>
        </w:tc>
        <w:tc>
          <w:tcPr>
            <w:tcW w:w="160" w:type="dxa"/>
            <w:vAlign w:val="bottom"/>
            <w:vMerge w:val="restart"/>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Accumulated 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080" w:type="dxa"/>
            <w:vAlign w:val="bottom"/>
          </w:tcPr>
          <w:p>
            <w:pPr>
              <w:spacing w:after="0"/>
              <w:rPr>
                <w:sz w:val="13"/>
                <w:szCs w:val="13"/>
                <w:color w:val="auto"/>
              </w:rPr>
            </w:pPr>
          </w:p>
        </w:tc>
        <w:tc>
          <w:tcPr>
            <w:tcW w:w="10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Borders>
              <w:bottom w:val="single" w:sz="8" w:color="auto"/>
            </w:tcBorders>
            <w:gridSpan w:val="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80"/>
              <w:spacing w:after="0" w:line="125"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80" w:type="dxa"/>
            <w:vAlign w:val="bottom"/>
            <w:gridSpan w:val="4"/>
          </w:tcPr>
          <w:p>
            <w:pPr>
              <w:ind w:left="60"/>
              <w:spacing w:after="0" w:line="125" w:lineRule="exact"/>
              <w:rPr>
                <w:sz w:val="20"/>
                <w:szCs w:val="20"/>
                <w:color w:val="auto"/>
              </w:rPr>
            </w:pPr>
            <w:r>
              <w:rPr>
                <w:rFonts w:ascii="Arial" w:cs="Arial" w:eastAsia="Arial" w:hAnsi="Arial"/>
                <w:sz w:val="14"/>
                <w:szCs w:val="14"/>
                <w:b w:val="1"/>
                <w:bCs w:val="1"/>
                <w:color w:val="auto"/>
              </w:rPr>
              <w:t>controlling</w:t>
            </w:r>
          </w:p>
        </w:tc>
        <w:tc>
          <w:tcPr>
            <w:tcW w:w="9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(loss) income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Balance as of December 31, 2020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174,622,862</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594,534</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(229,503)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8,127</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375,086</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(37,903)</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(1,606)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(39,509)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expense</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1,770</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RSUs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1,335,787</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based compensation, at cost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(638,235)</w:t>
            </w:r>
          </w:p>
        </w:tc>
        <w:tc>
          <w:tcPr>
            <w:tcW w:w="1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(27,571)</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(27,571)</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(17,598)</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(17,598)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4"/>
                <w:szCs w:val="14"/>
                <w:b w:val="1"/>
                <w:bCs w:val="1"/>
                <w:color w:val="auto"/>
              </w:rPr>
              <w:t>Balance as of March 31, 2021</w:t>
            </w: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175,320,414</w:t>
            </w: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1,746</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551,135</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(267,406)</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59</w:t>
            </w:r>
          </w:p>
        </w:tc>
        <w:tc>
          <w:tcPr>
            <w:tcW w:w="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5,647</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291,181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(6,044)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101,363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327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101,690</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1,613</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w w:val="98"/>
              </w:rPr>
              <w:t>Shares issued as consideration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in business combinations</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31,372,549</w:t>
            </w:r>
          </w:p>
        </w:tc>
        <w:tc>
          <w:tcPr>
            <w:tcW w:w="1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1,400,470</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1,400,784</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RSUs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8,930</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based compensation, at cost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(3,329)</w:t>
            </w:r>
          </w:p>
        </w:tc>
        <w:tc>
          <w:tcPr>
            <w:tcW w:w="1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(164)</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Non-controlling interest</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acquired in business</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combinations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229,285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229,285</w:t>
            </w:r>
          </w:p>
        </w:tc>
        <w:tc>
          <w:tcPr>
            <w:tcW w:w="0" w:type="dxa"/>
            <w:vAlign w:val="bottom"/>
          </w:tcPr>
          <w:p>
            <w:pPr>
              <w:spacing w:after="0"/>
              <w:rPr>
                <w:sz w:val="1"/>
                <w:szCs w:val="1"/>
                <w:color w:val="auto"/>
              </w:rPr>
            </w:pPr>
          </w:p>
        </w:tc>
      </w:tr>
      <w:tr>
        <w:trPr>
          <w:trHeight w:val="223"/>
        </w:trPr>
        <w:tc>
          <w:tcPr>
            <w:tcW w:w="208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(20,736)</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(20,736)</w:t>
            </w: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2021</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206,698,564</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2,060</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1,932,318</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(273,450)</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101,422</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239,569</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2,001,919</w:t>
            </w: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44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Class A shares</w:t>
            </w:r>
          </w:p>
        </w:tc>
        <w:tc>
          <w:tcPr>
            <w:tcW w:w="100" w:type="dxa"/>
            <w:vAlign w:val="bottom"/>
            <w:vMerge w:val="restart"/>
          </w:tcPr>
          <w:p>
            <w:pPr>
              <w:spacing w:after="0"/>
              <w:rPr>
                <w:sz w:val="14"/>
                <w:szCs w:val="14"/>
                <w:color w:val="auto"/>
              </w:rPr>
            </w:pPr>
          </w:p>
        </w:tc>
        <w:tc>
          <w:tcPr>
            <w:tcW w:w="12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97"/>
              </w:rPr>
              <w:t>Class B 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3"/>
              </w:rPr>
              <w:t>Class A common stock</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Accumulated other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0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780" w:type="dxa"/>
            <w:vAlign w:val="bottom"/>
            <w:gridSpan w:val="4"/>
          </w:tcPr>
          <w:p>
            <w:pPr>
              <w:ind w:left="40"/>
              <w:spacing w:after="0" w:line="125" w:lineRule="exact"/>
              <w:rPr>
                <w:sz w:val="20"/>
                <w:szCs w:val="20"/>
                <w:color w:val="auto"/>
              </w:rPr>
            </w:pPr>
            <w:r>
              <w:rPr>
                <w:rFonts w:ascii="Arial" w:cs="Arial" w:eastAsia="Arial" w:hAnsi="Arial"/>
                <w:sz w:val="14"/>
                <w:szCs w:val="14"/>
                <w:b w:val="1"/>
                <w:bCs w:val="1"/>
                <w:color w:val="auto"/>
                <w:w w:val="99"/>
              </w:rPr>
              <w:t>controlling</w:t>
            </w:r>
          </w:p>
        </w:tc>
        <w:tc>
          <w:tcPr>
            <w:tcW w:w="920" w:type="dxa"/>
            <w:vAlign w:val="bottom"/>
            <w:gridSpan w:val="4"/>
          </w:tcPr>
          <w:p>
            <w:pPr>
              <w:ind w:left="40"/>
              <w:spacing w:after="0" w:line="125"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8"/>
                <w:szCs w:val="18"/>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8"/>
                <w:szCs w:val="18"/>
                <w:color w:val="auto"/>
              </w:rPr>
            </w:pPr>
          </w:p>
        </w:tc>
        <w:tc>
          <w:tcPr>
            <w:tcW w:w="6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(loss) income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Balance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23,607,096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$130,658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144,342,572</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(45,823)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302,519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387,324</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w w:val="98"/>
              </w:rPr>
              <w:t>Cumulative effect of accounting</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(1,533)</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(7,780)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(51,757)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(60,223)</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2,508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2,508</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RSUs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1,212,907</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based compensation, at cost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(583,508)</w:t>
            </w: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(6,132)</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(6,132)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24,236,495</w:t>
            </w: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5"/>
              </w:rPr>
              <w:t>$127,034</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144,342,572</w:t>
            </w:r>
          </w:p>
        </w:tc>
        <w:tc>
          <w:tcPr>
            <w:tcW w:w="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(55,822)</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242,666</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313,795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(137,425)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(29,094)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(166,519)</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1,922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RSUs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11,529</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based compensation, at cost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(3,250)</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23"/>
        </w:trPr>
        <w:tc>
          <w:tcPr>
            <w:tcW w:w="2080" w:type="dxa"/>
            <w:vAlign w:val="bottom"/>
          </w:tcPr>
          <w:p>
            <w:pPr>
              <w:ind w:left="140"/>
              <w:spacing w:after="0"/>
              <w:rPr>
                <w:sz w:val="20"/>
                <w:szCs w:val="20"/>
                <w:color w:val="auto"/>
              </w:rPr>
            </w:pPr>
            <w:r>
              <w:rPr>
                <w:rFonts w:ascii="Arial" w:cs="Arial" w:eastAsia="Arial" w:hAnsi="Arial"/>
                <w:sz w:val="14"/>
                <w:szCs w:val="14"/>
                <w:color w:val="auto"/>
              </w:rPr>
              <w:t>Exchange of NFI units</w:t>
            </w: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7"/>
              </w:rPr>
              <w:t>144,342,572</w:t>
            </w: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206,587</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8"/>
              </w:rPr>
              <w:t>(144,342,572)</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(206,587)</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2020</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168,587,346</w:t>
            </w:r>
          </w:p>
        </w:tc>
        <w:tc>
          <w:tcPr>
            <w:tcW w:w="6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5"/>
              </w:rPr>
              <w:t>$335,503</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(193,247)</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7,070</w:t>
            </w:r>
          </w:p>
        </w:tc>
        <w:tc>
          <w:tcPr>
            <w:tcW w:w="1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(149,678)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(226,574)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 and debt guarantee,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37,462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13,324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of equity method investees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Dividends received from equity method investees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Sales-type lease payments received in excess of 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market value of derivatives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(7,073)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charges and loss on mitigation sales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124,114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on extinguishment and financing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9,557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value of Investment of equity securities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in receivables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(38,018)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(9,214)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Decrease (Increase) in other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(9,446)</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17,781</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in accounts payable/accrued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13,655</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amounts due to affiliates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(3,666)</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(Decrease) in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(19,873)</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other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(111,352)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(80,323)</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(95,422)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Cash paid for business combinations, net of cash acquired</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(1,586,042)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Entities acquired in asset acquisitions, net of cash acquired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Other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borrowings of debt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1,652,500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832,144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deferred financing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Repayment of debt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(15,864)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(506,402)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related to tax withholdings for share-based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(6,117)</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(41,346)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1,544,584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Impact of changes in foreign exchange rates on cash and cash equivalents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(399,018)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130,358</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629,336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93,035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equipment additions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85,513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(3,084)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associated with consideration paid for entities acquired in asset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Consideration paid in shares for business combinations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1,400,784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56"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New Fortress Energy Inc. (“NFE,” together with its subsidiaries, the “Company”), a Delaware corporation, is a global integrated gas-to-power infrastructure company that seeks to use natural gas to satisfy the world’s large and growing power needs and is engaged in providing energy and development services to end-users worldwide seeking to convert their operating assets from diesel or heavy fuel oil to LNG. The Company has liquefaction, regasification and power generation operations in the United States, Jamaica and Brazil. Subsequent to the Mergers (defined below), the Company now has marine operations with vessels operating under time charters and in the spot market globally.</w:t>
      </w:r>
    </w:p>
    <w:p>
      <w:pPr>
        <w:spacing w:after="0" w:line="2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15, 2021, the Company completed the acquisitions of Hygo Energy Transition Ltd. (“Hygo”) and Golar LNG Partners LP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interests of GMLP’s general partner, totaling $251 million. The Company also repaid certain outstanding debt facilities of GMLP in conjunction with closing the GMLP Merger. The results of operations of Hygo and GMLP have been included in the Company’s condensed consolidated financial statements for the period subsequent to the Mergers.</w:t>
      </w:r>
    </w:p>
    <w:p>
      <w:pPr>
        <w:spacing w:after="0" w:line="20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a result of the Mergers the Company acquired one operating FSRU terminal in Sergipe, Brazil (the “Sergipe Facility”), a 50% interest in a 1.5GW power plant in Sergipe, Brazil (the “Sergipe Power Plant”), as well as two other FSRU terminals in development in Pará, Brazil (the “Barcarena Facility”) and Santa Catarina, Brazil (the “Santa Catarina Facility”).</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acquired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a newbuild FSRU moored and in service at the Sergipe Facility. In addition to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the Company acquired a fleet of six other FSRUs, six LNG carriers and an interest in a floating liquefaction vessel, the </w:t>
      </w:r>
      <w:r>
        <w:rPr>
          <w:rFonts w:ascii="Arial" w:cs="Arial" w:eastAsia="Arial" w:hAnsi="Arial"/>
          <w:sz w:val="18"/>
          <w:szCs w:val="18"/>
          <w:i w:val="1"/>
          <w:iCs w:val="1"/>
          <w:color w:val="auto"/>
        </w:rPr>
        <w:t>Hilli Episeyo</w:t>
      </w:r>
      <w:r>
        <w:rPr>
          <w:rFonts w:ascii="Arial" w:cs="Arial" w:eastAsia="Arial" w:hAnsi="Arial"/>
          <w:sz w:val="18"/>
          <w:szCs w:val="18"/>
          <w:color w:val="auto"/>
        </w:rPr>
        <w:t xml:space="preserve"> (the “Hilli”), which liquefies and stores LNG at sea and transfers it to LNG carriers that berth while offshore, each of which are expected to help support our existing facilities and international project pipeline. The majority of the FSRUs are operating in Brazil, Kuwait, Indonesia, Jamaica and Jordan under time charters, and uncontracted vessels are available for short term employment in the spot market.</w:t>
      </w:r>
    </w:p>
    <w:p>
      <w:pPr>
        <w:spacing w:after="0" w:line="21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6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accounting policies adopted are set out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 and principles of consolidation</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2020.</w:t>
      </w:r>
    </w:p>
    <w:p>
      <w:pPr>
        <w:spacing w:after="0" w:line="18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variable interest entity (“VIE”) is an entity that by design meets any of the following characteristics: (1) lacks sufficient equity to allow the entity to finance its activities without additional subordinated financial support; (2) as a group, equity investors do not have the ability to make significant decisions relating to the entity’s operations through voting rights, or do not have the obligation to absorb the expected losses or do not have the right to receive residual returns of the entity; or (3)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The primary beneficiary of a VIE is required to consolidate the assets and liabilities of the VIE. The primary beneficiary is the party that has both (1) the power to direct the economic activities of the VIE that most significantly impact the VIE’s economic performance; and (2) through its interest in the VIE, the obligation to absorb the losses or the right to receive the benefits from the VIE that could potentially be significant to the VIE.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sale and leaseback financings for certain vessels acquired in the GMLP Merger and Hygo Merger were consummated with VIEs. As part of these financings, the asset was sold to a single asset entity of the lending bank and then leased back. While the Company does not hold an equity investment in these entities, these entities are VIEs, and the Company has a variable interest in the entities due to the guarantees and fixed price repurchase options that absorb the losses of the VIE that could potentially be significant to the entity. The Company has concluded that it has the power to direct the economic activities that most impact the economic performance as it controls the significant decisions relating to the assets and it has the obligation to absorb losses or the right to receive the residual returns from the leased asset. As NFE has no equity interest in these VIEs, all equity attributable to these VIEs is included in non-controlling interests in the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  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Terminals and Infrastructure</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the Company has presented Operating revenue on an aggregated basis.</w:t>
      </w:r>
    </w:p>
    <w:p>
      <w:pPr>
        <w:spacing w:after="0" w:line="21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contracts with customers to supply natural gas or LNG may contain a lease of equipment, which may be accounted for as a finance or operating lease. For the Company’s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condensed consolidated statements of operations and comprehensive loss.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9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w:t>
      </w:r>
    </w:p>
    <w:p>
      <w:pPr>
        <w:spacing w:after="0" w:line="191"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receivables, contract assets and contract liabilities. Receivables represent unconditional rights to consideration; unbilled amounts typically result from sales under long-term contracts when revenue recognized exceeds the amount billed to the customer. Contract assets are comprised of the transaction price allocated to completed performance obligations that will be billed to customers in subsequent periods. Both unbilled receivables and contract assets are recognized within Prepaid expenses and other current assets, net and Other non-current assets, net on the condensed consolidated balance sheets. Contract liabilities consist of deferred revenue and are recognized within Other current liabilities on the condensed consolidated balance sheets.</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Shipping and handling costs are not considered to be separate performance obligations. These costs are recognized in the period in which the costs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collects sales taxes from its customers based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Ships</w:t>
      </w:r>
    </w:p>
    <w:p>
      <w:pPr>
        <w:spacing w:after="0" w:line="252"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Charter contracts for the use of the FSRUs and LNG carriers acquired as part of the Mergers are leases as the contracts convey the right to obtain substantially all of the economic benefits from the use of the asset and allow the customer to direct the use of that asset.</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inception, the Company makes an assessment on whether the charter contract is an operating lease or a finance lease. In making the classification assessment, the Company estimates the residual value of the underlying asset at the end of the lease term with reference to broker valuations. None of the vessel lease contracts contain residual value guarantees.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20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For charter contracts that are determined to be finance leases accounted for as sales-type leases, the profit from the sale of the vessel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condensed consolidated statements of operations and comprehensive loss.</w:t>
      </w:r>
    </w:p>
    <w:p>
      <w:pPr>
        <w:spacing w:after="0" w:line="20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Revenues include fixed minimum lease payments under charters accounted for as operating leases and fees for repositioning vessels. Revenues generated from charters contracts are recorded over the term of the charter on a straight-line basis as service is provided and is included in Vessel charter revenue in the condensed consolidated statements of operations and comprehensive loss. Fixed revenue includes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Repositioning fees are included in Vessel charter revenues and are recognized at the end of the charter when the fee becomes fixed. However, where there is a fixed amount specified in the charter, which is not dependent upon redelivery location, the fee will be recognized evenly over the term of the charter.</w:t>
      </w:r>
    </w:p>
    <w:p>
      <w:pPr>
        <w:spacing w:after="0" w:line="15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condensed consolidated statements of operations and comprehensive loss over the lease term.</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Two of the Company’s LNG carriers participate in a LNG carrier pool collaborative arrangement with Golar LNG Limited, referred to as the Cool Pool. The Cool Pool allows the pool participants to optimize the operation of the pool vessels through improved scheduling ability, cost efficiencies and common marketing. Under the Pool Agreement, the Pool Manager is responsible, as an agent, for the marketing and chartering of the participating vessels and paying certain voyage costs such as port call expenses and brokers' commissions in relation to employment contracts, with each of the Pool Participants continuing to be fully responsible for fulfilling the performance obligations in the contract.</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primarily responsible for fulfilling the performance obligations in the time charters of vessels owned by the Company, and the Company is the principal in such time charters. Revenue and expenses for charters of the Company’s vessels that participate in the Cool Pool are presented on a gross basis within Vessel charter revenues and Vessel operating expenses, respectively, in the condensed consolidated statements of operations and comprehensive loss. The Company’s allocation of its share of the net revenues earned from the other pool participants' vessels, which may be either income or expense depending on the results of all pool participants, is reflected on a net basis within Vessel operating expenses in the condensed consolidated statements of operations and comprehensive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  Business combinations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 related costs are expensed as incurred. The results of operations of acquired businesses are included in the Company’s condensed consolidated statements of operations and comprehensive loss from the date of acquisition.</w:t>
      </w:r>
    </w:p>
    <w:p>
      <w:pPr>
        <w:spacing w:after="0" w:line="19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  Equity method investments</w:t>
      </w:r>
    </w:p>
    <w:p>
      <w:pPr>
        <w:spacing w:after="0" w:line="25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or in the case of equity method investments acquired as part of the Mergers,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the Mergers and the Company’s proportionate share of the carrying value of the underlying assets, or basis difference, across the assets and liabilities of the investee. The basis difference assigned to amortizable net assets is included in Income (loss) from equity method investments in the condensed consolidated statements of operations and comprehensive loss. When the Company’s share of losses in an investee equals or exceeds the carrying value of the investment, no further losses are recognized unless the Company has incurred obligations or made payments on behalf of the investee.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  Lessor expense recognition</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Vessel operating expenses, which are recognized when incurred, include crewing, repairs and maintenance, insurance, stores, lube oils, communication expenses and third-party management fees. Voyage expenses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Initial direct costs include costs directly related to the negotiation and consummation of the lease are deferred and recognized in Selling, general and administrative over the lease term.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5"/>
          <w:szCs w:val="15"/>
          <w:color w:val="auto"/>
        </w:rPr>
        <w:t>Guarantees</w:t>
      </w:r>
    </w:p>
    <w:p>
      <w:pPr>
        <w:spacing w:after="0" w:line="25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Guarantees issued by the Company, excluding those that are guaranteeing the Company’s own performance, are recognized at fair value at the time that the guarantees are issued and recognized in Other current liabilities and Other non-current liabilities on the condensed consolidated balance sheets. The guarantee liability is amortized each period as a reduction to Selling, general and administrative expenses. If it becomes probable that the Company will have to perform under a guarantee, the Company will recognize an additional liability if the amount of the loss can be reasonably estimated.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  Derivatives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part of the Mergers, the Company acquired derivative positions that were used to reduce market risks associated with interest rates and foreign exchange rates. All derivative instruments are initially recorded at fair value as either assets or liabilities on the condensed consolidated balance sheets and subsequently remeasured to fair value, regardless of the purpose or intent for holding the derivative.</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Where the fair value of a derivative instrument is a net liability, the derivative instrument is classified in Other current liabilities or Other long-term liabilities on the condensed consolidated balance sheets. Where the fair value of a derivative instrument is a net asset, the derivative instrument is classified in Other current assets or Other non-current assets on the condensed consolidated balance sheets depending on its maturity. The Company has not designated any derivates as cash flow or fair value hedges; however, certain instruments may be considered economic hedges.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  Property, plant and equipment, net</w:t>
      </w:r>
    </w:p>
    <w:p>
      <w:pPr>
        <w:spacing w:after="0" w:line="2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Property, plant and equipment is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condensed consolidated statements of operations and comprehensive loss; such expenditures for assets in the Ships segment that do not improve the operating efficiency or extend the useful lives of the vessels are expensed as incurred within Vessel operating expenses.</w:t>
      </w:r>
    </w:p>
    <w:p>
      <w:pPr>
        <w:spacing w:after="0" w:line="2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Major maintenance and overhauls of the Company’s power plant and terminals are capitalized and depreciated over the expected period until the next anticipated major maintenance or overhaul. Drydocking expenditures are capitalized when incurred and amortized over the period until the next anticipated drydocking, which is generally five years. For vessels, the Company utilizes the "built-in overhaul" method of accounting. The built-in overhaul method is based on the segregation of vessel costs into those that should be depreciated over the useful life of the vessel and those that require drydocking at periodic intervals to reflect the different useful lives of the components of the assets. The estimated cost of the drydocking component is amortized until the date of the first drydocking following acquisition of the vessel, upon which the cost is capitalized and the process is repeated. If drydocking occurs prior to the expected timing, a cumulative adjustment to recognize the change in expected timing of dry docking is recognized within Depreciation and amortization in the condensed consolidated statements of operations and comprehensive loss.</w:t>
      </w:r>
    </w:p>
    <w:p>
      <w:pPr>
        <w:spacing w:after="0" w:line="2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depreciates property, plant and equipment less the estimate residual value using the straight-line depreciation method over the estimated economic life of the asset or lease term, whichever is shorter using the following useful lives: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CCEEFF"/>
            </w:tcBorders>
          </w:tcPr>
          <w:p>
            <w:pPr>
              <w:spacing w:after="0"/>
              <w:rPr>
                <w:sz w:val="20"/>
                <w:szCs w:val="20"/>
                <w:color w:val="auto"/>
              </w:rPr>
            </w:pPr>
          </w:p>
        </w:tc>
        <w:tc>
          <w:tcPr>
            <w:tcW w:w="56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Useful life (Yrs)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56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5-30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Terminal and power plant equipment</w:t>
            </w:r>
          </w:p>
        </w:tc>
        <w:tc>
          <w:tcPr>
            <w:tcW w:w="6960" w:type="dxa"/>
            <w:vAlign w:val="bottom"/>
            <w:gridSpan w:val="2"/>
          </w:tcPr>
          <w:p>
            <w:pPr>
              <w:jc w:val="center"/>
              <w:ind w:left="5572"/>
              <w:spacing w:after="0"/>
              <w:rPr>
                <w:sz w:val="20"/>
                <w:szCs w:val="20"/>
                <w:color w:val="auto"/>
              </w:rPr>
            </w:pPr>
            <w:r>
              <w:rPr>
                <w:rFonts w:ascii="Arial" w:cs="Arial" w:eastAsia="Arial" w:hAnsi="Arial"/>
                <w:sz w:val="18"/>
                <w:szCs w:val="18"/>
                <w:color w:val="auto"/>
                <w:w w:val="94"/>
              </w:rPr>
              <w:t>4-24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CHP facilities</w:t>
            </w:r>
          </w:p>
        </w:tc>
        <w:tc>
          <w:tcPr>
            <w:tcW w:w="6960" w:type="dxa"/>
            <w:vAlign w:val="bottom"/>
            <w:gridSpan w:val="2"/>
            <w:shd w:val="clear" w:color="auto" w:fill="CCEEFF"/>
          </w:tcPr>
          <w:p>
            <w:pPr>
              <w:jc w:val="center"/>
              <w:ind w:left="5572"/>
              <w:spacing w:after="0"/>
              <w:rPr>
                <w:sz w:val="20"/>
                <w:szCs w:val="20"/>
                <w:color w:val="auto"/>
              </w:rPr>
            </w:pPr>
            <w:r>
              <w:rPr>
                <w:rFonts w:ascii="Arial" w:cs="Arial" w:eastAsia="Arial" w:hAnsi="Arial"/>
                <w:sz w:val="18"/>
                <w:szCs w:val="18"/>
                <w:color w:val="auto"/>
                <w:w w:val="94"/>
              </w:rPr>
              <w:t>4-20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Gas terminals</w:t>
            </w:r>
          </w:p>
        </w:tc>
        <w:tc>
          <w:tcPr>
            <w:tcW w:w="6960" w:type="dxa"/>
            <w:vAlign w:val="bottom"/>
            <w:gridSpan w:val="2"/>
          </w:tcPr>
          <w:p>
            <w:pPr>
              <w:jc w:val="center"/>
              <w:ind w:left="5572"/>
              <w:spacing w:after="0"/>
              <w:rPr>
                <w:sz w:val="20"/>
                <w:szCs w:val="20"/>
                <w:color w:val="auto"/>
              </w:rPr>
            </w:pPr>
            <w:r>
              <w:rPr>
                <w:rFonts w:ascii="Arial" w:cs="Arial" w:eastAsia="Arial" w:hAnsi="Arial"/>
                <w:sz w:val="18"/>
                <w:szCs w:val="18"/>
                <w:color w:val="auto"/>
                <w:w w:val="94"/>
              </w:rPr>
              <w:t>5-24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ISO containers and associated equipment</w:t>
            </w:r>
          </w:p>
        </w:tc>
        <w:tc>
          <w:tcPr>
            <w:tcW w:w="6960" w:type="dxa"/>
            <w:vAlign w:val="bottom"/>
            <w:gridSpan w:val="2"/>
            <w:shd w:val="clear" w:color="auto" w:fill="CCEEFF"/>
          </w:tcPr>
          <w:p>
            <w:pPr>
              <w:jc w:val="center"/>
              <w:ind w:left="5572"/>
              <w:spacing w:after="0"/>
              <w:rPr>
                <w:sz w:val="20"/>
                <w:szCs w:val="20"/>
                <w:color w:val="auto"/>
              </w:rPr>
            </w:pPr>
            <w:r>
              <w:rPr>
                <w:rFonts w:ascii="Arial" w:cs="Arial" w:eastAsia="Arial" w:hAnsi="Arial"/>
                <w:sz w:val="18"/>
                <w:szCs w:val="18"/>
                <w:color w:val="auto"/>
                <w:w w:val="94"/>
              </w:rPr>
              <w:t>3-25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LNG liquefaction facilities</w:t>
            </w:r>
          </w:p>
        </w:tc>
        <w:tc>
          <w:tcPr>
            <w:tcW w:w="6960" w:type="dxa"/>
            <w:vAlign w:val="bottom"/>
            <w:gridSpan w:val="2"/>
          </w:tcPr>
          <w:p>
            <w:pPr>
              <w:jc w:val="center"/>
              <w:ind w:left="5572"/>
              <w:spacing w:after="0"/>
              <w:rPr>
                <w:sz w:val="20"/>
                <w:szCs w:val="20"/>
                <w:color w:val="auto"/>
              </w:rPr>
            </w:pPr>
            <w:r>
              <w:rPr>
                <w:rFonts w:ascii="Arial" w:cs="Arial" w:eastAsia="Arial" w:hAnsi="Arial"/>
                <w:sz w:val="18"/>
                <w:szCs w:val="18"/>
                <w:color w:val="auto"/>
                <w:w w:val="91"/>
              </w:rPr>
              <w:t>20-40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Gas pipelines</w:t>
            </w:r>
          </w:p>
        </w:tc>
        <w:tc>
          <w:tcPr>
            <w:tcW w:w="6960" w:type="dxa"/>
            <w:vAlign w:val="bottom"/>
            <w:gridSpan w:val="2"/>
            <w:shd w:val="clear" w:color="auto" w:fill="CCEEFF"/>
          </w:tcPr>
          <w:p>
            <w:pPr>
              <w:jc w:val="center"/>
              <w:ind w:left="5572"/>
              <w:spacing w:after="0"/>
              <w:rPr>
                <w:sz w:val="20"/>
                <w:szCs w:val="20"/>
                <w:color w:val="auto"/>
              </w:rPr>
            </w:pPr>
            <w:r>
              <w:rPr>
                <w:rFonts w:ascii="Arial" w:cs="Arial" w:eastAsia="Arial" w:hAnsi="Arial"/>
                <w:sz w:val="18"/>
                <w:szCs w:val="18"/>
                <w:color w:val="auto"/>
                <w:w w:val="94"/>
              </w:rPr>
              <w:t>4-24</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960" w:type="dxa"/>
            <w:vAlign w:val="bottom"/>
            <w:gridSpan w:val="2"/>
          </w:tcPr>
          <w:p>
            <w:pPr>
              <w:jc w:val="center"/>
              <w:ind w:left="5572"/>
              <w:spacing w:after="0"/>
              <w:rPr>
                <w:sz w:val="20"/>
                <w:szCs w:val="20"/>
                <w:color w:val="auto"/>
              </w:rPr>
            </w:pPr>
            <w:r>
              <w:rPr>
                <w:rFonts w:ascii="Arial" w:cs="Arial" w:eastAsia="Arial" w:hAnsi="Arial"/>
                <w:sz w:val="18"/>
                <w:szCs w:val="18"/>
                <w:color w:val="auto"/>
                <w:w w:val="94"/>
              </w:rPr>
              <w:t>2-20</w:t>
            </w:r>
          </w:p>
        </w:tc>
      </w:tr>
      <w:tr>
        <w:trPr>
          <w:trHeight w:val="581"/>
        </w:trPr>
        <w:tc>
          <w:tcPr>
            <w:tcW w:w="4280" w:type="dxa"/>
            <w:vAlign w:val="bottom"/>
          </w:tcPr>
          <w:p>
            <w:pPr>
              <w:spacing w:after="0"/>
              <w:rPr>
                <w:sz w:val="24"/>
                <w:szCs w:val="24"/>
                <w:color w:val="auto"/>
              </w:rPr>
            </w:pPr>
          </w:p>
        </w:tc>
        <w:tc>
          <w:tcPr>
            <w:tcW w:w="5660" w:type="dxa"/>
            <w:vAlign w:val="bottom"/>
          </w:tcPr>
          <w:p>
            <w:pPr>
              <w:jc w:val="right"/>
              <w:ind w:right="4192"/>
              <w:spacing w:after="0"/>
              <w:rPr>
                <w:sz w:val="20"/>
                <w:szCs w:val="20"/>
                <w:color w:val="auto"/>
              </w:rPr>
            </w:pPr>
            <w:r>
              <w:rPr>
                <w:rFonts w:ascii="Arial" w:cs="Arial" w:eastAsia="Arial" w:hAnsi="Arial"/>
                <w:sz w:val="14"/>
                <w:szCs w:val="14"/>
                <w:color w:val="auto"/>
              </w:rPr>
              <w:t>9</w:t>
            </w:r>
          </w:p>
        </w:tc>
        <w:tc>
          <w:tcPr>
            <w:tcW w:w="1300" w:type="dxa"/>
            <w:vAlign w:val="bottom"/>
          </w:tcPr>
          <w:p>
            <w:pPr>
              <w:spacing w:after="0"/>
              <w:rPr>
                <w:sz w:val="24"/>
                <w:szCs w:val="24"/>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56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to depreciation policies is warranted.</w:t>
      </w:r>
    </w:p>
    <w:p>
      <w:pPr>
        <w:spacing w:after="0" w:line="19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Upon retirement or disposal of property, plant and equipment, the cost and related accumulated depreciation are removed from the account, and the resulting gains or losses, if any, are recorded in the condensed consolidated statements of operations and comprehensive loss. When a vessel is disposed, any unamortized drydocking expenditure is recognized as part of the gain or loss on disposal in the period of disposal.</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Transaction and integration costs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Transaction and integration costs are comprised of costs related to business combinations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sheet are recognized within this caption including fees associated with debt modifications.</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Adoption of new and revised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New standards, amendments and interpretations issued but not effective for the year beginning January 1, 2021:</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Accounting for Convertible Instruments and Contracts in an Entity’s Own Equity (ASU 2020-06).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Company is currently assessing the impact of adoption of this guidance.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  New and amended standards adopted by the Company: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(“ASU 2019-12”), which simplifies the accounting for income taxes, including removing certain exceptions related to the general principles in ASU 740, Income Taxes. ASU 2019-12 also clarifies and simplifies other aspects of the accounting for income taxes. The adoption of this guidance in the first quarter of 2021 did not have a material impact on the Company’s financial position, results of operations or cash flows.</w:t>
      </w:r>
    </w:p>
    <w:p>
      <w:pPr>
        <w:spacing w:after="0" w:line="21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Hygo Merger</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15, 2021, the Company completed the acquisition of all of the outstanding common and preferred shares representing all voting interests of Hygo, a 50-50 joint venture between Golar LNG Limited (“GLNG”) and Stonepeak Infrastructure Fund II Cayman (G) Ltd., a fund managed by Stonepeak Infrastructure Partners (“Stonepeak”), in exchange for 31,372,549 shares of NFE Class A common stock and $580,000 in cash. The acquisition of Hygo expands the Company’s footprint in South America with three gas-to-power projects in Brazil’s large and fast-growing market.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the closing price of NFE’s common stock on April 15, 2021, the total value of consideration in the Hygo Merger was $1.98 billion, shown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for Hygo Preferred Shares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180,000</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consideration for Hygo Common Shares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Merger consideration to be paid in shares of NFE Common Stock</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1,400,784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Non-Cash Consideration</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Consideration</w:t>
            </w:r>
          </w:p>
        </w:tc>
        <w:tc>
          <w:tcPr>
            <w:tcW w:w="2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1,980,784</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has determined it is the accounting acquirer of Hygo, which will be accounted for under the acquisition method of accounting for business combinations. The total purchase price of the transaction has been allocated to identifiable assets acquired, liabilities assumed and non-controlling interests of Hygo based on their respective estimated fair values as of the closing date.</w:t>
      </w:r>
    </w:p>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process of estimating the fair values of certain tangible assets, identifiable intangible assets and assumed liabilities requires the use of judgment in determining the appropriate assumptions and estimates. The Company is in the process of finalizing the valuation of assets acquired, liabilities assumed and non-controlling interests of Hygo, and therefore the purchase price allocation should be considered preliminary. The preliminary purchase price allocation may be subject to further refinement as the evaluation of the underlying inputs and assumptions of third-party valuations and the assessment of acquisition-related income taxes are finalized. The goodwill balance may be adjusted pending the completion of the valuation of the assets acquired, liabilities assumed and non-controlling interests of Hygo as described above. The preliminary estimates may be subject to adjustments during the measurement period, not to exceed one year, based upon new information obtained about facts and circumstances that existed as of the acquisition date. To the extent that significant changes occur in the future, the Company will disclose such changes in the reporting period in which they occur. Preliminary fair values assigned to the assets acquired, liabilities assumed and non-controlling interests of Hygo as of the closing date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4220" w:type="dxa"/>
            <w:vAlign w:val="bottom"/>
          </w:tcPr>
          <w:p>
            <w:pPr>
              <w:spacing w:after="0"/>
              <w:rPr>
                <w:sz w:val="20"/>
                <w:szCs w:val="20"/>
                <w:color w:val="auto"/>
              </w:rPr>
            </w:pPr>
            <w:r>
              <w:rPr>
                <w:rFonts w:ascii="Arial" w:cs="Arial" w:eastAsia="Arial" w:hAnsi="Arial"/>
                <w:sz w:val="18"/>
                <w:szCs w:val="18"/>
                <w:b w:val="1"/>
                <w:bCs w:val="1"/>
                <w:color w:val="auto"/>
              </w:rPr>
              <w:t>Hygo</w:t>
            </w:r>
          </w:p>
        </w:tc>
        <w:tc>
          <w:tcPr>
            <w:tcW w:w="580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5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6020" w:type="dxa"/>
            <w:vAlign w:val="bottom"/>
            <w:gridSpan w:val="2"/>
            <w:shd w:val="clear" w:color="auto" w:fill="CCEEFF"/>
          </w:tcPr>
          <w:p>
            <w:pPr>
              <w:ind w:left="5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26,641</w:t>
            </w: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48,183</w:t>
            </w: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Assets under development</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128,625</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385,389</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Intangible assets, net</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44,702</w:t>
            </w: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method investments</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805,391</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Finance leases, net</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601,000</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assets, net</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ind w:left="400"/>
              <w:spacing w:after="0"/>
              <w:rPr>
                <w:sz w:val="20"/>
                <w:szCs w:val="20"/>
                <w:color w:val="auto"/>
              </w:rPr>
            </w:pPr>
            <w:r>
              <w:rPr>
                <w:rFonts w:ascii="Arial" w:cs="Arial" w:eastAsia="Arial" w:hAnsi="Arial"/>
                <w:sz w:val="18"/>
                <w:szCs w:val="18"/>
                <w:color w:val="auto"/>
              </w:rPr>
              <w:t>Other non-current assets</w:t>
            </w:r>
          </w:p>
        </w:tc>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52,996</w:t>
            </w:r>
          </w:p>
        </w:tc>
      </w:tr>
      <w:tr>
        <w:trPr>
          <w:trHeight w:val="223"/>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5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2,108,235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long-term debt</w:t>
            </w:r>
          </w:p>
        </w:tc>
        <w:tc>
          <w:tcPr>
            <w:tcW w:w="6020" w:type="dxa"/>
            <w:vAlign w:val="bottom"/>
            <w:gridSpan w:val="2"/>
            <w:shd w:val="clear" w:color="auto" w:fill="CCEEFF"/>
          </w:tcPr>
          <w:p>
            <w:pPr>
              <w:ind w:left="5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38,712</w:t>
            </w: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39,149</w:t>
            </w: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Other current liabilities</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13,495</w:t>
            </w:r>
          </w:p>
        </w:tc>
      </w:tr>
      <w:tr>
        <w:trPr>
          <w:trHeight w:val="216"/>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Long-term debt</w:t>
            </w: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455,165</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400"/>
              <w:spacing w:after="0"/>
              <w:rPr>
                <w:sz w:val="20"/>
                <w:szCs w:val="20"/>
                <w:color w:val="auto"/>
              </w:rPr>
            </w:pPr>
            <w:r>
              <w:rPr>
                <w:rFonts w:ascii="Arial" w:cs="Arial" w:eastAsia="Arial" w:hAnsi="Arial"/>
                <w:sz w:val="18"/>
                <w:szCs w:val="18"/>
                <w:color w:val="auto"/>
              </w:rPr>
              <w:t>Deferred tax liabilities, net</w:t>
            </w: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241,177</w:t>
            </w:r>
          </w:p>
        </w:tc>
        <w:tc>
          <w:tcPr>
            <w:tcW w:w="100" w:type="dxa"/>
            <w:vAlign w:val="bottom"/>
          </w:tcPr>
          <w:p>
            <w:pPr>
              <w:spacing w:after="0"/>
              <w:rPr>
                <w:sz w:val="18"/>
                <w:szCs w:val="18"/>
                <w:color w:val="auto"/>
              </w:rPr>
            </w:pPr>
          </w:p>
        </w:tc>
      </w:tr>
      <w:tr>
        <w:trPr>
          <w:trHeight w:val="223"/>
        </w:trPr>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non-current liabilities</w:t>
            </w:r>
          </w:p>
        </w:tc>
        <w:tc>
          <w:tcPr>
            <w:tcW w:w="5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21,520</w:t>
            </w:r>
          </w:p>
        </w:tc>
      </w:tr>
      <w:tr>
        <w:trPr>
          <w:trHeight w:val="216"/>
        </w:trPr>
        <w:tc>
          <w:tcPr>
            <w:tcW w:w="4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5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812,277</w:t>
            </w:r>
          </w:p>
        </w:tc>
        <w:tc>
          <w:tcPr>
            <w:tcW w:w="100" w:type="dxa"/>
            <w:vAlign w:val="bottom"/>
            <w:tcBorders>
              <w:top w:val="single" w:sz="8" w:color="CCEEFF"/>
            </w:tcBorders>
          </w:tcPr>
          <w:p>
            <w:pPr>
              <w:spacing w:after="0"/>
              <w:rPr>
                <w:sz w:val="18"/>
                <w:szCs w:val="18"/>
                <w:color w:val="auto"/>
              </w:rPr>
            </w:pPr>
          </w:p>
        </w:tc>
      </w:tr>
      <w:tr>
        <w:trPr>
          <w:trHeight w:val="22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5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62,111</w:t>
            </w:r>
          </w:p>
        </w:tc>
      </w:tr>
      <w:tr>
        <w:trPr>
          <w:trHeight w:val="223"/>
        </w:trPr>
        <w:tc>
          <w:tcPr>
            <w:tcW w:w="42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Net assets acquired:</w:t>
            </w:r>
          </w:p>
        </w:tc>
        <w:tc>
          <w:tcPr>
            <w:tcW w:w="58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1,233,847</w:t>
            </w:r>
          </w:p>
        </w:tc>
        <w:tc>
          <w:tcPr>
            <w:tcW w:w="100" w:type="dxa"/>
            <w:vAlign w:val="bottom"/>
            <w:tcBorders>
              <w:top w:val="single" w:sz="8" w:color="CCEEFF"/>
            </w:tcBorders>
          </w:tcPr>
          <w:p>
            <w:pPr>
              <w:spacing w:after="0"/>
              <w:rPr>
                <w:sz w:val="19"/>
                <w:szCs w:val="19"/>
                <w:color w:val="auto"/>
              </w:rPr>
            </w:pPr>
          </w:p>
        </w:tc>
      </w:tr>
      <w:tr>
        <w:trPr>
          <w:trHeight w:val="223"/>
        </w:trPr>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5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96"/>
        </w:trPr>
        <w:tc>
          <w:tcPr>
            <w:tcW w:w="4220" w:type="dxa"/>
            <w:vAlign w:val="bottom"/>
          </w:tcPr>
          <w:p>
            <w:pPr>
              <w:spacing w:after="0"/>
              <w:rPr>
                <w:sz w:val="24"/>
                <w:szCs w:val="24"/>
                <w:color w:val="auto"/>
              </w:rPr>
            </w:pPr>
          </w:p>
        </w:tc>
        <w:tc>
          <w:tcPr>
            <w:tcW w:w="5800" w:type="dxa"/>
            <w:vAlign w:val="bottom"/>
          </w:tcPr>
          <w:p>
            <w:pPr>
              <w:jc w:val="right"/>
              <w:ind w:right="4236"/>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20" w:type="dxa"/>
            <w:vAlign w:val="bottom"/>
            <w:tcBorders>
              <w:bottom w:val="single" w:sz="8" w:color="auto"/>
            </w:tcBorders>
          </w:tcPr>
          <w:p>
            <w:pPr>
              <w:spacing w:after="0"/>
              <w:rPr>
                <w:sz w:val="4"/>
                <w:szCs w:val="4"/>
                <w:color w:val="auto"/>
              </w:rPr>
            </w:pPr>
          </w:p>
        </w:tc>
        <w:tc>
          <w:tcPr>
            <w:tcW w:w="5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of Hygo’s non-controlling interest (“NCI”) as of April 15, 2021 was $62,111, including the fair value of the net assets of VIEs that Hygo has consolidated. These VIEs are special purpose vehicles (“SPV”) for the sale and leaseback of certain vessels, and Hygo has no equity investment in these entities. The fair value of NCI was determined based on the valuation of the SPV’s external debt and the loan receivable asset associated with the sales leaseback transaction with Hygo’s subsidiary, using a discounted cash flow method.</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of receivables acquired from Hygo is $8,009, which approximates the gross contractual amount; no material amounts are expected to be uncollectible.</w:t>
      </w:r>
    </w:p>
    <w:p>
      <w:pPr>
        <w:spacing w:after="0" w:line="19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Goodwill is calculated as the excess of the purchase price over the net assets acquired. Goodwill represents access to additional LNG and natural gas distribution systems and power markets, including a local workforce that will allow the Company to rapidly develop and deploy LNG to power solutions.</w:t>
      </w:r>
    </w:p>
    <w:p>
      <w:pPr>
        <w:spacing w:after="0" w:line="15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Company’s results of operations for the first three and six months of 2021 include Hygo’s result of operations from the date of acquisition, April 15, 2021, through June 30, 2021. Revenue and net income (loss) attributable to Hygo during this period was $17,812 and $36,977,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GMLP Merger</w:t>
      </w:r>
    </w:p>
    <w:p>
      <w:pPr>
        <w:spacing w:after="0" w:line="252"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Also on April 15, 2021, the Company completed the acquisition of all of the outstanding common units, representing all voting interests, of GMLP in exchange for $3.55 in cash per common unit and for each of the outstanding membership interest of GMLP’s general partner. In conjunction with the closing of the GMLP Merger, NFE simultaneously extinguished a portion of GMLP’s debt for total consideration of $1.15 billion.</w:t>
      </w:r>
    </w:p>
    <w:p>
      <w:pPr>
        <w:spacing w:after="0" w:line="1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With the acquisition of GMLP, the Company gains vessels to support the existing terminals and business development pipeline, as well as an interest in a floating natural gas facility (“FLNG”), which is expected to provide consistent cash flow streams under a long-term tolling arrangement. The interest in the FLNG facility also provides the Company access to intellectual property that will be used to develop future FLNG solutions.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consideration paid by the Company in the GMLP Merger was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GMLP Common Units ($3.55 per unit x 69,301,636 units)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246,021</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GMLP General Partner Interest ($3.55 per unit x 1,436,391 units)</w:t>
            </w:r>
          </w:p>
        </w:tc>
        <w:tc>
          <w:tcPr>
            <w:tcW w:w="3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5,099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Partnership Phantom Units ($3.55 per unit x 58,960 units)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Consideration</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251,329</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GMLP debt repaid in acquisition</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899,792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Cash Consideration</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1,151,121</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 of preexisting relationship</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(3,978)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Consideration</w:t>
            </w: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1,147,143</w:t>
            </w:r>
          </w:p>
        </w:tc>
        <w:tc>
          <w:tcPr>
            <w:tcW w:w="100" w:type="dxa"/>
            <w:vAlign w:val="bottom"/>
            <w:tcBorders>
              <w:top w:val="single" w:sz="8" w:color="CCEEFF"/>
            </w:tcBorders>
          </w:tcPr>
          <w:p>
            <w:pPr>
              <w:spacing w:after="0"/>
              <w:rPr>
                <w:sz w:val="19"/>
                <w:szCs w:val="19"/>
                <w:color w:val="auto"/>
              </w:rPr>
            </w:pPr>
          </w:p>
        </w:tc>
      </w:tr>
    </w:tbl>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has determined it is the accounting acquirer of GMLP, which will be accounted for under the acquisition method of accounting for business combinations. The total purchase price of the transaction has been allocated to identifiable assets acquired, liabilities assumed and non-controlling interests of GMLP based on their respective estimated fair values as of the closing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process of estimating the fair values of certain tangible assets, identifiable intangible assets and assumed liabilities requires the use of judgment in determining the appropriate assumptions and estimates. The Company is in the process of finalizing the valuation of assets acquired, liabilities assumed and non-controlling interests of GMLP, and therefore the purchase price allocation should be considered preliminary. The preliminary purchase price allocation may be subject to further refinement as the evaluation of the underlying inputs and assumptions of third-party valuations and the assessment of acquisition-related income taxes are finalized. The goodwill balance may be adjusted pending the completion of the valuation of the assets acquired, liabilities assumed and non-controlling interests of GMLP as described above. The preliminary estimates may be subject to adjustments during the measurement period, not to exceed one year, based upon new information obtained about facts and circumstances that existed as of the acquisition date. To the extent that significant changes occur in the future, the Company will disclose such changes in the reporting period in which they occur. Preliminary fair values assigned to the assets acquired, liabilities assumed and non-controlling interests of GMLP as of the closing date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GMLP</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41,461</w:t>
            </w: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24,816</w:t>
            </w: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356,000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r>
      <w:tr>
        <w:trPr>
          <w:trHeight w:val="223"/>
        </w:trPr>
        <w:tc>
          <w:tcPr>
            <w:tcW w:w="10020" w:type="dxa"/>
            <w:vAlign w:val="bottom"/>
          </w:tcPr>
          <w:p>
            <w:pPr>
              <w:ind w:left="40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1,618,990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185,681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17,226</w:t>
            </w: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73,774</w:t>
            </w: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16,008</w:t>
            </w:r>
          </w:p>
        </w:tc>
      </w:tr>
      <w:tr>
        <w:trPr>
          <w:trHeight w:val="223"/>
        </w:trPr>
        <w:tc>
          <w:tcPr>
            <w:tcW w:w="10020" w:type="dxa"/>
            <w:vAlign w:val="bottom"/>
          </w:tcPr>
          <w:p>
            <w:pPr>
              <w:ind w:left="40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306,338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167,174</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assets to be acquired:</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40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fair value of GMLP’s NCI as of April 15, 2021 was $167,174, which represents the fair value of other investors’ interest in the </w:t>
      </w:r>
      <w:r>
        <w:rPr>
          <w:rFonts w:ascii="Arial" w:cs="Arial" w:eastAsia="Arial" w:hAnsi="Arial"/>
          <w:sz w:val="18"/>
          <w:szCs w:val="18"/>
          <w:i w:val="1"/>
          <w:iCs w:val="1"/>
          <w:color w:val="auto"/>
        </w:rPr>
        <w:t>Mazo</w:t>
      </w:r>
      <w:r>
        <w:rPr>
          <w:rFonts w:ascii="Arial" w:cs="Arial" w:eastAsia="Arial" w:hAnsi="Arial"/>
          <w:sz w:val="18"/>
          <w:szCs w:val="18"/>
          <w:color w:val="auto"/>
        </w:rPr>
        <w:t xml:space="preserve">, GMLP’s preferred units which were not acquired by the Company and the fair value of net assets of an SPV formed for the purpose of a sale and leaseback of the </w:t>
      </w:r>
      <w:r>
        <w:rPr>
          <w:rFonts w:ascii="Arial" w:cs="Arial" w:eastAsia="Arial" w:hAnsi="Arial"/>
          <w:sz w:val="18"/>
          <w:szCs w:val="18"/>
          <w:i w:val="1"/>
          <w:iCs w:val="1"/>
          <w:color w:val="auto"/>
        </w:rPr>
        <w:t>Eskimo</w:t>
      </w:r>
      <w:r>
        <w:rPr>
          <w:rFonts w:ascii="Arial" w:cs="Arial" w:eastAsia="Arial" w:hAnsi="Arial"/>
          <w:sz w:val="18"/>
          <w:szCs w:val="18"/>
          <w:color w:val="auto"/>
        </w:rPr>
        <w:t>. The fair value of GMLP’s preferred units and the valuation of the SPV’s external debt and the loan receivable asset associated with the sale</w:t>
      </w:r>
      <w:r>
        <w:rPr>
          <w:rFonts w:ascii="Arial" w:cs="Arial" w:eastAsia="Arial" w:hAnsi="Arial"/>
          <w:sz w:val="18"/>
          <w:szCs w:val="18"/>
          <w:i w:val="1"/>
          <w:iCs w:val="1"/>
          <w:color w:val="auto"/>
        </w:rPr>
        <w:t xml:space="preserve"> </w:t>
      </w:r>
      <w:r>
        <w:rPr>
          <w:rFonts w:ascii="Arial" w:cs="Arial" w:eastAsia="Arial" w:hAnsi="Arial"/>
          <w:sz w:val="18"/>
          <w:szCs w:val="18"/>
          <w:color w:val="auto"/>
        </w:rPr>
        <w:t>leaseback transaction have been estimated using a discounted cash flow method.</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receivables acquired from GMLP is $4,797, which approximates the gross contractual amount; no material amounts are expected to be uncollectible.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acquired favorable and unfavorable leases for the use of GMLP’s vessels. The fair value of the favorable contracts is $120,000 and the fair value of the unfavorable contracts is $13,400. The total weighted average amortization period is approximately three years with the favorable contract weighted average amortization period of approximately three years and the unfavorable contract weighted average amortization period of approximately one year.</w:t>
      </w:r>
    </w:p>
    <w:p>
      <w:pPr>
        <w:spacing w:after="0" w:line="21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and GMLP had an existing lease agreement prior to the GMLP Merger. As a result of the acquisition, the lease agreement and any associated receivable and payable balances are effectively settled. The lease agreement also included provisions that required a subsidiary of NFE to indemnify GMLP to the extent that GMLP incurred certain tax liabilities as a result of the lease. A loss of $3,978 related to settlement of this indemnification provision has been recognized in Transaction and integration costs in the condensed consolidated statements of operations and comprehensive loss.</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Company’s results of operations for the first three and six months of 2021 include GMLP’s result of operations from the date of acquisition, April 15, 2021, through June 30, 2021. Revenue and net income (loss) attributable to GMLP during this period was $56,802 and $39,267, respectively.</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Acquisition costs associated with the Mergers of $21,909 and $33,472 for the three and six months ended June 30, 2021 were included in Transaction and integration costs in the Company's condensed consolidated statements of operations and comprehensive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unaudited pro forma condensed financial information of the Company as if the Mergers had occurred on January 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20"/>
                <w:szCs w:val="20"/>
                <w:color w:val="auto"/>
              </w:rPr>
            </w:pPr>
          </w:p>
        </w:tc>
        <w:tc>
          <w:tcPr>
            <w:tcW w:w="22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980" w:type="dxa"/>
            <w:vAlign w:val="bottom"/>
          </w:tcPr>
          <w:p>
            <w:pPr>
              <w:spacing w:after="0"/>
              <w:rPr>
                <w:sz w:val="19"/>
                <w:szCs w:val="19"/>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0"/>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0"/>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239,554</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188,149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474,990</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342,274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4,438</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(150,337)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(48,746)</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(297,267)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(125,983)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(226,343)</w:t>
            </w:r>
          </w:p>
        </w:tc>
      </w:tr>
    </w:tbl>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customer contracts for vessel charters, additional interest expense as a result of incurring new debt and extinguishing historical debt, elimination of a pre-existing lease relationship between the Company and GMLP, and a step-up of the equity method investments and a favorable power purchase agreement contract.</w:t>
      </w:r>
    </w:p>
    <w:p>
      <w:pPr>
        <w:spacing w:after="0" w:line="20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Adjustments for non-recurring items increased pro forma net income by $25,887 and $37,450 for the three and six months ended June 30, 2021, respectively and decreased pro forma net income by $0 and $37,450 for the three months and six months ended June 30, 2020, respectively.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12, 2021, the Company acquired 100% of the outstanding share quota of CH4 Energia Ltda. ("CH4"), an entity that owns key permits and authorizations to develop an LNG terminal and an up to 1.37 GW gas-fired power plant at the Port of Suape in Brazil. The purchase consideration consisted of $903 of cash paid at closing in addition to potential future payments contingent on achieving certain construction milestones of up to approximately $3,600. As the contingent payments meet the definition of a derivative, the fair value of the contingent payments of $3,047 is included as part of the purchase consideration and is recognized in Other non-current liabilities on the condensed consolidated balance sheets. The selling shareholders of CH4 may also receive future payments based on gas consumed by the power plant or sold to customers from the LNG terminal. For the three and six months ended June 30, 2021, the Company recognized loss from the change in fair value of the derivative liability of $53, which is presented in Other (income) expense, net in the condensed consolidated statements of operations and comprehensive loss.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purchase of CH4 has been accounted for as an asset acquisition. As a result, no goodwill was recorded, and the Company’s acquisition-related costs of $295 were included in the purchase consideration. The total purchase consideration of $5,776, which includes a deferred tax liability of $1,531 recognized as a result from the acquisition, was allocated to permits and authorizations acquired and was recorded within Intangible assets, net. In addition, the Company recognized a deferred tax liability of $1,531 that resulted from the acquisition.</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 The Company is seeking to obtain the necessary approvals to transfer the power purchase agreements in connection with the construction the gas-fired power plant and LNG import terminal at the Port of Suape.</w:t>
      </w:r>
    </w:p>
    <w:p>
      <w:pPr>
        <w:spacing w:after="0" w:line="18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purchase consideration consisted of $8,041 of cash paid at closing in addition to potential future payments contingent on achieving commercial operations of the gas-fired power plant at the Port of Suape of up to approximately $10.5 million. As the contingent payments meet the definition of a derivative and the fair value of the contingent payments of $7,473 was included as part of the purchase consideration and is recognized in Other non-current liabilities on the condensed consolidated balance sheets. The selling shareholders may also receive future payments based on power generated by the power plant in Suape, subject to a maximum payment of approximately $4.6 million. For the three and six months ended June 30, 2021, the Company recognized a loss from the change in fair value of the derivative liability of $416, which is presented in Other (income) expense, net in the condensed consolidated statements of operations and comprehensive loss.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purchases of Pecém and Muricy were accounted for as asset acquisitions. As a result, no goodwill was recorded, and the Company’s acquisition-related costs of $1,275 were included in the purchase consideration. Of the total purchase consideration, $16,585 was allocated to acquired power purchase agreements and recorded in Intangible assets, net on the condensed consolidated balance sheets; the remaining purchase consideration was related to working capital acquired.</w:t>
      </w:r>
    </w:p>
    <w:p>
      <w:pPr>
        <w:spacing w:after="0" w:line="21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essor VIEs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assumed sale leaseback arrangements for four vessels as part of the Mergers. The counterparty to each of these sale leaseback arrangements is a VIE, and these lessor VIEs are SPVs wholly owned by financial institutions.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Merchants Bank Lending (“CMBL”)</w:t>
      </w:r>
    </w:p>
    <w:p>
      <w:pPr>
        <w:spacing w:after="0" w:line="25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In November 2015, the </w:t>
      </w:r>
      <w:r>
        <w:rPr>
          <w:rFonts w:ascii="Arial" w:cs="Arial" w:eastAsia="Arial" w:hAnsi="Arial"/>
          <w:sz w:val="16"/>
          <w:szCs w:val="16"/>
          <w:i w:val="1"/>
          <w:iCs w:val="1"/>
          <w:color w:val="auto"/>
        </w:rPr>
        <w:t>Eskimo</w:t>
      </w:r>
      <w:r>
        <w:rPr>
          <w:rFonts w:ascii="Arial" w:cs="Arial" w:eastAsia="Arial" w:hAnsi="Arial"/>
          <w:sz w:val="16"/>
          <w:szCs w:val="16"/>
          <w:color w:val="auto"/>
        </w:rPr>
        <w:t xml:space="preserve"> was sold to a subsidiary of CMBL, Sea 23 Leasing Co. Limited, and subsequently leased back under a bareboat charter for a term of ten years. The Company has options to repurchase the vessel throughout the charter term at fixed pre-determined amounts, commencing from the third anniversary of the commencement of the bareboat charter, with an obligation to repurchase the vessel at the end of the ten-year lease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CCB Financial Leasing Corporation Limited (“CCBFL”)</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2018,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was sold to a subsidiary of CCBFL, Compass Shipping 23 Corporation Limited, and subsequently leased back on a bareboat charter for a term of twelve years. The Company has options to repurchase the vessel throughout the charter term at fixed pre-determined amounts, commencing from the third anniversary of the commencement of the bareboat charter, with an obligation to repurchase the vessel at the end of the twelve-year lease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Oriental Shipping Company (“COSCO”)</w:t>
      </w:r>
    </w:p>
    <w:p>
      <w:pPr>
        <w:spacing w:after="0" w:line="25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In December 2019, the </w:t>
      </w:r>
      <w:r>
        <w:rPr>
          <w:rFonts w:ascii="Arial" w:cs="Arial" w:eastAsia="Arial" w:hAnsi="Arial"/>
          <w:sz w:val="16"/>
          <w:szCs w:val="16"/>
          <w:i w:val="1"/>
          <w:iCs w:val="1"/>
          <w:color w:val="auto"/>
        </w:rPr>
        <w:t>Penguin</w:t>
      </w:r>
      <w:r>
        <w:rPr>
          <w:rFonts w:ascii="Arial" w:cs="Arial" w:eastAsia="Arial" w:hAnsi="Arial"/>
          <w:sz w:val="16"/>
          <w:szCs w:val="16"/>
          <w:color w:val="auto"/>
        </w:rPr>
        <w:t xml:space="preserve"> was sold to a subsidiary of COSCO, Oriental Fleet LNG 02 Limited, and subsequently leased back on a bareboat charter for a term of six years. The Company has options to repurchase the vessel throughout the charter term at fixed pre-determined amounts, commencing from the first anniversary of the commencement of the bareboat charter, with an obligation to repurchase the vessel at the end of the six-year lease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AVIC International Leasing Company Limited (“AVIC”)</w:t>
      </w:r>
    </w:p>
    <w:p>
      <w:pPr>
        <w:spacing w:after="0" w:line="25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In March 2020, the </w:t>
      </w:r>
      <w:r>
        <w:rPr>
          <w:rFonts w:ascii="Arial" w:cs="Arial" w:eastAsia="Arial" w:hAnsi="Arial"/>
          <w:sz w:val="16"/>
          <w:szCs w:val="16"/>
          <w:i w:val="1"/>
          <w:iCs w:val="1"/>
          <w:color w:val="auto"/>
        </w:rPr>
        <w:t>Celsius</w:t>
      </w:r>
      <w:r>
        <w:rPr>
          <w:rFonts w:ascii="Arial" w:cs="Arial" w:eastAsia="Arial" w:hAnsi="Arial"/>
          <w:sz w:val="16"/>
          <w:szCs w:val="16"/>
          <w:color w:val="auto"/>
        </w:rPr>
        <w:t xml:space="preserve"> was sold to a subsidiary of AVIC, Noble Celsius Shipping Limited, and subsequently leased back on a bareboat charter for a term of seven years. The Company has options to repurchase the vessel throughout the charter term at fixed predetermined amounts, commencing from the first anniversary of the commencement of the bareboat charter, with an obligation to repurchase the vessel at the end of the seven-year lease period.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While the Company does not hold an equity investment in the above SPVs, the Company has a variable interest in these SPVs. The Company is the primary beneficiary of these VIEs and, accordingly, these VIEs are consolidated into the Company’s financial results for the period after the Mergers. The effect of the bareboat charter arrangements is eliminated upon consolidation of the SPVs. The equity attributable to CMBL, CCBFL, COSCO and AVIC in their respective VIEs are included in non-controlling interests in the condensed consolidated financial statements. As of June 30, 2021, the </w:t>
      </w:r>
      <w:r>
        <w:rPr>
          <w:rFonts w:ascii="Arial" w:cs="Arial" w:eastAsia="Arial" w:hAnsi="Arial"/>
          <w:sz w:val="17"/>
          <w:szCs w:val="17"/>
          <w:i w:val="1"/>
          <w:iCs w:val="1"/>
          <w:color w:val="auto"/>
        </w:rPr>
        <w:t>Eskimo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Penguin </w:t>
      </w:r>
      <w:r>
        <w:rPr>
          <w:rFonts w:ascii="Arial" w:cs="Arial" w:eastAsia="Arial" w:hAnsi="Arial"/>
          <w:sz w:val="17"/>
          <w:szCs w:val="17"/>
          <w:color w:val="auto"/>
        </w:rPr>
        <w:t>and</w:t>
      </w:r>
      <w:r>
        <w:rPr>
          <w:rFonts w:ascii="Arial" w:cs="Arial" w:eastAsia="Arial" w:hAnsi="Arial"/>
          <w:sz w:val="17"/>
          <w:szCs w:val="17"/>
          <w:i w:val="1"/>
          <w:iCs w:val="1"/>
          <w:color w:val="auto"/>
        </w:rPr>
        <w:t xml:space="preserve"> Celsius </w:t>
      </w:r>
      <w:r>
        <w:rPr>
          <w:rFonts w:ascii="Arial" w:cs="Arial" w:eastAsia="Arial" w:hAnsi="Arial"/>
          <w:sz w:val="17"/>
          <w:szCs w:val="17"/>
          <w:color w:val="auto"/>
        </w:rPr>
        <w:t>are recorded as Property, plant and equipment, net on the condensed consolidated balance sheet. As of June 30, 2021, the</w:t>
      </w:r>
      <w:r>
        <w:rPr>
          <w:rFonts w:ascii="Arial" w:cs="Arial" w:eastAsia="Arial" w:hAnsi="Arial"/>
          <w:sz w:val="17"/>
          <w:szCs w:val="17"/>
          <w:i w:val="1"/>
          <w:iCs w:val="1"/>
          <w:color w:val="auto"/>
        </w:rPr>
        <w:t xml:space="preserve"> Nanook </w:t>
      </w:r>
      <w:r>
        <w:rPr>
          <w:rFonts w:ascii="Arial" w:cs="Arial" w:eastAsia="Arial" w:hAnsi="Arial"/>
          <w:sz w:val="17"/>
          <w:szCs w:val="17"/>
          <w:color w:val="auto"/>
        </w:rPr>
        <w:t>was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Finance leases, net on the condensed consolidated balance sheet.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gives a summary of the sale and leaseback arrangements, including repurchase options and obligations as of June 30, 2021: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Repurchase</w:t>
            </w:r>
          </w:p>
        </w:tc>
      </w:tr>
      <w:tr>
        <w:trPr>
          <w:trHeight w:val="216"/>
        </w:trPr>
        <w:tc>
          <w:tcPr>
            <w:tcW w:w="1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Repurchase price</w:t>
            </w:r>
          </w:p>
        </w:tc>
        <w:tc>
          <w:tcPr>
            <w:tcW w:w="14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obligation</w:t>
            </w:r>
          </w:p>
        </w:tc>
      </w:tr>
      <w:tr>
        <w:trPr>
          <w:trHeight w:val="216"/>
        </w:trPr>
        <w:tc>
          <w:tcPr>
            <w:tcW w:w="1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9"/>
              </w:rPr>
              <w:t>Date of next</w:t>
            </w:r>
          </w:p>
        </w:tc>
        <w:tc>
          <w:tcPr>
            <w:tcW w:w="20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at next repurchase</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at end of lease</w:t>
            </w:r>
          </w:p>
        </w:tc>
      </w:tr>
      <w:tr>
        <w:trPr>
          <w:trHeight w:val="241"/>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Vessel</w:t>
            </w:r>
          </w:p>
        </w:tc>
        <w:tc>
          <w:tcPr>
            <w:tcW w:w="1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End of lease term</w:t>
            </w:r>
          </w:p>
        </w:tc>
        <w:tc>
          <w:tcPr>
            <w:tcW w:w="218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b w:val="1"/>
                <w:bCs w:val="1"/>
                <w:color w:val="auto"/>
                <w:w w:val="89"/>
              </w:rPr>
              <w:t>repurchase option</w:t>
            </w:r>
          </w:p>
        </w:tc>
        <w:tc>
          <w:tcPr>
            <w:tcW w:w="142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88"/>
              </w:rPr>
              <w:t>option date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term</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Eskimo</w:t>
            </w:r>
          </w:p>
        </w:tc>
        <w:tc>
          <w:tcPr>
            <w:tcW w:w="1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November 2025</w:t>
            </w:r>
          </w:p>
        </w:tc>
        <w:tc>
          <w:tcPr>
            <w:tcW w:w="15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November 2021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$128,250</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Nanook</w:t>
            </w: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September 2030</w:t>
            </w:r>
          </w:p>
        </w:tc>
        <w:tc>
          <w:tcPr>
            <w:tcW w:w="156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September 2021</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205,133</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94,179</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Penguin</w:t>
            </w:r>
          </w:p>
        </w:tc>
        <w:tc>
          <w:tcPr>
            <w:tcW w:w="1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2025</w:t>
            </w:r>
          </w:p>
        </w:tc>
        <w:tc>
          <w:tcPr>
            <w:tcW w:w="15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December 2021</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Celsius</w:t>
            </w:r>
          </w:p>
        </w:tc>
        <w:tc>
          <w:tcPr>
            <w:tcW w:w="1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2027</w:t>
            </w:r>
          </w:p>
        </w:tc>
        <w:tc>
          <w:tcPr>
            <w:tcW w:w="15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March 2022</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98,290</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445"/>
        </w:trPr>
        <w:tc>
          <w:tcPr>
            <w:tcW w:w="8960" w:type="dxa"/>
            <w:vAlign w:val="bottom"/>
            <w:gridSpan w:val="9"/>
          </w:tcPr>
          <w:p>
            <w:pPr>
              <w:spacing w:after="0"/>
              <w:rPr>
                <w:sz w:val="20"/>
                <w:szCs w:val="20"/>
                <w:color w:val="auto"/>
              </w:rPr>
            </w:pPr>
            <w:r>
              <w:rPr>
                <w:rFonts w:ascii="Arial" w:cs="Arial" w:eastAsia="Arial" w:hAnsi="Arial"/>
                <w:sz w:val="18"/>
                <w:szCs w:val="18"/>
                <w:color w:val="auto"/>
                <w:w w:val="91"/>
              </w:rPr>
              <w:t>A summary of payment obligations under the bareboat charters with the lessor VIEs as of June 30, 2021, are shown below:</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66"/>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Vessel</w:t>
            </w:r>
          </w:p>
        </w:tc>
        <w:tc>
          <w:tcPr>
            <w:tcW w:w="268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b w:val="1"/>
                <w:bCs w:val="1"/>
                <w:color w:val="auto"/>
                <w:w w:val="96"/>
              </w:rPr>
              <w:t>Remaining 2021</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2023</w:t>
            </w:r>
          </w:p>
        </w:tc>
        <w:tc>
          <w:tcPr>
            <w:tcW w:w="12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2026+</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Eskimo</w:t>
            </w:r>
          </w:p>
        </w:tc>
        <w:tc>
          <w:tcPr>
            <w:tcW w:w="176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Nanook</w:t>
            </w:r>
          </w:p>
        </w:tc>
        <w:tc>
          <w:tcPr>
            <w:tcW w:w="17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10,833</w:t>
            </w:r>
          </w:p>
        </w:tc>
        <w:tc>
          <w:tcPr>
            <w:tcW w:w="280" w:type="dxa"/>
            <w:vAlign w:val="bottom"/>
          </w:tcPr>
          <w:p>
            <w:pPr>
              <w:spacing w:after="0"/>
              <w:rPr>
                <w:sz w:val="18"/>
                <w:szCs w:val="18"/>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21,207</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20,631</w:t>
            </w: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20,078</w:t>
            </w:r>
          </w:p>
        </w:tc>
        <w:tc>
          <w:tcPr>
            <w:tcW w:w="40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19,478</w:t>
            </w: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84,673</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Penguin</w:t>
            </w:r>
          </w:p>
        </w:tc>
        <w:tc>
          <w:tcPr>
            <w:tcW w:w="1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5,901</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11,581</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11,247</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7,956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Celsius</w:t>
            </w:r>
          </w:p>
        </w:tc>
        <w:tc>
          <w:tcPr>
            <w:tcW w:w="17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7,930</w:t>
            </w:r>
          </w:p>
        </w:tc>
        <w:tc>
          <w:tcPr>
            <w:tcW w:w="28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15,444</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14,908</w:t>
            </w:r>
          </w:p>
        </w:tc>
        <w:tc>
          <w:tcPr>
            <w:tcW w:w="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14,383</w:t>
            </w:r>
          </w:p>
        </w:tc>
        <w:tc>
          <w:tcPr>
            <w:tcW w:w="40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13,836</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12,699</w:t>
            </w:r>
          </w:p>
        </w:tc>
      </w:tr>
    </w:tbl>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payment obligation table above includes variable rental payments due under the lease based on an assumed LIBOR plus margin but excludes the repurchase obligation at the end of lease term.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of these lessor VIEs that most significantly impact the condensed consolidated balance sheet as of June 30, 2021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Eskimo</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Nanook</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Penguin</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Celsius</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25,131</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 current portion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172,452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Long-term debt - non-current portion</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207,048</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81,914</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118,631</w:t>
            </w:r>
          </w:p>
        </w:tc>
      </w:tr>
    </w:tbl>
    <w:p>
      <w:pPr>
        <w:spacing w:after="0" w:line="21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most significant impact of the lessor VIEs operations on the Company’s condensed consolidated statement of operations is a reduction to interest expense of $6,635 for the period subsequent to the completion of Mergers. Upon assumption of the debt held by VIEs in conjunction with the Mergers, the Company recognized the liabilities assumed at fair value, and the amortization of the premium of $9,707 has been recognized as a reduction to interest expense incurred of $3,072. The most significant impact of the lessor VIEs cash flows on the condensed consolidated statements of cash flows is net cash used in financing activities of $15,823 for the period subsequent to the completion of the Mergers.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acquired an interest of 50% of the common units of Hilli LLC (“Hilli Common Units”) as part of the acquisition of GMLP. Hilli LLC owns Golar Hilli Corporation (“Hilli Corp”), the disponent owner of the Hilli. The Company determined that Hilli LLC is a VIE, and the Company is not the primary beneficiary of Hilli LLC. Thus, Hilli LLC has not been consolidated into the financial statements and has been recognized as an equity method investment.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June 30, 2021 the maximum exposure as a result of the Company’s ownership in the Hilli LLC is the carrying value of the equity method investment of $359,107 and the outstanding portion of the Hilli Leaseback (defined below) which have been guaranteed by the Company.</w:t>
      </w:r>
    </w:p>
    <w:p>
      <w:pPr>
        <w:spacing w:after="0" w:line="169"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Revenue recognition</w:t>
      </w:r>
    </w:p>
    <w:p>
      <w:pPr>
        <w:spacing w:after="0" w:line="25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Operating revenue includes revenue from sales of LNG and natural gas as well as outputs from the Company’s natural gas-fueled power generation facilities, including power and steam. Other revenue includes revenue for development services as well as interest income from the Company’s finance leases and other revenue. The table below summarizes the balances in Other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Development services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r>
      <w:tr>
        <w:trPr>
          <w:trHeight w:val="257"/>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revenue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56,442</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Development services revenue recognized in the three and six months ended June 30, 2021 included $43,771 and $89,390, respectively, for the customer’s use of natural gas as part of commissioning their assets.</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most customer contracts, invoicing occurs once the Company’s performance obligations have been satisfied, at which point payment is unconditional. As of June 30, 2021, and December 31, 2020, receivables related to revenue from contracts with customers totaled $98,201 and $76,431, respectively, and were included in Receivables, net on the condensed consolidated balance sheets, net of current expected credit losses of $90 and $98, respectively. Other items included in Receivables, net not related to revenue from contracts with customers represent leases which are accounted for outside the scope of ASC 606 and receivables associated with reimbursable costs.</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recognized contract liabilities, comprised of unconditional payments due or paid under the contracts with customers prior to the Company’s satisfaction of the related performance obligations. The performance obligations are expected to be satisfied during the next 12 months, and the contract liabilities are classified within Other current liabilities on the condensed consolidated balance sheets. Contract assets are comprised of the transaction price allocated to completed performance obligations that will be billed to customers in subsequent periods. The contract liabilities and contract assets balances as of June 30, 2021 and December 31, 2020 are detailed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1760" w:type="dxa"/>
            <w:vAlign w:val="bottom"/>
            <w:gridSpan w:val="4"/>
          </w:tcPr>
          <w:p>
            <w:pPr>
              <w:ind w:left="2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 - current</w:t>
            </w:r>
          </w:p>
        </w:tc>
        <w:tc>
          <w:tcPr>
            <w:tcW w:w="17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Contract assets, net - non-current</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32,353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23,972</w:t>
            </w:r>
          </w:p>
        </w:tc>
      </w:tr>
      <w:tr>
        <w:trPr>
          <w:trHeight w:val="257"/>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assets, net</w:t>
            </w:r>
          </w:p>
        </w:tc>
        <w:tc>
          <w:tcPr>
            <w:tcW w:w="1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38,707</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6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w:t>
            </w:r>
          </w:p>
        </w:tc>
      </w:tr>
      <w:tr>
        <w:trPr>
          <w:trHeight w:val="216"/>
        </w:trPr>
        <w:tc>
          <w:tcPr>
            <w:tcW w:w="6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in the year from:</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Amounts included in contract liabilities at the beginning of the year</w:t>
            </w:r>
          </w:p>
        </w:tc>
        <w:tc>
          <w:tcPr>
            <w:tcW w:w="2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3,283</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6,542</w:t>
            </w:r>
          </w:p>
        </w:tc>
      </w:tr>
    </w:tbl>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Contract assets are presented net of expected credit losses of $521 and $372 as of June 30, 2021 and December 31, 2020, respectively. As of June 30, 2021, the Company has unbilled receivables, net of current expected credit losses, of $6,640, of which $356 is presented within Other current assets and $6,284 is presented within Other non-current assets on the condensed consolidated balance sheet. These unbilled receivables represent unconditional right to payment subject only to the passage of time.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recognized costs to fulfill a contract with a significant customer, which primarily consist of expenses required to enhance resources to deliver under the agreement with the customer. As of June 30, 2021, the Company has capitalized $11,283, of which $604 of these costs is presented within Other current assets and $10,679 is presented within Other non-current assets on the condensed consolidated balance sheets. As of December 31, 2020, the Company had capitalized $11,276, of which $588 of these costs was presented within Other current assets and $10,688 was presented within Other non-current assets on the condensed consolidated balance sheets. In the first quarter of 2020, the Company began delivery under the agreement and started recognizing these costs on a straight-line basis over the expected term of the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97"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215,722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514,566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515,175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510,664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503,493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8,323,179</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10,582,799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vessel charters of LNG carriers and FSRUs can take the form of operating or finance leases. Property, plant and equipment subject to vessel charters accounted for as operating leases is included within Vessels within Note 14 Property, plant and equipment, net. The following is the carrying amount of property, plant and equipment that is leased to customers under operating leases: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76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1"/>
              </w:rPr>
              <w:t>June 30, 2021  December 31, 2020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1,268,716</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(9,093)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r>
      <w:tr>
        <w:trPr>
          <w:trHeight w:val="256"/>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4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1,259,623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9800" w:type="dxa"/>
            <w:vAlign w:val="bottom"/>
            <w:gridSpan w:val="5"/>
          </w:tcPr>
          <w:p>
            <w:pPr>
              <w:spacing w:after="0"/>
              <w:rPr>
                <w:sz w:val="20"/>
                <w:szCs w:val="20"/>
                <w:color w:val="auto"/>
              </w:rPr>
            </w:pPr>
            <w:r>
              <w:rPr>
                <w:rFonts w:ascii="Arial" w:cs="Arial" w:eastAsia="Arial" w:hAnsi="Arial"/>
                <w:sz w:val="18"/>
                <w:szCs w:val="18"/>
                <w:color w:val="auto"/>
                <w:w w:val="94"/>
              </w:rPr>
              <w:t>The components of lease income from vessel operating leases for the three and six months ended June 30, 2021 were as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0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June 30, 2021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income</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62,026</w:t>
            </w: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Variable lease income</w:t>
            </w:r>
          </w:p>
        </w:tc>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r>
      <w:tr>
        <w:trPr>
          <w:trHeight w:val="256"/>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lease income</w:t>
            </w:r>
          </w:p>
        </w:tc>
        <w:tc>
          <w:tcPr>
            <w:tcW w:w="4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080" w:type="dxa"/>
            <w:vAlign w:val="bottom"/>
          </w:tcPr>
          <w:p>
            <w:pPr>
              <w:spacing w:after="0"/>
              <w:rPr>
                <w:sz w:val="24"/>
                <w:szCs w:val="24"/>
                <w:color w:val="auto"/>
              </w:rPr>
            </w:pPr>
          </w:p>
        </w:tc>
        <w:tc>
          <w:tcPr>
            <w:tcW w:w="4400" w:type="dxa"/>
            <w:vAlign w:val="bottom"/>
          </w:tcPr>
          <w:p>
            <w:pPr>
              <w:jc w:val="right"/>
              <w:ind w:right="2708"/>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Company’s charter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to CELSE and certain equipment leases provided in connection with the supply of natural gas or LNG are accounted for as finance leases.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recognized interest income of $9,681 for the three months and six months ended June 30, 2021 related to the finance lease of the </w:t>
      </w:r>
      <w:r>
        <w:rPr>
          <w:rFonts w:ascii="Arial" w:cs="Arial" w:eastAsia="Arial" w:hAnsi="Arial"/>
          <w:sz w:val="16"/>
          <w:szCs w:val="16"/>
          <w:i w:val="1"/>
          <w:iCs w:val="1"/>
          <w:color w:val="auto"/>
        </w:rPr>
        <w:t>Nanook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Other revenue in the condensed consolidated statements of operations and comprehensive loss. The Company recognized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$1,165 for the three months and six months ended June 30, 2021 related to the operation and services agreement within Vessel charter revenue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operations and comprehensive loss. As of June 30, 2021, there were outstanding balances due from CELSE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$7,965, of which $5,822 is recognized in Receivables, net and a loan to CELSE of $2,143 is recognized in Prepaid expenses and other current assets, net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balance sheets. CELSE is an affiliate due to the equity method investment held in CELSE’s parent, CELSEPAR, and as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and balances are related party in nature.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expected future lease payments as of June 30, 2021, for the remainder of 2021 through 2025 and thereafter: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w w:val="86"/>
              </w:rPr>
              <w:t>Future cash receipts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9"/>
              </w:rPr>
              <w:t>Financing leases</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86"/>
              </w:rPr>
              <w:t>Operating leases</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24,956</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143,806</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49,951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245,023</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144,016</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51,442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103,461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25,961</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1,102,841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minimum lease receivable</w:t>
            </w:r>
          </w:p>
        </w:tc>
        <w:tc>
          <w:tcPr>
            <w:tcW w:w="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1,331,682</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662,267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Unguaranteed residual value</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107,000</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investment in sales-type lease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1,438,682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Less: Unearned interest income</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827,687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expected credit losses</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investment in leased vessel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609,445</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Current portion of net investment in leased asset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net investment in leased asset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606,108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3"/>
          <w:szCs w:val="13"/>
          <w:b w:val="1"/>
          <w:bCs w:val="1"/>
          <w:color w:val="auto"/>
        </w:rPr>
        <w:t>Leases, as lessee</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December 31, 2020, right-of-use assets, current lease liabilities and non-current lease liabilities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2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8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130,534</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141,347</w:t>
            </w:r>
          </w:p>
        </w:tc>
      </w:tr>
      <w:tr>
        <w:trPr>
          <w:trHeight w:val="263"/>
        </w:trPr>
        <w:tc>
          <w:tcPr>
            <w:tcW w:w="8360" w:type="dxa"/>
            <w:vAlign w:val="bottom"/>
          </w:tcPr>
          <w:p>
            <w:pPr>
              <w:spacing w:after="0" w:line="256" w:lineRule="exact"/>
              <w:rPr>
                <w:sz w:val="20"/>
                <w:szCs w:val="20"/>
                <w:color w:val="auto"/>
              </w:rPr>
            </w:pPr>
            <w:r>
              <w:rPr>
                <w:rFonts w:ascii="Arial" w:cs="Arial" w:eastAsia="Arial" w:hAnsi="Arial"/>
                <w:sz w:val="18"/>
                <w:szCs w:val="18"/>
                <w:color w:val="auto"/>
              </w:rPr>
              <w:t xml:space="preserve">Finance right-of-use assets </w:t>
            </w:r>
            <w:r>
              <w:rPr>
                <w:rFonts w:ascii="Arial" w:cs="Arial" w:eastAsia="Arial" w:hAnsi="Arial"/>
                <w:sz w:val="29"/>
                <w:szCs w:val="29"/>
                <w:color w:val="auto"/>
                <w:vertAlign w:val="superscript"/>
              </w:rPr>
              <w:t>(1)</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right-of-use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139,136</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28,811</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260"/>
              <w:spacing w:after="0"/>
              <w:rPr>
                <w:sz w:val="20"/>
                <w:szCs w:val="20"/>
                <w:color w:val="auto"/>
              </w:rPr>
            </w:pPr>
            <w:r>
              <w:rPr>
                <w:rFonts w:ascii="Arial" w:cs="Arial" w:eastAsia="Arial" w:hAnsi="Arial"/>
                <w:sz w:val="18"/>
                <w:szCs w:val="18"/>
                <w:color w:val="auto"/>
              </w:rPr>
              <w:t>Total current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30,077</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r>
      <w:tr>
        <w:trPr>
          <w:trHeight w:val="20"/>
        </w:trPr>
        <w:tc>
          <w:tcPr>
            <w:tcW w:w="8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84,000</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84,323</w:t>
            </w: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260"/>
              <w:spacing w:after="0"/>
              <w:rPr>
                <w:sz w:val="20"/>
                <w:szCs w:val="20"/>
                <w:color w:val="auto"/>
              </w:rPr>
            </w:pPr>
            <w:r>
              <w:rPr>
                <w:rFonts w:ascii="Arial" w:cs="Arial" w:eastAsia="Arial" w:hAnsi="Arial"/>
                <w:sz w:val="18"/>
                <w:szCs w:val="18"/>
                <w:color w:val="auto"/>
              </w:rPr>
              <w:t>Total non-current lease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89,673</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84,323</w:t>
            </w:r>
          </w:p>
        </w:tc>
      </w:tr>
      <w:tr>
        <w:trPr>
          <w:trHeight w:val="21"/>
        </w:trPr>
        <w:tc>
          <w:tcPr>
            <w:tcW w:w="8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Finance lease right-of-use assets are recorded net of accumulated amortization of $61 as of June 30, 2021.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three and six months ended June 30, 2021 and 2020, the Company’s operating lease cost recorded within the condensed consolidated statements of operations and comprehensive loss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Fixed lease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Variable lease cost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cost - Cost of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Lease cost - Operations and maintenance</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cost - Selling, general and administrative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r>
    </w:tbl>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and six months ended June 30, 2021, the Company has capitalized $2,313 and $3,512 of lease costs, respectively, for vessels and port space used during the commissioning of development projects in addition to short-term lease costs for vessels chartered by the Company to bring inventory from a supplier’s facilities to the Company’s storage locations which are capitalized to inventory.</w:t>
      </w:r>
    </w:p>
    <w:p>
      <w:pPr>
        <w:spacing w:after="0" w:line="21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Beginning in the second quarter of 2021, leases for ISO tanks and a parcel of land that transfer the ownership in underlying assets to the Company at the end of the lease have commenced, and these leases are treated as finance leases. For the three and six months ended June 30, 2021, the Company recognized interest expense related to finance leases of $50, which are included within Interest expense, net in the condensed consolidated statements of operations and comprehensive loss. For the three and six months ended June 30, 2021, the Company recognized amortization of the right-of-use asset related to finance leases of $61, which is included within Depreciation and amortization in the condensed consolidated statements of operations and comprehensive loss.</w:t>
      </w:r>
    </w:p>
    <w:p>
      <w:pPr>
        <w:spacing w:after="0" w:line="21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paid for operating leases is reported in operating activities in the condensed consolidated statements of cash flows. Supplemental cash flow information related to leases was as follows for the six months ended June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outflows for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Financing cash outflows for financing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128,592</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Right-of-use assets obtained in exchange for new financing lease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45"/>
        </w:trPr>
        <w:tc>
          <w:tcPr>
            <w:tcW w:w="8680" w:type="dxa"/>
            <w:vAlign w:val="bottom"/>
          </w:tcPr>
          <w:p>
            <w:pPr>
              <w:spacing w:after="0"/>
              <w:rPr>
                <w:sz w:val="20"/>
                <w:szCs w:val="20"/>
                <w:color w:val="auto"/>
              </w:rPr>
            </w:pPr>
            <w:r>
              <w:rPr>
                <w:rFonts w:ascii="Arial" w:cs="Arial" w:eastAsia="Arial" w:hAnsi="Arial"/>
                <w:sz w:val="18"/>
                <w:szCs w:val="18"/>
                <w:color w:val="auto"/>
              </w:rPr>
              <w:t>The future payments due under operating and finance leases as of June 30, 2021 are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Operating Leases</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2"/>
              </w:rPr>
              <w:t>Finance Leases</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Due remainder of 2021</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55,156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1,640</w:t>
            </w:r>
          </w:p>
        </w:tc>
      </w:tr>
      <w:tr>
        <w:trPr>
          <w:trHeight w:val="216"/>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164,986</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Less: effects of discounting</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52,175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r>
      <w:tr>
        <w:trPr>
          <w:trHeight w:val="256"/>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r>
      <w:tr>
        <w:trPr>
          <w:trHeight w:val="216"/>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lease liability</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Non-current lease liability</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5,673</w:t>
            </w:r>
          </w:p>
        </w:tc>
      </w:tr>
    </w:tbl>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2021, the weighted-average remaining lease term for operating leases was 7.8 years and finance leases was 6.3 years. Because the Company generally does not have access to the rate implicit in the lease, the incremental borrowing rate is utilized as the discount rate. The weighted average discount rate associated with operating leases as of June 30, 2021 was 8.4%. The weighted average discount rate associated with finance leases as of June 30, 2021 was 5.3%.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has entered into several leases for ISO tanks that have not commenced as of June 30, 2021 with noncancelable terms of 5 years and including fixed payments of approximately $16 million.</w:t>
      </w:r>
    </w:p>
    <w:p>
      <w:pPr>
        <w:spacing w:after="0" w:line="19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currency risk management</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connection with the Mergers, the Company has acquired financial instruments that GMLP and Hygo used to reduce the risk associated with fluctuations in interest rates and foreign exchange rates. Interest rate swaps are used to convert floating rate interest obligations to fixed rates, which from an economic perspective hedges the interest rate exposure. The Company also acquired a cross currency interest rate swap to manage interest rate exposure on the Debenture Loan and the foreign exchange rate exposure on the US dollar cash flows from the charter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to CELSE that guarantees the repayments of the Brazilian Real-denominated Debenture Loan.</w:t>
      </w:r>
    </w:p>
    <w:p>
      <w:pPr>
        <w:spacing w:after="0" w:line="21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 does not hold or issue instruments for speculative or trading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interest rate and cross currency interest rate swaps as of June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Fixed</w:t>
            </w:r>
          </w:p>
        </w:tc>
        <w:tc>
          <w:tcPr>
            <w:tcW w:w="17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Forward Foreign</w:t>
            </w:r>
          </w:p>
        </w:tc>
      </w:tr>
      <w:tr>
        <w:trPr>
          <w:trHeight w:val="241"/>
        </w:trPr>
        <w:tc>
          <w:tcPr>
            <w:tcW w:w="4480" w:type="dxa"/>
            <w:vAlign w:val="bottom"/>
          </w:tcPr>
          <w:p>
            <w:pPr>
              <w:spacing w:after="0"/>
              <w:rPr>
                <w:sz w:val="20"/>
                <w:szCs w:val="20"/>
                <w:color w:val="auto"/>
              </w:rPr>
            </w:pPr>
            <w:r>
              <w:rPr>
                <w:rFonts w:ascii="Arial" w:cs="Arial" w:eastAsia="Arial" w:hAnsi="Arial"/>
                <w:sz w:val="18"/>
                <w:szCs w:val="18"/>
                <w:b w:val="1"/>
                <w:bCs w:val="1"/>
                <w:color w:val="auto"/>
              </w:rPr>
              <w:t>Instrument</w:t>
            </w:r>
          </w:p>
        </w:tc>
        <w:tc>
          <w:tcPr>
            <w:tcW w:w="148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Notional Amount</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3"/>
              </w:rPr>
              <w:t>Maturity Dates</w:t>
            </w:r>
          </w:p>
        </w:tc>
        <w:tc>
          <w:tcPr>
            <w:tcW w:w="16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Interest Rate</w:t>
            </w:r>
          </w:p>
        </w:tc>
        <w:tc>
          <w:tcPr>
            <w:tcW w:w="17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Exchange Rate</w:t>
            </w:r>
          </w:p>
        </w:tc>
      </w:tr>
      <w:tr>
        <w:trPr>
          <w:trHeight w:val="216"/>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372,750,000</w:t>
            </w:r>
          </w:p>
        </w:tc>
        <w:tc>
          <w:tcPr>
            <w:tcW w:w="8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2.86%</w:t>
            </w:r>
          </w:p>
        </w:tc>
        <w:tc>
          <w:tcPr>
            <w:tcW w:w="176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n/a</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w w:val="89"/>
              </w:rPr>
              <w:t>Cross currency interest rate swap - Debenture Loan, due 2024</w:t>
            </w:r>
          </w:p>
        </w:tc>
        <w:tc>
          <w:tcPr>
            <w:tcW w:w="8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BRL 255,600,132</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September 2024</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5.90%</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8"/>
              </w:rPr>
              <w:t>5.424</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mark-to-market gain or loss on our interest rate and foreign currency swaps that are not designated as hedges for accounting purposes for the period are reported in the condensed consolidated statements of operations and comprehensive loss in Other (income) expense, 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9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197"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5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75"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the discounted cash flow technique, to convert future amounts to a single present amount based on current market expectations about those future amounts.</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Company’s financial assets and financial liabilities that are measured at fair value as of June 30, 2021 and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6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2021</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June 30, 2021</w:t>
            </w: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December 31, 2020</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1"/>
              </w:rPr>
              <w:t>December 31, 2020</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r>
      <w:tr>
        <w:trPr>
          <w:trHeight w:val="241"/>
        </w:trPr>
        <w:tc>
          <w:tcPr>
            <w:tcW w:w="32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1360" w:type="dxa"/>
            <w:vAlign w:val="bottom"/>
            <w:gridSpan w:val="4"/>
          </w:tcPr>
          <w:p>
            <w:pPr>
              <w:ind w:left="60"/>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Technique</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Non-Derivatives:</w:t>
            </w: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143,138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143,138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601,522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601,522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87,180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87,180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27,814</w:t>
            </w: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27,814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equity securities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Investment in equity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57"/>
        </w:trPr>
        <w:tc>
          <w:tcPr>
            <w:tcW w:w="32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Long-term debt</w:t>
            </w:r>
            <w:r>
              <w:rPr>
                <w:rFonts w:ascii="Arial" w:cs="Arial" w:eastAsia="Arial" w:hAnsi="Arial"/>
                <w:sz w:val="29"/>
                <w:szCs w:val="29"/>
                <w:color w:val="auto"/>
                <w:vertAlign w:val="superscript"/>
              </w:rPr>
              <w:t>(1)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3,563,734</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3,626,972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1,250,000</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1,327,488</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Derivatives: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32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Derivative liability</w:t>
            </w:r>
            <w:r>
              <w:rPr>
                <w:rFonts w:ascii="Arial" w:cs="Arial" w:eastAsia="Arial" w:hAnsi="Arial"/>
                <w:sz w:val="29"/>
                <w:szCs w:val="29"/>
                <w:color w:val="auto"/>
                <w:vertAlign w:val="superscript"/>
              </w:rPr>
              <w:t>(2)(3)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31,923</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31,923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10,716</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r>
      <w:tr>
        <w:trPr>
          <w:trHeight w:val="257"/>
        </w:trPr>
        <w:tc>
          <w:tcPr>
            <w:tcW w:w="3280" w:type="dxa"/>
            <w:vAlign w:val="bottom"/>
          </w:tcPr>
          <w:p>
            <w:pPr>
              <w:ind w:left="140"/>
              <w:spacing w:after="0" w:line="256" w:lineRule="exact"/>
              <w:rPr>
                <w:sz w:val="20"/>
                <w:szCs w:val="20"/>
                <w:color w:val="auto"/>
              </w:rPr>
            </w:pPr>
            <w:r>
              <w:rPr>
                <w:rFonts w:ascii="Arial" w:cs="Arial" w:eastAsia="Arial" w:hAnsi="Arial"/>
                <w:sz w:val="18"/>
                <w:szCs w:val="18"/>
                <w:color w:val="auto"/>
              </w:rPr>
              <w:t>Equity agreement</w:t>
            </w:r>
            <w:r>
              <w:rPr>
                <w:rFonts w:ascii="Arial" w:cs="Arial" w:eastAsia="Arial" w:hAnsi="Arial"/>
                <w:sz w:val="29"/>
                <w:szCs w:val="29"/>
                <w:color w:val="auto"/>
                <w:vertAlign w:val="superscript"/>
              </w:rPr>
              <w:t>(3)(4)</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20,430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20,430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22,768</w:t>
            </w:r>
          </w:p>
        </w:tc>
        <w:tc>
          <w:tcPr>
            <w:tcW w:w="20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22,768</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Income approach</w:t>
            </w:r>
          </w:p>
        </w:tc>
      </w:tr>
      <w:tr>
        <w:trPr>
          <w:trHeight w:val="257"/>
        </w:trPr>
        <w:tc>
          <w:tcPr>
            <w:tcW w:w="32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w w:val="85"/>
              </w:rPr>
              <w:t>Cross currency interest rate swap asset</w:t>
            </w:r>
            <w:r>
              <w:rPr>
                <w:rFonts w:ascii="Arial" w:cs="Arial" w:eastAsia="Arial" w:hAnsi="Arial"/>
                <w:sz w:val="29"/>
                <w:szCs w:val="29"/>
                <w:color w:val="auto"/>
                <w:w w:val="85"/>
                <w:vertAlign w:val="superscript"/>
              </w:rPr>
              <w:t>(5)(6)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Income approach</w:t>
            </w:r>
          </w:p>
        </w:tc>
      </w:tr>
      <w:tr>
        <w:trPr>
          <w:trHeight w:val="390"/>
        </w:trPr>
        <w:tc>
          <w:tcPr>
            <w:tcW w:w="3280" w:type="dxa"/>
            <w:vAlign w:val="bottom"/>
          </w:tcPr>
          <w:p>
            <w:pPr>
              <w:ind w:left="140"/>
              <w:spacing w:after="0"/>
              <w:rPr>
                <w:sz w:val="20"/>
                <w:szCs w:val="20"/>
                <w:color w:val="auto"/>
              </w:rPr>
            </w:pPr>
            <w:r>
              <w:rPr>
                <w:rFonts w:ascii="Arial" w:cs="Arial" w:eastAsia="Arial" w:hAnsi="Arial"/>
                <w:sz w:val="18"/>
                <w:szCs w:val="18"/>
                <w:color w:val="auto"/>
              </w:rPr>
              <w:t>Interest rate swap liability</w:t>
            </w:r>
            <w:r>
              <w:rPr>
                <w:rFonts w:ascii="Arial" w:cs="Arial" w:eastAsia="Arial" w:hAnsi="Arial"/>
                <w:sz w:val="29"/>
                <w:szCs w:val="29"/>
                <w:color w:val="auto"/>
                <w:vertAlign w:val="superscript"/>
              </w:rPr>
              <w:t>(5)(6)</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28,474</w:t>
            </w: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28,474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Income approach</w:t>
            </w:r>
          </w:p>
        </w:tc>
      </w:tr>
    </w:tbl>
    <w:p>
      <w:pPr>
        <w:spacing w:after="0" w:line="99" w:lineRule="exact"/>
        <w:rPr>
          <w:sz w:val="20"/>
          <w:szCs w:val="20"/>
          <w:color w:val="auto"/>
        </w:rPr>
      </w:pPr>
    </w:p>
    <w:p>
      <w:pPr>
        <w:ind w:left="340" w:right="620" w:hanging="278"/>
        <w:spacing w:after="0" w:line="21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Long-term debt is recorded at amortized cost on the condensed consolidated balance sheets, and is presented in the above table gross of deferred financing costs of $32,880 and $10,439 as of June 30, 2021 and December 31, 2020, respectively.</w:t>
      </w:r>
    </w:p>
    <w:p>
      <w:pPr>
        <w:spacing w:after="0" w:line="1" w:lineRule="exact"/>
        <w:rPr>
          <w:sz w:val="20"/>
          <w:szCs w:val="20"/>
          <w:color w:val="auto"/>
        </w:rPr>
      </w:pPr>
    </w:p>
    <w:p>
      <w:pPr>
        <w:ind w:left="340" w:right="500" w:hanging="278"/>
        <w:spacing w:after="0" w:line="209"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Consideration due to the sellers in assets acquistions when certain contingent events occur. The liability associated with the derivative liabilities is recorded within Other long-term liabilities on the condensed consolidated balance sheets.</w:t>
      </w:r>
    </w:p>
    <w:p>
      <w:pPr>
        <w:spacing w:after="0" w:line="2" w:lineRule="exact"/>
        <w:rPr>
          <w:sz w:val="20"/>
          <w:szCs w:val="20"/>
          <w:color w:val="auto"/>
        </w:rPr>
      </w:pPr>
    </w:p>
    <w:p>
      <w:pPr>
        <w:ind w:left="340" w:right="60" w:hanging="278"/>
        <w:spacing w:after="0" w:line="221" w:lineRule="auto"/>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w:t>
      </w:r>
    </w:p>
    <w:p>
      <w:pPr>
        <w:ind w:left="340" w:right="180" w:hanging="278"/>
        <w:spacing w:after="0" w:line="234" w:lineRule="auto"/>
        <w:rPr>
          <w:sz w:val="20"/>
          <w:szCs w:val="20"/>
          <w:color w:val="auto"/>
        </w:rPr>
      </w:pPr>
      <w:r>
        <w:rPr>
          <w:rFonts w:ascii="Arial" w:cs="Arial" w:eastAsia="Arial" w:hAnsi="Arial"/>
          <w:sz w:val="26"/>
          <w:szCs w:val="26"/>
          <w:color w:val="auto"/>
          <w:vertAlign w:val="superscript"/>
        </w:rPr>
        <w:t>(4)</w:t>
      </w:r>
      <w:r>
        <w:rPr>
          <w:rFonts w:ascii="Arial" w:cs="Arial" w:eastAsia="Arial" w:hAnsi="Arial"/>
          <w:sz w:val="16"/>
          <w:szCs w:val="16"/>
          <w:color w:val="auto"/>
        </w:rPr>
        <w:t>To be paid at the earlier of agreed-upon date or the date on which the valid planning permission is received for the facility in development in Shannon, Ireland. The liability associated with the equity agreement is recorded within Other current liabilities on the condensed consolidated balance sheets.</w:t>
      </w:r>
    </w:p>
    <w:p>
      <w:pPr>
        <w:spacing w:after="0" w:line="2" w:lineRule="exact"/>
        <w:rPr>
          <w:sz w:val="20"/>
          <w:szCs w:val="20"/>
          <w:color w:val="auto"/>
        </w:rPr>
      </w:pPr>
    </w:p>
    <w:p>
      <w:pPr>
        <w:ind w:left="340" w:right="180" w:hanging="278"/>
        <w:spacing w:after="0" w:line="209" w:lineRule="auto"/>
        <w:rPr>
          <w:sz w:val="20"/>
          <w:szCs w:val="20"/>
          <w:color w:val="auto"/>
        </w:rPr>
      </w:pPr>
      <w:r>
        <w:rPr>
          <w:rFonts w:ascii="Arial" w:cs="Arial" w:eastAsia="Arial" w:hAnsi="Arial"/>
          <w:sz w:val="29"/>
          <w:szCs w:val="29"/>
          <w:color w:val="auto"/>
          <w:vertAlign w:val="superscript"/>
        </w:rPr>
        <w:t>(5)</w:t>
      </w:r>
      <w:r>
        <w:rPr>
          <w:rFonts w:ascii="Arial" w:cs="Arial" w:eastAsia="Arial" w:hAnsi="Arial"/>
          <w:sz w:val="18"/>
          <w:szCs w:val="18"/>
          <w:color w:val="auto"/>
        </w:rPr>
        <w:t>Cross currency interest rate swap asset is presented within Prepaid expenses and other current assets and interest rate swap liability is presented within Other current liabilities on the condensed consolidated balance sheets.</w:t>
      </w:r>
    </w:p>
    <w:p>
      <w:pPr>
        <w:spacing w:after="0" w:line="2" w:lineRule="exact"/>
        <w:rPr>
          <w:sz w:val="20"/>
          <w:szCs w:val="20"/>
          <w:color w:val="auto"/>
        </w:rPr>
      </w:pPr>
    </w:p>
    <w:p>
      <w:pPr>
        <w:ind w:left="340" w:right="380" w:hanging="278"/>
        <w:spacing w:after="0" w:line="209" w:lineRule="auto"/>
        <w:rPr>
          <w:sz w:val="20"/>
          <w:szCs w:val="20"/>
          <w:color w:val="auto"/>
        </w:rPr>
      </w:pPr>
      <w:r>
        <w:rPr>
          <w:rFonts w:ascii="Arial" w:cs="Arial" w:eastAsia="Arial" w:hAnsi="Arial"/>
          <w:sz w:val="29"/>
          <w:szCs w:val="29"/>
          <w:color w:val="auto"/>
          <w:vertAlign w:val="superscript"/>
        </w:rPr>
        <w:t>(6)</w:t>
      </w:r>
      <w:r>
        <w:rPr>
          <w:rFonts w:ascii="Arial" w:cs="Arial" w:eastAsia="Arial" w:hAnsi="Arial"/>
          <w:sz w:val="18"/>
          <w:szCs w:val="18"/>
          <w:color w:val="auto"/>
        </w:rPr>
        <w:t>The fair value of certain derivative instruments, including interest rate swaps, is estimated considering current interest rates, foreign exchange rates, closing quoted market prices and the creditworthiness of counterparties.</w:t>
      </w:r>
    </w:p>
    <w:p>
      <w:pPr>
        <w:spacing w:after="0" w:line="23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As part of the Hygo Merger, the Company assumed liabilities for payments due to sellers in asset acquisitions completed prior to the Hygo Merger, and these liabilities are reflected as derivative liabilities. Activity during the six months ended June 30, 2021 also included the recognition of additional derivative liabilities from transactions accounted for as asset acquisitions of $10,520 (Note 4). During the three and six months ended June 30, 2021 and 2020, the Company had no settlements of the equity agreement or derivative liabilities or any transfers in or out of Level 3 in the fair value hierarchy.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table below summarizes the fair value adjustment to instruments measured at Level 3 in the fair value hierarchy, the derivative liability and equity agreement, as well as the cross currency interest rate swap and the interest rate swap; adjustments have been recorded within Other (income) expense, net in the condensed consolidated statements of operations and comprehensive loss, for the three and six months ended June 30,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254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liability/Equity agreement - Fair value adjustment - (Gain)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rate swap - Fair value adjustment (gain)</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interest rate swap - Fair value adjustment (gain)</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Under the Company’s interest rate swap, the Company is required to provide cash collateral, and as of June 30, 2021, $12,500 of cash collateral is recognized as restricted cash on the 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9.  Restricted cash</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40" w:type="dxa"/>
            <w:vAlign w:val="bottom"/>
          </w:tcPr>
          <w:p>
            <w:pPr>
              <w:spacing w:after="0"/>
              <w:rPr>
                <w:sz w:val="20"/>
                <w:szCs w:val="20"/>
                <w:color w:val="auto"/>
              </w:rPr>
            </w:pPr>
            <w:r>
              <w:rPr>
                <w:rFonts w:ascii="Arial" w:cs="Arial" w:eastAsia="Arial" w:hAnsi="Arial"/>
                <w:sz w:val="18"/>
                <w:szCs w:val="18"/>
                <w:color w:val="auto"/>
              </w:rPr>
              <w:t>As of June 30, 2021 and December 31, 2020, restricted cash consisted of the following:</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1760" w:type="dxa"/>
            <w:vAlign w:val="bottom"/>
            <w:gridSpan w:val="4"/>
          </w:tcPr>
          <w:p>
            <w:pPr>
              <w:ind w:left="2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held by lessor VIEs</w:t>
            </w:r>
          </w:p>
        </w:tc>
        <w:tc>
          <w:tcPr>
            <w:tcW w:w="10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45,443</w:t>
            </w: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Collateral for interest rate swaps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Collateral for LNG purchases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11,664</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Collateral for letters of credit and performance bonds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Other restricted cash</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56"/>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restricted cash</w:t>
            </w: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87,180</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57,353</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12,814</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Non-current restricted cash</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29,827</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bl>
    <w:p>
      <w:pPr>
        <w:spacing w:after="0" w:line="21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Restricted cash does not include minimum consolidated cash balances of $30,000 required to be maintained as part of the financial covenants for sale and leaseback financings that is included in Cash and cash equivalents on the condensed consolidated balance sheets as of June 30,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Inventory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inventory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June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40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Automotive diesel oil inventory</w:t>
            </w:r>
          </w:p>
        </w:tc>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Bunker fuel, materials, supplies and other</w:t>
            </w:r>
          </w:p>
        </w:tc>
        <w:tc>
          <w:tcPr>
            <w:tcW w:w="40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4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61,491</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80" w:type="dxa"/>
            <w:vAlign w:val="bottom"/>
            <w:vMerge w:val="restart"/>
          </w:tcPr>
          <w:p>
            <w:pPr>
              <w:jc w:val="right"/>
              <w:ind w:right="2579"/>
              <w:spacing w:after="0"/>
              <w:rPr>
                <w:sz w:val="20"/>
                <w:szCs w:val="20"/>
                <w:color w:val="auto"/>
              </w:rPr>
            </w:pPr>
            <w:r>
              <w:rPr>
                <w:rFonts w:ascii="Arial" w:cs="Arial" w:eastAsia="Arial" w:hAnsi="Arial"/>
                <w:sz w:val="14"/>
                <w:szCs w:val="14"/>
                <w:color w:val="auto"/>
              </w:rPr>
              <w:t>24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2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six months ended June 30,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Prepaid expenses and other current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prepaid expenses and other current assets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1760" w:type="dxa"/>
            <w:vAlign w:val="bottom"/>
            <w:gridSpan w:val="4"/>
          </w:tcPr>
          <w:p>
            <w:pPr>
              <w:ind w:left="2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Prepaid LNG</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7,268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4,941</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57,377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29,461</w:t>
            </w:r>
          </w:p>
        </w:tc>
      </w:tr>
      <w:tr>
        <w:trPr>
          <w:trHeight w:val="25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prepaid expenses and other current assets, net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92,010</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as of June 30, 2021 and December 31, 2020 primarily consists of receivables for recoverable taxes and deposits.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method investments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Mergers, the Company acquired investments in Centrais Elétricas de Sergipe Participações S.A. (“CELSEPAR”) and Hilli LLC, both of which have been recognized as equity method investments. The Company has a 50% ownership interest in both entities. The investments are reflected in the Terminals and Infrastructure and Ships segments,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Changes in the balance of the Company’s equity method investments is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00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June 30, 2021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 as of December 31,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Acquisition of equity method investments in the Mergers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Dividend</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Equity in earnings / losses of investees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38,941</w:t>
            </w:r>
          </w:p>
        </w:tc>
        <w:tc>
          <w:tcPr>
            <w:tcW w:w="0" w:type="dxa"/>
            <w:vAlign w:val="bottom"/>
          </w:tcPr>
          <w:p>
            <w:pPr>
              <w:spacing w:after="0"/>
              <w:rPr>
                <w:sz w:val="1"/>
                <w:szCs w:val="1"/>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119,126</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Equity method investments as of June 30, 2021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1,312,072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The carrying amount of equity method investments as of June 30, 2021 is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June 30, 2021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CELSEPAR</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Hilli LLC</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carrying amount of equity method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the carrying value of the Company’s equity method investments exceeded its proportionate share of the underlying net assets of its investees by $939,551. In conjunction with the preliminary purchase accounting for the Mergers, the basis difference was allocated to tangible assets, identifiable intangible assets, liabilities and goodwill, and the basis difference attributable to amortizable net assets is amortized to Income from equity method investments over the remaining estimated useful lives of the underlying assets.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CELSEPAR</w:t>
      </w:r>
    </w:p>
    <w:p>
      <w:pPr>
        <w:spacing w:after="0" w:line="25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CELSEPAR is jointly owned and operated with Ebrasil Energia Ltda. (“Ebrasil”), an affiliate of Eletricidade do Brasil S.A., and the Company accounts for this 50% investment using the equity method. CELSEPAR owns 100% of the share capital of Centrais Elétricas de Sergipe S.A. (“CELSE”), the owner and operator of the Sergipe Power Plant.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The Company acquired an interest of 50% of the Hilli Common Units as part of the acquisition of GMLP. The ownership interests in Hilli LLC are represented by three classes of units, the Hilli Common Units, the Series A Special Units and the Series B Special Units. The Company did not acquire any of the Series A Special Units or Series B Special Units. The Hilli Common Units provide the Company with significant influence over Hilli LLC. The </w:t>
      </w:r>
      <w:r>
        <w:rPr>
          <w:rFonts w:ascii="Arial" w:cs="Arial" w:eastAsia="Arial" w:hAnsi="Arial"/>
          <w:sz w:val="16"/>
          <w:szCs w:val="16"/>
          <w:i w:val="1"/>
          <w:iCs w:val="1"/>
          <w:color w:val="auto"/>
        </w:rPr>
        <w:t>Hilli</w:t>
      </w:r>
      <w:r>
        <w:rPr>
          <w:rFonts w:ascii="Arial" w:cs="Arial" w:eastAsia="Arial" w:hAnsi="Arial"/>
          <w:sz w:val="16"/>
          <w:szCs w:val="16"/>
          <w:color w:val="auto"/>
        </w:rPr>
        <w:t xml:space="preserve"> is currently operating under an 8-year liquefaction tolling agreement (“LTA”) with Perenco Cameroon S.A. and Société Nationale des Hydrocarbures.</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Within 60 days after the end of each quarter, GLNG, the managing member of Hilli LLC, shall determine the amount of Hilli LLC’s available cash and appropriate reserves, and Hilli LLC shall make a distribution to the unitholders of Hilli LLC (“Hilli Unitholders”) of the available cash, subject to such reserves. Hilli LLC shall make distributions to the Hilli Unitholders when, as and if declared by GLNG; provided, however, that no distributions may be made on the Hilli Common Units on any distribution date unless Series A Distributions and Series B Distributions for the most recently ended quarter and any accumulated Series A Distributions and Series B Distributions in arrears for any past quarter have been or contemporaneously are being paid or provided for.</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Series A Distributions are calculated based on cash received by Hilli Corp for any tolling fees under the LTA relating to an increase in the Brent Crude price above $60 per barrel, adjusted by incremental taxes and costs that arise from underperformance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Series B Distributions are calculated as 95% of “Revenues Less Expenses”, which is based on the cash receipts as a direct result of the employment of more than the first 50% of LNG production capacity for the </w:t>
      </w:r>
      <w:r>
        <w:rPr>
          <w:rFonts w:ascii="Arial" w:cs="Arial" w:eastAsia="Arial" w:hAnsi="Arial"/>
          <w:sz w:val="18"/>
          <w:szCs w:val="18"/>
          <w:i w:val="1"/>
          <w:iCs w:val="1"/>
          <w:color w:val="auto"/>
        </w:rPr>
        <w:t>Hilli</w:t>
      </w:r>
      <w:r>
        <w:rPr>
          <w:rFonts w:ascii="Arial" w:cs="Arial" w:eastAsia="Arial" w:hAnsi="Arial"/>
          <w:sz w:val="18"/>
          <w:szCs w:val="18"/>
          <w:color w:val="auto"/>
        </w:rPr>
        <w:t>, adjusted for incremental operating expenses, capital costs, financing and tax costs associated with making more than 50% capacity available and costs that arise from underperformance. The Hilli Common Units may receive 5% of Revenues less Expenses received by Hilli Corp during such quarter.</w:t>
      </w:r>
    </w:p>
    <w:p>
      <w:pPr>
        <w:spacing w:after="0" w:line="21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is required to reimburse other investors in Hilli LLC for 50% of the amount, if any, by which certain operating expenses and withholding taxes of Hilli LLC are below an annual threshold for up to $20,000 in the aggregate through 2026. Other investors are required to reimburse the Company for 50% of the amount, if any, by which certain operating expenses and withholding taxes are above an annual threshold for up to $20,000 in the aggregate through 2026. No operating expense reimbursements were included in distributions for the period after the GMLP Merger.</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Hilli Corp is a party to a Memorandum of Agreement, dated September 9, 2015, with Fortune Lianjiang Shipping S.A., a subsidiary of China State Shipbuilding Corporation (“Fortune”), pursuant to which Hilli Corp has sold to and leased back from Fortune the Hilli under a 10-year bareboat charter agreement (the “Hilli Leaseback”). The Hilli Leaseback provided for postconstruction financing for the Hilli in the amount of $960 million. Under the Hilli Leaseback, Hilli Corp will pay to Fortune forty consecutive equal quarterly repayments of 1.375% of the construction cost, plus interest based on LIBOR plus a margin of 4.15%.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13. Construction in progress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20" w:type="dxa"/>
            <w:vAlign w:val="bottom"/>
          </w:tcPr>
          <w:p>
            <w:pPr>
              <w:spacing w:after="0"/>
              <w:rPr>
                <w:sz w:val="20"/>
                <w:szCs w:val="20"/>
                <w:color w:val="auto"/>
              </w:rPr>
            </w:pPr>
            <w:r>
              <w:rPr>
                <w:rFonts w:ascii="Arial" w:cs="Arial" w:eastAsia="Arial" w:hAnsi="Arial"/>
                <w:sz w:val="18"/>
                <w:szCs w:val="18"/>
                <w:color w:val="auto"/>
              </w:rPr>
              <w:t>The Company’s construction in progress activity during the six months ended June 30, 2021 is detailed below:</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02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June 30, 2021</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Acquisition of construction in progress from business combinations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128,625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315,970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Impact of change in FX rates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17,172</w:t>
            </w:r>
          </w:p>
        </w:tc>
      </w:tr>
      <w:tr>
        <w:trPr>
          <w:trHeight w:val="223"/>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Transferred to property, plant and equipment, net or finance leases</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(3,059)</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692,745</w:t>
            </w:r>
          </w:p>
        </w:tc>
        <w:tc>
          <w:tcPr>
            <w:tcW w:w="10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of $9,310 and $17,902, inclusive of amortized debt issuance costs, was capitalized for the six months ended June 30, 2021 and 2020,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the Company’s property, plant and equipment, net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1,435,623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Terminal and power plant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189,421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188,855</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CHP facilities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119,723</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Gas terminals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120,810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ISO containers and other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100,137</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LNG liquefaction facilities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63,213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Gas pipelines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58,974</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16,246</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8,723</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(93,135)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(62,475)</w:t>
            </w:r>
          </w:p>
        </w:tc>
      </w:tr>
      <w:tr>
        <w:trPr>
          <w:trHeight w:val="25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2,038,738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Depreciation for the three months ended June 30, 2021 and 2020 totaled $21,299 and $7,539, respectively, of which $307 and $223, respectively, is included within Cost of sales in the condensed consolidated statements of operations and comprehensive loss. Depreciation for the six months ended June 30, 2021 and 2020 totaled $31,141 and $12,750, respectively, of which $576 and $450 is respectively included within Cost of sales in the condensed consolidated statements of operations and comprehensive loss.</w:t>
      </w:r>
    </w:p>
    <w:p>
      <w:pPr>
        <w:spacing w:after="0" w:line="21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Capitalized drydocking costs of $680 are included in the vessel cost for June 30, 2021; these costs will begin to be depreciated after drydocking is completed in the third quarter of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intangible assets as of June 30, 2021 and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3"/>
              </w:rPr>
              <w:t>June 30, 2021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2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8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8"/>
              </w:rPr>
              <w:t>Currency Translation</w:t>
            </w:r>
          </w:p>
        </w:tc>
        <w:tc>
          <w:tcPr>
            <w:tcW w:w="8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Net Carrying</w:t>
            </w: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41"/>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Adjustment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 Life</w:t>
            </w: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111,375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92,918</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(3,202)</w:t>
            </w:r>
          </w:p>
        </w:tc>
        <w:tc>
          <w:tcPr>
            <w:tcW w:w="1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85,996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power purchase agreements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232,253</w:t>
            </w:r>
          </w:p>
        </w:tc>
        <w:tc>
          <w:tcPr>
            <w:tcW w:w="220" w:type="dxa"/>
            <w:vAlign w:val="bottom"/>
          </w:tcPr>
          <w:p>
            <w:pPr>
              <w:spacing w:after="0"/>
              <w:rPr>
                <w:sz w:val="18"/>
                <w:szCs w:val="18"/>
                <w:color w:val="auto"/>
              </w:rPr>
            </w:pP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(12,043)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5,458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225,668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2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32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Accumulated</w:t>
            </w:r>
          </w:p>
        </w:tc>
        <w:tc>
          <w:tcPr>
            <w:tcW w:w="17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Currency Translation</w:t>
            </w:r>
          </w:p>
        </w:tc>
        <w:tc>
          <w:tcPr>
            <w:tcW w:w="1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Net Carrying</w:t>
            </w: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41"/>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 Life</w:t>
            </w: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42,441</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43,459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1,559</w:t>
            </w: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45,191</w:t>
            </w:r>
          </w:p>
        </w:tc>
        <w:tc>
          <w:tcPr>
            <w:tcW w:w="400" w:type="dxa"/>
            <w:vAlign w:val="bottom"/>
          </w:tcPr>
          <w:p>
            <w:pPr>
              <w:jc w:val="right"/>
              <w:ind w:right="2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(2,628)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3,539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46,102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4"/>
                <w:szCs w:val="14"/>
                <w:color w:val="auto"/>
              </w:rPr>
              <w:t>27</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conjunction with the Mergers, the Company acquired charter contracts with contractual rates that were favorable as compared to market rates and on the date of acquisition recognize intangible assets of $120,000, and the Company acquired permits and development rights with a value of $44,702. During the first quarter of 2021, the Company recognized additions to permits of $5,776 acquired in a transaction accounted for as asset acquisition related to licenses and rights to develop a gas-fired power plant and associated infrastructure in the Port of Suape in Brazil. The Company also acquired rights operated a power generation facility and sell power in Brazil of $16,585 (see Note 4. Asset acquisitions).</w:t>
      </w:r>
    </w:p>
    <w:p>
      <w:pPr>
        <w:spacing w:after="0" w:line="20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June 30, 2021 and December 31, 2020, the weighted-average remaining amortization periods for the intangible assets were 15.5 and 37.5 years, respectively. Amortization expense for the three months ended June 30, 2021 and 2020 totaled $5,925 and $282, respectively. Amortization expense was $6,220 and $552 for the six months ended June 30, 2021 and 2020,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16. Other non-current assets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360" w:type="dxa"/>
            <w:vAlign w:val="bottom"/>
          </w:tcPr>
          <w:p>
            <w:pPr>
              <w:spacing w:after="0"/>
              <w:rPr>
                <w:sz w:val="20"/>
                <w:szCs w:val="20"/>
                <w:color w:val="auto"/>
              </w:rPr>
            </w:pPr>
            <w:r>
              <w:rPr>
                <w:rFonts w:ascii="Arial" w:cs="Arial" w:eastAsia="Arial" w:hAnsi="Arial"/>
                <w:sz w:val="18"/>
                <w:szCs w:val="18"/>
                <w:color w:val="auto"/>
              </w:rPr>
              <w:t>As of June 30, 2021 and December 31, 2020, Other non-current assets consisted of the following:</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3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1760" w:type="dxa"/>
            <w:vAlign w:val="bottom"/>
            <w:gridSpan w:val="4"/>
          </w:tcPr>
          <w:p>
            <w:pPr>
              <w:ind w:left="2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Nonrefundable deposit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30,441</w:t>
            </w: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Contract asset, net (Note 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32,353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23,972</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Cost to fulfill (Note 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Unbilled receivables, net (Note 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6,462</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Upfront payments to customers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26,857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10,069</w:t>
            </w:r>
          </w:p>
        </w:tc>
      </w:tr>
      <w:tr>
        <w:trPr>
          <w:trHeight w:val="257"/>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non-current assets,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117,004</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Nonrefundable deposits are primarily related to deposits for planned land purchases in Pennsylvania and Ireland.</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Upfront payments to customers consist of amounts the Company has paid in relation to two natural gas sales contracts with customers to construct fuel-delivery infrastructure that the customers will own.</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includes upfront payments to our service providers, a long-term refundable deposit and investments in equity securities. During the fourth quarter of 2020, the Company invested $1,000 in a hydrogen technology development company through a Simple Agreement for Future Equity (“SAFE”). During the first quarter of 2021, the investee completed a qualified financing which converted the Company’s investment into preferred shares; the Company also invested an additional $750 in this qualified financing.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17. Accrued liabilities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360" w:type="dxa"/>
            <w:vAlign w:val="bottom"/>
          </w:tcPr>
          <w:p>
            <w:pPr>
              <w:spacing w:after="0"/>
              <w:rPr>
                <w:sz w:val="20"/>
                <w:szCs w:val="20"/>
                <w:color w:val="auto"/>
              </w:rPr>
            </w:pPr>
            <w:r>
              <w:rPr>
                <w:rFonts w:ascii="Arial" w:cs="Arial" w:eastAsia="Arial" w:hAnsi="Arial"/>
                <w:sz w:val="18"/>
                <w:szCs w:val="18"/>
                <w:color w:val="auto"/>
              </w:rPr>
              <w:t>As of June 30, 2021 and December 31, 2020, accrued liabilities consisted of the following:</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3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1760" w:type="dxa"/>
            <w:vAlign w:val="bottom"/>
            <w:gridSpan w:val="4"/>
          </w:tcPr>
          <w:p>
            <w:pPr>
              <w:ind w:left="2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Accrued development costs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50,957</w:t>
            </w: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16,631</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55,253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27,938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Accrued consideration in asset acquisitions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bonuses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12,067</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17,344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Accrued vessel operating and drydocking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51,211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r>
      <w:tr>
        <w:trPr>
          <w:trHeight w:val="257"/>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192,723</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Other accrued expenses includes accrued acquisition and integration costs associated with the Mergers and the issuance of the 2026 Notes and the Revolving Facility (all defined below), as well as accrued compensation and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 xml:space="preserve">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debt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June 30, 2021</w:t>
            </w:r>
          </w:p>
        </w:tc>
        <w:tc>
          <w:tcPr>
            <w:tcW w:w="1740" w:type="dxa"/>
            <w:vAlign w:val="bottom"/>
            <w:gridSpan w:val="4"/>
          </w:tcPr>
          <w:p>
            <w:pPr>
              <w:ind w:left="18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 due September 15, 2025</w:t>
            </w:r>
          </w:p>
        </w:tc>
        <w:tc>
          <w:tcPr>
            <w:tcW w:w="1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1,239,561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Senior Secured Notes, due September 30, 2026</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1,476,947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Revolving Facility</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152,500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Debenture Loan, due 2024</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60,595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Subtotal (excluding lessor VIE loans)</w:t>
            </w:r>
          </w:p>
        </w:tc>
        <w:tc>
          <w:tcPr>
            <w:tcW w:w="1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2,930,215</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1,239,561</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i w:val="1"/>
                <w:iCs w:val="1"/>
                <w:color w:val="auto"/>
              </w:rPr>
              <w:t>CMBL loan:</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Eskimo SPV facility, due 2025</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172,452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i w:val="1"/>
                <w:iCs w:val="1"/>
                <w:color w:val="auto"/>
              </w:rPr>
              <w:t>CCBFL VIE loan:</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Nanook SPV facility, due 2030</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207,045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i w:val="1"/>
                <w:iCs w:val="1"/>
                <w:color w:val="auto"/>
              </w:rPr>
              <w:t>COSCO VIE loan:</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Golar Penguin SPV facility, due 2025</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96,566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i w:val="1"/>
                <w:iCs w:val="1"/>
                <w:color w:val="auto"/>
              </w:rPr>
              <w:t>AVIC VIE loan:</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Golar Celsius SPV facility, due 2023/2027</w:t>
            </w:r>
          </w:p>
        </w:tc>
        <w:tc>
          <w:tcPr>
            <w:tcW w:w="1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124,576</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5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3,530,854</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20"/>
        </w:trPr>
        <w:tc>
          <w:tcPr>
            <w:tcW w:w="6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Non-current portion of debt</w:t>
            </w: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3,326,303</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445"/>
        </w:trPr>
        <w:tc>
          <w:tcPr>
            <w:tcW w:w="6540" w:type="dxa"/>
            <w:vAlign w:val="bottom"/>
          </w:tcPr>
          <w:p>
            <w:pPr>
              <w:spacing w:after="0"/>
              <w:rPr>
                <w:sz w:val="20"/>
                <w:szCs w:val="20"/>
                <w:color w:val="auto"/>
              </w:rPr>
            </w:pPr>
            <w:r>
              <w:rPr>
                <w:rFonts w:ascii="Arial" w:cs="Arial" w:eastAsia="Arial" w:hAnsi="Arial"/>
                <w:sz w:val="18"/>
                <w:szCs w:val="18"/>
                <w:color w:val="auto"/>
              </w:rPr>
              <w:t>Our outstanding debt as of June 30, 2021 is repayable as follows: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June 30, 2021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Due remainder of 2021</w:t>
            </w:r>
          </w:p>
        </w:tc>
        <w:tc>
          <w:tcPr>
            <w:tcW w:w="5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27,911</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76,978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2024</w:t>
            </w: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32,882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1,264,824</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5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1,949,977</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3,527,297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 fair value adjustments to assumed obligations</w:t>
            </w:r>
          </w:p>
        </w:tc>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36,437</w:t>
            </w: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finance charges</w:t>
            </w:r>
          </w:p>
        </w:tc>
        <w:tc>
          <w:tcPr>
            <w:tcW w:w="5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(32,880)</w:t>
            </w:r>
          </w:p>
        </w:tc>
      </w:tr>
      <w:tr>
        <w:trPr>
          <w:trHeight w:val="223"/>
        </w:trPr>
        <w:tc>
          <w:tcPr>
            <w:tcW w:w="46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 debt, net deferred finance charges</w:t>
            </w:r>
          </w:p>
        </w:tc>
        <w:tc>
          <w:tcPr>
            <w:tcW w:w="54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3,530,854</w:t>
            </w:r>
          </w:p>
        </w:tc>
        <w:tc>
          <w:tcPr>
            <w:tcW w:w="100" w:type="dxa"/>
            <w:vAlign w:val="bottom"/>
            <w:tcBorders>
              <w:top w:val="single" w:sz="8" w:color="CCEEFF"/>
            </w:tcBorders>
          </w:tcPr>
          <w:p>
            <w:pPr>
              <w:spacing w:after="0"/>
              <w:rPr>
                <w:sz w:val="19"/>
                <w:szCs w:val="19"/>
                <w:color w:val="auto"/>
              </w:rPr>
            </w:pPr>
          </w:p>
        </w:tc>
      </w:tr>
      <w:tr>
        <w:trPr>
          <w:trHeight w:val="596"/>
        </w:trPr>
        <w:tc>
          <w:tcPr>
            <w:tcW w:w="4620" w:type="dxa"/>
            <w:vAlign w:val="bottom"/>
          </w:tcPr>
          <w:p>
            <w:pPr>
              <w:spacing w:after="0"/>
              <w:rPr>
                <w:sz w:val="24"/>
                <w:szCs w:val="24"/>
                <w:color w:val="auto"/>
              </w:rPr>
            </w:pPr>
          </w:p>
        </w:tc>
        <w:tc>
          <w:tcPr>
            <w:tcW w:w="5400" w:type="dxa"/>
            <w:vAlign w:val="bottom"/>
          </w:tcPr>
          <w:p>
            <w:pPr>
              <w:jc w:val="right"/>
              <w:ind w:right="4248"/>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2, 2020, the Company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The Company may redeem the 2025 Notes, in whole or in part, at any time prior to maturity, subject to certain make-whole premiums.</w:t>
      </w:r>
    </w:p>
    <w:p>
      <w:pPr>
        <w:spacing w:after="0" w:line="21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1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5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the issuance of the 2025 Notes, the Company incurred $17,937 in origination, structuring and other fees. Issuance costs of $13,909 were deferred as a reduction of the principal balance of the 2025 Notes on the condensed consolidated balance sheets; unamortized deferred financing costs related to lenders in the previously credit agreement that participated in the 2025 Notes were $6,501 and such unamortized costs were also included as a reduction of the principal balance of the 2025 Notes and will be amortized over the remaining term of the 2025 Notes. As a portion of the repayment of the previous credit agreement was a modification, in the third quarter of 2020, the Company recognized $4,028 of third-party fees as an expense in the condensed consolidated statements of operations and comprehensive loss.</w:t>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17, 2020, the Company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$4,566. As of June 30, 2021 and December 31, 2020, remaining unamortized deferred financing costs for the 2025 Notes was $9,827 and $10,439,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12, 2021, the Company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The Company may redeem the 2026 Notes, in whole or in part, at any time prior to maturity, subject to certain make-whole premiums.</w:t>
      </w:r>
    </w:p>
    <w:p>
      <w:pPr>
        <w:spacing w:after="0" w:line="21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2026 Notes are guaranteed on a senior secured basis by each domestic subsidiary and foreign subsidiary that is a guarantor under the existing 2025 Notes, and the 2026 Notes are secured by substantially the same collateral as the Company’s existing first lien obligations under the 2025 Notes.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used the net proceeds from this offering to fund the cash consideration for the GMLP Merger and pay related fees and expenses.</w:t>
      </w:r>
    </w:p>
    <w:p>
      <w:pPr>
        <w:spacing w:after="0" w:line="264"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In connection with the issuance of the 2026 Notes, the Company incurred $24,335 in origination, structuring and other fees, which was deferred as a reduction of the principal balance of the 2026 Notes on the condensed consolidated balance sheets. As of June 30, 2021, total remaining unamortized deferred financing costs for the 2026 Notes was $23,053.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15, 2021, the Company entered into a $200 million senior secured revolving facility (the “Revolving Facility”). The proceeds of the Revolving Facility may be used for working capital and other general corporate purposes (including permitted acquisitions and other investments). Letters of credit issued under the $100 million letter of credit sub-facility may be used for general corporate purposes. The Revolving Facility will mature in 2026, with the potential for the Company to extend the maturity date once in a one-year increment.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under the Revolving Facility will bear interest at a per annum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0.00%% LIBOR floor. Borrowings under the Revolving Facility may be prepaid, at the option of the Company, at any time without premium.</w:t>
      </w:r>
    </w:p>
    <w:p>
      <w:pPr>
        <w:spacing w:after="0" w:line="214"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obligations under the Revolving Facility are guaranteed by each domestic subsidiary and foreign subsidiary that is a guarantor under the existing 2025 Notes, and the Revolving Facility is secured by substantially the same collateral as the Company’s existing first lien obligations under the 2025 Notes. The Revolving Facility contains usual and customary representations and warranties, and usual and customary affirmative and negative covenants.</w:t>
      </w:r>
    </w:p>
    <w:p>
      <w:pPr>
        <w:spacing w:after="0" w:line="17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incurred $3,685 in origination, structuring and other fees, associated with entry into the Revolving Facility. These costs have been capitalized within Other non-current assets on the condensed consolidated balance sheets. As of June 30, 2021, total remaining unamortized deferred financing costs for the Revolving Facility was $3,548.</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During the second quarter of 2021, the Company drew $152,500 on the Revolving Facility. As of June 30, 2021, $152,500 remains outstanding.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Debenture Loan</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part of the Hygo Merger, the Company assumed non-convertible Brazilian debentures issued by Golar Brasil, an indirect subsidiary of Hygo, in the aggregate principal amount of BRL 255.6 million ($51.6 million) due September 2024, bearing interest at a rate equal to the one-day interbank deposit futures rate in Brazil plus 2.65% (the “Debenture Loan”). The Debenture Loan was recognized at fair value of $52,752 on the opening balance sheet, and the premium recognized in purchase accounting will result in a reduction to interest expense until maturity. Interest and principal is payable on the Debenture Loan semi-annually on September 13 and March 13.</w:t>
      </w:r>
    </w:p>
    <w:p>
      <w:pPr>
        <w:spacing w:after="0" w:line="21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Debenture Loan is fully and unconditionally guaranteed by 100% of the shares issued by Golar Brasil owned by the Company’s consolidated subsidiary, LNG Power Ltd.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VIE debt</w:t>
      </w:r>
    </w:p>
    <w:p>
      <w:pPr>
        <w:spacing w:after="0" w:line="2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assumed the following loans in the Mergers related to lessor VIE entities, including CMBL, CCBFL, COSCO and AVIC, that are consolidated as VIEs. Although the Company has no control over the funding arrangements of these entities, the Company is the primary beneficiary of these VIEs and therefore these loan facilities are presented as part of the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CMBL – Eskimo SPV facility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SPV, Sea 23 Leasing Co. Limited, the owner of the Eskimo, has a long-term loan facility that is denominated in USD, has a loan term of ten years and bears interest at a rate of LIBOR plus a margin of 2.66%. As of the acquisition date of GMLP, the outstanding principal balance was $160,520, and the Company recognized the fair value of this facility of $185,681 on the opening balance sheet. The premium recognized in purchase accounting will result in a reduction to interest expense until maturity.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CCBFL – Nanook SPV facility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SPV, Compass Shipping 23 Corporation Limited, the owner of the Nanook, has a long-term loan facility that is denominated in USD, has a loan term of twelve years and bears interest at a fixed rate of 3.5%. As of the acquisition date of Hygo, the outstanding principal balance was $202,249, and the Company recognized the fair value of this facility of $207,169 on the opening balance sheet. The premium recognized in purchase accounting will result in a reduction to interest expense until maturity.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COSCO – Penguin SPV facility</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SPV, Oriental Fleet LNG 02 Limited, the owner of the Penguin, has a long-term loan facility that is denominated in USD, is repayable in quarterly installments over a term of approximately six years and bears interest at LIBOR plus a margin of 1.7%. The SPV also has amounts payable to its parent. As of the acquisition date of Hygo, the outstanding principal balance was $104,882, and the Company recognized the fair value of this facility and the amount due to the parent of $107,018 on the opening balance sheet. The premium recognized in purchase accounting will result in a reduction to interest expense until maturity.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AVIC – Celsius SPV facility</w:t>
      </w:r>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SPV, Noble Celsius Shipping Limited, the owner of the Celsius, has a long-term loan facility that is denominated in USD, $76,179 of which is repayable in quarterly installments over a term of approximately seven years with a balloon payment of $37,179 at the end of the term and bears interest at LIBOR plus a margin of 1.8%. The SPV has another facility with remaining principal of $45,200 is due as a balloon payment upon maturity in March 2023 and bears interest at a fixed rate of 4.0%. The SPV also has amounts payable to its parent. As of the acquisition date of Hygo, the total outstanding principal balance was $121,379 and the Company recognized the fair value of this facility and the amount due to the parent of $126,302 on the opening balance sheet. The premium recognized in purchase accounting will result in a reduction to interest expense until maturity.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lease restrictions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VIE loans and certain lease agreements with customers assumed in the Mergers contain certain operating and financing restrictions and covenants that require: (a) certain subsidiaries to maintain a minimum level of liquidity of $30,000 and consolidated net worth of $123,950, (b) certain subsidiaries to maintain a minimum debt service coverage ratio of 1.20:1, (c) certain subsidiaries to not exceed a maximum net debt to EBITDA ratio of 6.5:1, (d) certain subsidiaries to maintain a minimum percentage of the vessel values over the relevant outstanding loan facility balances of either 110% and 120%, (e) certain subsidiaries to maintain a ratio of liabilities to total assets of less than 0.70:1. As of June 30, 2021, the Company was in compliance with all covenants under debt and lease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and six months ended June 30, 2021 and 2020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per contractual rates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Amortization of fair value adjustments to assumed debt obligations</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(10,295)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(10,295)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 premiums and discounts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Interest expense incurred on finance lease obligations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 costs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38,151</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48,990</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Capitalized interest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17,902</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the first quarter of 2021, the Company contributed all NFI LLC units into a wholly owned corporate entity dissolving the partnership entity. The transaction did not have a material impact on income tax expense.</w:t>
      </w:r>
    </w:p>
    <w:p>
      <w:pPr>
        <w:spacing w:after="0" w:line="19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As a result of the Mergers, the Company recognized deferred tax liabilities to reflect the impact of fair value adjustments, primarily the increased value of equity method investments, which did not impact tax basis. The Company acquired tax attribute carryforwards including net operating losses in certain jurisdictions for which net deferred tax assets have not been recognized as a result of cumulative losses and the developmental status of the entities.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effective tax rate for the three months ended June 30, 2021 was 164.8%, compared to (0.1)% for the three months ended June 30, 2020. The total tax provision for the three months ended June 30, 2021 was $4,409, compared to $117 for the three months ended June 30, 2020. The effective tax rate for the six months ended June 30, 2021 was (9.4)%, compared to (0.1)% for the six months ended June 30, 2020. The total tax provision for the six months ended June 30, 2021 was $3,532, compared to $113 for the six months ended June 30, 2020. The calculation of the effective tax rate for the period after the Mergers includes income from equity method investments recognized for the three and six months ended June 30, 2021.</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increases to the tax provision and effective tax rate for both the three and six months ended June 30, 2021 was primarily driven by an increase in pretax income for certain profitable non-U.S. operations and the inclusion of GMLP and Hygo into our expected pre-tax results of operations for the year ended December 31, 2021. Tax expense recognized includes the results of the acquired entities from the date of acquisition through June 30, 2021. For the six months ended June 30, 2021, these increases in tax expense were partially offset by the release of a valuation allowance in a foreign jurisdiction resulting in a discrete benefit of $2,778.</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assumed a liability for tax contingencies in the Mergers of $19,382 primarily related to potential tax obligations for payments under certain charter agreements for acquired vessels; this liability is included in Other current liabilities on the condensed consolidated balance sheets. The Company has not recorded any other liabilities for uncertain tax positions as of June 30, 2021. The Company remains subject to periodic audits and reviews by the taxing authorities, and NFE’s returns since its formation remain open for examination.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claims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may be subject to certain legal proceedings, claims and disputes that arise in the ordinary course of business, and the Company has evaluated the contingencies that have been assumed in conjunction with the Mergers. The Company does not believe that these proceedings, individually or in the aggregate, will have a material adverse effect on the Company's financial position, results of operations or cash flows.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conjunction with the Mergers, the Company has assumed contingencies for VAT in Indonesia. Indonesian tax authorities have issued letters to PTGI, a consolidated subsidiary, to revoke a previously granted VAT importation waiver for approximately $24,000 for the </w:t>
      </w:r>
      <w:r>
        <w:rPr>
          <w:rFonts w:ascii="Arial" w:cs="Arial" w:eastAsia="Arial" w:hAnsi="Arial"/>
          <w:sz w:val="18"/>
          <w:szCs w:val="18"/>
          <w:i w:val="1"/>
          <w:iCs w:val="1"/>
          <w:color w:val="auto"/>
        </w:rPr>
        <w:t>NR Satu</w:t>
      </w:r>
      <w:r>
        <w:rPr>
          <w:rFonts w:ascii="Arial" w:cs="Arial" w:eastAsia="Arial" w:hAnsi="Arial"/>
          <w:sz w:val="18"/>
          <w:szCs w:val="18"/>
          <w:color w:val="auto"/>
        </w:rPr>
        <w:t xml:space="preserve">. The Company does not believe it probable that a liability exists as no Tax Underpayment Assessment Notice has been received within the statute of limitations period, and the Company believes PTGI will be indemnified by PT Nusantara Regas, the charterer of the </w:t>
      </w:r>
      <w:r>
        <w:rPr>
          <w:rFonts w:ascii="Arial" w:cs="Arial" w:eastAsia="Arial" w:hAnsi="Arial"/>
          <w:sz w:val="18"/>
          <w:szCs w:val="18"/>
          <w:i w:val="1"/>
          <w:iCs w:val="1"/>
          <w:color w:val="auto"/>
        </w:rPr>
        <w:t>NR Satu</w:t>
      </w:r>
      <w:r>
        <w:rPr>
          <w:rFonts w:ascii="Arial" w:cs="Arial" w:eastAsia="Arial" w:hAnsi="Arial"/>
          <w:sz w:val="18"/>
          <w:szCs w:val="18"/>
          <w:color w:val="auto"/>
        </w:rPr>
        <w:t>, for any VAT liability as well as related interest and penalties under the time charter party agreement.</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Prior to the Mergers, Indonesian tax authorities also issued tax assessments for land and buildings tax to PTGI for the years 2015 to 2019 in relation to the </w:t>
      </w:r>
      <w:r>
        <w:rPr>
          <w:rFonts w:ascii="Arial" w:cs="Arial" w:eastAsia="Arial" w:hAnsi="Arial"/>
          <w:sz w:val="17"/>
          <w:szCs w:val="17"/>
          <w:i w:val="1"/>
          <w:iCs w:val="1"/>
          <w:color w:val="auto"/>
        </w:rPr>
        <w:t>NR Satu</w:t>
      </w:r>
      <w:r>
        <w:rPr>
          <w:rFonts w:ascii="Arial" w:cs="Arial" w:eastAsia="Arial" w:hAnsi="Arial"/>
          <w:sz w:val="17"/>
          <w:szCs w:val="17"/>
          <w:color w:val="auto"/>
        </w:rPr>
        <w:t>, for approximately $3,400 (IDR 48,378.3 million). The Company intends to appeal against the assessments for the land and buildings tax as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have not accepted the initial objection letter. The Company believes there are reasonable grounds for success on the basis of no precedent set from past case law and the new legislation effective prospectively from January 1, 2020, that now specifically lists FSRUs as being an object liable to land and buildings tax, when it previously did not. The assessed tax was paid in January 2020 to avoid further penalties and the payment is presented in Other non-current assets on the condensed consolidated balance sheets.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Mergers, Jordanian tax authorities concluded their tax audit into GMLP’s Jordan branch for the years 2015 and 2016 assessing additional tax of approximately $1,600 (JOD 1.10 million) and $3,100 (JOD 2.20 million), respectively. The Company has submitted an appeal to the tax notice, and a provision has not been recognized as the Company does not believes that the tax inspector has followed the correct tax audit process and the claim by the tax authorities to not allow tax depreciation is contrary to Jordan's tax legislation.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21. Earnings per share</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4"/>
                <w:szCs w:val="24"/>
                <w:color w:val="auto"/>
              </w:rPr>
            </w:pPr>
          </w:p>
        </w:tc>
        <w:tc>
          <w:tcPr>
            <w:tcW w:w="24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(226,574)</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(4,310)</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29,094</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(2,704)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80,851</w:t>
            </w:r>
          </w:p>
        </w:tc>
      </w:tr>
      <w:tr>
        <w:trPr>
          <w:trHeight w:val="257"/>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attributable to Class A common stock</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(137,425)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shares-basic and diluted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202,331,304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57,341,215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189,885,473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41,771,849</w:t>
            </w:r>
          </w:p>
        </w:tc>
      </w:tr>
      <w:tr>
        <w:trPr>
          <w:trHeight w:val="223"/>
        </w:trPr>
        <w:tc>
          <w:tcPr>
            <w:tcW w:w="5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loss per share for the periods presented because its effects would have been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00" w:type="dxa"/>
            <w:vAlign w:val="bottom"/>
          </w:tcPr>
          <w:p>
            <w:pPr>
              <w:spacing w:after="0"/>
              <w:rPr>
                <w:sz w:val="20"/>
                <w:szCs w:val="20"/>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Unvested RSUs</w:t>
            </w:r>
            <w:r>
              <w:rPr>
                <w:rFonts w:ascii="Arial" w:cs="Arial" w:eastAsia="Arial" w:hAnsi="Arial"/>
                <w:sz w:val="29"/>
                <w:szCs w:val="29"/>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695,279</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1,627,673</w:t>
            </w:r>
          </w:p>
        </w:tc>
      </w:tr>
      <w:tr>
        <w:trPr>
          <w:trHeight w:val="263"/>
        </w:trPr>
        <w:tc>
          <w:tcPr>
            <w:tcW w:w="8680" w:type="dxa"/>
            <w:vAlign w:val="bottom"/>
          </w:tcPr>
          <w:p>
            <w:pPr>
              <w:spacing w:after="0" w:line="256" w:lineRule="exact"/>
              <w:rPr>
                <w:sz w:val="20"/>
                <w:szCs w:val="20"/>
                <w:color w:val="auto"/>
              </w:rPr>
            </w:pPr>
            <w:r>
              <w:rPr>
                <w:rFonts w:ascii="Arial" w:cs="Arial" w:eastAsia="Arial" w:hAnsi="Arial"/>
                <w:sz w:val="18"/>
                <w:szCs w:val="18"/>
                <w:color w:val="auto"/>
              </w:rPr>
              <w:t>Shannon Equity Agreement shares</w:t>
            </w:r>
            <w:r>
              <w:rPr>
                <w:rFonts w:ascii="Arial" w:cs="Arial" w:eastAsia="Arial" w:hAnsi="Arial"/>
                <w:sz w:val="29"/>
                <w:szCs w:val="29"/>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543,096</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1,290,710</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1,238,375</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2,918,383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Represents the number of instruments outstanding at the end of the period.</w:t>
      </w:r>
    </w:p>
    <w:p>
      <w:pPr>
        <w:spacing w:after="0" w:line="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Class A common stock that would be issued in relation to the Shannon LNG Equity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declared dividends of $17,598 and $20,736 during the first and second quarters of 2021, respectively, representing $0.10 per Class A share. The Company paid $17,657 and $20,670 of dividends during the first and second quarters of 2021, respectively, inclusive of dividends that were accrued in prior periods.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the Mergers, the Company paid a dividend of $3,019 to holders of GMLP’s 8.75% Series A Cumulative Redeemable Preferred Units (“Series A Preferred Units”). As these equity interests have been issued by the Company’s consolidated subsidiary, the value of the Series A Preferred Units is recognized as non-controlling interest in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granted RSUs to select officers, employees, non-employee members of the board of directors and select non-employees under the New Fortress Energy Inc. 2019 Omnibus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for the six months ended June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4360" w:type="dxa"/>
            <w:vAlign w:val="bottom"/>
          </w:tcPr>
          <w:p>
            <w:pPr>
              <w:spacing w:after="0"/>
              <w:rPr>
                <w:sz w:val="18"/>
                <w:szCs w:val="18"/>
                <w:color w:val="auto"/>
              </w:rPr>
            </w:pPr>
          </w:p>
        </w:tc>
        <w:tc>
          <w:tcPr>
            <w:tcW w:w="54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 fair</w:t>
            </w:r>
          </w:p>
        </w:tc>
      </w:tr>
      <w:tr>
        <w:trPr>
          <w:trHeight w:val="241"/>
        </w:trPr>
        <w:tc>
          <w:tcPr>
            <w:tcW w:w="43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value per share</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Non-vested RSUs as of December 31, 2020</w:t>
            </w:r>
          </w:p>
        </w:tc>
        <w:tc>
          <w:tcPr>
            <w:tcW w:w="39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1,538,060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(818,846)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5400" w:type="dxa"/>
            <w:vAlign w:val="bottom"/>
            <w:gridSpan w:val="3"/>
          </w:tcPr>
          <w:p>
            <w:pPr>
              <w:jc w:val="right"/>
              <w:ind w:right="160"/>
              <w:spacing w:after="0"/>
              <w:rPr>
                <w:sz w:val="20"/>
                <w:szCs w:val="20"/>
                <w:color w:val="auto"/>
              </w:rPr>
            </w:pPr>
            <w:r>
              <w:rPr>
                <w:rFonts w:ascii="Arial" w:cs="Arial" w:eastAsia="Arial" w:hAnsi="Arial"/>
                <w:sz w:val="18"/>
                <w:szCs w:val="18"/>
                <w:color w:val="auto"/>
              </w:rPr>
              <w:t>(23,935)</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r>
      <w:tr>
        <w:trPr>
          <w:trHeight w:val="25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RSUs as of June 30, 2021</w:t>
            </w:r>
          </w:p>
        </w:tc>
        <w:tc>
          <w:tcPr>
            <w:tcW w:w="39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695,279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360" w:type="dxa"/>
            <w:vAlign w:val="bottom"/>
          </w:tcPr>
          <w:p>
            <w:pPr>
              <w:spacing w:after="0"/>
              <w:rPr>
                <w:sz w:val="24"/>
                <w:szCs w:val="24"/>
                <w:color w:val="auto"/>
              </w:rPr>
            </w:pPr>
          </w:p>
        </w:tc>
        <w:tc>
          <w:tcPr>
            <w:tcW w:w="3920" w:type="dxa"/>
            <w:vAlign w:val="bottom"/>
          </w:tcPr>
          <w:p>
            <w:pPr>
              <w:jc w:val="right"/>
              <w:ind w:right="2494"/>
              <w:spacing w:after="0"/>
              <w:rPr>
                <w:sz w:val="20"/>
                <w:szCs w:val="20"/>
                <w:color w:val="auto"/>
              </w:rPr>
            </w:pPr>
            <w:r>
              <w:rPr>
                <w:rFonts w:ascii="Arial" w:cs="Arial" w:eastAsia="Arial" w:hAnsi="Arial"/>
                <w:sz w:val="14"/>
                <w:szCs w:val="14"/>
                <w:color w:val="auto"/>
              </w:rPr>
              <w:t>34</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36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share-based compensation expense for the Company’s RSUs recorded for the three and six months ended June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244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3,940</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June 30, 2021 and 2020, cumulative compensation expense recognized for forfeited RSU awards of $57 and $488, respectively, was reversed. For the six months ended June 30, 2021 and 2020, cumulative compensation expense recognized for forfeited RSU awards of $57 and $549, respectively, was reversed. The Company recognizes the income tax benefits resulting from vesting of RSUs in the period of vesting, to the extent the compensation expense has been recognized.</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June 30, 2021, the Company had 695,279 non-vested RSUs subject to service conditions and had unrecognized compensation costs of approximately $4,489. The non-vested RSUs will vest over a period from ten months to three years following the grant date. The weighted-average remaining vesting period of non-vested RSUs totaled 0.76 years as of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(“PSUs”)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first quarter of 2020 and 2021, the Company granted PSUs to certain employees and non-employees that contain a performance condition. Vesting will be determined based on achievement of a performance metric for the year subsequent to the grant, and the number of shares that will vest can range from zero to a multiple of units granted. As of June 30, 2021, the Company determined that it was not probable that the performance condition required for any of the PSUs to vest would be achieved, and as such, no compensation expense has been recognized in the condensed consolidated statements of operations and comprehensive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Unrecognized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Compensation</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Remaining Vesting</w:t>
            </w:r>
          </w:p>
        </w:tc>
      </w:tr>
      <w:tr>
        <w:trPr>
          <w:trHeight w:val="277"/>
        </w:trPr>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PSUs Granted</w:t>
            </w:r>
          </w:p>
        </w:tc>
        <w:tc>
          <w:tcPr>
            <w:tcW w:w="2480" w:type="dxa"/>
            <w:vAlign w:val="bottom"/>
            <w:gridSpan w:val="2"/>
          </w:tcPr>
          <w:p>
            <w:pPr>
              <w:ind w:left="580"/>
              <w:spacing w:after="0"/>
              <w:rPr>
                <w:sz w:val="20"/>
                <w:szCs w:val="20"/>
                <w:color w:val="auto"/>
              </w:rPr>
            </w:pPr>
            <w:r>
              <w:rPr>
                <w:rFonts w:ascii="Arial" w:cs="Arial" w:eastAsia="Arial" w:hAnsi="Arial"/>
                <w:sz w:val="18"/>
                <w:szCs w:val="18"/>
                <w:b w:val="1"/>
                <w:bCs w:val="1"/>
                <w:color w:val="auto"/>
              </w:rPr>
              <w:t>Units Granted</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Range of Vesting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1"/>
              </w:rPr>
              <w:t>Cost</w:t>
            </w:r>
            <w:r>
              <w:rPr>
                <w:rFonts w:ascii="Arial" w:cs="Arial" w:eastAsia="Arial" w:hAnsi="Arial"/>
                <w:sz w:val="29"/>
                <w:szCs w:val="29"/>
                <w:b w:val="1"/>
                <w:bCs w:val="1"/>
                <w:color w:val="auto"/>
                <w:w w:val="81"/>
                <w:vertAlign w:val="superscript"/>
              </w:rPr>
              <w:t>(1)</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16"/>
        </w:trPr>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Q1 2020</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1,109,777</w:t>
            </w:r>
          </w:p>
        </w:tc>
        <w:tc>
          <w:tcPr>
            <w:tcW w:w="24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 to 2,219,554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30,511</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0.50 years</w:t>
            </w:r>
          </w:p>
        </w:tc>
      </w:tr>
      <w:tr>
        <w:trPr>
          <w:trHeight w:val="230"/>
        </w:trPr>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Q1 2021</w:t>
            </w:r>
          </w:p>
        </w:tc>
        <w:tc>
          <w:tcPr>
            <w:tcW w:w="2240" w:type="dxa"/>
            <w:vAlign w:val="bottom"/>
          </w:tcPr>
          <w:p>
            <w:pPr>
              <w:jc w:val="right"/>
              <w:ind w:right="710"/>
              <w:spacing w:after="0"/>
              <w:rPr>
                <w:sz w:val="20"/>
                <w:szCs w:val="20"/>
                <w:color w:val="auto"/>
              </w:rPr>
            </w:pPr>
            <w:r>
              <w:rPr>
                <w:rFonts w:ascii="Arial" w:cs="Arial" w:eastAsia="Arial" w:hAnsi="Arial"/>
                <w:sz w:val="18"/>
                <w:szCs w:val="18"/>
                <w:color w:val="auto"/>
              </w:rPr>
              <w:t>400,507</w:t>
            </w:r>
          </w:p>
        </w:tc>
        <w:tc>
          <w:tcPr>
            <w:tcW w:w="24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0 to 801,014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32,104</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1.50 years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Unrecognized compensation cost is based upon the maximum amount of shares that could vest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$1,794 and $1,914 for the three months ended June 30, 2021 and 2020, respectively, and $3,721 and $4,145 for the six months ended June 30, 2021 and 2020, respectively. Costs associated with the Administrative Agreement are included within Selling, general and administrative in the condensed consolidated statements of operations and comprehensive loss. As of June 30, 2021 and December 31, 2020, $3,373 and $5,535 were due to Fortress, respectively.</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administrative services, an affiliate of Fortress owns and leases an aircraft chartered by the Company for business purposes in the course of operations. The Company incurred, at aircraft operator market rates, charter costs of $1,340 and $45 for the three months ended June 30, 2021 and 2020, respectively, and $2,949 and $1,284 for the six months ended June 30, 2021 and 2020. As of June 30, 2021 and December 31, 2020, $1,211 and $472 was due to this affiliate,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lease</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has leased land from Florida East Coast Industries, LLC (“FECI”), which is controlled by funds managed by an affiliate of Fortress. The Company recognized expense related to the land lease of $103 and $103 during the three months ended June 30, 2021 and 2020, respectively, and $229 and $206 during the six months ended June 30, 2021 and 2020, respectively, which was included within Operations and maintenance in the condensed consolidated statements of operations and comprehensive loss. As of June 30, 2021 and December 31, 2020, $0 and $316 was due to FECI, respectively. As of June 30, 2021, the Company has recorded a lease liability of $3,329 within Non-current lease liabilities on the condensed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DevTech investment</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As of June 30, 2021 and December 31, 2020, $608 and $715 was owed to DevTech on the note payable, and the outstanding note payable due to DevTech is included in Other long-term liabilities on the condensed consolidated balance sheets. The interest expense on the note payable due to DevTech was $8 and $19 for the three months ended June 30, 2021 and 2020, respectively, and $29 and $38 for the six months ended June 30, 2021 and 2020, respectively. No interest has been paid, and accrued interest has been recognized within Other current liabilities on the condensed consolidated balance sheets. As of June 30, 2021 and December 31, 2020, $0 and $343 was due from DevTech.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Fortress affiliated entities</w:t>
      </w:r>
    </w:p>
    <w:p>
      <w:pPr>
        <w:spacing w:after="0" w:line="252"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Since 2017, the Company has provided certain administrative services to related parties including Fortress affiliated entities. As of June 30, 2021 and December 31, 2020, $265 and $1,334 were due from affiliates, respectively. There are no costs incurred by the Company as the Company is fully reimbursed for all costs incurred. Beginning in the fourth quarter of 2020, the Company began to sublease a portion of office space to an affiliate of an entity managed by Fortress, and for the three and six months ended June 30, 2021, $241 and $394, respectively, of rent and office related expenses were incurred by this affiliate. As of June 30, 2021 and December 31, 2020, $394 and $204 were due from this affiliate, respectively.</w:t>
      </w:r>
    </w:p>
    <w:p>
      <w:pPr>
        <w:spacing w:after="0" w:line="18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$674 and $0 for the three months ended June 30, 2021 and 2020, respectively, and $1,477 and $849 for the six months ended June 30, 2021 and 2020. As of June 30, 2021 and December 31, 2020, $1,476 and $2,657 were due to Fortress affiliated entities,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Agency agreement with PT Pesona Sentra Utama (or PT Pesona)</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PT Pesona, an Indonesian company owns 51% of the issued share capital in the Company’s subsidiary, PTGI, the owner and operator of </w:t>
      </w:r>
      <w:r>
        <w:rPr>
          <w:rFonts w:ascii="Arial" w:cs="Arial" w:eastAsia="Arial" w:hAnsi="Arial"/>
          <w:sz w:val="18"/>
          <w:szCs w:val="18"/>
          <w:i w:val="1"/>
          <w:iCs w:val="1"/>
          <w:color w:val="auto"/>
        </w:rPr>
        <w:t>NR Satu</w:t>
      </w:r>
      <w:r>
        <w:rPr>
          <w:rFonts w:ascii="Arial" w:cs="Arial" w:eastAsia="Arial" w:hAnsi="Arial"/>
          <w:sz w:val="18"/>
          <w:szCs w:val="18"/>
          <w:color w:val="auto"/>
        </w:rPr>
        <w:t xml:space="preserve">, and provides agency and local representation services for the Company with respect to </w:t>
      </w:r>
      <w:r>
        <w:rPr>
          <w:rFonts w:ascii="Arial" w:cs="Arial" w:eastAsia="Arial" w:hAnsi="Arial"/>
          <w:sz w:val="18"/>
          <w:szCs w:val="18"/>
          <w:i w:val="1"/>
          <w:iCs w:val="1"/>
          <w:color w:val="auto"/>
        </w:rPr>
        <w:t>NR Satu</w:t>
      </w:r>
      <w:r>
        <w:rPr>
          <w:rFonts w:ascii="Arial" w:cs="Arial" w:eastAsia="Arial" w:hAnsi="Arial"/>
          <w:sz w:val="18"/>
          <w:szCs w:val="18"/>
          <w:color w:val="auto"/>
        </w:rPr>
        <w:t>. During the period after the Mergers, PT Pesona did not receive any agency fees. PT Pesona and certain of its subsidiaries also charged vessel management fees to the Company for the provision of technical and commercial management of the vessels amounting to $126 for period after the Mergers.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guarantees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GMLP Merger, the Company agreed to assume a guarantee (the “Partnership Guarantee”) of 50% of the outstanding principal and interest amounts payable by Hilli Corp under the Hilli Leaseback. The Company also assumed a guarantee of the letter of credit (“LOC Guarantee”) issued by a financial institution in the event of Hilli Corp’s underperformance or non-performance under the LTA. Under the LOC Guarantee, the Company is severally liable for any outstanding amounts that are payable, up to approximately $19,000.</w:t>
      </w: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Subsequent to the GMLP Merger, under the Partnership Guarantee and the LOC Guarantee NFE’s subsidiary, GMLP, is required to comply with the following covenants and ratios:</w:t>
      </w:r>
    </w:p>
    <w:p>
      <w:pPr>
        <w:spacing w:after="0" w:line="197" w:lineRule="exact"/>
        <w:rPr>
          <w:sz w:val="20"/>
          <w:szCs w:val="20"/>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free liquid assets of at least $30 million throughout the Hilli Leaseback period;</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maximum net debt to EBITDA ratio for the previous 12 months of 6.5:1;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consolidated tangible net worth of $123.95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of June 30, 2021, the amount the Company has guaranteed under the Partnership Guarantee and the LOC Guarantee is $372,750, and the fair value of debt guarantee after amortization, presented under Other current liabilities and Other non-current liabilities on the condensed consolidated balance sheet, amounted to $2,469 and $7,960, respectively. As of June 30, 2021 the Company was in compliance with the covenants and ratios for both Hilli guarantees.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GLNG management and services agreements</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connection with the closing of the Mergers, the Company entered into multiple agreements with Golar Management Limited, a subsidiary of GLNG (“Golar Management”), including omnibus agreements, transition services agreements, ship management agreements and other services agreements described as follows:</w:t>
      </w:r>
    </w:p>
    <w:p>
      <w:pPr>
        <w:spacing w:after="0" w:line="211" w:lineRule="exact"/>
        <w:rPr>
          <w:sz w:val="20"/>
          <w:szCs w:val="20"/>
          <w:color w:val="auto"/>
        </w:rPr>
      </w:pPr>
    </w:p>
    <w:p>
      <w:pPr>
        <w:ind w:left="500" w:right="260" w:hanging="492"/>
        <w:spacing w:after="0" w:line="27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Golar Management entered into transition service agreements whereby Golar Management provides certain administrative and consulting services to facilitate the integration of GMLP and Hygo (the “Transition Services Agreements”). The Transition Services Agreements commenced on April 15, 2021 and will terminate on April 30, 2022 unless terminated earlier by either party. The Company will pay Golar Management monthly payments of $250 and will reimburse Golar Management for all reasonable and documented out-of-pocket expenses or remittances of funds paid to a third party in connection with the provision of the Transition Services.</w:t>
      </w:r>
    </w:p>
    <w:p>
      <w:pPr>
        <w:spacing w:after="0" w:line="203" w:lineRule="exact"/>
        <w:rPr>
          <w:rFonts w:ascii="Arial" w:cs="Arial" w:eastAsia="Arial" w:hAnsi="Arial"/>
          <w:sz w:val="17"/>
          <w:szCs w:val="17"/>
          <w:color w:val="auto"/>
        </w:rPr>
      </w:pPr>
    </w:p>
    <w:p>
      <w:pPr>
        <w:ind w:left="500" w:right="260" w:hanging="492"/>
        <w:spacing w:after="0" w:line="27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Company’s vessel-owning subsidiaries entered into ship management agreements with Golar Management (the “Ship Management Agreements”), pursuant to which Golar Management will provide certain technical, crew, insurance and commercial management services for the acquired vessels for a specified annual cost per vessel. The Ship Management Agreements commenced on April 15, 2021 will continue until terminated by either party by notice, in which event the relevant Ship Management Agreements will terminate upon the later of 12 months after April 15, 2021 or two months from the date on which such notice is received.</w:t>
      </w:r>
    </w:p>
    <w:p>
      <w:pPr>
        <w:spacing w:after="0" w:line="203" w:lineRule="exact"/>
        <w:rPr>
          <w:rFonts w:ascii="Arial" w:cs="Arial" w:eastAsia="Arial" w:hAnsi="Arial"/>
          <w:sz w:val="17"/>
          <w:szCs w:val="17"/>
          <w:color w:val="auto"/>
        </w:rPr>
      </w:pPr>
    </w:p>
    <w:p>
      <w:pPr>
        <w:jc w:val="both"/>
        <w:ind w:left="500" w:right="180" w:hanging="492"/>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also entered into certain agreements whereby GLNG or its subsidiaries will continue to provide certain guarantees and indemnities under charter arrangements or GMLP’s and Hygo’s sale leaseback agreements. NFE will pay to the relevant Charter Guarantor or Golar an annual guarantee fee of $250 per vessel (pro-rated for the number of days in the year during which such relevant GP Parent or Golar Guarantee and/or GP LC Counter-indemnity is outstanding).</w:t>
      </w:r>
    </w:p>
    <w:p>
      <w:pPr>
        <w:spacing w:after="0" w:line="213" w:lineRule="exact"/>
        <w:rPr>
          <w:rFonts w:ascii="Arial" w:cs="Arial" w:eastAsia="Arial" w:hAnsi="Arial"/>
          <w:sz w:val="18"/>
          <w:szCs w:val="18"/>
          <w:color w:val="auto"/>
        </w:rPr>
      </w:pPr>
    </w:p>
    <w:p>
      <w:pPr>
        <w:ind w:left="500" w:hanging="492"/>
        <w:spacing w:after="0" w:line="273"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Golar Management (Bermuda) Limited (“Golar Bermuda”) entered into a services agreement (the “Bermuda Services Agreement”) pursuant to which Golar Bermuda will act as GMLP’s and Hygo's registered office in Bermuda and provide certain corporate secretarial, registrar and administration services (the “Bermuda Services Agreements”). The Bermuda Services Agreements commenced on April 15, 2021. Either party may terminate the Bermuda Services Agreements upon 30 days’ prior written notice. Golar Partners and Hygo will pay Golar Bermuda an aggregate annual fee of $50 for the Bermuda services and will reimburse Golar Bermuda for all incidental documented costs and expenses reasonably incurred by Golar Bermuda and its designees in connection with the provision of the Bermuda services.</w:t>
      </w:r>
    </w:p>
    <w:p>
      <w:pPr>
        <w:spacing w:after="0" w:line="20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the period subsequent to the completion of the Mergers, the Company incurred $3,100 in management, services or guarantee fees under these agreements with GLNG, Golar Management or GLNG affiliated entities. Of the $3,100 incurred, $1,911 and $1,189 were recorded in Vessel operating expenses and Selling, general and administrative,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operates in two reportable segments: Terminals and Infrastructure and Ships:</w:t>
      </w:r>
    </w:p>
    <w:p>
      <w:pPr>
        <w:spacing w:after="0" w:line="252"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Terminals and Infrastructure includes the Company’s vertically integrated gas to power solutions, spanning the entire production and delivery chain from natural gas procurement and liquefaction to logistics, shipping, facilities and conversion or development of natural gas-fired power generation. Leased vessels as well as acquired vessels that are utilized in the Company’s terminal or logistics operations are included in this segment.</w:t>
      </w:r>
    </w:p>
    <w:p>
      <w:pPr>
        <w:spacing w:after="0" w:line="213" w:lineRule="exact"/>
        <w:rPr>
          <w:rFonts w:ascii="Arial" w:cs="Arial" w:eastAsia="Arial" w:hAnsi="Arial"/>
          <w:sz w:val="18"/>
          <w:szCs w:val="18"/>
          <w:color w:val="auto"/>
        </w:rPr>
      </w:pPr>
    </w:p>
    <w:p>
      <w:pPr>
        <w:ind w:left="660" w:right="400" w:hanging="328"/>
        <w:spacing w:after="0" w:line="30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Ships includes FSRUs and LNG carriers that are leased to customers under long-term or spot arrangements. FSRUs are stationed offshore for customer’s operations to regasify LNG; six of the FSRUs acquired in the Mergers are included in this segment, including the </w:t>
      </w:r>
      <w:r>
        <w:rPr>
          <w:rFonts w:ascii="Arial" w:cs="Arial" w:eastAsia="Arial" w:hAnsi="Arial"/>
          <w:sz w:val="16"/>
          <w:szCs w:val="16"/>
          <w:i w:val="1"/>
          <w:iCs w:val="1"/>
          <w:color w:val="auto"/>
        </w:rPr>
        <w:t>Nanook</w:t>
      </w:r>
      <w:r>
        <w:rPr>
          <w:rFonts w:ascii="Arial" w:cs="Arial" w:eastAsia="Arial" w:hAnsi="Arial"/>
          <w:sz w:val="16"/>
          <w:szCs w:val="16"/>
          <w:color w:val="auto"/>
        </w:rPr>
        <w:t>. LNG carriers are vessels that transport LNG and are compatible with many LNG loading and receiving terminals globally. Six of the LNG carriers acquired in the Mergers are included in this segment. The Company’s investment in Hilli LLC is also included in the Ships segment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CODM uses Segment Operating Margin to evaluate the performance of the segments and allocate resources. Segment Operating Margin is defined as the segment's revenue less cost of sales less operations and maintenance less vessel operating expenses. Terminals and Infrastructure Segment Operating Margin includes our effective share of revenue, expenses and operating margin attributable to our 50% ownership of CELSEPAR. Ships Operating Margin includes our effective share of revenue, expenses and Operating Margin attributable to our ownership of 50% of the common units of Hilli LLC.</w:t>
      </w:r>
    </w:p>
    <w:p>
      <w:pPr>
        <w:spacing w:after="0" w:line="184"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Management considers Segment Operating Margin to be the appropriate metric to evaluate and compare the ongoing operating performance of our segments on a consistent basis across reporting periods as it eliminates the effect of items which we do not believe are indicative of each segment's operating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segment information for the three and six months ended June 30,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90"/>
              </w:rPr>
              <w:t>Three Months Ended June 30, 2021</w:t>
            </w: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34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rPr>
              <w:t>Infrastructure</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60" w:type="dxa"/>
            <w:vAlign w:val="bottom"/>
          </w:tcPr>
          <w:p>
            <w:pPr>
              <w:spacing w:after="0"/>
              <w:rPr>
                <w:sz w:val="18"/>
                <w:szCs w:val="18"/>
                <w:color w:val="auto"/>
              </w:rPr>
            </w:pPr>
          </w:p>
        </w:tc>
        <w:tc>
          <w:tcPr>
            <w:tcW w:w="1060" w:type="dxa"/>
            <w:vAlign w:val="bottom"/>
            <w:vMerge w:val="restart"/>
          </w:tcPr>
          <w:p>
            <w:pPr>
              <w:jc w:val="center"/>
              <w:ind w:right="170"/>
              <w:spacing w:after="0" w:line="207" w:lineRule="exact"/>
              <w:rPr>
                <w:sz w:val="20"/>
                <w:szCs w:val="20"/>
                <w:color w:val="auto"/>
              </w:rPr>
            </w:pPr>
            <w:r>
              <w:rPr>
                <w:rFonts w:ascii="Arial" w:cs="Arial" w:eastAsia="Arial" w:hAnsi="Arial"/>
                <w:sz w:val="18"/>
                <w:szCs w:val="18"/>
                <w:b w:val="1"/>
                <w:bCs w:val="1"/>
                <w:color w:val="auto"/>
                <w:w w:val="89"/>
              </w:rPr>
              <w:t>Ships</w:t>
            </w: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²</w:t>
            </w: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³</w:t>
            </w:r>
            <w:r>
              <w:rPr>
                <w:rFonts w:ascii="MS PGothic" w:cs="MS PGothic" w:eastAsia="MS PGothic" w:hAnsi="MS PGothic"/>
                <w:sz w:val="18"/>
                <w:szCs w:val="18"/>
                <w:color w:val="auto"/>
                <w:w w:val="89"/>
              </w:rPr>
              <w: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2"/>
            <w:vMerge w:val="restart"/>
          </w:tcPr>
          <w:p>
            <w:pPr>
              <w:ind w:left="100"/>
              <w:spacing w:after="0" w:line="207" w:lineRule="exact"/>
              <w:rPr>
                <w:sz w:val="20"/>
                <w:szCs w:val="20"/>
                <w:color w:val="auto"/>
              </w:rPr>
            </w:pPr>
            <w:r>
              <w:rPr>
                <w:rFonts w:ascii="Arial" w:cs="Arial" w:eastAsia="Arial" w:hAnsi="Arial"/>
                <w:sz w:val="18"/>
                <w:szCs w:val="18"/>
                <w:b w:val="1"/>
                <w:bCs w:val="1"/>
                <w:color w:val="auto"/>
              </w:rPr>
              <w:t>Eliminations</w:t>
            </w:r>
            <w:r>
              <w:rPr>
                <w:rFonts w:ascii="MS PGothic" w:cs="MS PGothic" w:eastAsia="MS PGothic" w:hAnsi="MS PGothic"/>
                <w:sz w:val="18"/>
                <w:szCs w:val="18"/>
                <w:color w:val="auto"/>
                <w:highlight w:val="black"/>
              </w:rPr>
              <w:t>⁽⁴⁾</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33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Total Segment</w:t>
            </w:r>
          </w:p>
        </w:tc>
        <w:tc>
          <w:tcPr>
            <w:tcW w:w="1360" w:type="dxa"/>
            <w:vAlign w:val="bottom"/>
            <w:tcBorders>
              <w:bottom w:val="single" w:sz="8" w:color="auto"/>
            </w:tcBorders>
            <w:gridSpan w:val="2"/>
            <w:vMerge w:val="continue"/>
          </w:tcPr>
          <w:p>
            <w:pPr>
              <w:spacing w:after="0"/>
              <w:rPr>
                <w:sz w:val="23"/>
                <w:szCs w:val="23"/>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181,548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95,762</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277,310</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9"/>
              </w:rPr>
              <w:t>(53,471)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223,839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103,451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103,451</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101,430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20,175</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20,175</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(4,775)</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23,644</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23,644</w:t>
            </w:r>
          </w:p>
        </w:tc>
        <w:tc>
          <w:tcPr>
            <w:tcW w:w="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18,565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54,453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75,587</w:t>
            </w:r>
          </w:p>
        </w:tc>
        <w:tc>
          <w:tcPr>
            <w:tcW w:w="3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130,040</w:t>
            </w: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9"/>
              </w:rPr>
              <w:t>(41,596)</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88,444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⁽⁵⁾</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1,917,701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4,474,374</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6,392,075</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6,392,075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0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⁽⁵⁾</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210,790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212,190</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212,190</w:t>
            </w:r>
          </w:p>
        </w:tc>
        <w:tc>
          <w:tcPr>
            <w:tcW w:w="0" w:type="dxa"/>
            <w:vAlign w:val="bottom"/>
          </w:tcPr>
          <w:p>
            <w:pPr>
              <w:spacing w:after="0"/>
              <w:rPr>
                <w:sz w:val="1"/>
                <w:szCs w:val="1"/>
                <w:color w:val="auto"/>
              </w:rPr>
            </w:pPr>
          </w:p>
        </w:tc>
      </w:tr>
      <w:tr>
        <w:trPr>
          <w:trHeight w:val="399"/>
        </w:trPr>
        <w:tc>
          <w:tcPr>
            <w:tcW w:w="4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w w:val="89"/>
              </w:rPr>
              <w:t>Six Months Ended June 30, 2021</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34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rPr>
              <w:t>Infrastructure</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60" w:type="dxa"/>
            <w:vAlign w:val="bottom"/>
          </w:tcPr>
          <w:p>
            <w:pPr>
              <w:spacing w:after="0"/>
              <w:rPr>
                <w:sz w:val="18"/>
                <w:szCs w:val="18"/>
                <w:color w:val="auto"/>
              </w:rPr>
            </w:pPr>
          </w:p>
        </w:tc>
        <w:tc>
          <w:tcPr>
            <w:tcW w:w="1060" w:type="dxa"/>
            <w:vAlign w:val="bottom"/>
            <w:vMerge w:val="restart"/>
          </w:tcPr>
          <w:p>
            <w:pPr>
              <w:jc w:val="center"/>
              <w:ind w:right="170"/>
              <w:spacing w:after="0" w:line="207" w:lineRule="exact"/>
              <w:rPr>
                <w:sz w:val="20"/>
                <w:szCs w:val="20"/>
                <w:color w:val="auto"/>
              </w:rPr>
            </w:pPr>
            <w:r>
              <w:rPr>
                <w:rFonts w:ascii="Arial" w:cs="Arial" w:eastAsia="Arial" w:hAnsi="Arial"/>
                <w:sz w:val="18"/>
                <w:szCs w:val="18"/>
                <w:b w:val="1"/>
                <w:bCs w:val="1"/>
                <w:color w:val="auto"/>
                <w:w w:val="89"/>
              </w:rPr>
              <w:t>Ships</w:t>
            </w: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²</w:t>
            </w: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³</w:t>
            </w:r>
            <w:r>
              <w:rPr>
                <w:rFonts w:ascii="MS PGothic" w:cs="MS PGothic" w:eastAsia="MS PGothic" w:hAnsi="MS PGothic"/>
                <w:sz w:val="18"/>
                <w:szCs w:val="18"/>
                <w:color w:val="auto"/>
                <w:w w:val="89"/>
              </w:rPr>
              <w: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2"/>
            <w:vMerge w:val="restart"/>
          </w:tcPr>
          <w:p>
            <w:pPr>
              <w:ind w:left="100"/>
              <w:spacing w:after="0" w:line="207" w:lineRule="exact"/>
              <w:rPr>
                <w:sz w:val="20"/>
                <w:szCs w:val="20"/>
                <w:color w:val="auto"/>
              </w:rPr>
            </w:pPr>
            <w:r>
              <w:rPr>
                <w:rFonts w:ascii="Arial" w:cs="Arial" w:eastAsia="Arial" w:hAnsi="Arial"/>
                <w:sz w:val="18"/>
                <w:szCs w:val="18"/>
                <w:b w:val="1"/>
                <w:bCs w:val="1"/>
                <w:color w:val="auto"/>
              </w:rPr>
              <w:t>Eliminations</w:t>
            </w:r>
            <w:r>
              <w:rPr>
                <w:rFonts w:ascii="MS PGothic" w:cs="MS PGothic" w:eastAsia="MS PGothic" w:hAnsi="MS PGothic"/>
                <w:sz w:val="18"/>
                <w:szCs w:val="18"/>
                <w:color w:val="auto"/>
                <w:highlight w:val="black"/>
              </w:rPr>
              <w:t>⁽⁴⁾</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33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Total Segment</w:t>
            </w:r>
          </w:p>
        </w:tc>
        <w:tc>
          <w:tcPr>
            <w:tcW w:w="1360" w:type="dxa"/>
            <w:vAlign w:val="bottom"/>
            <w:tcBorders>
              <w:bottom w:val="single" w:sz="8" w:color="auto"/>
            </w:tcBorders>
            <w:gridSpan w:val="2"/>
            <w:vMerge w:val="continue"/>
          </w:tcPr>
          <w:p>
            <w:pPr>
              <w:spacing w:after="0"/>
              <w:rPr>
                <w:sz w:val="23"/>
                <w:szCs w:val="23"/>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327,232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95,762</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422,994</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9"/>
              </w:rPr>
              <w:t>(53,471)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369,523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200,122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200,122</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198,101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20,175</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20,175</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(4,775)</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39,895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39,895</w:t>
            </w:r>
          </w:p>
        </w:tc>
        <w:tc>
          <w:tcPr>
            <w:tcW w:w="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34,816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87,215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75,587</w:t>
            </w:r>
          </w:p>
        </w:tc>
        <w:tc>
          <w:tcPr>
            <w:tcW w:w="3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162,802</w:t>
            </w: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9"/>
              </w:rPr>
              <w:t>(41,596)</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121,206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⁽⁵⁾</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1,917,701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4,474,374</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6,392,075</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6,392,075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0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⁽⁵⁾</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316,551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317,951</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317,951</w:t>
            </w:r>
          </w:p>
        </w:tc>
        <w:tc>
          <w:tcPr>
            <w:tcW w:w="0" w:type="dxa"/>
            <w:vAlign w:val="bottom"/>
          </w:tcPr>
          <w:p>
            <w:pPr>
              <w:spacing w:after="0"/>
              <w:rPr>
                <w:sz w:val="1"/>
                <w:szCs w:val="1"/>
                <w:color w:val="auto"/>
              </w:rPr>
            </w:pPr>
          </w:p>
        </w:tc>
      </w:tr>
      <w:tr>
        <w:trPr>
          <w:trHeight w:val="399"/>
        </w:trPr>
        <w:tc>
          <w:tcPr>
            <w:tcW w:w="4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90"/>
              </w:rPr>
              <w:t>Three Months Ended June 30, 2020</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34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rPr>
              <w:t>Infrastructure</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60" w:type="dxa"/>
            <w:vAlign w:val="bottom"/>
          </w:tcPr>
          <w:p>
            <w:pPr>
              <w:spacing w:after="0"/>
              <w:rPr>
                <w:sz w:val="18"/>
                <w:szCs w:val="18"/>
                <w:color w:val="auto"/>
              </w:rPr>
            </w:pPr>
          </w:p>
        </w:tc>
        <w:tc>
          <w:tcPr>
            <w:tcW w:w="1060" w:type="dxa"/>
            <w:vAlign w:val="bottom"/>
            <w:vMerge w:val="restart"/>
          </w:tcPr>
          <w:p>
            <w:pPr>
              <w:jc w:val="center"/>
              <w:ind w:right="170"/>
              <w:spacing w:after="0" w:line="207" w:lineRule="exact"/>
              <w:rPr>
                <w:sz w:val="20"/>
                <w:szCs w:val="20"/>
                <w:color w:val="auto"/>
              </w:rPr>
            </w:pPr>
            <w:r>
              <w:rPr>
                <w:rFonts w:ascii="Arial" w:cs="Arial" w:eastAsia="Arial" w:hAnsi="Arial"/>
                <w:sz w:val="18"/>
                <w:szCs w:val="18"/>
                <w:b w:val="1"/>
                <w:bCs w:val="1"/>
                <w:color w:val="auto"/>
                <w:w w:val="89"/>
              </w:rPr>
              <w:t>Ships</w:t>
            </w: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²</w:t>
            </w: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³</w:t>
            </w:r>
            <w:r>
              <w:rPr>
                <w:rFonts w:ascii="MS PGothic" w:cs="MS PGothic" w:eastAsia="MS PGothic" w:hAnsi="MS PGothic"/>
                <w:sz w:val="18"/>
                <w:szCs w:val="18"/>
                <w:color w:val="auto"/>
                <w:w w:val="89"/>
              </w:rPr>
              <w:t>⁾</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2"/>
            <w:vMerge w:val="restart"/>
          </w:tcPr>
          <w:p>
            <w:pPr>
              <w:ind w:left="100"/>
              <w:spacing w:after="0" w:line="207" w:lineRule="exact"/>
              <w:rPr>
                <w:sz w:val="20"/>
                <w:szCs w:val="20"/>
                <w:color w:val="auto"/>
              </w:rPr>
            </w:pPr>
            <w:r>
              <w:rPr>
                <w:rFonts w:ascii="Arial" w:cs="Arial" w:eastAsia="Arial" w:hAnsi="Arial"/>
                <w:sz w:val="18"/>
                <w:szCs w:val="18"/>
                <w:b w:val="1"/>
                <w:bCs w:val="1"/>
                <w:color w:val="auto"/>
              </w:rPr>
              <w:t>Eliminations</w:t>
            </w:r>
            <w:r>
              <w:rPr>
                <w:rFonts w:ascii="MS PGothic" w:cs="MS PGothic" w:eastAsia="MS PGothic" w:hAnsi="MS PGothic"/>
                <w:sz w:val="18"/>
                <w:szCs w:val="18"/>
                <w:color w:val="auto"/>
                <w:highlight w:val="black"/>
              </w:rPr>
              <w:t>⁽⁴⁾</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33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Total Segment</w:t>
            </w:r>
          </w:p>
        </w:tc>
        <w:tc>
          <w:tcPr>
            <w:tcW w:w="1360" w:type="dxa"/>
            <w:vAlign w:val="bottom"/>
            <w:tcBorders>
              <w:bottom w:val="single" w:sz="8" w:color="auto"/>
            </w:tcBorders>
            <w:gridSpan w:val="2"/>
            <w:vMerge w:val="continue"/>
          </w:tcPr>
          <w:p>
            <w:pPr>
              <w:spacing w:after="0"/>
              <w:rPr>
                <w:sz w:val="23"/>
                <w:szCs w:val="23"/>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94,566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94,566</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94,566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69,899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69,899</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69,899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15,167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15,167</w:t>
            </w: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15,167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⁽⁵⁾</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1,421,513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1,421,513</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1,421,513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0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⁽⁵⁾</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16,241</w:t>
            </w:r>
          </w:p>
        </w:tc>
        <w:tc>
          <w:tcPr>
            <w:tcW w:w="2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16,241</w:t>
            </w:r>
          </w:p>
        </w:tc>
        <w:tc>
          <w:tcPr>
            <w:tcW w:w="6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399"/>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b w:val="1"/>
                <w:bCs w:val="1"/>
                <w:color w:val="auto"/>
                <w:w w:val="89"/>
              </w:rPr>
              <w:t>Six Months Ended June 30, 2020</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center"/>
              <w:ind w:right="1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60" w:type="dxa"/>
            <w:vAlign w:val="bottom"/>
          </w:tcPr>
          <w:p>
            <w:pPr>
              <w:spacing w:after="0"/>
              <w:rPr>
                <w:sz w:val="14"/>
                <w:szCs w:val="14"/>
                <w:color w:val="auto"/>
              </w:rPr>
            </w:pPr>
          </w:p>
        </w:tc>
        <w:tc>
          <w:tcPr>
            <w:tcW w:w="1060" w:type="dxa"/>
            <w:vAlign w:val="bottom"/>
            <w:vMerge w:val="restart"/>
          </w:tcPr>
          <w:p>
            <w:pPr>
              <w:jc w:val="center"/>
              <w:ind w:right="130"/>
              <w:spacing w:after="0" w:line="207" w:lineRule="exact"/>
              <w:rPr>
                <w:sz w:val="20"/>
                <w:szCs w:val="20"/>
                <w:color w:val="auto"/>
              </w:rPr>
            </w:pPr>
            <w:r>
              <w:rPr>
                <w:rFonts w:ascii="Arial" w:cs="Arial" w:eastAsia="Arial" w:hAnsi="Arial"/>
                <w:sz w:val="18"/>
                <w:szCs w:val="18"/>
                <w:b w:val="1"/>
                <w:bCs w:val="1"/>
                <w:color w:val="auto"/>
                <w:w w:val="89"/>
              </w:rPr>
              <w:t>Ships</w:t>
            </w:r>
            <w:r>
              <w:rPr>
                <w:rFonts w:ascii="MS PGothic" w:cs="MS PGothic" w:eastAsia="MS PGothic" w:hAnsi="MS PGothic"/>
                <w:sz w:val="18"/>
                <w:szCs w:val="18"/>
                <w:color w:val="auto"/>
                <w:w w:val="89"/>
              </w:rPr>
              <w:t>⁽</w:t>
            </w:r>
            <w:r>
              <w:rPr>
                <w:rFonts w:ascii="Arial" w:cs="Arial" w:eastAsia="Arial" w:hAnsi="Arial"/>
                <w:sz w:val="18"/>
                <w:szCs w:val="18"/>
                <w:b w:val="1"/>
                <w:bCs w:val="1"/>
                <w:color w:val="auto"/>
                <w:w w:val="89"/>
              </w:rPr>
              <w:t>²</w:t>
            </w:r>
            <w:r>
              <w:rPr>
                <w:rFonts w:ascii="MS PGothic" w:cs="MS PGothic" w:eastAsia="MS PGothic" w:hAnsi="MS PGothic"/>
                <w:sz w:val="18"/>
                <w:szCs w:val="18"/>
                <w:color w:val="auto"/>
                <w:w w:val="89"/>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vMerge w:val="restart"/>
          </w:tcPr>
          <w:p>
            <w:pPr>
              <w:ind w:left="120"/>
              <w:spacing w:after="0" w:line="207" w:lineRule="exact"/>
              <w:rPr>
                <w:sz w:val="20"/>
                <w:szCs w:val="20"/>
                <w:color w:val="auto"/>
              </w:rPr>
            </w:pPr>
            <w:r>
              <w:rPr>
                <w:rFonts w:ascii="Arial" w:cs="Arial" w:eastAsia="Arial" w:hAnsi="Arial"/>
                <w:sz w:val="18"/>
                <w:szCs w:val="18"/>
                <w:b w:val="1"/>
                <w:bCs w:val="1"/>
                <w:color w:val="auto"/>
              </w:rPr>
              <w:t>Eliminations</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b w:val="1"/>
                <w:bCs w:val="1"/>
                <w:color w:val="auto"/>
                <w:w w:val="99"/>
              </w:rPr>
              <w:t>Infrastructure</w:t>
            </w:r>
            <w:r>
              <w:rPr>
                <w:rFonts w:ascii="MS PGothic" w:cs="MS PGothic" w:eastAsia="MS PGothic" w:hAnsi="MS PGothic"/>
                <w:sz w:val="18"/>
                <w:szCs w:val="18"/>
                <w:color w:val="auto"/>
                <w:w w:val="99"/>
              </w:rPr>
              <w:t>⁽</w:t>
            </w:r>
            <w:r>
              <w:rPr>
                <w:rFonts w:ascii="Arial" w:cs="Arial" w:eastAsia="Arial" w:hAnsi="Arial"/>
                <w:sz w:val="18"/>
                <w:szCs w:val="18"/>
                <w:b w:val="1"/>
                <w:bCs w:val="1"/>
                <w:color w:val="auto"/>
                <w:w w:val="99"/>
              </w:rPr>
              <w:t>¹</w:t>
            </w:r>
            <w:r>
              <w:rPr>
                <w:rFonts w:ascii="MS PGothic" w:cs="MS PGothic" w:eastAsia="MS PGothic" w:hAnsi="MS PGothic"/>
                <w:sz w:val="18"/>
                <w:szCs w:val="18"/>
                <w:color w:val="auto"/>
                <w:w w:val="99"/>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Total Segment</w:t>
            </w:r>
          </w:p>
        </w:tc>
        <w:tc>
          <w:tcPr>
            <w:tcW w:w="1360" w:type="dxa"/>
            <w:vAlign w:val="bottom"/>
            <w:tcBorders>
              <w:bottom w:val="single" w:sz="8" w:color="auto"/>
            </w:tcBorders>
            <w:gridSpan w:val="2"/>
            <w:vMerge w:val="continue"/>
          </w:tcPr>
          <w:p>
            <w:pPr>
              <w:spacing w:after="0"/>
              <w:rPr>
                <w:sz w:val="23"/>
                <w:szCs w:val="23"/>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169,096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169,096</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169,096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138,115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138,115</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138,115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17,983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17,983</w:t>
            </w:r>
          </w:p>
        </w:tc>
        <w:tc>
          <w:tcPr>
            <w:tcW w:w="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12,998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12,998</w:t>
            </w: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12,998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⁽⁴⁾</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1,421,513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1,421,513</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1,421,513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0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⁽⁴⁾⁽⁵⁾</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80,541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80,541</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80,451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-7963535</wp:posOffset>
            </wp:positionV>
            <wp:extent cx="106045" cy="86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-7826375</wp:posOffset>
            </wp:positionV>
            <wp:extent cx="106045" cy="86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-7826375</wp:posOffset>
            </wp:positionV>
            <wp:extent cx="191770" cy="86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1770" cy="8699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-5837555</wp:posOffset>
            </wp:positionV>
            <wp:extent cx="106045" cy="86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-5700395</wp:posOffset>
            </wp:positionV>
            <wp:extent cx="106045" cy="86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-5700395</wp:posOffset>
            </wp:positionV>
            <wp:extent cx="191770" cy="86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1770" cy="8699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-3711575</wp:posOffset>
            </wp:positionV>
            <wp:extent cx="106045" cy="86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3260725</wp:posOffset>
            </wp:positionH>
            <wp:positionV relativeFrom="paragraph">
              <wp:posOffset>-3574415</wp:posOffset>
            </wp:positionV>
            <wp:extent cx="106045" cy="86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-3574415</wp:posOffset>
            </wp:positionV>
            <wp:extent cx="191770" cy="86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1770" cy="8699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-1585595</wp:posOffset>
            </wp:positionV>
            <wp:extent cx="106045" cy="86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-1585595</wp:posOffset>
            </wp:positionV>
            <wp:extent cx="106045" cy="86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-1585595</wp:posOffset>
            </wp:positionV>
            <wp:extent cx="106045" cy="86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ectPr>
          <w:pgSz w:w="11900" w:h="16838" w:orient="portrait"/>
          <w:cols w:equalWidth="0" w:num="1">
            <w:col w:w="11240"/>
          </w:cols>
          <w:pgMar w:left="320" w:top="122" w:right="339" w:bottom="110" w:gutter="0" w:footer="0" w:header="0"/>
        </w:sectPr>
      </w:pPr>
    </w:p>
    <w:bookmarkStart w:id="42" w:name="page43"/>
    <w:bookmarkEnd w:id="42"/>
    <w:p>
      <w:pPr>
        <w:jc w:val="both"/>
        <w:ind w:right="520"/>
        <w:spacing w:after="0" w:line="23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 xml:space="preserve"> Terminals and Infrastructure includes the Company's effective share of revenues, expenses and operating margin attributable to 50% ownership of CELSEPAR. The earnings attributable to the investment of $28,447 are reported in income (loss) from equity method investments on the condensed consolidated statements of operations.</w:t>
      </w:r>
    </w:p>
    <w:p>
      <w:pPr>
        <w:spacing w:after="0" w:line="1" w:lineRule="exact"/>
        <w:rPr>
          <w:sz w:val="20"/>
          <w:szCs w:val="20"/>
          <w:color w:val="auto"/>
        </w:rPr>
      </w:pPr>
    </w:p>
    <w:p>
      <w:pPr>
        <w:jc w:val="both"/>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Ships includes the Company's effective share of revenues, expenses and operating margin attributable to 50% ownership of the Hilli Common Units. The earnings attributable to the investment of $10,494 are reported in income (loss) from equity method investments on the condensed consolidated statements of operations and comprehensive loss.</w:t>
      </w:r>
    </w:p>
    <w:p>
      <w:pPr>
        <w:spacing w:after="0" w:line="1" w:lineRule="exact"/>
        <w:rPr>
          <w:sz w:val="20"/>
          <w:szCs w:val="20"/>
          <w:color w:val="auto"/>
        </w:rPr>
      </w:pPr>
    </w:p>
    <w:p>
      <w:pPr>
        <w:ind w:right="18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r>
        <w:rPr>
          <w:rFonts w:ascii="Arial" w:cs="Arial" w:eastAsia="Arial" w:hAnsi="Arial"/>
          <w:sz w:val="18"/>
          <w:szCs w:val="18"/>
          <w:color w:val="auto"/>
        </w:rPr>
        <w:t xml:space="preserve"> Eliminations reverse the inclusion of the effective share of revenues, expenses and operating margin attributable to 50% ownership of CELSEPAR and Hilli Common Units in our segment measure.</w:t>
      </w:r>
    </w:p>
    <w:p>
      <w:pPr>
        <w:spacing w:after="0" w:line="1" w:lineRule="exact"/>
        <w:rPr>
          <w:sz w:val="20"/>
          <w:szCs w:val="20"/>
          <w:color w:val="auto"/>
        </w:rPr>
      </w:pPr>
    </w:p>
    <w:p>
      <w:pPr>
        <w:ind w:right="60"/>
        <w:spacing w:after="0" w:line="216" w:lineRule="exact"/>
        <w:rPr>
          <w:sz w:val="20"/>
          <w:szCs w:val="20"/>
          <w:color w:val="auto"/>
        </w:rPr>
      </w:pPr>
      <w:r>
        <w:rPr>
          <w:rFonts w:ascii="MS PGothic" w:cs="MS PGothic" w:eastAsia="MS PGothic" w:hAnsi="MS PGothic"/>
          <w:sz w:val="16"/>
          <w:szCs w:val="16"/>
          <w:color w:val="auto"/>
        </w:rPr>
        <w:t>⁽⁴⁾</w:t>
      </w:r>
      <w:r>
        <w:rPr>
          <w:rFonts w:ascii="Arial" w:cs="Arial" w:eastAsia="Arial" w:hAnsi="Arial"/>
          <w:sz w:val="16"/>
          <w:szCs w:val="16"/>
          <w:color w:val="auto"/>
        </w:rPr>
        <w:t xml:space="preserve"> Total assets and capital expenditure by segment refers to assets held and capital expenditures related to the development of the Company's terminals and vessels. The Terminals and Infrastructure segment includes the net book value of vessels utilized within the Terminals and Infrastructure Segment.</w:t>
      </w:r>
    </w:p>
    <w:p>
      <w:pPr>
        <w:spacing w:after="0" w:line="1"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⁽⁵⁾</w:t>
      </w:r>
      <w:r>
        <w:rPr>
          <w:rFonts w:ascii="Arial" w:cs="Arial" w:eastAsia="Arial" w:hAnsi="Arial"/>
          <w:sz w:val="17"/>
          <w:szCs w:val="17"/>
          <w:color w:val="auto"/>
        </w:rPr>
        <w:t xml:space="preserve"> Capital expenditures includes amounts capitalized to construction in progress and additions to property, plant and equipment during the period.</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 w:right="35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Segment Operating Margin reconciles to Operating Margin, which is a non-GAAP measure. We define non-GAAP operating margin as GAAP net loss, adjusted for selling, general and administrative expenses, transaction and integration costs, depreciation and amortization, interest expense, other (income) expense, income from equity method investments and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our most comparable GAAP measure, to Consolidated Operating Margin: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44,536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31,846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78,152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60,216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Transaction and integration costs</w:t>
            </w:r>
          </w:p>
        </w:tc>
        <w:tc>
          <w:tcPr>
            <w:tcW w:w="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29,152</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40,716</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123,906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26,997</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7,620</w:t>
            </w:r>
          </w:p>
        </w:tc>
        <w:tc>
          <w:tcPr>
            <w:tcW w:w="2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36,886</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12,874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31,482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17,198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50,162</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31,088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(7,457)</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(8,058)</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Tax provision</w:t>
            </w:r>
          </w:p>
        </w:tc>
        <w:tc>
          <w:tcPr>
            <w:tcW w:w="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4,409</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3,532</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equity method investments</w:t>
            </w: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(38,941)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Consolidated Operating Margin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88,444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121,206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12,998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July 16, 2021, the Company entered into an uncommitted letter of credit and reimbursement agreement with a bank for the issuance of letters of credit for an aggregate amount of up to $75,000. Outstanding letters of credit are subject to a fee of 1.75% to be paid quarterly, and interest is payable on the principal amounts of unreimbursed letter of credit draws under the facility at a rate of the higher of the bank’s prime rate or the Federal Funds Effective Rate plus 0.50% and a margin of 1.75%. The Company plans to use this uncommitted letter of credit and reimbursement agreement to reduce the cash collateral required under existing letters of credit. A portion of our restricted cash balance supports existing letters of credit, and we plan to use this uncommitted letter of credit and reimbursement agreement to replace these letters of credit and release restricted cash enhancing the Company’s ability to manage the working capital needs of the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21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2020 (our “Annual Report”) for a discussion of important factors that could cause actual results to differ materially from the results described in or implied by the forward-looking statements contained in the following discussion and analysis.</w:t>
      </w:r>
    </w:p>
    <w:p>
      <w:pPr>
        <w:spacing w:after="0" w:line="21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2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i w:val="1"/>
          <w:iCs w:val="1"/>
          <w:color w:val="auto"/>
        </w:rPr>
        <w:t>Unless the context otherwise requires, references to ‘‘Company,’’ ‘‘NFE,’’ ‘‘we,’’ ‘‘our,’’ ‘‘us’’ or similar terms refer to (i) prior to our conversion from a limited liability company to a corporation, New Fortress Energy LLC and its subsidiaries and (ii) following the conversion from a limited liability company to a corporation, New Fortress Energy Inc. and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the Annual Report, “Items 1 and 2: Business and Properties” under “Toward a Carbon-Free Future”.</w:t>
      </w:r>
    </w:p>
    <w:p>
      <w:pPr>
        <w:spacing w:after="0" w:line="21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April 15, 2021, we completed the acquisitions of Hygo Energy Transition Ltd. (“Hygo”) and Golar LNG Partners LP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 of GMLP’s general partner, totaling $251 million. The Company also repaid certain outstanding debt facilities of GMLP in conjunction with closing the GMLP Merger.</w:t>
      </w:r>
    </w:p>
    <w:p>
      <w:pPr>
        <w:spacing w:after="0" w:line="215"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As a result of the Mergers, we acquired one operating FSRU terminal in Sergipe, Brazil (the “Sergipe Facility”), a 50% interest in a 1.5GW power plant in Sergipe, Brazil (the “Sergipe Power Plant”), as well as two other FSRU terminals in development in Pará, Brazil (the “Barcarena Facility”) and Santa Catarina, Brazil (the “Santa Catarina Facility”).</w:t>
      </w:r>
    </w:p>
    <w:p>
      <w:pPr>
        <w:spacing w:after="0" w:line="21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We acquired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a newbuild FSRU moored and in service at the Sergipe Facility. In addition to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we also acquired a fleet of six other FSRUs, six LNG carriers and an interest in a floating liquefaction vessel, the </w:t>
      </w:r>
      <w:r>
        <w:rPr>
          <w:rFonts w:ascii="Arial" w:cs="Arial" w:eastAsia="Arial" w:hAnsi="Arial"/>
          <w:sz w:val="18"/>
          <w:szCs w:val="18"/>
          <w:i w:val="1"/>
          <w:iCs w:val="1"/>
          <w:color w:val="auto"/>
        </w:rPr>
        <w:t>Hilli Episeyo</w:t>
      </w:r>
      <w:r>
        <w:rPr>
          <w:rFonts w:ascii="Arial" w:cs="Arial" w:eastAsia="Arial" w:hAnsi="Arial"/>
          <w:sz w:val="18"/>
          <w:szCs w:val="18"/>
          <w:color w:val="auto"/>
        </w:rPr>
        <w:t xml:space="preserve"> (the “Hilli”), which liquefies and stores LNG at sea and transfers it to LNG carriers that berth while offshore, each of which are expected to help support our existing facilities and international project pipeline. The majority of the FSRUs are operating in Brazil, Kuwait, Indonesia, Jamaica and Jordan under time charters, and uncontracted vessels are available for short term employment in the spot market.</w:t>
      </w:r>
    </w:p>
    <w:p>
      <w:pPr>
        <w:spacing w:after="0" w:line="21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Subsequent to the completion of the Mergers, our chief operating decision maker makes resource allocation decisions and assesses performance on the basis of two operating segments, Terminals and Infrastructure and Ships.</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 party suppliers and from our own liquefaction facility in Miami, Florida. Leased vessels as well as the cost to operate our vessels that are utilized in our terminal or logistics operations are included in this segment.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Terminals and Infrastructure segment includes all terminal operations in Jamaica, Puerto Rico and Brazil, including our interest in the Sergipe Power Plant.</w:t>
      </w:r>
    </w:p>
    <w:p>
      <w:pPr>
        <w:spacing w:after="0" w:line="19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 xml:space="preserve">Our Ships segment includes all vessels acquired in the Mergers which are leased to customers under long-term or spot arrangements, including the 25 year charter of </w:t>
      </w:r>
      <w:r>
        <w:rPr>
          <w:rFonts w:ascii="Arial" w:cs="Arial" w:eastAsia="Arial" w:hAnsi="Arial"/>
          <w:sz w:val="17"/>
          <w:szCs w:val="17"/>
          <w:i w:val="1"/>
          <w:iCs w:val="1"/>
          <w:color w:val="auto"/>
        </w:rPr>
        <w:t>Nanook</w:t>
      </w:r>
      <w:r>
        <w:rPr>
          <w:rFonts w:ascii="Arial" w:cs="Arial" w:eastAsia="Arial" w:hAnsi="Arial"/>
          <w:sz w:val="17"/>
          <w:szCs w:val="17"/>
          <w:color w:val="auto"/>
        </w:rPr>
        <w:t xml:space="preserve"> with CELSE. The Company’s investment in Hilli LLC, owner and operator of the </w:t>
      </w:r>
      <w:r>
        <w:rPr>
          <w:rFonts w:ascii="Arial" w:cs="Arial" w:eastAsia="Arial" w:hAnsi="Arial"/>
          <w:sz w:val="17"/>
          <w:szCs w:val="17"/>
          <w:i w:val="1"/>
          <w:iCs w:val="1"/>
          <w:color w:val="auto"/>
        </w:rPr>
        <w:t>Hilli</w:t>
      </w:r>
      <w:r>
        <w:rPr>
          <w:rFonts w:ascii="Arial" w:cs="Arial" w:eastAsia="Arial" w:hAnsi="Arial"/>
          <w:sz w:val="17"/>
          <w:szCs w:val="17"/>
          <w:color w:val="auto"/>
        </w:rPr>
        <w:t>, is also included in the Ships segment. Over time, we expect to utilize these vessels in our own terminal operations as charter agreements for these vessels expire.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Terminals and Infrastructure</w:t>
      </w:r>
    </w:p>
    <w:p>
      <w:pPr>
        <w:spacing w:after="0" w:line="256"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producer in Jamaica, and the Puerto Rico Electric Power Authority (“PREPA”), each of which is described in more detail below. Our assets built to service these significant customers have been designed with capacity to service other customers.</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currently procure our LNG either by purchasing from a supplier or by manufacturing it in our Miami Facility. Our long-term goal is to develop the infrastructure necessary to supply our existing and future customers with LNG produced primarily at our own facilities, including Fast LNG and our expanded delivery logistics chain in Northern Pennsylvania (the “Pennsylvania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Facility</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Montego Bay Facility serves as our supply hub for the north side of Jamaica, providing natural gas to JPS to fuel the 145MW Bogue Power Plant in Montego Bay, Jamaica. Our Montego Bay Facility commenced commercial operations in October 2016 and is capable of processing up to 740,000 gallons of LNG (61,000 MMBtu) per day and features approximately 7,000 cubic meters of onsite storage. The Montego Bay Facility also consists of an ISO loading facility that can transport LNG to numerous on-island industrial users.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Facility</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Old Harbour Facility is an offshore facility consisting of an FSRU that is capable of processing approximately six million gallons of LNG (500,000 MMBtus) per day. The Old Harbour Facility commenced commercial operations in June 2019 and supplies natural gas to the new 190MW Old Harbour power plant (the “Old Harbour Power Plant”) operated by SJPC. The Old Harbour Facility is also supplying natural gas to our dual-fired combined heat and power facility in Clarendon, Jamaica (the “CHP Plant”). The CHP Plant supplies electricity to JPS under a long-term PPA. The CHP Plant also provides steam to Jamalco under a long-term take-or-pay SSA. In March 2020, the CHP Plant commenced commercial operation under both the PPA and the SSA and began supplying power and steam to JPS and Jamalco, respectively. In August 2020, we began to deliver gas to Jamalco to utilize in their gas-fired boilers.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Juan Facility</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July 2020, we finalized the development of the San Juan Facility. The San Juan Facility is near the San Juan Power Plant and serves as our supply hub for the San Juan Power Plant and other industrial end-user customers in Puerto Rico. We have delivered natural gas used for the commissioning of PREPA's power plant under the Fuel Sale and Purchase Agreement with PREPA since April 2020. On July 1, 2021, commission for Units 5 &amp; 6 of the San Juan Power Plant to operate on natural gas was substantially completed under the terms of our agreement with PREPA. See “—Other Matters” for additional information regarding our San Juan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Sergipe Power Plant and Sergipe Facility</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part of the Hygo Merger, we acquired a 50% interest in Centrais Elétricas de Sergipe Participações S.A. (“CELSEPAR”), which owns Centrais Elétricas de Sergipe S.A. (“CELSE”), the owner and operator of the Sergipe Power Plant. The Sergipe Power Plant, a 1.5 GW combined cycle power plant, receives natural gas from the Sergipe Facility through a dedicated 8-kilometer pipeline. The Sergipe Power Plant is the largest natural gas-fired thermal power station in South America and was built to provide electricity on demand throughout the region, particularly during dry seasons when hydropower is unable to meet the growing demand for electricity in the region. CELSE has executed multiple PPAs pursuant to which the Sergipe Power Plant is delivering power to 26 committed offtakers for a period of 25 years. In any period in which power is not being produced pursuant to the PPAs, we are able to sell merchant power into the electricity grid at spot prices, subject to local regulatory approval.</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also acquired a 75% interest in Centrais Elétricas Barra dos Coqueiros S.A. (“CEBARRA”), which owns rights to expand the Sergipe Power Plant. These rights include 179 acres of land and regulatory permits for an incremental 1.7GW of power generation. CEBARRA has obtained all permits and other rights necessary to participate in future government power auctions.</w:t>
      </w:r>
    </w:p>
    <w:p>
      <w:pPr>
        <w:spacing w:after="0" w:line="21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Sergipe Facility is capable of processing up to 790,000 MMBtu/d and storing up to 170,000 cubic meters of LNG. The Sergipe Facility is expected to utilize approximately 230,000 MMBtu/d (30% of the facility’s maximum regasification capacity) to provide natural gas to the Sergipe Power Plant, at full dispatch.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25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Ships</w:t>
      </w:r>
    </w:p>
    <w:p>
      <w:pPr>
        <w:spacing w:after="0" w:line="25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 xml:space="preserve">Our Ships segment includes six FSRUs and six LNGCs which are leased to customers under long-term or spot arrangements, including a 25-year charter of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with CELSE. As these charter arrangements expire, we expect to use these vessels in our terminal operations and reflect such vessels in our Terminals and Infrastructure segment.</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The Company’s investment in Hilli LLC, owner and operator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is also included in the Ships segment. Hilli Corp, a wholly owned subsidiary of Hilli LLC, has a Liquefication Tolling Agreement (“LTA”) with Perenco Cameroon S.A. and Société Nationale des Hydrocarbures under which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provides liquefaction services through July 2026. Under the LTA, Hilli Corp receives a monthly tolling fee, consisting of a fixed element of hire and incremental tolling fees based on the price of Brent crude oil.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 Paz Facility</w:t>
      </w:r>
    </w:p>
    <w:p>
      <w:pPr>
        <w:spacing w:after="0" w:line="252"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On July 14, 2021, we began commercial operations at the Port of Pichilingue in Baja California Sur, Mexico (the “La Paz Facility”). Initially, the La Paz Facility is expected to supply approximately 270,000 gallons of LNG (22,300 MMBtu) per day under an intercompany GSA for approximately 100 MW of power supplied by gas-fired modular power units that we plan to develop, own and operate, which may be increased to approximately 350,000 gallons (29,000 MMBtu) of LNG per day for up to 135 MW of power. In addition, we recently executed an agreement with CFEnergia for the supply of natural gas to power plants located in Punta Prieta and Coromuel for an estimated 250,000 gallons of LNG (20,700 MMBtu) per 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Puerto Sandino Facility</w:t>
      </w:r>
    </w:p>
    <w:p>
      <w:pPr>
        <w:spacing w:after="0" w:line="25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are also in the process of constructing an LNG regasification facility and power plant in Puerto Sandino, Nicaragua (the “Puerto Sandino Facility”). In February 2020, we entered into a 25-year PPA with Nicaragua’s electricity distribution companies, and we are in the process of constructing an approximately 300 MW natural gas-fired power plant that will consume approximately 700,000 gallons of LNG (57,500 MMBtus) per day.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Suape Facility</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January 12, 2021, we acquired CH4 Energia Ltda., an entity that owns key permits and authorizations to develop an LNG terminal and up to 1.37GW of gas-fired power at the Port of Suape in Brazil. On March 11, 2021, we acquired 100% of the outstanding shares of Pecém Energia S.A. (“Pecém”) and Energetica Camacari Muricy II S.A. (“Muricy”). These companies collectively hold certain 15-year power purchase agreements totaling 288 MW for the development of the thermoelectric power plants in the State of Bahia, Brazil. We will seek to obtain the necessary approvals from ANEEL and other relevant regulatory authorities in Brazil to transfer the site for the power purchase agreements to the Port of Suape and update the technical characteristics in order to develop and plan to construct an initial 288MW gas-fired power plant and LNG import terminal at the Port of Suape to provide LNG and natural gas to major energy consumers within the port complex and across the greater Northeast region of Brazil (the “Suape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Barcarena Facility</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Barcarena Facility will consist of an FSRU and associated infrastructure, including mooring and offshore and onshore pipelines. The Barcarena Facility will be capable of processing up to 790,000 MMBtu/d and storing up to 170,000 cubic meters of LNG. The Barcarena Facility is expected to utilize approximately 92,000 MMBtu/d (12% of the facility’s maximum regasification capacity) to service the Barcarena Power Plant upon commencement of operations.</w:t>
      </w:r>
    </w:p>
    <w:p>
      <w:pPr>
        <w:sectPr>
          <w:pgSz w:w="11900" w:h="16838" w:orient="portrait"/>
          <w:cols w:equalWidth="0" w:num="1">
            <w:col w:w="11240"/>
          </w:cols>
          <w:pgMar w:left="320" w:top="122"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part of the Mergers, we acquired multiple 25-year PPAs to support the construction of a 605 MW combined cycle thermal power plant to be located in Pará, Brazil and to be supplied by the Barcarena Facility (the “Barcarena Power Plant”). The Barcarena Power Plant will utilize LNG sourced and processed at the Barcarena Facility for the generation of electricity which will be distributed to the national electricity grid. The power project is scheduled to deliver power to nine committed offtakers for 25 years beginning in 2025 in accordance with the PPA contracts awarded by the Brazilian government in October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Santa Catarina Facility</w:t>
      </w:r>
    </w:p>
    <w:p>
      <w:pPr>
        <w:spacing w:after="0" w:line="252"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Santa Catarina Facility will be located on the southern coast of Brazil and will consist of an FSRU with a processing capacity of approximately 790,000 MMBtu/d and LNG storage capacity of up to 170,000 cubic meters. We are also developing a 31-kilometer, 20-inch pipeline that will connect the Santa Catarina Facility to the existing inland Transportadora Brasileira Gasoduto Bolivia-Brasil S.A. (“TBG”) pipeline via an interconnection point in Garuva. The Santa Catarina Facility and associated pipeline are expected to have a total addressable market of 15 million GPD.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LNG</w:t>
      </w:r>
    </w:p>
    <w:p>
      <w:pPr>
        <w:spacing w:after="0" w:line="25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are currently developing a modular floating liquefaction facility to provide a low-cost supply of liquefied natural gas for our growing customer base. The “Fast LNG” design pairs advancements in modular, midsize liquefaction technology with jack up rigs or similar floating infrastructure to enable a much lower cost and faster deployment schedule than today’s floating liquefaction vessels. A permanently moored FSU will serve as an LNG storage facility alongside the floating liquefaction infrastructure, which can be deployed anywhere there is abundant and stranded natural gas.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closely monitoring the impact of the novel coronavirus (“COVID-19”) pandemic on all aspects of our operations and development projects, including our marine operations acquired in the Mergers. Customers in our Terminals and Infrastructure segment primarily operate under long-term contracts, many of which contain fixed minimum volumes that must be purchased on a “take-or-pay” basis. We have continued to invoice our customers for fixed minimum volumes even in cases when our customer’s consumption has decreased. We have not changed our payment terms with these customers, and there has not been deterioration in the timing or volume of collections.</w:t>
      </w:r>
    </w:p>
    <w:p>
      <w:pPr>
        <w:spacing w:after="0" w:line="21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Many of the vessels acquired in the Mergers operate under long-term contracts with fixed payments. We are required to have adequate crewing aboard our vessels to fulfill the obligations under our contracts, and we have implemented safety measures to ensure that we have healthy qualified officers and crew. We are also monitoring local or international transport or quarantine restrictions limiting the ability to transfer crew members off vessels or bring a new crew on board, and restrictions in availability of supplies needed on board due to disruptions to third-party suppliers or transportation alternatives.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the essential nature of the services we provide to support power generation facilities, our operations and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For the three months and six months ended June 30, 2021, we have incurred approximately $0.1 million and $0.5 million, respectively, for safety measures introduced into our operations and other responses to the COVID-19 pandemic.</w:t>
      </w:r>
    </w:p>
    <w:p>
      <w:pPr>
        <w:spacing w:after="0" w:line="21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actively monitoring the spread of the pandemic and the actions that governments and regulatory agencies are taking to fight the spread. We have not experienced significant disruptions in development projects, charter or terminal operations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and July 15 orders with the United States Court of the Appeals for the District of Columbia Circuit. To date, no other party has sought review of FERC's orders. While our petitions for review are pending, we intend to comply with FERC's directive to file an application for authorization to operate the San Juan Facility no later than the September 15, 2021 deadline.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and Six Months Ended June 30, 2021 compared to Three and Six Months Ended June 30, 2020</w:t>
      </w:r>
    </w:p>
    <w:p>
      <w:pPr>
        <w:spacing w:after="0" w:line="25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Segment performance is evaluated based on operating margin and the tables below presents our segment information for the three and six months ended June 30,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8"/>
                <w:szCs w:val="18"/>
                <w:b w:val="1"/>
                <w:bCs w:val="1"/>
                <w:color w:val="auto"/>
                <w:w w:val="91"/>
              </w:rPr>
              <w:t>Three Months Ended June 30, 2021</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gridSpan w:val="2"/>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80" w:type="dxa"/>
            <w:vAlign w:val="bottom"/>
          </w:tcPr>
          <w:p>
            <w:pPr>
              <w:spacing w:after="0"/>
              <w:rPr>
                <w:sz w:val="14"/>
                <w:szCs w:val="14"/>
                <w:color w:val="auto"/>
              </w:rPr>
            </w:pPr>
          </w:p>
        </w:tc>
        <w:tc>
          <w:tcPr>
            <w:tcW w:w="1040" w:type="dxa"/>
            <w:vAlign w:val="bottom"/>
            <w:vMerge w:val="restart"/>
          </w:tcPr>
          <w:p>
            <w:pPr>
              <w:jc w:val="right"/>
              <w:ind w:right="29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2"/>
            <w:vMerge w:val="restart"/>
          </w:tcPr>
          <w:p>
            <w:pPr>
              <w:ind w:left="100"/>
              <w:spacing w:after="0" w:line="207" w:lineRule="exact"/>
              <w:rPr>
                <w:sz w:val="20"/>
                <w:szCs w:val="20"/>
                <w:color w:val="auto"/>
              </w:rPr>
            </w:pPr>
            <w:r>
              <w:rPr>
                <w:rFonts w:ascii="Arial" w:cs="Arial" w:eastAsia="Arial" w:hAnsi="Arial"/>
                <w:sz w:val="18"/>
                <w:szCs w:val="18"/>
                <w:b w:val="1"/>
                <w:bCs w:val="1"/>
                <w:color w:val="auto"/>
              </w:rPr>
              <w:t>Eliminations</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2620" w:type="dxa"/>
            <w:vAlign w:val="bottom"/>
            <w:tcBorders>
              <w:bottom w:val="single" w:sz="8" w:color="auto"/>
            </w:tcBorders>
            <w:gridSpan w:val="3"/>
          </w:tcPr>
          <w:p>
            <w:pPr>
              <w:jc w:val="center"/>
              <w:ind w:left="1090"/>
              <w:spacing w:after="0" w:line="207" w:lineRule="exact"/>
              <w:rPr>
                <w:sz w:val="20"/>
                <w:szCs w:val="20"/>
                <w:color w:val="auto"/>
              </w:rPr>
            </w:pPr>
            <w:r>
              <w:rPr>
                <w:rFonts w:ascii="Arial" w:cs="Arial" w:eastAsia="Arial" w:hAnsi="Arial"/>
                <w:sz w:val="18"/>
                <w:szCs w:val="18"/>
                <w:b w:val="1"/>
                <w:bCs w:val="1"/>
                <w:color w:val="auto"/>
                <w:w w:val="94"/>
              </w:rPr>
              <w:t>Infrastructure</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¹</w:t>
            </w:r>
            <w:r>
              <w:rPr>
                <w:rFonts w:ascii="MS PGothic" w:cs="MS PGothic" w:eastAsia="MS PGothic" w:hAnsi="MS PGothic"/>
                <w:sz w:val="18"/>
                <w:szCs w:val="18"/>
                <w:color w:val="auto"/>
                <w:w w:val="94"/>
              </w:rPr>
              <w:t>⁾</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1340" w:type="dxa"/>
            <w:vAlign w:val="bottom"/>
            <w:tcBorders>
              <w:bottom w:val="single" w:sz="8" w:color="auto"/>
            </w:tcBorders>
            <w:gridSpan w:val="2"/>
            <w:vMerge w:val="continue"/>
          </w:tcPr>
          <w:p>
            <w:pPr>
              <w:spacing w:after="0"/>
              <w:rPr>
                <w:sz w:val="23"/>
                <w:szCs w:val="23"/>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181,548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95,762</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277,310</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(53,471)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223,839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 of sales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103,451</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103,451</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101,430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20,175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20,175</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1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23,644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23,644</w:t>
            </w: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18,565</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margin</w:t>
            </w:r>
          </w:p>
        </w:tc>
        <w:tc>
          <w:tcPr>
            <w:tcW w:w="1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54,453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75,587</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130,040</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(41,596)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88,444</w:t>
            </w:r>
          </w:p>
        </w:tc>
        <w:tc>
          <w:tcPr>
            <w:tcW w:w="0" w:type="dxa"/>
            <w:vAlign w:val="bottom"/>
          </w:tcPr>
          <w:p>
            <w:pPr>
              <w:spacing w:after="0"/>
              <w:rPr>
                <w:sz w:val="1"/>
                <w:szCs w:val="1"/>
                <w:color w:val="auto"/>
              </w:rPr>
            </w:pPr>
          </w:p>
        </w:tc>
      </w:tr>
      <w:tr>
        <w:trPr>
          <w:trHeight w:val="460"/>
        </w:trPr>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8"/>
                <w:szCs w:val="18"/>
                <w:b w:val="1"/>
                <w:bCs w:val="1"/>
                <w:color w:val="auto"/>
                <w:w w:val="89"/>
              </w:rPr>
              <w:t>Six Months Ended June 30, 2021</w:t>
            </w: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gridSpan w:val="2"/>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80" w:type="dxa"/>
            <w:vAlign w:val="bottom"/>
          </w:tcPr>
          <w:p>
            <w:pPr>
              <w:spacing w:after="0"/>
              <w:rPr>
                <w:sz w:val="14"/>
                <w:szCs w:val="14"/>
                <w:color w:val="auto"/>
              </w:rPr>
            </w:pPr>
          </w:p>
        </w:tc>
        <w:tc>
          <w:tcPr>
            <w:tcW w:w="1040" w:type="dxa"/>
            <w:vAlign w:val="bottom"/>
            <w:vMerge w:val="restart"/>
          </w:tcPr>
          <w:p>
            <w:pPr>
              <w:jc w:val="right"/>
              <w:ind w:right="29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2"/>
            <w:vMerge w:val="restart"/>
          </w:tcPr>
          <w:p>
            <w:pPr>
              <w:ind w:left="100"/>
              <w:spacing w:after="0" w:line="207" w:lineRule="exact"/>
              <w:rPr>
                <w:sz w:val="20"/>
                <w:szCs w:val="20"/>
                <w:color w:val="auto"/>
              </w:rPr>
            </w:pPr>
            <w:r>
              <w:rPr>
                <w:rFonts w:ascii="Arial" w:cs="Arial" w:eastAsia="Arial" w:hAnsi="Arial"/>
                <w:sz w:val="18"/>
                <w:szCs w:val="18"/>
                <w:b w:val="1"/>
                <w:bCs w:val="1"/>
                <w:color w:val="auto"/>
              </w:rPr>
              <w:t>Eliminations</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2620" w:type="dxa"/>
            <w:vAlign w:val="bottom"/>
            <w:tcBorders>
              <w:bottom w:val="single" w:sz="8" w:color="auto"/>
            </w:tcBorders>
            <w:gridSpan w:val="3"/>
          </w:tcPr>
          <w:p>
            <w:pPr>
              <w:jc w:val="center"/>
              <w:ind w:left="1090"/>
              <w:spacing w:after="0" w:line="207" w:lineRule="exact"/>
              <w:rPr>
                <w:sz w:val="20"/>
                <w:szCs w:val="20"/>
                <w:color w:val="auto"/>
              </w:rPr>
            </w:pPr>
            <w:r>
              <w:rPr>
                <w:rFonts w:ascii="Arial" w:cs="Arial" w:eastAsia="Arial" w:hAnsi="Arial"/>
                <w:sz w:val="18"/>
                <w:szCs w:val="18"/>
                <w:b w:val="1"/>
                <w:bCs w:val="1"/>
                <w:color w:val="auto"/>
                <w:w w:val="94"/>
              </w:rPr>
              <w:t>Infrastructure</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¹</w:t>
            </w:r>
            <w:r>
              <w:rPr>
                <w:rFonts w:ascii="MS PGothic" w:cs="MS PGothic" w:eastAsia="MS PGothic" w:hAnsi="MS PGothic"/>
                <w:sz w:val="18"/>
                <w:szCs w:val="18"/>
                <w:color w:val="auto"/>
                <w:w w:val="94"/>
              </w:rPr>
              <w:t>⁾</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1340" w:type="dxa"/>
            <w:vAlign w:val="bottom"/>
            <w:tcBorders>
              <w:bottom w:val="single" w:sz="8" w:color="auto"/>
            </w:tcBorders>
            <w:gridSpan w:val="2"/>
            <w:vMerge w:val="continue"/>
          </w:tcPr>
          <w:p>
            <w:pPr>
              <w:spacing w:after="0"/>
              <w:rPr>
                <w:sz w:val="23"/>
                <w:szCs w:val="23"/>
                <w:color w:val="auto"/>
              </w:rPr>
            </w:pPr>
          </w:p>
        </w:tc>
        <w:tc>
          <w:tcPr>
            <w:tcW w:w="13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327,232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95,762</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422,994</w:t>
            </w:r>
          </w:p>
        </w:tc>
        <w:tc>
          <w:tcPr>
            <w:tcW w:w="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(53,471)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369,523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 of sales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200,122</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200,122</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198,101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20,175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20,175</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1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39,895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39,895</w:t>
            </w: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34,816</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margin</w:t>
            </w:r>
          </w:p>
        </w:tc>
        <w:tc>
          <w:tcPr>
            <w:tcW w:w="1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87,215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75,587</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162,802</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(41,596)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-2228850</wp:posOffset>
            </wp:positionV>
            <wp:extent cx="106045" cy="86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-2228850</wp:posOffset>
            </wp:positionV>
            <wp:extent cx="106045" cy="86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-2228850</wp:posOffset>
            </wp:positionV>
            <wp:extent cx="106045" cy="86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-891540</wp:posOffset>
            </wp:positionV>
            <wp:extent cx="106045" cy="86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-891540</wp:posOffset>
            </wp:positionV>
            <wp:extent cx="106045" cy="86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6141720</wp:posOffset>
            </wp:positionH>
            <wp:positionV relativeFrom="paragraph">
              <wp:posOffset>-891540</wp:posOffset>
            </wp:positionV>
            <wp:extent cx="106045" cy="86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176" w:lineRule="exact"/>
        <w:rPr>
          <w:sz w:val="20"/>
          <w:szCs w:val="20"/>
          <w:color w:val="auto"/>
        </w:rPr>
      </w:pPr>
    </w:p>
    <w:p>
      <w:pPr>
        <w:jc w:val="both"/>
        <w:ind w:right="540"/>
        <w:spacing w:after="0" w:line="23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 xml:space="preserve"> Terminals and Infrastructure includes the Company's effective share of revenues, expenses and operating margin attributable to 50% ownership of CELSEPAR. The earnings attributable to the investment of $28,447 are reported in income (loss) from equity method investments on the condensed consolidated statements of operations.</w:t>
      </w:r>
    </w:p>
    <w:p>
      <w:pPr>
        <w:spacing w:after="0" w:line="2" w:lineRule="exact"/>
        <w:rPr>
          <w:sz w:val="20"/>
          <w:szCs w:val="20"/>
          <w:color w:val="auto"/>
        </w:rPr>
      </w:pPr>
    </w:p>
    <w:p>
      <w:pPr>
        <w:jc w:val="both"/>
        <w:ind w:right="2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²</w:t>
      </w:r>
      <w:r>
        <w:rPr>
          <w:rFonts w:ascii="MS PGothic" w:cs="MS PGothic" w:eastAsia="MS PGothic" w:hAnsi="MS PGothic"/>
          <w:sz w:val="18"/>
          <w:szCs w:val="18"/>
          <w:color w:val="auto"/>
        </w:rPr>
        <w:t>⁾</w:t>
      </w:r>
      <w:r>
        <w:rPr>
          <w:rFonts w:ascii="Arial" w:cs="Arial" w:eastAsia="Arial" w:hAnsi="Arial"/>
          <w:sz w:val="18"/>
          <w:szCs w:val="18"/>
          <w:color w:val="auto"/>
        </w:rPr>
        <w:t xml:space="preserve"> Ships includes the Company's effective share of revenues, expenses and operating margin attributable to 50% ownership of the Hilli Common Units. The earnings attributable to the investment of $10,494 are reported in income (loss) from equity method investments on the condensed consolidated statements of operations and comprehensive loss.</w:t>
      </w:r>
    </w:p>
    <w:p>
      <w:pPr>
        <w:spacing w:after="0" w:line="1" w:lineRule="exact"/>
        <w:rPr>
          <w:sz w:val="20"/>
          <w:szCs w:val="20"/>
          <w:color w:val="auto"/>
        </w:rPr>
      </w:pPr>
    </w:p>
    <w:p>
      <w:pPr>
        <w:ind w:right="200"/>
        <w:spacing w:after="0" w:line="21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³</w:t>
      </w:r>
      <w:r>
        <w:rPr>
          <w:rFonts w:ascii="MS PGothic" w:cs="MS PGothic" w:eastAsia="MS PGothic" w:hAnsi="MS PGothic"/>
          <w:sz w:val="18"/>
          <w:szCs w:val="18"/>
          <w:color w:val="auto"/>
        </w:rPr>
        <w:t>⁾</w:t>
      </w:r>
      <w:r>
        <w:rPr>
          <w:rFonts w:ascii="Arial" w:cs="Arial" w:eastAsia="Arial" w:hAnsi="Arial"/>
          <w:sz w:val="18"/>
          <w:szCs w:val="18"/>
          <w:color w:val="auto"/>
        </w:rPr>
        <w:t xml:space="preserve"> Eliminations reverse the inclusion of the effective share of revenues, expenses and operating margin attributable to 50% ownership of CELSEPAR and Hilli Common Units in our segment measure.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Terminals and Infrastructure</w:t>
            </w:r>
          </w:p>
        </w:tc>
        <w:tc>
          <w:tcPr>
            <w:tcW w:w="0" w:type="dxa"/>
            <w:vAlign w:val="bottom"/>
          </w:tcPr>
          <w:p>
            <w:pPr>
              <w:spacing w:after="0"/>
              <w:rPr>
                <w:sz w:val="1"/>
                <w:szCs w:val="1"/>
                <w:color w:val="auto"/>
              </w:rPr>
            </w:pPr>
          </w:p>
        </w:tc>
      </w:tr>
      <w:tr>
        <w:trPr>
          <w:trHeight w:val="198"/>
        </w:trPr>
        <w:tc>
          <w:tcPr>
            <w:tcW w:w="4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Pr>
          <w:p>
            <w:pPr>
              <w:spacing w:after="0"/>
              <w:rPr>
                <w:sz w:val="17"/>
                <w:szCs w:val="17"/>
                <w:color w:val="auto"/>
              </w:rPr>
            </w:pPr>
          </w:p>
        </w:tc>
        <w:tc>
          <w:tcPr>
            <w:tcW w:w="17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6"/>
              </w:rPr>
              <w:t>Three Months Ended</w:t>
            </w:r>
          </w:p>
        </w:tc>
        <w:tc>
          <w:tcPr>
            <w:tcW w:w="14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3"/>
              </w:rPr>
              <w:t>Six Months Ended</w:t>
            </w:r>
          </w:p>
        </w:tc>
        <w:tc>
          <w:tcPr>
            <w:tcW w:w="0" w:type="dxa"/>
            <w:vAlign w:val="bottom"/>
          </w:tcPr>
          <w:p>
            <w:pPr>
              <w:spacing w:after="0"/>
              <w:rPr>
                <w:sz w:val="1"/>
                <w:szCs w:val="1"/>
                <w:color w:val="auto"/>
              </w:rPr>
            </w:pPr>
          </w:p>
        </w:tc>
      </w:tr>
      <w:tr>
        <w:trPr>
          <w:trHeight w:val="126"/>
        </w:trPr>
        <w:tc>
          <w:tcPr>
            <w:tcW w:w="4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 2020</w:t>
            </w: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69,899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138,115</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b w:val="1"/>
                <w:bCs w:val="1"/>
                <w:color w:val="auto"/>
              </w:rPr>
              <w:t>Operating margin</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15,167</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12,998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w w:val="91"/>
              </w:rPr>
              <w:t>Terminals and Infrastructure Segment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86"/>
        </w:trPr>
        <w:tc>
          <w:tcPr>
            <w:tcW w:w="2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60" w:type="dxa"/>
            <w:vAlign w:val="bottom"/>
            <w:gridSpan w:val="6"/>
          </w:tcPr>
          <w:p>
            <w:pPr>
              <w:ind w:left="6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Change</w:t>
            </w:r>
          </w:p>
        </w:tc>
        <w:tc>
          <w:tcPr>
            <w:tcW w:w="60" w:type="dxa"/>
            <w:vAlign w:val="bottom"/>
            <w:tcBorders>
              <w:bottom w:val="single" w:sz="8" w:color="CCEEFF"/>
            </w:tcBorders>
          </w:tcPr>
          <w:p>
            <w:pPr>
              <w:spacing w:after="0"/>
              <w:rPr>
                <w:sz w:val="19"/>
                <w:szCs w:val="19"/>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181,548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94,566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86,982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327,232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169,096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158,136</w:t>
            </w:r>
          </w:p>
        </w:tc>
        <w:tc>
          <w:tcPr>
            <w:tcW w:w="60" w:type="dxa"/>
            <w:vAlign w:val="bottom"/>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103,451</w:t>
            </w: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69,899</w:t>
            </w:r>
          </w:p>
        </w:tc>
        <w:tc>
          <w:tcPr>
            <w:tcW w:w="38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33,552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200,122</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138,115</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62,007</w:t>
            </w:r>
          </w:p>
        </w:tc>
      </w:tr>
      <w:tr>
        <w:trPr>
          <w:trHeight w:val="23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23,644</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14,144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39,895</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17,983</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21,912</w:t>
            </w:r>
          </w:p>
        </w:tc>
      </w:tr>
      <w:tr>
        <w:trPr>
          <w:trHeight w:val="203"/>
        </w:trPr>
        <w:tc>
          <w:tcPr>
            <w:tcW w:w="3000" w:type="dxa"/>
            <w:vAlign w:val="bottom"/>
            <w:tcBorders>
              <w:top w:val="single" w:sz="8" w:color="CCEEFF"/>
            </w:tcBorders>
            <w:gridSpan w:val="2"/>
          </w:tcPr>
          <w:p>
            <w:pPr>
              <w:ind w:left="140"/>
              <w:spacing w:after="0" w:line="203" w:lineRule="exact"/>
              <w:rPr>
                <w:sz w:val="20"/>
                <w:szCs w:val="20"/>
                <w:color w:val="auto"/>
              </w:rPr>
            </w:pPr>
            <w:r>
              <w:rPr>
                <w:rFonts w:ascii="Arial" w:cs="Arial" w:eastAsia="Arial" w:hAnsi="Arial"/>
                <w:sz w:val="18"/>
                <w:szCs w:val="18"/>
                <w:b w:val="1"/>
                <w:bCs w:val="1"/>
                <w:color w:val="auto"/>
              </w:rPr>
              <w:t>Operating margin</w:t>
            </w: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54,453</w:t>
            </w:r>
          </w:p>
        </w:tc>
        <w:tc>
          <w:tcPr>
            <w:tcW w:w="34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15,167</w:t>
            </w:r>
          </w:p>
        </w:tc>
        <w:tc>
          <w:tcPr>
            <w:tcW w:w="3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color w:val="auto"/>
                <w:w w:val="83"/>
              </w:rPr>
              <w:t>39,286</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87,215</w:t>
            </w:r>
          </w:p>
        </w:tc>
        <w:tc>
          <w:tcPr>
            <w:tcW w:w="34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12,998</w:t>
            </w:r>
          </w:p>
        </w:tc>
        <w:tc>
          <w:tcPr>
            <w:tcW w:w="26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74,217</w:t>
            </w:r>
          </w:p>
        </w:tc>
      </w:tr>
      <w:tr>
        <w:trPr>
          <w:trHeight w:val="20"/>
        </w:trPr>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Total revenue</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Total revenue for the Terminals and Infrastructure Segment increased $86,982 and $158,136 for the three and six months ended June 30, 2021 as compared to the three months and six months ended June 30, 2020, respectively. The increase was primarily driven by increases in revenue from the sale of LNG, natural gas or outputs from our natural gas-fired power generation facilities, increases in development services in Puerto Rico, inclusive of gas used by our customer as part of commissioning their assets, and the inclusion of incremental revenue in our segment measure from CELSEPAR after the completion of the Mergers.</w:t>
      </w:r>
    </w:p>
    <w:p>
      <w:pPr>
        <w:sectPr>
          <w:pgSz w:w="11900" w:h="16838" w:orient="portrait"/>
          <w:cols w:equalWidth="0" w:num="1">
            <w:col w:w="11240"/>
          </w:cols>
          <w:pgMar w:left="320" w:top="12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Revenue from the sale of LNG, natural gas or outputs from our natural gas-fired power generation facilities increased $26,659 and $54,353 for the three and six months ended June 30, 2021, respectively, as compared to the three and six months ended June 30, 2020. The increase was primarily driven by increases in volumes sold from the Old Harbour Facility, including volumes utilized in the CHP Plant which commenced commercial operations during March 2020:</w:t>
      </w:r>
    </w:p>
    <w:p>
      <w:pPr>
        <w:spacing w:after="0" w:line="214" w:lineRule="exact"/>
        <w:rPr>
          <w:sz w:val="20"/>
          <w:szCs w:val="20"/>
          <w:color w:val="auto"/>
        </w:rPr>
      </w:pPr>
    </w:p>
    <w:p>
      <w:pPr>
        <w:ind w:left="660" w:right="120" w:hanging="328"/>
        <w:spacing w:after="0" w:line="29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three months ended June 30, 2021, we recognized $56,270 of revenue from volumes sold at the Old Harbour Facility, as compared to $43,472 for the three months ended June, 2020, driven by additional volumes consumed at the Old Harbour Power Plant and Jamalco’s boilers, which began consuming gas in August 2020. Volumes delivered to the Old Harbour Power Plant increased by 12.0 million gallons (1.0 TBtu) to 31.3 million gallons (2.6 TBtu) in the three months ended June 30, 2021 from 19.3 million gallons (1.6 TBtu) in the three months ended June 30, 2020. Volumes delivered to the CHP Plant and Jamalco’s boilers increased by 4.7 million gallons (0.4 TBtu) to 28.7 million gallons (2.4 TBtu) in the three months ended June 30, 2021 from 24.0 million gallons (2.0 TBtu) in the three months ended June 30, 2020.</w:t>
      </w:r>
    </w:p>
    <w:p>
      <w:pPr>
        <w:spacing w:after="0" w:line="191" w:lineRule="exact"/>
        <w:rPr>
          <w:rFonts w:ascii="Arial" w:cs="Arial" w:eastAsia="Arial" w:hAnsi="Arial"/>
          <w:sz w:val="16"/>
          <w:szCs w:val="16"/>
          <w:color w:val="auto"/>
        </w:rPr>
      </w:pPr>
    </w:p>
    <w:p>
      <w:pPr>
        <w:ind w:left="660" w:right="10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the six months ended June 30, 2021, we recognized $107,914 of revenue from volumes sold at the Old Harbour Facility, as compared to $79,249 for the six months ended June 30, 2020, driven by additional volumes consumed at the Old Harbour Power Plant, CHP Plant and Jamalco’s boilers. Volumes delivered to the Old Harbour Power Plant increased by 7.4 million gallons (0.6 TBtu) to 58.9 million gallons (4.9 TBtu) in the six months ended June 30, 2021 from 51.5 million gallons (4.3 TBtu) in the six months ended June 30, 2020. Volumes delivered to the CHP Plant and Jamalco’s boilers increased by 20.4 million gallons (1.7 TBtu) to 54.2 million gallons (4.5 TBtu) in the six months ended June 30, 2021 from 33.8 million gallons (2.8 TBtu) in the six months ended June 30, 2020.</w:t>
      </w:r>
    </w:p>
    <w:p>
      <w:pPr>
        <w:spacing w:after="0" w:line="20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Revenue from the delivery of power and steam, which began during March 2020, under our contracts with JPS and Jamalco was $7,195 and</w:t>
      </w:r>
    </w:p>
    <w:p>
      <w:pPr>
        <w:spacing w:after="0" w:line="34" w:lineRule="exact"/>
        <w:rPr>
          <w:rFonts w:ascii="Arial" w:cs="Arial" w:eastAsia="Arial" w:hAnsi="Arial"/>
          <w:sz w:val="17"/>
          <w:szCs w:val="17"/>
          <w:color w:val="auto"/>
        </w:rPr>
      </w:pPr>
    </w:p>
    <w:p>
      <w:pPr>
        <w:ind w:left="660" w:right="300"/>
        <w:spacing w:after="0" w:line="260" w:lineRule="auto"/>
        <w:rPr>
          <w:rFonts w:ascii="Arial" w:cs="Arial" w:eastAsia="Arial" w:hAnsi="Arial"/>
          <w:sz w:val="17"/>
          <w:szCs w:val="17"/>
          <w:color w:val="auto"/>
        </w:rPr>
      </w:pPr>
      <w:r>
        <w:rPr>
          <w:rFonts w:ascii="Arial" w:cs="Arial" w:eastAsia="Arial" w:hAnsi="Arial"/>
          <w:sz w:val="18"/>
          <w:szCs w:val="18"/>
          <w:color w:val="auto"/>
        </w:rPr>
        <w:t>$14,331 for the three and six months ended June 30, 2021, respectively, as compared to $6,946 and $8,677 in revenue for the three and months ended June 30, 2020, respectively.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was also impacted by operations at our Montego Bay Facility.</w:t>
      </w:r>
    </w:p>
    <w:p>
      <w:pPr>
        <w:spacing w:after="0" w:line="252" w:lineRule="exact"/>
        <w:rPr>
          <w:sz w:val="20"/>
          <w:szCs w:val="20"/>
          <w:color w:val="auto"/>
        </w:rPr>
      </w:pPr>
    </w:p>
    <w:p>
      <w:pPr>
        <w:ind w:left="660" w:right="10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at the Montego Bay Facility increased by $3,848 from $22,734 for the three months ended June 30, 2020 to $26,582 for the three months ended June 30, 2021. The increase in sales at the Montego Bay Facility was primarily due to an increase in sales to industrial end-user customers, offset by a slight decrease in consumption by the Bogue Power Plant. Volumes delivered at the Montego Bay Facility remained relatively consistent for the three months ended June 30, 2021 as compared to the three months ended June 30, 2020, increasing by 1.9 million gallons (0.2 TBtu) from 23.1 million gallons (1.9 TBtu) during the three months ended June 30, 2020 to 25.0 million gallons (2.1 TBtu) during the three months ended June 30, 2021.</w:t>
      </w:r>
    </w:p>
    <w:p>
      <w:pPr>
        <w:spacing w:after="0" w:line="219"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at the Montego Bay Facility increased by $5,804 from $45,557 for the six months ended June 30, 2020 to $51,361 for the six months ended June 30, 2021. The increase in sales at the Montego Bay Facility was primarily due to an increase in sales to industrial end-user customers, offset by a slight decrease in consumption by the Bogue Power Plant. Volumes delivered at the Montego Bay Facility remained relatively consistent for the six months ended June 30, 2021 as compared to the six months ended June 30, 2020, increasing by 2.0 million gallons (0.2 TBtu) from 46.6 million gallons (3.9 TBtu) during the six months ended June 30, 2020 to 48.6 million gallons (4.1 TBtu) during the six months ended June 30, 2021.</w:t>
      </w:r>
    </w:p>
    <w:p>
      <w:pPr>
        <w:spacing w:after="0" w:line="21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also recognize revenue from development services, which is recognized from the construction, installation and commissioning of equipment to transform customers’ facilities to operate utilizing natural gas or to allow customers to receive power or other outputs from our power generation facilities, and such services are included within certain long-term contracts to supply these customers with natural gas or outputs from our natural gas-fired facilities.</w:t>
      </w:r>
    </w:p>
    <w:p>
      <w:pPr>
        <w:spacing w:after="0" w:line="176" w:lineRule="exact"/>
        <w:rPr>
          <w:sz w:val="20"/>
          <w:szCs w:val="20"/>
          <w:color w:val="auto"/>
        </w:rPr>
      </w:pPr>
    </w:p>
    <w:p>
      <w:pPr>
        <w:ind w:left="660" w:hanging="328"/>
        <w:spacing w:after="0" w:line="29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 increased by $29,094 from $17,495 for the three months ended June 30, 2020 to $46,589 for the three months ended June 30, 2021. The increases were due to an increase in revenue for development services in Puerto Rico for the three months ended June 30, 2021, including gas used by our customer for testing and commissioning their assets. Development services revenue recognized in the three months ended June 30, 2021 was for the customer’s use of 45.5 million gallons (3.7 TBtu) of natural gas as part of commissioning their assets. The increases were also due to an increase in development services revenue of $1,909 related to conversion of the customer’s infrastructure within the San Juan Power Plant.</w:t>
      </w:r>
    </w:p>
    <w:p>
      <w:pPr>
        <w:spacing w:after="0" w:line="188"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increased by $73,094 from $27,566 for the six months ended June 30, 2020 to $100,660 for the three months ended June 30, 2021. The increases were due to an increase in revenue for development services in Puerto Rico for the six months ended June 30, 2021, including gas used by our customer for testing and commissioning their assets. Development services revenue recognized in the six months ended June 30, 2021 included $92,207 for the customer’s use of 94.2 million gallons (7.7 TBtu) of natural gas as part of commissioning their assets. The increases were also due to an increase in development services revenue of $875 related to conversion of the customer's infrastructure within the San Juan Power Plant.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Subsequent to the acquisition of the Sergipe Facility as part of the Mergers, our share of revenue from our investment in CELSEPAR was $31,769, which was primarily comprised of fixed capacity payments received under our PPAs. Our proportionate share of revenue from the Sergipe Facility is included in this discussion as such revenue is included in our segment measure; in our consolidated statement of operations and comprehensive loss, we report the results from our investment in CELSEPAR as Income (loss) from equity method investments.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Cost of sales includes the procurement of feedgas or LNG, as well as shipping and logistics costs to deliver LNG or natural gas to our facilities, power generation facilities or to our customers.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7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Cost of sales increased $33,552 and $62,007 for the three and six months ended June 30, 2021, respectively, as compared to the three and six months ended June 30, 2020, respectively.</w:t>
      </w:r>
    </w:p>
    <w:p>
      <w:pPr>
        <w:spacing w:after="0" w:line="197" w:lineRule="exact"/>
        <w:rPr>
          <w:sz w:val="20"/>
          <w:szCs w:val="20"/>
          <w:color w:val="auto"/>
        </w:rPr>
      </w:pPr>
    </w:p>
    <w:p>
      <w:pPr>
        <w:ind w:left="660" w:right="20" w:hanging="328"/>
        <w:spacing w:after="0" w:line="29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of LNG purchased from third parties for sale to our customers or delivered for commissioning of our customer’s assets in Puerto Rico increased $28,421 for the three months ended June 30, 2021, respectively as compared to the three months ended June 30, 2020. The increase was primarily attributable to a 53% increase in volumes delivered compared to the three months ended June 30, 2020, partially offset by the decrease in LNG cost. The weighted-average cost of LNG purchased from third parties decreased from $0.68 per gallon ($8.23 per MMBtu) for the three months ended June 30, 2020 to $0.54 per gallon ($6.55 per MMBtu) for the three months ended June 30, 2021.</w:t>
      </w:r>
    </w:p>
    <w:p>
      <w:pPr>
        <w:spacing w:after="0" w:line="188" w:lineRule="exact"/>
        <w:rPr>
          <w:rFonts w:ascii="Arial" w:cs="Arial" w:eastAsia="Arial" w:hAnsi="Arial"/>
          <w:sz w:val="16"/>
          <w:szCs w:val="16"/>
          <w:color w:val="auto"/>
        </w:rPr>
      </w:pPr>
    </w:p>
    <w:p>
      <w:pPr>
        <w:ind w:left="660" w:right="100" w:hanging="328"/>
        <w:spacing w:after="0" w:line="29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of LNG purchased from third parties for sale to our customers or delivered for commissioning of our customer’s assets in Puerto Rico increased $43,354 for the six months ended June 30, 2021, respectively as compared to the six months ended June 30, 2020. The increase was primarily attributable to a 68% increase in volumes delivered compared to the six months ended June 30, 2020, partially offset by the decrease in LNG cost. The weighted-average cost of LNG purchased from third parties decreased from $0.67 per gallon ($8.16 per MMBtu) for the six months ended June 30, 2020 to $0.53 per gallon ($6.37 per MMBtu) for the six months ended June 30, 2021.</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weighted-average cost of our inventory balance as of June 30, 2021 and December 31, 2020 was $0.50 per gallon ($6.10 per MMBtu) and $0.40 per gallon ($4.81 per MMBtu), respectively.</w:t>
      </w:r>
    </w:p>
    <w:p>
      <w:pPr>
        <w:spacing w:after="0" w:line="19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Charter costs increased Cost of sales by $3,821 and $6,062 for the three and six months ended June 30, 2021, respectively. The increase was attributable to an additional vessel in our fleet associated with our San Juan Facility after our assets were placed in service in the third quarter of 2020, as well as an additional vessel lease that we assumed as part of the Mergers. Additionally, as a result of the Mergers, we have effectively settled our charter agreement for the </w:t>
      </w:r>
      <w:r>
        <w:rPr>
          <w:rFonts w:ascii="Arial" w:cs="Arial" w:eastAsia="Arial" w:hAnsi="Arial"/>
          <w:sz w:val="18"/>
          <w:szCs w:val="18"/>
          <w:i w:val="1"/>
          <w:iCs w:val="1"/>
          <w:color w:val="auto"/>
        </w:rPr>
        <w:t>Freeze</w:t>
      </w:r>
      <w:r>
        <w:rPr>
          <w:rFonts w:ascii="Arial" w:cs="Arial" w:eastAsia="Arial" w:hAnsi="Arial"/>
          <w:sz w:val="18"/>
          <w:szCs w:val="18"/>
          <w:color w:val="auto"/>
        </w:rPr>
        <w:t xml:space="preserve">, one of the acquired vessels, and as such, the increase in charter costs has been partially offset by lower costs associated with the </w:t>
      </w:r>
      <w:r>
        <w:rPr>
          <w:rFonts w:ascii="Arial" w:cs="Arial" w:eastAsia="Arial" w:hAnsi="Arial"/>
          <w:sz w:val="18"/>
          <w:szCs w:val="18"/>
          <w:i w:val="1"/>
          <w:iCs w:val="1"/>
          <w:color w:val="auto"/>
        </w:rPr>
        <w:t>Freeze</w:t>
      </w:r>
      <w:r>
        <w:rPr>
          <w:rFonts w:ascii="Arial" w:cs="Arial" w:eastAsia="Arial" w:hAnsi="Arial"/>
          <w:sz w:val="18"/>
          <w:szCs w:val="18"/>
          <w:color w:val="auto"/>
        </w:rPr>
        <w:t>.</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Operations and maintenance includes costs of operating our Facilities, exclusive of costs to convert that are reflected in Cost of sales. Operations and maintenance increased $14,144 and $21,912 for the three and six months ended June 30, 2021, respectively, as compared to the three and six months ended June 30, 2020.</w:t>
      </w:r>
    </w:p>
    <w:p>
      <w:pPr>
        <w:spacing w:after="0" w:line="211" w:lineRule="exact"/>
        <w:rPr>
          <w:sz w:val="20"/>
          <w:szCs w:val="20"/>
          <w:color w:val="auto"/>
        </w:rPr>
      </w:pPr>
    </w:p>
    <w:p>
      <w:pPr>
        <w:ind w:left="660" w:right="10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Subsequent to acquisition of the Sergipe Facility as part of the Mergers, our share of Operations and maintenance from our investment in CELSEPAR was $5,079, which was primarily comprised of costs related to the operation and services agreement for the </w:t>
      </w:r>
      <w:r>
        <w:rPr>
          <w:rFonts w:ascii="Arial" w:cs="Arial" w:eastAsia="Arial" w:hAnsi="Arial"/>
          <w:sz w:val="18"/>
          <w:szCs w:val="18"/>
          <w:i w:val="1"/>
          <w:iCs w:val="1"/>
          <w:color w:val="auto"/>
        </w:rPr>
        <w:t>Nanook</w:t>
      </w:r>
      <w:r>
        <w:rPr>
          <w:rFonts w:ascii="Arial" w:cs="Arial" w:eastAsia="Arial" w:hAnsi="Arial"/>
          <w:sz w:val="18"/>
          <w:szCs w:val="18"/>
          <w:color w:val="auto"/>
        </w:rPr>
        <w:t>, insurance costs and costs for connecting to the transmission system.</w:t>
      </w:r>
    </w:p>
    <w:p>
      <w:pPr>
        <w:spacing w:after="0" w:line="210" w:lineRule="exact"/>
        <w:rPr>
          <w:rFonts w:ascii="Arial" w:cs="Arial" w:eastAsia="Arial" w:hAnsi="Arial"/>
          <w:sz w:val="18"/>
          <w:szCs w:val="18"/>
          <w:color w:val="auto"/>
        </w:rPr>
      </w:pPr>
    </w:p>
    <w:p>
      <w:pPr>
        <w:ind w:left="660" w:right="40" w:hanging="328"/>
        <w:spacing w:after="0" w:line="27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increase for the three months ended June 30, 2021 as compared to the three months ended June 30, 2020 was primarily the result of operating facilities during the three months ended June 30, 2021 that were still in development or had just commenced commercial operations in the first quarter of 2020. Operations and maintenance increased by the costs of operating the San Juan Facility and CHP Plant of $4,093. We also incurred higher maintenance and logistics costs, as well as incremental costs of vessels used in our terminal operations subsequent to the Mergers; these additional costs were $4,686 for the three months ended June 30, 2021.</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20" w:hanging="328"/>
        <w:spacing w:after="0" w:line="27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increase for the six months ended June 30, 2021 as compared to the six months ended June 30, 2020 was primarily the result of operating facilities during the six months ended June 30, 2021 that were still in development or had commenced commercial operations during the six months ended June 30, 2020. Operations and maintenance increased by the costs of operating the San Juan Facility and CHP Plant of $9,143. We also incurred higher maintenance and logistics costs, as well as incremental costs of vessels used in our terminal operations subsequent to the Mergers; these additional costs were $5,778 for the six months ended June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Ships Segment</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1"/>
        </w:trPr>
        <w:tc>
          <w:tcPr>
            <w:tcW w:w="114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3"/>
              </w:rPr>
              <w:t>Three Months Ended</w:t>
            </w: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June 30, 2021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2021</w:t>
            </w: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4"/>
              </w:rPr>
              <w:t>95,762</w:t>
            </w: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Vessel operating expenses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w w:val="94"/>
              </w:rPr>
              <w:t>20,175</w:t>
            </w:r>
          </w:p>
        </w:tc>
      </w:tr>
      <w:tr>
        <w:trPr>
          <w:trHeight w:val="257"/>
        </w:trPr>
        <w:tc>
          <w:tcPr>
            <w:tcW w:w="2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margin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75,587</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20" w:firstLine="356"/>
        <w:spacing w:after="0" w:line="263" w:lineRule="auto"/>
        <w:rPr>
          <w:sz w:val="20"/>
          <w:szCs w:val="20"/>
          <w:color w:val="auto"/>
        </w:rPr>
      </w:pPr>
      <w:r>
        <w:rPr>
          <w:rFonts w:ascii="Arial" w:cs="Arial" w:eastAsia="Arial" w:hAnsi="Arial"/>
          <w:sz w:val="18"/>
          <w:szCs w:val="18"/>
          <w:color w:val="auto"/>
        </w:rPr>
        <w:t>Prior to the completion of the Mergers, we reported our results of operations in a single segment; all the assets and operations that comprise the Ships segment were acquired in the Mergers, and as such, there are no results of operations prior to the completion of the Mergers during the second quarter of 2021.</w:t>
      </w:r>
    </w:p>
    <w:p>
      <w:pPr>
        <w:spacing w:after="0" w:line="211"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 xml:space="preserve">Revenue in the Ships segment is comprised of operating lease revenue under time charters, fees for repositioning vessels as well as the reimbursement of certain vessel operating costs such as drydocking costs in relation to these leasing arrangements. We have also recognized revenue related to the interest portion of lease payments and the operating and service agreements in connection with the sales-type lease of the </w:t>
      </w:r>
      <w:r>
        <w:rPr>
          <w:rFonts w:ascii="Arial" w:cs="Arial" w:eastAsia="Arial" w:hAnsi="Arial"/>
          <w:sz w:val="16"/>
          <w:szCs w:val="16"/>
          <w:i w:val="1"/>
          <w:iCs w:val="1"/>
          <w:color w:val="auto"/>
        </w:rPr>
        <w:t>Nanook</w:t>
      </w:r>
      <w:r>
        <w:rPr>
          <w:rFonts w:ascii="Arial" w:cs="Arial" w:eastAsia="Arial" w:hAnsi="Arial"/>
          <w:sz w:val="16"/>
          <w:szCs w:val="16"/>
          <w:color w:val="auto"/>
        </w:rPr>
        <w:t>.</w:t>
      </w:r>
    </w:p>
    <w:p>
      <w:pPr>
        <w:spacing w:after="0" w:line="1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Subsequent to the completion of the Mergers, five of the FSRUs and one LNGCs were on hire under long-term charter agreements for the full period. Two LNGCs were operating in the spot market for a portion of the period subsequent to the completion of the Mergers. The </w:t>
      </w:r>
      <w:r>
        <w:rPr>
          <w:rFonts w:ascii="Arial" w:cs="Arial" w:eastAsia="Arial" w:hAnsi="Arial"/>
          <w:sz w:val="18"/>
          <w:szCs w:val="18"/>
          <w:i w:val="1"/>
          <w:iCs w:val="1"/>
          <w:color w:val="auto"/>
        </w:rPr>
        <w:t>Spirit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Mazo</w:t>
      </w:r>
      <w:r>
        <w:rPr>
          <w:rFonts w:ascii="Arial" w:cs="Arial" w:eastAsia="Arial" w:hAnsi="Arial"/>
          <w:sz w:val="18"/>
          <w:szCs w:val="18"/>
          <w:color w:val="auto"/>
        </w:rPr>
        <w:t xml:space="preserve"> continue to be in cold lay-up, and no vessel charter revenue was generated from these vessels.</w:t>
      </w:r>
    </w:p>
    <w:p>
      <w:pPr>
        <w:spacing w:after="0" w:line="21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 xml:space="preserve">Two of the vessels acquired in the Mergers, the </w:t>
      </w:r>
      <w:r>
        <w:rPr>
          <w:rFonts w:ascii="Arial" w:cs="Arial" w:eastAsia="Arial" w:hAnsi="Arial"/>
          <w:sz w:val="16"/>
          <w:szCs w:val="16"/>
          <w:i w:val="1"/>
          <w:iCs w:val="1"/>
          <w:color w:val="auto"/>
        </w:rPr>
        <w:t>Celsius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Penguin</w:t>
      </w:r>
      <w:r>
        <w:rPr>
          <w:rFonts w:ascii="Arial" w:cs="Arial" w:eastAsia="Arial" w:hAnsi="Arial"/>
          <w:sz w:val="16"/>
          <w:szCs w:val="16"/>
          <w:color w:val="auto"/>
        </w:rPr>
        <w:t>, currently participate in an LNG carrier pooling arrangement, which we refer to as the Cool Pool. Under this arrangement, the pool manager markets participating vessels in the LNG shipping spot market, and the vessel owner continues to be fully responsible for the manning and technical management of their respective vessels. Revenue for charters of our vessels in the Cool Pool is presented on a gross basis in revenue, and the Company’s allocation of its share of the net revenues earned from the other pool participants' vessels, which may be either income or expense depending on the results of all pool participants, is reflected on a net basis within Vessel operating expenses.</w:t>
      </w:r>
    </w:p>
    <w:p>
      <w:pPr>
        <w:spacing w:after="0" w:line="188"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 xml:space="preserve">Revenue recognized in the Ships segment included $9,681 of interest income for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sales-type lease and $1,165 of revenue for operating services provided to the charterer of the </w:t>
      </w:r>
      <w:r>
        <w:rPr>
          <w:rFonts w:ascii="Arial" w:cs="Arial" w:eastAsia="Arial" w:hAnsi="Arial"/>
          <w:sz w:val="17"/>
          <w:szCs w:val="17"/>
          <w:i w:val="1"/>
          <w:iCs w:val="1"/>
          <w:color w:val="auto"/>
        </w:rPr>
        <w:t>Nanook</w:t>
      </w:r>
      <w:r>
        <w:rPr>
          <w:rFonts w:ascii="Arial" w:cs="Arial" w:eastAsia="Arial" w:hAnsi="Arial"/>
          <w:sz w:val="17"/>
          <w:szCs w:val="17"/>
          <w:color w:val="auto"/>
        </w:rPr>
        <w:t>, CELSE, for the period subsequent to the completion of the Mergers.</w:t>
      </w:r>
    </w:p>
    <w:p>
      <w:pPr>
        <w:spacing w:after="0" w:line="17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Our segment measure includes our proportionate share of the results of operations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Our share of revenue from our investment in Hilli LLC was $21,747 which was primarily comprised of fees received under the long-term tolling arrangement.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maintained 100% commercial uptime during the period subsequent to the Mergers.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Vessel operating expenses</w:t>
      </w:r>
    </w:p>
    <w:p>
      <w:pPr>
        <w:spacing w:after="0" w:line="252" w:lineRule="exact"/>
        <w:rPr>
          <w:sz w:val="20"/>
          <w:szCs w:val="20"/>
          <w:color w:val="auto"/>
        </w:rPr>
      </w:pPr>
    </w:p>
    <w:p>
      <w:pPr>
        <w:ind w:right="100" w:firstLine="356"/>
        <w:spacing w:after="0" w:line="257" w:lineRule="auto"/>
        <w:rPr>
          <w:sz w:val="20"/>
          <w:szCs w:val="20"/>
          <w:color w:val="auto"/>
        </w:rPr>
      </w:pPr>
      <w:r>
        <w:rPr>
          <w:rFonts w:ascii="Arial" w:cs="Arial" w:eastAsia="Arial" w:hAnsi="Arial"/>
          <w:sz w:val="18"/>
          <w:szCs w:val="18"/>
          <w:color w:val="auto"/>
        </w:rPr>
        <w:t>Vessel operating expenses include direct costs associated with operating a vessel, include crewing, repairs and maintenance, insurance, stores, lube oils, communication expenses and management fees.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21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During the period after the completion of the Mergers, we recognized $20,175 in Vessel operating expenses, representing two and a half months of operations of each of the acquired vessels.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8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4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results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7"/>
        </w:trPr>
        <w:tc>
          <w:tcPr>
            <w:tcW w:w="10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7"/>
              </w:rPr>
              <w:t>Change</w:t>
            </w: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31,846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78,152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17,936</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Transaction and integration costs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29,152</w:t>
            </w:r>
          </w:p>
        </w:tc>
        <w:tc>
          <w:tcPr>
            <w:tcW w:w="14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40,716</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40,716</w:t>
            </w: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123,906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(123,906)</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124,114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(124,114)</w:t>
            </w:r>
          </w:p>
        </w:tc>
      </w:tr>
      <w:tr>
        <w:trPr>
          <w:trHeight w:val="223"/>
        </w:trPr>
        <w:tc>
          <w:tcPr>
            <w:tcW w:w="58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19,377</w:t>
            </w:r>
          </w:p>
        </w:tc>
        <w:tc>
          <w:tcPr>
            <w:tcW w:w="1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36,886</w:t>
            </w:r>
          </w:p>
        </w:tc>
        <w:tc>
          <w:tcPr>
            <w:tcW w:w="120" w:type="dxa"/>
            <w:vAlign w:val="bottom"/>
          </w:tcPr>
          <w:p>
            <w:pPr>
              <w:spacing w:after="0"/>
              <w:rPr>
                <w:sz w:val="19"/>
                <w:szCs w:val="19"/>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12,874</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24,012</w:t>
            </w:r>
          </w:p>
        </w:tc>
      </w:tr>
      <w:tr>
        <w:trPr>
          <w:trHeight w:val="223"/>
        </w:trPr>
        <w:tc>
          <w:tcPr>
            <w:tcW w:w="58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236,080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242,771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404,071</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353,302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(12,241)</w:t>
            </w:r>
          </w:p>
        </w:tc>
        <w:tc>
          <w:tcPr>
            <w:tcW w:w="12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(148,205)</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135,964</w:t>
            </w:r>
          </w:p>
        </w:tc>
        <w:tc>
          <w:tcPr>
            <w:tcW w:w="1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(34,548)</w:t>
            </w:r>
          </w:p>
        </w:tc>
        <w:tc>
          <w:tcPr>
            <w:tcW w:w="1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w w:val="93"/>
              </w:rPr>
              <w:t>(184,206)</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149,658</w:t>
            </w: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17,198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14,284</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50,162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31,088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19,074</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(7,457)</w:t>
            </w:r>
          </w:p>
        </w:tc>
        <w:tc>
          <w:tcPr>
            <w:tcW w:w="12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(8,456)</w:t>
            </w:r>
          </w:p>
        </w:tc>
        <w:tc>
          <w:tcPr>
            <w:tcW w:w="1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(8,058)</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(9,668)</w:t>
            </w: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(9,557)</w:t>
            </w:r>
          </w:p>
        </w:tc>
      </w:tr>
      <w:tr>
        <w:trPr>
          <w:trHeight w:val="27"/>
        </w:trPr>
        <w:tc>
          <w:tcPr>
            <w:tcW w:w="10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82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Net loss before income from equity method investments and income taxes</w:t>
            </w:r>
          </w:p>
        </w:tc>
        <w:tc>
          <w:tcPr>
            <w:tcW w:w="8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(36,266)</w:t>
            </w:r>
          </w:p>
        </w:tc>
        <w:tc>
          <w:tcPr>
            <w:tcW w:w="12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w w:val="90"/>
              </w:rPr>
              <w:t>(166,402)</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130,136</w:t>
            </w:r>
          </w:p>
        </w:tc>
        <w:tc>
          <w:tcPr>
            <w:tcW w:w="1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(76,652)</w:t>
            </w:r>
          </w:p>
        </w:tc>
        <w:tc>
          <w:tcPr>
            <w:tcW w:w="1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w w:val="93"/>
              </w:rPr>
              <w:t>(226,461)</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149,809</w:t>
            </w: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equity method investments</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38,941</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38,941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38,941</w:t>
            </w:r>
          </w:p>
        </w:tc>
      </w:tr>
      <w:tr>
        <w:trPr>
          <w:trHeight w:val="223"/>
        </w:trPr>
        <w:tc>
          <w:tcPr>
            <w:tcW w:w="5820" w:type="dxa"/>
            <w:vAlign w:val="bottom"/>
            <w:gridSpan w:val="3"/>
          </w:tcPr>
          <w:p>
            <w:pPr>
              <w:spacing w:after="0"/>
              <w:rPr>
                <w:sz w:val="20"/>
                <w:szCs w:val="20"/>
                <w:color w:val="auto"/>
              </w:rPr>
            </w:pPr>
            <w:r>
              <w:rPr>
                <w:rFonts w:ascii="Arial" w:cs="Arial" w:eastAsia="Arial" w:hAnsi="Arial"/>
                <w:sz w:val="18"/>
                <w:szCs w:val="18"/>
                <w:color w:val="auto"/>
              </w:rPr>
              <w:t>Tax provision</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4,292</w:t>
            </w:r>
          </w:p>
        </w:tc>
        <w:tc>
          <w:tcPr>
            <w:tcW w:w="1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19"/>
                <w:szCs w:val="19"/>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3,419</w:t>
            </w:r>
          </w:p>
        </w:tc>
      </w:tr>
      <w:tr>
        <w:trPr>
          <w:trHeight w:val="223"/>
        </w:trPr>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(166,519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164,785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(41,243</w:t>
            </w:r>
          </w:p>
        </w:tc>
        <w:tc>
          <w:tcPr>
            <w:tcW w:w="160" w:type="dxa"/>
            <w:vAlign w:val="bottom"/>
            <w:tcBorders>
              <w:bottom w:val="single" w:sz="8" w:color="CCEEFF"/>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(226,574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185,331</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Selling, general and administrative includes compensation expenses for our corporate employees, employee travel costs, insurance, professional fees for our advisors and costs associated with development activities for projects that are in initial stages and development is not yet probable.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Selling, general and administrative increased $12,690 for the three months ended June 30, 2021, as compared to the three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attributable to $6,955 of higher payroll costs associated with increased headcount for the three months ended June 30,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Contributing to the increase was higher lease expense, insurance and IT and other costs attributable to our expanded operations of $5,746.</w:t>
      </w:r>
    </w:p>
    <w:p>
      <w:pPr>
        <w:spacing w:after="0" w:line="23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Selling, general and administrative increased $17,936 for the six months ended June 30, 2021, as compared to the six months ended June 30, 2020. The increase was primarily attributable to $10,893 of higher payroll costs associated with increased headcount for the six months ended June 30, 2021. Contributing to the increase was higher lease expense, insurance and IT and other costs attributable to our expanded operations of $7,536.</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and integration costs</w:t>
      </w:r>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Transaction and integration costs were $29,152 and $40,716 for the three and six months ended June 30, 2021, respectively. As part of arranging financing for the Mergers, we incurred $15,000 in bridge financing commitment fees. We issued the 2026 Notes to pay for a portion of the consideration for the Mergers and did not utilize the commitments under the bridge financing, and as such, the fees were expensed with the termination of the bridge financing commitment letter. We also incurred $3,978 of costs related to the settlement of a contractual indemnification obligation under a pre-existing lease arrangement prior to the GMLP Merger. The remaining transaction and integration costs of $10,174 and $21,738, for the three and six months ended June 30, 2021 and June 30, 2020, respectively, were incurred in connection with the Mergers, which consisted primarily of financial advisory, legal, accounting and consulting costs. We did not have such transactions during the three and six months ended June 30, 2020.</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termination charges and loss on mitigation sales</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Loss on mitigation sales for the three and six months ended June 30, 2020 was $123,906 and $124,114, respectively. In June 2020, we executed an agreement to terminate our obligation to purchase LNG from our supplier for the remainder of 2020 in exchange for a payment of $105,000, and we recognized this cancellation charge during the three months ended June 30, 2020. We terminated our obligation in the second quarter of 2020 to both take advantage of the low pricing in the open market and to align future deliveries of LNG with our expected needs. Additionally, in the second quarter of 2020, we experienced lower than expected consumption by some of our customers, primarily as a result of unplanned maintenance at one of our customer’s facilities in Jamaica. As a result, we were unable to utilize a firm cargo purchased under our LNG supply agreement, incurring a loss of $18,906 on the sale of this cargo that was recognized during the second quarter of 2020. We did not have such transactions during the three and six months ended June 30, 2021.</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Depreciation and amortization increased $19,377 and $24,012 for the three and six months ended June 30, 2021, respectively, as compared to the three and six months ended June 30, 2020. The increase was primarily due to the following:</w:t>
      </w:r>
    </w:p>
    <w:p>
      <w:pPr>
        <w:spacing w:after="0" w:line="197" w:lineRule="exact"/>
        <w:rPr>
          <w:sz w:val="20"/>
          <w:szCs w:val="20"/>
          <w:color w:val="auto"/>
        </w:rPr>
      </w:pPr>
    </w:p>
    <w:p>
      <w:pPr>
        <w:ind w:left="660" w:right="60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Subsequent to the completion of the Mergers, our results of operations include depreciation expense primarily for the vessels acquired. We recognized $11,409 of incremental depreciation expense for the acquired vessels during the three and six months ended June 30, 2021 as compared to the same periods in the prior year;</w:t>
      </w:r>
    </w:p>
    <w:p>
      <w:pPr>
        <w:sectPr>
          <w:pgSz w:w="11900" w:h="16838" w:orient="portrait"/>
          <w:cols w:equalWidth="0" w:num="1">
            <w:col w:w="11240"/>
          </w:cols>
          <w:pgMar w:left="320" w:top="114"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of the value recorded for favorable and unfavorable contracts acquired in the Mergers of $5,349;</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depreciation of $2,419 and $4,802 for the San Juan Facility that went into service in July 2020 for the three and six months ended June 30, 2021, respectively;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depreciation of $2,110 for the CHP Plant that went into service in March 2020 for the six months ended June 30, 2021.</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Interest expense increased by $14,284 and $19,074 for the three and six months ended June 30, 2021, respectively, as compared to the three and six months ended June 30, 2020. The increase was primarily due to an increase in total principal outstanding due to the issuance of the 2025 Notes in September 2020, the 2026 Notes in April 2021 and draws on the Revolving Facility in the second quarter of 2021 (all defined below); principal outstanding on these outstanding facilities was $2,902,500 as of June 30, 2021 as compared to total outstanding debt of $980,000 as of June 30, 2020.</w:t>
      </w:r>
    </w:p>
    <w:p>
      <w:pPr>
        <w:spacing w:after="0" w:line="18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conjunction with the Mergers, we assumed outstanding debentures issued by a subsidiary of Hygo and the outstanding debt of variable interest entities (“VIEs”) that are now consolidated in our financial statements, totaling $679,558 as of the acquisition date. Although we have no control over the funding arrangements of these entities, we are the primary beneficiary of these VIEs and therefore these loan facilities are presented as part of the condensed consolidated financial statements. We recognized a reduction to interest expense attributable to assumed debt of $6,635 for the period subsequent to the completion of Mergers. Upon assumption of the debt held by VIEs, we recognized the liabilities assumed at fair value, and the amortization of the premium of $9,707 has been recognized as a reduction to interest expense incurred of $3,072.</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Other (income) expense, net increased by $8,456 and $9,668 for the three and six months ended June 30, 2021, respectively, as compared to the three and six months ended June 30, 2020. The increases in income were primarily as a result of changes in fair value in the interest rate swap and cross currency interest rate swap assumed in the Mergers for both the three and six months ended June 30, 2021.</w:t>
      </w:r>
    </w:p>
    <w:p>
      <w:pPr>
        <w:spacing w:after="0" w:line="21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During both the three months and six months ended June 30, 2021, we additionally recognized remeasurement gains resulting in increases to other income. We also recognized increased income from the change in fair value of the derivative liability and equity agreement associated with payments due to sellers in asset acquisitions. Increases to income were offset by a decrease to interest income.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on extinguishment of debt, net</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Loss on extinguishment of debt for the three and six months ended June 30, 2020 was $9,557 as a result of the extinguishment of the term loan facility in January 2020. We did not have such transactions during the three and six months ended June 30, 2021.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provision</w:t>
      </w:r>
    </w:p>
    <w:p>
      <w:pPr>
        <w:spacing w:after="0" w:line="25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recognized a tax provision for the three and six months ended June 30, 2021 of $4,409 and $3,532, respectively, compared to tax provision of $117 and $113 for the three and six months ended June 30, 2020, respectively. The increases to the tax provision and effective tax rate for both the three and six months ended June 30, 2021 was primarily driven by an increase in pre-tax income in certain profitable non-U.S. operations and the inclusion of GMLP and Hygo into our expected pre-tax results of operations for the year ended December 31, 2021. For the six months ended June 30, 2021, these increases in tax expense were partially offset by the release of a valuation allowance in a foreign jurisdiction resulting in a discrete benefit of $2,778.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52" w:lineRule="exact"/>
        <w:rPr>
          <w:sz w:val="20"/>
          <w:szCs w:val="20"/>
          <w:color w:val="auto"/>
        </w:rPr>
      </w:pPr>
    </w:p>
    <w:p>
      <w:pPr>
        <w:ind w:right="80" w:firstLine="356"/>
        <w:spacing w:after="0" w:line="279" w:lineRule="auto"/>
        <w:rPr>
          <w:sz w:val="20"/>
          <w:szCs w:val="20"/>
          <w:color w:val="auto"/>
        </w:rPr>
      </w:pPr>
      <w:r>
        <w:rPr>
          <w:rFonts w:ascii="Arial" w:cs="Arial" w:eastAsia="Arial" w:hAnsi="Arial"/>
          <w:sz w:val="17"/>
          <w:szCs w:val="17"/>
          <w:color w:val="auto"/>
        </w:rPr>
        <w:t xml:space="preserve">During the period after the completion of the Mergers, we recognized income from our investments in Hilli and CELSEPAR of $38,941. Our proportionate share of the earnings of Hilli and CELSEPAR of $10,595 and $34,120, respectively, were offset by amortization of basis differences through our equity earnings of $5,774. Our share of earnings from CELSEPAR was significantly impacted by foreign currency remeasurment gains recognized during the period after the Mergers of $25,776, primarily the result of the remeasurement of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finance lease obligation.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256" w:lineRule="exact"/>
        <w:rPr>
          <w:sz w:val="20"/>
          <w:szCs w:val="20"/>
          <w:color w:val="auto"/>
        </w:rPr>
      </w:pPr>
    </w:p>
    <w:p>
      <w:pPr>
        <w:ind w:right="20" w:firstLine="356"/>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197" w:lineRule="exact"/>
        <w:rPr>
          <w:sz w:val="20"/>
          <w:szCs w:val="20"/>
          <w:color w:val="auto"/>
        </w:rPr>
      </w:pPr>
    </w:p>
    <w:p>
      <w:pPr>
        <w:ind w:left="900" w:hanging="568"/>
        <w:spacing w:after="0" w:line="29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include the results of operations of Hygo and GMLP only since the completion of the Mergers in April 2021 and do not include all integration and transaction costs expected to be incurred associated with these acquisitions. </w:t>
      </w:r>
      <w:r>
        <w:rPr>
          <w:rFonts w:ascii="Arial" w:cs="Arial" w:eastAsia="Arial" w:hAnsi="Arial"/>
          <w:sz w:val="16"/>
          <w:szCs w:val="16"/>
          <w:color w:val="auto"/>
        </w:rPr>
        <w:t>Upon completion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Mergers, we acquired a fleet of seven FSRUs, six LNG carriers and an interest in a floating liquefaction vessel. We also acquired the Sergipe Facility, a 50% interest in the Sergipe Power Plant, as well as the Barcarena Facility and the Santa Catarina Facility that are currently in development. The results of operations of Hygo and GMLP began to be included in our financial statements upon the closing of the acquisitions on April 15, 2021. Our results of operations in 2021 will also include transaction costs associated with these acquisitions as well as costs incurred to integrate the operations of Hygo and GMLP into our business, which may be significant.</w:t>
      </w:r>
    </w:p>
    <w:p>
      <w:pPr>
        <w:spacing w:after="0" w:line="193" w:lineRule="exact"/>
        <w:rPr>
          <w:rFonts w:ascii="Arial" w:cs="Arial" w:eastAsia="Arial" w:hAnsi="Arial"/>
          <w:sz w:val="16"/>
          <w:szCs w:val="16"/>
          <w:color w:val="auto"/>
        </w:rPr>
      </w:pPr>
    </w:p>
    <w:p>
      <w:pPr>
        <w:ind w:left="900" w:right="60" w:hanging="568"/>
        <w:spacing w:after="0" w:line="275"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do not include significant projects that have recently been completed or are near completion. </w:t>
      </w:r>
      <w:r>
        <w:rPr>
          <w:rFonts w:ascii="Arial" w:cs="Arial" w:eastAsia="Arial" w:hAnsi="Arial"/>
          <w:sz w:val="17"/>
          <w:szCs w:val="17"/>
          <w:color w:val="auto"/>
        </w:rPr>
        <w:t>Our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for the three and six months ended June 30, 2021 include our Montego Bay Facility, Old Harbour Facility, San Juan Facility, certain industrial end-users and our Miami Facility. We are finalizing development of our La Paz Facility and our Puerto Sandino Facility, and our current results do not include revenue and operating results from these projects. Our current results also exclude other developments, including the Suape Facility, the Barcarena Facility, the Santa Catarina Facility and the Ireland Facility.</w:t>
      </w:r>
    </w:p>
    <w:p>
      <w:pPr>
        <w:spacing w:after="0" w:line="203" w:lineRule="exact"/>
        <w:rPr>
          <w:rFonts w:ascii="Arial" w:cs="Arial" w:eastAsia="Arial" w:hAnsi="Arial"/>
          <w:sz w:val="17"/>
          <w:szCs w:val="17"/>
          <w:color w:val="auto"/>
        </w:rPr>
      </w:pPr>
    </w:p>
    <w:p>
      <w:pPr>
        <w:ind w:left="900" w:right="140" w:hanging="568"/>
        <w:spacing w:after="0" w:line="272"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do not reflect new LNG supply agreements that will lower the cost of our LNG supply through 2030.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purchase the majority of our supply of LNG from third parties, sourcing approximately 97% of our LNG volumes from third parties for the three and six months ended June 30, 2021, respectively, a significant portion of which is under an LNG supply agreement signed in 2018. During 2020 and 2021, we also entered into LNG supply agreements for the purchase of approximately 601 TBtu of LNG at a price indexed to Henry Hub from 2021 and 2030, resulting in expected pricing below the pricing in our previous long-term supply agreement. We have now secured supply for LNG volumes equal to approximately 100% of our expected needs for our Montego Bay Facility, Old Harbour Facility, San Juan Facility, La Paz Facility and Puerto Sandino Facility for the next six years.</w:t>
      </w:r>
    </w:p>
    <w:p>
      <w:pPr>
        <w:spacing w:after="0" w:line="204"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color w:val="auto"/>
        </w:rPr>
        <w:t>We also anticipate that the deployment of Fast LNG floating liquefaction facilities will significantly lower the cost of our LNG supply and reduce our dependence on third party suppliers.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believe we will have sufficient liquidity from proceeds from recent borrowings, access to additional capital sources and cash flow from operations to fund our capital expenditures and working capital needs for the next 12 months. We expect to fund our current operations and continued development of additional facilities through cash on hand, borrowings under our Revolving Facility and cash generated from operations. We may also elect to generate additional liquidity through future debt or equity issuances to fund developments and transactions. We have historically funded our developments through proceeds from our IPO and debt and equity financing as follows:</w:t>
      </w:r>
    </w:p>
    <w:p>
      <w:pPr>
        <w:spacing w:after="0" w:line="21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2020, we borrowed $800,000 under a credit agreement, and repaid our prior term loan facility in full.</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September 2020, we issued $1,000,000 of 2025 Notes and repaid all other outstanding debt. No principal payments are due on the 2025 Notes until maturity in 2025.</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December 2020, we received proceeds of $263,125 from the issuance of $250,000 of additional notes on the same terms as the 2025 Notes (subsequent to this issuance, these additional notes are included in the definition of 2025 Notes herein).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December 2020, we issued 5,882,352 shares of Class A common stock and received proceeds of $290,771, net of $1,221 in issuance costs.</w:t>
      </w:r>
    </w:p>
    <w:p>
      <w:pPr>
        <w:spacing w:after="0" w:line="2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April 12, 2021, we issued $1.5 billion of 2026 Notes. The 2026 Notes bear interest at 6.50% per annum and were issued at an issue price equal to 100% of principal. No principal payments are due on the 2026 Notes until maturity in 2026. The Company used the net proceeds from this offering to fund the cash consideration for the GMLP Merger and pay related fees and expenses. On April 15, 2021, we entered into the $200,000 Revolving Facility that has a term of approximately five years and bears interest based on the three-month LIBOR rate plus certain margins.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assumed total committed expenditures for all completed and existing projects to be approximately $1,428 million, with approximately $1,059 million having already been spent through June 30, 2021. This estimate represents the committed expenditures necessary to complete the La Paz Facility, Puerto Sandino Facility, the Suape Facility, the Barcarena Facility and the Santa Catarina Facility, as well committed expenditures to serve new industrial end-users. We expect to be able to fund all such committed projects with a combination of cash on hand, cash flows from operations, proceeds from the sale and lease back of the CHP Plant and borrowings under our Revolving Facility. We may also enter into other financing arrangements to generate proceeds to fund our developments. Through June 30, 2021, we have spent approximately $128 million to develop the Pennsylvania Facility. Approximately $22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 million, has been capitalized, and to date, we have repurposed approximately $17 million of engineering and equipment to our Fast LNG project.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six months ended June 30, 2021 and 2020,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(31,029)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(1,830,933)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(95,344)</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(1,735,589)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306,025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1,238,559</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(397,701)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130,358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(528,059)</w:t>
            </w: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252" w:lineRule="exact"/>
        <w:rPr>
          <w:sz w:val="20"/>
          <w:szCs w:val="20"/>
          <w:color w:val="auto"/>
        </w:rPr>
      </w:pPr>
    </w:p>
    <w:p>
      <w:pPr>
        <w:ind w:right="40" w:firstLine="356"/>
        <w:spacing w:after="0" w:line="259" w:lineRule="auto"/>
        <w:rPr>
          <w:sz w:val="20"/>
          <w:szCs w:val="20"/>
          <w:color w:val="auto"/>
        </w:rPr>
      </w:pPr>
      <w:r>
        <w:rPr>
          <w:rFonts w:ascii="Arial" w:cs="Arial" w:eastAsia="Arial" w:hAnsi="Arial"/>
          <w:sz w:val="18"/>
          <w:szCs w:val="18"/>
          <w:color w:val="auto"/>
        </w:rPr>
        <w:t>Our cash flow used in operating activities was $111,352 for the six months ended June 30, 2021, which increased by $31,029 from $80,323 for the six months ended June 30, 2020. Our net loss for the six months ended June 30, 2021, when adjusted for non-cash items, decreased by $24,751 from the six months ended June 30, 2020. The reduction to the net loss was offset by changes in working capital accounts, primarily significant increases in receivables, inventory and accrued liabilities, including costs attributable to the Mergers.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100" w:firstLine="356"/>
        <w:spacing w:after="0" w:line="259" w:lineRule="auto"/>
        <w:rPr>
          <w:sz w:val="20"/>
          <w:szCs w:val="20"/>
          <w:color w:val="auto"/>
        </w:rPr>
      </w:pPr>
      <w:r>
        <w:rPr>
          <w:rFonts w:ascii="Arial" w:cs="Arial" w:eastAsia="Arial" w:hAnsi="Arial"/>
          <w:sz w:val="18"/>
          <w:szCs w:val="18"/>
          <w:color w:val="auto"/>
        </w:rPr>
        <w:t>Our cash flow used in investing activities was $1,830,933 for the six months ended June 30, 2021, which increased by $1,735,589 from $95,344 for the six months ended June 30, 2020. Cash used for the Mergers, net of cash acquired was $1,586,042. Cash outflows for investing activities during the six months ended June 30, 2021 were also used for continued development of the Puerto Sandino Facility, Suape Facility, Barcarena Facility, Santa Catarina Facility, as well as our Fast LNG solution.</w:t>
      </w:r>
    </w:p>
    <w:p>
      <w:pPr>
        <w:spacing w:after="0" w:line="214" w:lineRule="exact"/>
        <w:rPr>
          <w:sz w:val="20"/>
          <w:szCs w:val="20"/>
          <w:color w:val="auto"/>
        </w:rPr>
      </w:pPr>
    </w:p>
    <w:p>
      <w:pPr>
        <w:ind w:right="120" w:firstLine="356"/>
        <w:spacing w:after="0" w:line="277" w:lineRule="auto"/>
        <w:rPr>
          <w:sz w:val="20"/>
          <w:szCs w:val="20"/>
          <w:color w:val="auto"/>
        </w:rPr>
      </w:pPr>
      <w:r>
        <w:rPr>
          <w:rFonts w:ascii="Arial" w:cs="Arial" w:eastAsia="Arial" w:hAnsi="Arial"/>
          <w:sz w:val="18"/>
          <w:szCs w:val="18"/>
          <w:color w:val="auto"/>
        </w:rPr>
        <w:t>During the six months ended June 30, 2020, we completed the CHP Plant and were in the final stages of development of the San Juan Facility, and as such, we incurred lower cash outflows for investing activities for the six months ended June 30, 2020.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52" w:lineRule="exact"/>
        <w:rPr>
          <w:sz w:val="20"/>
          <w:szCs w:val="20"/>
          <w:color w:val="auto"/>
        </w:rPr>
      </w:pPr>
    </w:p>
    <w:p>
      <w:pPr>
        <w:ind w:right="120" w:firstLine="356"/>
        <w:spacing w:after="0" w:line="257" w:lineRule="auto"/>
        <w:rPr>
          <w:sz w:val="20"/>
          <w:szCs w:val="20"/>
          <w:color w:val="auto"/>
        </w:rPr>
      </w:pPr>
      <w:r>
        <w:rPr>
          <w:rFonts w:ascii="Arial" w:cs="Arial" w:eastAsia="Arial" w:hAnsi="Arial"/>
          <w:sz w:val="18"/>
          <w:szCs w:val="18"/>
          <w:color w:val="auto"/>
        </w:rPr>
        <w:t>Our cash flow provided by financing activities was $1,544,584 for the six months ended June 30, 2021, which increased by $1,238,559 from cash provided by financing activities of $306,025 for the six months ended June 30, 2020. Cash provided by financing activities during the six months ended June 30, 2021 was due to proceeds received from the borrowings under the 2026 Notes of $1,500,000 and the draw of $152,500 on the Revolving Facility. The proceeds received were further offset by financing fees paid in connection with the borrowings and dividends paid for the six months ended June 30, 2021.</w:t>
      </w:r>
    </w:p>
    <w:p>
      <w:pPr>
        <w:spacing w:after="0" w:line="215" w:lineRule="exact"/>
        <w:rPr>
          <w:sz w:val="20"/>
          <w:szCs w:val="20"/>
          <w:color w:val="auto"/>
        </w:rPr>
      </w:pPr>
    </w:p>
    <w:p>
      <w:pPr>
        <w:ind w:right="80" w:firstLine="356"/>
        <w:spacing w:after="0" w:line="259" w:lineRule="auto"/>
        <w:rPr>
          <w:sz w:val="20"/>
          <w:szCs w:val="20"/>
          <w:color w:val="auto"/>
        </w:rPr>
      </w:pPr>
      <w:r>
        <w:rPr>
          <w:rFonts w:ascii="Arial" w:cs="Arial" w:eastAsia="Arial" w:hAnsi="Arial"/>
          <w:sz w:val="18"/>
          <w:szCs w:val="18"/>
          <w:color w:val="auto"/>
        </w:rPr>
        <w:t>Cash flow provided by financing activities during the six months ended June 30, 2020 were primarily consisted of the borrowings under our previous credit agreement of $800,000, partially offset by an original issue discount of $20,000 and financing fees of $13,600. A portion of these proceeds was used to fund the repayment of our previous term loan facility of $506,402. Additionally, the remaining proceeds from secured bonds issued in Jamaica of $52,144 were received during the first quarter of 2020.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5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September 2, 2020, we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We may redeem the 2025 Notes, in whole or in part, at any time prior to maturity, subject to certain make-whole premiums.</w:t>
      </w:r>
    </w:p>
    <w:p>
      <w:pPr>
        <w:spacing w:after="0" w:line="214" w:lineRule="exact"/>
        <w:rPr>
          <w:sz w:val="20"/>
          <w:szCs w:val="20"/>
          <w:color w:val="auto"/>
        </w:rPr>
      </w:pPr>
    </w:p>
    <w:p>
      <w:pPr>
        <w:ind w:right="500" w:firstLine="324"/>
        <w:spacing w:after="0" w:line="311" w:lineRule="auto"/>
        <w:rPr>
          <w:sz w:val="20"/>
          <w:szCs w:val="20"/>
          <w:color w:val="auto"/>
        </w:rPr>
      </w:pPr>
      <w:r>
        <w:rPr>
          <w:rFonts w:ascii="Arial" w:cs="Arial" w:eastAsia="Arial" w:hAnsi="Arial"/>
          <w:sz w:val="16"/>
          <w:szCs w:val="16"/>
          <w:color w:val="auto"/>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176"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5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connection with the issuance of the 2025 Notes, we incurred $17,937 in origination, structuring and other fees. Issuance costs of $13,909 were deferred as a reduction of the principal balance of the 2025 Notes on the condensed consolidated balance sheets; unamortized deferred financing costs related to lenders in the previously credit agreement that participated in the 2025 Notes were $6,501 and such unamortized costs were also included as a reduction of the principal balance of the 2025 Notes and will be amortized over the remaining term of the 2025 Notes. As a portion of the repayment of the previous credit agreement was a modification, in the third quarter of 2020, the Company recorded $4,028 of third-party fees as an expense in the condensed consolidated statements of operations and comprehensive loss.</w:t>
      </w:r>
    </w:p>
    <w:p>
      <w:pPr>
        <w:spacing w:after="0" w:line="20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December 17, 2020, we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$4,566. As of June 30, 2021 and December 31, 2020, remaining unamortized deferred financing costs for the 2025 Notes was $9,827 and $10,439,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April 12, 2021, we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We may redeem the 2026 Notes, in whole or in part, at any time prior to maturity, subject to certain make-whole premiums.</w:t>
      </w:r>
    </w:p>
    <w:p>
      <w:pPr>
        <w:spacing w:after="0" w:line="214"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2026 Notes are guaranteed on a senior secured basis by each domestic subsidiary and foreign subsidiary that is a guarantor under the existing 2025 Notes, and the 2026 Notes are secured by substantially the same collateral as our existing first lien obligations under the 2025 Notes.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used the net proceeds from this offering to fund the cash consideration for the GMLP Merger and pay related fees and expenses. In connection with the issuance of the 2026 Notes, we incurred $24,335 in origination, structuring and other fees, which was deferred as a reduction of the principal balance of the 2026 Notes on the condensed consolidated balance sheets. As of June 30, 2021, total remaining unamortized deferred financing costs for the 2026 Notes was $23,053.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April 15, 2021, we entered into a $200,000 senior secured revolving facility (the “Revolving Facility”). The proceeds of the Revolving Facility may be used for working capital and other general corporate purposes (including permitted acquisitions and other investments). Letters of credit issued under the $100,000 letter of credit sub-facility may be used for general corporate purposes. The Revolving Facility will mature in 2026, with the potential for us to extend the maturity date once in a one-year increment.</w:t>
      </w:r>
    </w:p>
    <w:p>
      <w:pPr>
        <w:spacing w:after="0" w:line="21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Borrowings under the Revolving Facility bear interest at a per annum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0.00% LIBOR floor. Borrowings under the Revolving Facility may be prepaid, at our option, at any time without premium.</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 obligations under the Revolving Facility are guaranteed by each domestic subsidiary and foreign subsidiary that is a guarantor under the existing 2025 Notes, and the Revolving Facility is secured by substantially the same collateral as our existing first lien obligations under the 2025 Notes. The Revolving Facility contains usual and customary representations and warranties, and usual and customary affirmative and negative covenants.</w:t>
      </w:r>
    </w:p>
    <w:p>
      <w:pPr>
        <w:spacing w:after="0" w:line="17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incurred $3,685 in origination, structuring and other fees, associated with entry into the Revolving Facility. These costs have been capitalized within Other non-current assets on the condensed consolidated balance sheets. As of June 30, 2021, total remaining unamortized deferred financing costs for the Revolving Facility was $3,548.</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second quarter of 2021, we drew $152,500 on the Revolving Facility. As of June 30, 2021, $152,500 remains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Debenture Loan</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the Mergers, we assumed non-convertible Brazilian debentures issued by Golar Brasil, our indirect subsidiary, in the aggregate principal amount of BRL 255.6 million ($51.6 million) due September 2024, bearing interest at a rate equal to the one-day interbank deposit futures rate in Brazil plus 2.65% (the “Debenture Loan”). The Debenture Loan was recognized at fair value of $52,752 on the opening balance sheet, and the premium recognized in purchase accounting will result in a reduction to interest expense until maturity. Interest and principal is payable on the Debenture Loan semi-annually on September 13 and March 13.</w:t>
      </w:r>
    </w:p>
    <w:p>
      <w:pPr>
        <w:spacing w:after="0" w:line="21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Debenture Loan is fully and unconditionally guaranteed by 100% of the shares issued by Golar Brasil owned by our consolidated subsidiary, LNG Power Ltd.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SPV Leasebacks and Loans</w:t>
      </w:r>
    </w:p>
    <w:p>
      <w:pPr>
        <w:spacing w:after="0" w:line="252"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assumed sale leaseback arrangements for four vessels as part of the Mergers. The counterparty to each of the sale leaseback arrangements is a special purpose vehicle (“SPV”) wholly owned by financial institutions. The sale leasebacks with SPVs were funded by loan facilities obtained by the SPV. Although we have no control over the funding arrangements of these entities, we are the primary beneficiary of the SPVs and consolidate the SPVs. Therefore, the effects of the sale leaseback arrangements are eliminated upon consolidation of the SPVs and only the outstanding loan facilities are presented as part of our condensed consolidated financial statements. The SPVs service the loan facilities through payments made by us under the sale leaseback arrangements.</w:t>
      </w:r>
    </w:p>
    <w:p>
      <w:pPr>
        <w:spacing w:after="0" w:line="2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SPV loans and the sale leaseback arrangements assumed in the Mergers contain certain operating and financing restrictions and covenants that require: (a) certain subsidiaries to maintain a minimum level of liquidity of $30,000 and net worth of $123,950, (b) certain subsidiaries to maintain a minimum debt service coverage ratio of 1.20:1, (c) certain subsidiaries to not exceed a maximum net debt to EBITDA ratio of 6.5:1, (d) certain subsidiaries to maintain a minimum percentage of the vessel values over the relevant outstanding loan facility balances of either 110% and 120%, (e) certain subsidiaries to maintain a ratio of liabilities to total assets of less than 0.70:1. As of June 30, 2021, the Company was in compliance with all covenants under debt and lease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Eskimo Leaseback and Credit Facility</w:t>
      </w:r>
    </w:p>
    <w:p>
      <w:pPr>
        <w:spacing w:after="0" w:line="25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Eskimo</w:t>
      </w:r>
      <w:r>
        <w:rPr>
          <w:rFonts w:ascii="Arial" w:cs="Arial" w:eastAsia="Arial" w:hAnsi="Arial"/>
          <w:sz w:val="18"/>
          <w:szCs w:val="18"/>
          <w:color w:val="auto"/>
        </w:rPr>
        <w:t xml:space="preserve"> with Sea 23 Leasing Co. Limited (“Eskimo SPV”) of China Merchants Bank Leasing (the “Eskimo Leaseback”). Payments are due monthly in 120 installments of $1,069 along with amounts owed for interest of LIBOR plus 3.85%, with a balloon payment of $128,250 due upon maturity.</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Eskimo SPV has a long-term loan facility that is denominated in USD, has a loan term of ten years and bears interest at a rate of LIBOR plus a margin of 2.66% (the “Eskimo SPV Facility”). As of the acquisition date, the outstanding principal balance was $160,520, and we recognized the fair value of this facility of $185,681 on the opening balance sheet. The premium recognized in purchase accounting will result in a reduction to interest expense until maturity.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Nanook Leaseback and Credit Facility</w:t>
      </w:r>
    </w:p>
    <w:p>
      <w:pPr>
        <w:spacing w:after="0" w:line="25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with Compass Shipping 23 Corporation Limited (the “Nanook Leaseback”). Payments are due quarterly in 48 installments of $2,943 along with amounts owed for interest due based on LIBOR plus 3.5%, with a balloon payment of approximately $94,000 upon maturity.</w:t>
      </w:r>
    </w:p>
    <w:p>
      <w:pPr>
        <w:spacing w:after="0" w:line="21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 xml:space="preserve">Compass Shipping 23 Corporation Limited, the owner of the </w:t>
      </w:r>
      <w:r>
        <w:rPr>
          <w:rFonts w:ascii="Arial" w:cs="Arial" w:eastAsia="Arial" w:hAnsi="Arial"/>
          <w:sz w:val="18"/>
          <w:szCs w:val="18"/>
          <w:i w:val="1"/>
          <w:iCs w:val="1"/>
          <w:color w:val="auto"/>
        </w:rPr>
        <w:t>Nanook</w:t>
      </w:r>
      <w:r>
        <w:rPr>
          <w:rFonts w:ascii="Arial" w:cs="Arial" w:eastAsia="Arial" w:hAnsi="Arial"/>
          <w:sz w:val="18"/>
          <w:szCs w:val="18"/>
          <w:color w:val="auto"/>
        </w:rPr>
        <w:t>, has a long-term loan facility that is denominated in USD, has a loan term of twelve years, bears interest at a fixed rate of 3.5% (the “Nanook SPV Facility”) and is repayable in a balloon payment on maturity. As of the acquisition date, the outstanding principal balance was $202,249, and we recognized the fair value of this facility of $207,169 on the opening balance sheet. The premium recognized in purchase accounting will result in a reduction to interest expense until maturity. The Nanook SPV Facility matures in September 2030.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Penguin Leaseback and Credit Facility</w:t>
      </w:r>
    </w:p>
    <w:p>
      <w:pPr>
        <w:spacing w:after="0" w:line="25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Penguin</w:t>
      </w:r>
      <w:r>
        <w:rPr>
          <w:rFonts w:ascii="Arial" w:cs="Arial" w:eastAsia="Arial" w:hAnsi="Arial"/>
          <w:sz w:val="18"/>
          <w:szCs w:val="18"/>
          <w:color w:val="auto"/>
        </w:rPr>
        <w:t xml:space="preserve"> with Oriental LNG 02 Limited (the “Penguin Leaseback”). Payments are due quarterly in 24 installments of $1,890 along with amounts owed for interest due based on LIBOR plus 3.6% with a balloon payment of approximately $63,000 upon maturity.</w:t>
      </w:r>
    </w:p>
    <w:p>
      <w:pPr>
        <w:spacing w:after="0" w:line="21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 xml:space="preserve">Oriental Fleet LNG 02 Limited, the owner of the </w:t>
      </w:r>
      <w:r>
        <w:rPr>
          <w:rFonts w:ascii="Arial" w:cs="Arial" w:eastAsia="Arial" w:hAnsi="Arial"/>
          <w:sz w:val="16"/>
          <w:szCs w:val="16"/>
          <w:i w:val="1"/>
          <w:iCs w:val="1"/>
          <w:color w:val="auto"/>
        </w:rPr>
        <w:t>Penguin</w:t>
      </w:r>
      <w:r>
        <w:rPr>
          <w:rFonts w:ascii="Arial" w:cs="Arial" w:eastAsia="Arial" w:hAnsi="Arial"/>
          <w:sz w:val="16"/>
          <w:szCs w:val="16"/>
          <w:color w:val="auto"/>
        </w:rPr>
        <w:t>, has a long-term loan facility that is denominated in USD, is repayable in quarterly installments over a term of approximately six years and bears interest at LIBOR plus a margin of 1.7%. The SPV also has amounts payable to its parent. As of the acquisition date, the outstanding principal balance was $104,882, and we recognized the fair value of this facility and the amount due to the parent of $107,018 on the opening balance sheet. The premium recognized in purchase accounting will result in a reduction to interest expense until maturity.</w:t>
      </w:r>
    </w:p>
    <w:p>
      <w:pPr>
        <w:sectPr>
          <w:pgSz w:w="11900" w:h="16838" w:orient="portrait"/>
          <w:cols w:equalWidth="0" w:num="1">
            <w:col w:w="11240"/>
          </w:cols>
          <w:pgMar w:left="320" w:top="122" w:right="339" w:bottom="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Celsius Leaseback and Credit Facility</w:t>
      </w:r>
    </w:p>
    <w:p>
      <w:pPr>
        <w:sectPr>
          <w:pgSz w:w="11900" w:h="16838" w:orient="portrait"/>
          <w:cols w:equalWidth="0" w:num="1">
            <w:col w:w="11240"/>
          </w:cols>
          <w:pgMar w:left="320" w:top="122" w:right="339" w:bottom="0" w:gutter="0" w:footer="0" w:header="0"/>
          <w:type w:val="continuous"/>
        </w:sectPr>
      </w:pPr>
    </w:p>
    <w:bookmarkStart w:id="59" w:name="page60"/>
    <w:bookmarkEnd w:id="59"/>
    <w:p>
      <w:pPr>
        <w:ind w:right="8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Celsius</w:t>
      </w:r>
      <w:r>
        <w:rPr>
          <w:rFonts w:ascii="Arial" w:cs="Arial" w:eastAsia="Arial" w:hAnsi="Arial"/>
          <w:sz w:val="18"/>
          <w:szCs w:val="18"/>
          <w:color w:val="auto"/>
        </w:rPr>
        <w:t xml:space="preserve"> with Noble Celsius Shipping Limited (the “Celsius Leaseback”). Payments are due quarterly in 28 installments of $2,679 in addition to amounts owed for interest based on LIBOR plus 3.9%, with a balloon payment of approximately $45,000 upon maturity.</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Noble Celsius Shipping Limited, the owner of the </w:t>
      </w:r>
      <w:r>
        <w:rPr>
          <w:rFonts w:ascii="Arial" w:cs="Arial" w:eastAsia="Arial" w:hAnsi="Arial"/>
          <w:sz w:val="18"/>
          <w:szCs w:val="18"/>
          <w:i w:val="1"/>
          <w:iCs w:val="1"/>
          <w:color w:val="auto"/>
        </w:rPr>
        <w:t>Celsius</w:t>
      </w:r>
      <w:r>
        <w:rPr>
          <w:rFonts w:ascii="Arial" w:cs="Arial" w:eastAsia="Arial" w:hAnsi="Arial"/>
          <w:sz w:val="18"/>
          <w:szCs w:val="18"/>
          <w:color w:val="auto"/>
        </w:rPr>
        <w:t>, has a long-term loan facility that is denominated in USD, $76,179 of which is repayable in quarterly installments over a term of approximately seven years with a balloon payment of $37,179 at maturity and bears interest at LIBOR plus a margin of 1.8%. The SPV has another facility with the remaining principal of $45,200 due as a balloon payment upon maturity in March 2023 and bears interest at a fixed rate of 4.0%. As of the acquisition date, the total outstanding principal balance was $121,379, and we recognized the fair value of these facilities of $126,302 on the opening balance sheet.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Units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8.75% Series A Cumulative Redeemable Preferred Units issued by GMLP (the “Series A Preferred Units”) remained outstanding following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GMLP Merger and were recognized as non-controlling interest on the condensed consolidated balance sheets. Distributions on the Series A Preferred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payable out of amounts legally available therefor at a rate equal to 8.75% per annum of the stated liquidation preference. In the event of a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dissolution or winding up, whether voluntary or involuntary, holders of Series A Preferred Units will have the right to receive a liquidation preference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 per unit plus an amount equal to all accumulated and unpaid distributions thereon to the date of payment, whether declared or not. At any time 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October 31, 2022, the Series A Preferred Units may be redeemed, in whole or in part, at a redemption price of $25.00 per unit plus an amount equal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accumulated and unpaid distributions thereon on the date of redemption, whether declared or not.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of equity method investees</w:t>
      </w:r>
    </w:p>
    <w:p>
      <w:pPr>
        <w:spacing w:after="0" w:line="25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account for the investments in CELSEPAR and Hilli LLC acquired in the Mergers under the equity method of accounting. The debt obligations of these entities are not reported separately in our consolidated financial statements, and the following discussion summarizes the key terms of each entity’s obligations.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Sergipe Debt Financing</w:t>
      </w:r>
    </w:p>
    <w:p>
      <w:pPr>
        <w:spacing w:after="0" w:line="25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To finance construction of the Sergipe Facility and the Sergipe Power Plant, CELSE signed financing agreements with amounts made available by banks and multilateral organizations throughout 2018 (the “CELSE Facility”). As of June 30, 2021, amounts outstanding and the effective interest rates under the CELSE Facility were as set forth below. Principal and interest payments are due each October and April. The CELSE Facility matures in April 2032.</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Effective</w:t>
            </w:r>
          </w:p>
        </w:tc>
      </w:tr>
      <w:tr>
        <w:trPr>
          <w:trHeight w:val="241"/>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Credit facility (</w:t>
            </w:r>
            <w:r>
              <w:rPr>
                <w:rFonts w:ascii="Arial" w:cs="Arial" w:eastAsia="Arial" w:hAnsi="Arial"/>
                <w:sz w:val="18"/>
                <w:szCs w:val="18"/>
                <w:b w:val="1"/>
                <w:bCs w:val="1"/>
                <w:i w:val="1"/>
                <w:iCs w:val="1"/>
                <w:color w:val="auto"/>
              </w:rPr>
              <w:t>Real and USD in millions)</w:t>
            </w:r>
          </w:p>
        </w:tc>
        <w:tc>
          <w:tcPr>
            <w:tcW w:w="2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 rate</w:t>
            </w:r>
          </w:p>
        </w:tc>
      </w:tr>
      <w:tr>
        <w:trPr>
          <w:trHeight w:val="216"/>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IFC</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R$</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 ($178.5)</w:t>
            </w:r>
          </w:p>
        </w:tc>
        <w:tc>
          <w:tcPr>
            <w:tcW w:w="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Inter-American Development Bank</w:t>
            </w:r>
          </w:p>
        </w:tc>
        <w:tc>
          <w:tcPr>
            <w:tcW w:w="280" w:type="dxa"/>
            <w:vAlign w:val="bottom"/>
          </w:tcPr>
          <w:p>
            <w:pPr>
              <w:jc w:val="right"/>
              <w:spacing w:after="0"/>
              <w:rPr>
                <w:sz w:val="20"/>
                <w:szCs w:val="20"/>
                <w:color w:val="auto"/>
              </w:rPr>
            </w:pPr>
            <w:r>
              <w:rPr>
                <w:rFonts w:ascii="Arial" w:cs="Arial" w:eastAsia="Arial" w:hAnsi="Arial"/>
                <w:sz w:val="18"/>
                <w:szCs w:val="18"/>
                <w:color w:val="auto"/>
              </w:rPr>
              <w:t>R$</w:t>
            </w:r>
          </w:p>
        </w:tc>
        <w:tc>
          <w:tcPr>
            <w:tcW w:w="1260" w:type="dxa"/>
            <w:vAlign w:val="bottom"/>
          </w:tcPr>
          <w:p>
            <w:pPr>
              <w:jc w:val="right"/>
              <w:spacing w:after="0"/>
              <w:rPr>
                <w:sz w:val="20"/>
                <w:szCs w:val="20"/>
                <w:color w:val="auto"/>
              </w:rPr>
            </w:pPr>
            <w:r>
              <w:rPr>
                <w:rFonts w:ascii="Arial" w:cs="Arial" w:eastAsia="Arial" w:hAnsi="Arial"/>
                <w:sz w:val="18"/>
                <w:szCs w:val="18"/>
                <w:color w:val="auto"/>
              </w:rPr>
              <w:t>731.6 ($147.7)</w:t>
            </w:r>
          </w:p>
        </w:tc>
        <w:tc>
          <w:tcPr>
            <w:tcW w:w="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57"/>
        </w:trPr>
        <w:tc>
          <w:tcPr>
            <w:tcW w:w="5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IDB Invest</w:t>
            </w:r>
            <w:r>
              <w:rPr>
                <w:rFonts w:ascii="Arial" w:cs="Arial" w:eastAsia="Arial" w:hAnsi="Arial"/>
                <w:sz w:val="29"/>
                <w:szCs w:val="29"/>
                <w:color w:val="auto"/>
                <w:vertAlign w:val="superscript"/>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IDB China Fund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6.33%</w:t>
            </w:r>
          </w:p>
        </w:tc>
      </w:tr>
    </w:tbl>
    <w:p>
      <w:pPr>
        <w:spacing w:after="0" w:line="21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CELSE also issued debentures in the aggregate principal amount of R$3,370.0 million (net proceeds of $897.2 million), due April 2032, bearing interest at a fixed rate of 9.85% (the “CELSE Debentures”). As of June 30, 2021, the balance of the CELSE Debentures was R$ 3,245.7 million ($655.1 million). Interest is payable on the CELSE Debentures semi-annually on each April 15 and October 15, beginning on October 15, 2018. The CELSE Debentures are amortized and repaid in 24 consecutive semi-annual installments on each of April 15 and October 15, that commenced on October 15, 2020.</w:t>
      </w:r>
    </w:p>
    <w:p>
      <w:pPr>
        <w:spacing w:after="0" w:line="1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indenture governing the CELSE Debentures contains covenants that: (i) requires CELSE to maintain a historical debt service coverage ratio for a twelve month period on or after March 31, 2021 of no less than 1.10 to 1.00; (ii) prohibit certain restricted payments; (iii) limit the ability of CELSE from creating any liens or incurring additional indebtedness; (iv) prohibit certain fundamental changes; (v) limit the ability of CELSE to transfer or purchase assets; (vi) prohibit certain affiliate transactions; (vii) limit the ability of CELSE to make change orders or give other directions under the documents related to the construction and operation of the project in certain circumstances; (viii) limit the ability of CELSE to enter into additional contracts; (ix) limit CELSE’s operating expenses and capital expenditures; and (x) prohibit CELSE from transferring, purchasing or otherwise acquiring any portion of the CELSE Debentures, other than pursuant to the exercise of the put option.</w:t>
      </w:r>
    </w:p>
    <w:p>
      <w:pPr>
        <w:spacing w:after="0" w:line="20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On July 2, 2021, CELSE successfully completed a consent solicitation to amend certain provisions of the financing documents to permit CELSE to incur certain debt related to the working capital facility described below and to release certain existing security over the variable revenues to be received by CELSE under its power purchase agreements.</w:t>
      </w:r>
    </w:p>
    <w:p>
      <w:pPr>
        <w:spacing w:after="0" w:line="21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CELSEPAR has entered into a Standby Guarantee and Credit Facility Agreement with GE Capital EFS Financing, Inc. (“GE Capital”), as lender, and Ebrasil Energia Ltda. (“Ebrasil”) and Golar Power Brasil Participações S.A (“Golar Brazil”), each as sponsor (the “GE Credit Facility”). Pursuant to the GE Credit Facility, GE Capital agreed to provide $120,000 in credit support in respect of CELSEPAR’s obligation to make certain contingent equity contributions to CELSE. Amounts disbursed under the GE Credit Facility accrue interest at a fixed rate of LIBOR plus a margin of 11.4% and are payable on May 30 and November 30 each year, beginning on May 30, 2020. All interest due to date has been capitalized into the principal balance, and there have been no principal payments paid to date. The GE Credit Facility matures on November 30, 2024. The GE Credit Facility includes covenants and events of default that are customary for similar transactions.</w:t>
      </w:r>
    </w:p>
    <w:p>
      <w:pPr>
        <w:spacing w:after="0" w:line="22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July 9, 2021, CELSE and CELSEPAR entered into a working capital facility for the posting of certain letters of credit in favor of the supplier of LNG and the financing of LNG costs to satisfy dispatch requirements prior to receiving related variable revenues. The working capital facility is in an aggregate amount of up to $150.0 million (or its equivalent in Reais), which may be increased by up to $25 million, subject to the satisfaction of certain conditions. The facility has a term of 12 months, renewable for equal periods by mutual agreement of the parties. Amounts disbursed under the working capital facility accrue interest at a rate of (i) DI Rate + 3.50% per year in respect of a bank credit bill, (ii) 2.50% per year for standby letters of credit, (iii) DI Rate + 3.50% per year in respect of any import financing (FINIMP) modality, and (iv) DI Rate + 3.50% per year for any bank loan. The DI Rate is made by reference to Libor+, according to the pricing at the time of request. On July 9, 2021, a standby letter of credit was issued under this facility for the benefit of CELSE pursuant to the working capital facility in an amount of $31.1 million with an expiration date of September 15, 2021. The standby letter of credit is guaranteed, jointly but not severally, by CELSE’s shareholders, NFE and Electricidade do Brasil S.A.—Ebrasil.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Golar Hilli Leaseback</w:t>
      </w:r>
    </w:p>
    <w:p>
      <w:pPr>
        <w:spacing w:after="0" w:line="25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As part of the Mergers, we acquired an investment in Hilli LLC; Golar Hilli Corporation (“Hilli Corp”) is a direct subsidiary of Hilli LLC. and is a party to a Memorandum of Agreement with Fortune Lianjiang Shipping S.A., a subsidiary of China State Shipbuilding Corporation (“Fortune”), pursuant to which Hilli Corp has sold to and leased back from Fortune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under a 10-year bareboat charter agreement (the “Hilli Leaseback”). Under the Hilli Facility, Hilli Corp pays Fortune equal quarterly principal payments plus interest based on LIBOR plus a margin of 4.15%. Our 50% share of Hilli Corp’s indebtedness of $745.5 million amounted to $372.8 million as of June 30, 2021.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As part of the Mergers, we have assumed a guarantee of 50% of the outstanding principal and interest amounts payable by Hilli Corp under the Hilli Leaseback. We also assumed a guarantee of the letter of credit (“LOC Guarantee”) issued by a financial institution in the event of Hilli Corp’s underperformance or non-performance under its tolling agreement. Certain of our subsidiaries are required to comply with the following covenants and ratios: (i) free liquid assets of at least $30 million throughout the Hilli Leaseback period; (ii) a maximum net debt to EBITDA ratio for the previous 12 months of 6.5:1; and (iii) a consolidated tangible net worth of $123.95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 Facility</w:t>
      </w:r>
    </w:p>
    <w:p>
      <w:pPr>
        <w:spacing w:after="0" w:line="25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On July 16, 2021, the Company entered into an uncommitted letter of credit and reimbursement agreement with a bank for the issuance of letters of credit for an aggregate amount of up to $75,000. Outstanding letters of credit are subject to a fee of 1.75% to be paid quarterly, and interest is payable on the principal amounts of unreimbursed letter of credit draws under the facility at a rate of the higher of the bank's prime rate or the Federal Funds Effective Rate plus 0.50% and a margin of 1.75%. The Company plans to use this uncommitted letter of credit and reimbursement agreement to reduce the cash collateral required under existing letters of credit releasing restricted cash. A portion of our restricted cash balance supports existing letters of credit, and we plan to use this uncommitted letter of credit and reimbursement agreement to replace these letters of credit and release restricted cash enhancing the Company's ability to manage the working capital needs of the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52" w:lineRule="exact"/>
        <w:rPr>
          <w:sz w:val="20"/>
          <w:szCs w:val="20"/>
          <w:color w:val="auto"/>
        </w:rPr>
      </w:pPr>
    </w:p>
    <w:p>
      <w:pPr>
        <w:ind w:right="560" w:firstLine="356"/>
        <w:spacing w:after="0" w:line="277" w:lineRule="auto"/>
        <w:rPr>
          <w:sz w:val="20"/>
          <w:szCs w:val="20"/>
          <w:color w:val="auto"/>
        </w:rPr>
      </w:pPr>
      <w:r>
        <w:rPr>
          <w:rFonts w:ascii="Arial" w:cs="Arial" w:eastAsia="Arial" w:hAnsi="Arial"/>
          <w:sz w:val="18"/>
          <w:szCs w:val="18"/>
          <w:color w:val="auto"/>
        </w:rPr>
        <w:t>As of June 30, 2021 and December 31, 2020, we had no off-balance sheet arrangements that may have a current or future material effect on our consolidated financial position or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20" w:firstLine="356"/>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contracts. The following table summarizes certain contractual obligations in place as of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Less than 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More than 5</w:t>
            </w: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Years 2 to 3</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Year 4 to 5</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years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1,675,203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1,418,750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2,490,347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376,096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724,588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724,090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665,573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52,784</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4,357,541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510,934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949,404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2,178,846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718,357</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5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5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 is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For purchase commitments priced based upon an index such as Henry Hub, the amounts shown in the table above are based on the spot price of that index as of December 31, 2020.</w:t>
      </w:r>
    </w:p>
    <w:p>
      <w:pPr>
        <w:spacing w:after="0" w:line="20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2020, we entered into four LNG supply agreements for the purchase of 415 TBtu of LNG at a price indexed to Henry Hub from 2021 and 2030. Between 2022 and 2025, the total annual commitment under these agreements is approximately 68 TBtu per year, reducing to approximately 28 TBtu per year from 2026 to 2029. In 2021, we amended one of these supply agreements to increase our total commitment through 2030 to 601 TBtus at a price indexed to Henry Hub. The amounts disclosed above also include the commitment to purchase 12 firm cargoes in 2021 under a supply contract executed in December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52"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176"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The Company currently has five vessels under time charter leases with non-cancellable terms ranging from nine months to seven years. The lease commitments in the table above include only the lease component of these arrangements due over the non-cancellable term and does not include any operating services.</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21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During 2020, we executed multiple lease agreements for the use of ISO tanks, and we began to receive these ISO tanks and the lease terms commenced during the second quarter of 2021. The lease term for each of these leases is five years, and expected payments under these lease agreements have been included in the above table.</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Office space includes a space shared with affiliated companies in New York with lease terms up to 38 months and an office space in downtown Miami with a lease term of 84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25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Terminals and Infrastructure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Within the Terminals and Infrastructure segment, our contracts with customers may contain one or several performance obligations usually consisting of the sale of LNG, natural gas, power and steam, which are outputs from our natural gas-fueled infrastructure. The transaction price for each of these contracts is structured using similar inputs and factors regardless of the output delivered to the customer. The customers consume the benefit of the natural gas, power and steam when they are delivered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19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have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21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contracts with customers to supply natural gas or LNG may contain a lease of equipment, which may be accounted for as a finance or operating lease. For operating leases, we have concluded that the predominant component of the transaction is the sale of natural gas or LNG and has elected not to separate the lease component. The lease component of such operating leases is recognized as Operating revenue in the condensed consolidated statements of operations and comprehensive loss. We allocate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w:t>
      </w:r>
    </w:p>
    <w:p>
      <w:pPr>
        <w:spacing w:after="0" w:line="204"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we transfer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receivables, contract assets and contract liabilities. Receivables represent unconditional rights to consideration; unbilled amounts typically result from sales under long-term contracts when revenue recognized exceeds the amount billed to the customer. Contract assets are comprised of the transaction price allocated to completed performance obligations that will be billed to customers in subsequent periods. Both unbilled receivables and contract assets are recognized within Prepaid expenses and other current assets, net and Other non-current assets, net on the condensed consolidated balance sheets. Contract liabilities consist of deferred revenue and are recognized within Other current liabilities on the condensed consolidated balance sheets.</w:t>
      </w:r>
    </w:p>
    <w:p>
      <w:pPr>
        <w:spacing w:after="0" w:line="20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Shipping and handling costs are not considered to be separate performance obligations. These costs are recognized in the period in which the costs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21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collect sales taxes from our customers based on sales of taxable products and remits such collections to the appropriate taxing authority. We have elected to present sales tax collections in the condensed consolidated statements of operations and comprehensive loss on a net basis and, accordingly, such taxes are excluded from reported revenues.</w:t>
      </w:r>
    </w:p>
    <w:p>
      <w:pPr>
        <w:spacing w:after="0" w:line="2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elected the practical expedient under which we do not adjust consideration for the effects of a significant financing component for those contracts where we expect at contract inception that the period between transferring goods to the customer and receiving payment from the customer will be one year or less.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Ships</w:t>
      </w:r>
    </w:p>
    <w:p>
      <w:pPr>
        <w:spacing w:after="0" w:line="252"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Charter contracts for the use of the FSRUs and LNG carriers acquired as part of the Mergers are leases as the contracts convey the right to obtain substantially all of the economic benefits from the use of the asset and allow the customer to direct the use of that asset.</w:t>
      </w:r>
    </w:p>
    <w:p>
      <w:pPr>
        <w:spacing w:after="0" w:line="17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At inception, we make an assessment on whether the charter contract is an operating lease or a finance lease. In making the classification assessment, we estimate the residual value of the underlying asset at the end of the lease term with reference to broker valuations. None of the vessel lease contracts contain residual value guarantees. Renewal periods and termination options are included in the lease term if we believe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We assess leases for modifications when there is a change to the terms and conditions of the contract that results in a change in the scope or the consideration of the lease.</w:t>
      </w:r>
    </w:p>
    <w:p>
      <w:pPr>
        <w:spacing w:after="0" w:line="22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For charter contracts that are determined to be finance leases accounted for as sales-type leases, the profit from the sale of the vessel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condensed consolidated statements of operations and comprehensive loss.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Revenues include fixed minimum lease payments under charters accounted for as operating leases and fees for repositioning vessels. Revenues generated from charters contracts are recorded over the term of the charter on a straight-line basis as service is provided and is included in Vessel charter revenue in the condensed consolidated statements of operations and comprehensive loss. Fixed revenue includes fixed payments (including in-substance fixed payments that are unavoidable) and variable payments based on a rate or index. For operating leases, we have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occur.</w:t>
      </w:r>
    </w:p>
    <w:p>
      <w:pPr>
        <w:spacing w:after="0" w:line="19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Repositioning fees are included in Vessel charter revenues and are recognized at the end of the charter when the fee becomes fixed and determinable. However, where there is a fixed amount specified in the charter, which is not dependent upon redelivery location, the fee will be recognized evenly over the term of the charter.</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condensed consolidated statements of operations and comprehensive loss over the lease term.</w:t>
      </w:r>
    </w:p>
    <w:p>
      <w:pPr>
        <w:spacing w:after="0" w:line="21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Two of the Company’s LNG carriers participate in a LNG carrier pool collaborative arrangement with Golar LNG Limited, referred to as the Cool Pool. The Cool Pool allows the pool participants to optimize the operation of the pool vessels through improved scheduling ability, cost efficiencies and common marketing. Under the Pool Agreement, the Pool Manager is responsible, as agent, for the marketing and chartering of the participating vessels and paying certain voyage costs such as port call expenses and brokers' commissions in relation to employment contracts, with each of the Pool Participants continuing to be fully responsible for fulfilling the performance obligations in the contract.</w:t>
      </w:r>
    </w:p>
    <w:p>
      <w:pPr>
        <w:spacing w:after="0" w:line="2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is primarily responsible for fulfilling the performance obligations in the time charters of vessels owned by the Company, and the Company is the principal in such time charters. Revenue and expenses for charters of the Company’s vessels that participate in the Cool Pool are presented on a gross basis within Vessel charter revenues and Vessel operating expenses, respectively, in the condensed consolidated statements of operations and comprehensive loss. The Company’s allocation of its share of the net revenues earned from the other pool participants' vessels, which may be either income or expense depending on the results of all pool participants, is reflected on a net basis within Vessel operating expenses in the condensed consolidated statements of operations and comprehensive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21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20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have considered that the market price of LNG can vary widely, including decreases throughout 2019 and 2020 and recent increases in the first half of 2021. Due to the decline in LNG prices in 2019 and 2020, we executed four long-term LNG supply agreements in 2020 at prices that are expected to be significantly lower than inventory purchased under our contract with our current supplier. Further, we were able to take advantage of the lower market pricing for LNG to supply our operations for the second half of 2020, resulting in an overall lower average cost of LNG. We have also executed an additional addendum to one of our supply agreements in 2021 to continue to secure LNG supply through 2030. Our long-term, take-or pay contracts to deliver natural gas or LNG to our customers also limit our exposure to fluctuations in natural gas and LNG as our pricing is based on the Henry Hub index plus a contractual spread. Based on the long-term nature of our contracts and the market value of the underlying assets, we do not believe that changes in the price of LNG indicate that a recoverability assessment of our assets is necessary. Further, we plan to utilize our own liquefaction facilities to manufacture our own LNG at attractive prices, secure LNG to supply our expanding operations and reduce our exposure to future LNG price variations in the long term, including Fast LNG and our expanded delivery logistics chain in the Pennsylvania Facility.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including long-term charter contracts acquired in the Mergers and many of which contain fixed minimum volumes that must be purchased on a “take-or-pay” basis, even in cases when our customer’s consumption has decreased. We have not changed our payment terms with customers, and there has not been any deterioration in the timing or volume of collections.</w:t>
      </w:r>
    </w:p>
    <w:p>
      <w:pPr>
        <w:spacing w:after="0" w:line="203"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Based on the essential nature of the services we provide to support power generation facilities, our operations and development projects have not been significantly impacted by responses to the COVID-19 pandemic to date. We will continue to monitor this uncertain situation and local responses in jurisdictions where we do business to determine if there are any indicators that a recoverability assessment for our assets should be performed.</w:t>
      </w:r>
    </w:p>
    <w:p>
      <w:pPr>
        <w:spacing w:after="0" w:line="1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COVID-19 pandemic has also significantly impacted energy markets, and the price of oil traded at historic low prices in 2020. Future expansion of our business is dependent upon LNG being a competitive source of energy and available at a lower cost than the cost to deliver other alternative energy sources, such as diesel or other distillate fuels. We do not believe that oil prices will remain at their historic low levels as evidenced by recent recovery, and we believe that LNG and natural gas will remain a competitive fuel source for customers.</w:t>
      </w:r>
    </w:p>
    <w:p>
      <w:pPr>
        <w:spacing w:after="0" w:line="21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estimate the fair value of RSUs and performance stock units (“PSUs”)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21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of June 30, 2021, management determined that it was not probable that the performance condition for our outstanding PSUs would be met. For these awards, compensation cost and the number of PSUs ultimately earned remains variable and compensation cost for these awards is recorded once achievement of the performance conditions becomes probable through the requisite service period. A cumulative adjustment to share-based compensation expense is recorded in the period that achievement of performance conditions becomes probable.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goodwill</w:t>
      </w:r>
    </w:p>
    <w:p>
      <w:pPr>
        <w:spacing w:after="0" w:line="25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evaluate each purchase transaction to determine whether the acquired assets meet the definition of a business. If substantially all of the fair value of gross assets acquired is concentrated in a single identifiable asset or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w:t>
      </w:r>
    </w:p>
    <w:p>
      <w:pPr>
        <w:spacing w:after="0" w:line="191"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For acquisitions that are not deemed to be businesses, the assets acquired are recognized based on their cost to us as the acquirer, and no gain or loss is recognized. The cost of assets acquired in a group is allocated to individual assets within the group based on their relative fair values and does not give rise to goodwill. Transaction costs related to acquisition of assets are included in the cost basis of the assets acquired.</w:t>
      </w:r>
    </w:p>
    <w:p>
      <w:pPr>
        <w:spacing w:after="0" w:line="1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account for acquisitions that qualify as business combinations by applying the acquisition method. Transaction costs related to the acquisition of a business are expensed as incurred and excluded from the fair value of consideration transferred. Under the acquisition method of accounting,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performs valuations of assets acquired, liabilities assumed and noncontrolling interests in an acquired entity and allocates the purchase price to its respective assets, liabilities and noncontrolling interests. Determining the fair value of assets acquired, liabilities assumed and noncontrolling interests in an acquired entity requires management to use significant judgment and estimates, including the selection of appropriate valuation methodologies, estimates of projected revenues, costs and cash flows, and discount rates. The Company estimated the fair value of the vessels acquired in the Mergers using a combination of the income approach and the cost approach, which determines the replacement costs for the assets and adjusts it for their age and condition. Management’s estimates of fair value are based upon assumptions believed to be reasonable, but which are inherently uncertain and unpredictable. As a result, actual results may differ from these estimates. During the measurement period, the Company may record adjustments to acquired assets, liabilities assumed and noncontrolling interests, with corresponding offsets to goodwill. Upon the conclusion of a measurement period, any subsequent adjustments are recorded to earnings.</w:t>
      </w:r>
    </w:p>
    <w:p>
      <w:pPr>
        <w:spacing w:after="0" w:line="20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use estimates, assumptions and judgments when assessing the recoverability of goodwill. We test for impairment on an annual basis, or more frequently if a significant event of circumstance indicates the carrying amounts may not be recoverable. The assessment of goodwill for impairment may initially be performed based on qualitative factors to determine if it is more likely than not that the fair value of the reporting unit to which the goodwill is assigned is less than the carrying value. If so, a quantitative assessment is performed to determine if an impairment has occurred and to measure the impairment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descriptions of recently issued accounting standards, see “Note 3. Adoption of new and revised standards” to our notes to condensed consolidated financial statements included elsewhere in this Quarterly Report.</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2025 Notes and 2026 Notes were issued with a fixed rate of interest, and as such, a change in interest rates would impact the fair value of the 2025 Notes and 2026 Notes but such a change would have no impact on our results of operations or cash flows. A 100-basis point increase or decrease in the market interest rate would decrease or increase the fair value of our fixed rate debt by approximately $49 million. The sensitivity analysis presented is based on certain simplifying assumptions, including instantaneous change in interest rate and parallel shifts in the yield curve.</w:t>
      </w:r>
    </w:p>
    <w:p>
      <w:pPr>
        <w:spacing w:after="0" w:line="19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a result of the Mergers, we assumed the Debenture Loan and a cross-currency interest rate swap to protect against adverse movements in interest rates of the Debenture Loan. We also acquired an interest rate swap to manage the exposure to adverse movements in interest rates of debt held by our equity method investee, Hilli LLC, but we do not currently have any derivative arrangements to protect against fluctuations in interest rates applicable to any of our other outstanding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After the completion of the Hygo Merger, we began to have more significant transactions, assets and liabilities denominated in Brazilian reais in respect of our Brazilian subsidiaries and investments, which receives income and pays expenses in Brazilian reais. A portion of our exposure to exchange rates is economically hedged by a cross-currency interest rate swap. Based on our Brazilian reais revenues and expenses for the period since the completion of the Hygo Merger,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21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but we expect our international operations to continue to grow in the near term.</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June 30, 2021.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June 30, 2021 at the reasonable assurance level.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29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During the quarter ended June 30, 2021, we completed the acquisitions of Hygo Energy Transition Ltd. (“Hygo”) and Golar LNG Partners LP (“GMLP”). As part of the ongoing integration of the acquired businesses, we are in the process of incorporating the controls and related procedures of Hygo and GMLP and expect that this effort will be completed in 2021. Pursuant to the SEC’s guidance that an assessment of a recently acquired business may be omitted from the scope of an assessment in the year of acquisition, the scope of our assessment of the effectiveness of our internal controls over financial reporting at December 31, 2021 will not include Hygo or GMLP.</w:t>
      </w:r>
    </w:p>
    <w:p>
      <w:pPr>
        <w:spacing w:after="0" w:line="21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Other than the foregoing, there has been no change in our internal control over financial reporting (as defined in Rule 13a-15(f) and Rule 15d-15(f) under the Exchange Act) that occurred during the quarter ended June 30, 2021 that has materially affected, or is reasonably likely to materially affect, our internal control over financial reporting.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60" w:firstLine="356"/>
        <w:spacing w:after="0" w:line="263"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22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References to “NFE,” the “Company,” “we,” “us,” “our” and similar terms in this section refer to NFE Inc. and its subsidiaries, including Hygo and its subsidiaries, and including GMLP and its subsidiaries. References to “Hygo” and “GMLP”, respectively, in this section, refer to Hygo and GMLP and their respective subsidiaries, along with the Company and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Some of the factors that could materially and adversely affect our business, financial condition, results of operations or prospects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Mergers</w:t>
      </w:r>
    </w:p>
    <w:p>
      <w:pPr>
        <w:spacing w:after="0" w:line="252" w:lineRule="exact"/>
        <w:rPr>
          <w:sz w:val="20"/>
          <w:szCs w:val="20"/>
          <w:color w:val="auto"/>
        </w:rPr>
      </w:pPr>
    </w:p>
    <w:p>
      <w:pPr>
        <w:ind w:left="440" w:hanging="108"/>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successfully integrate the businesses and realize the anticipated benefits of the Mergers;</w:t>
      </w:r>
    </w:p>
    <w:p>
      <w:pPr>
        <w:spacing w:after="0" w:line="23" w:lineRule="exact"/>
        <w:rPr>
          <w:rFonts w:ascii="Arial" w:cs="Arial" w:eastAsia="Arial" w:hAnsi="Arial"/>
          <w:sz w:val="18"/>
          <w:szCs w:val="18"/>
          <w:color w:val="auto"/>
        </w:rPr>
      </w:pPr>
    </w:p>
    <w:p>
      <w:pPr>
        <w:ind w:left="340" w:right="180" w:hanging="8"/>
        <w:spacing w:after="0" w:line="250" w:lineRule="auto"/>
        <w:tabs>
          <w:tab w:leader="none" w:pos="4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have discovered undisclosed liabilities of either Hygo or GMLP during our due diligence process, and we may not have adequate legal protection from potential liabilities of, or in respect of our acquisitions of, Hygo and GMLP;</w:t>
      </w:r>
    </w:p>
    <w:p>
      <w:pPr>
        <w:ind w:left="340" w:right="720" w:hanging="8"/>
        <w:spacing w:after="0" w:line="260" w:lineRule="auto"/>
        <w:tabs>
          <w:tab w:leader="none" w:pos="4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incurred a significant amount of additional debt to fund a portion of the purchase price for the GMLP Merger and as a result of the consummation of the Mergers;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w:t>
      </w:r>
    </w:p>
    <w:p>
      <w:pPr>
        <w:spacing w:after="0" w:line="252" w:lineRule="exact"/>
        <w:rPr>
          <w:sz w:val="20"/>
          <w:szCs w:val="20"/>
          <w:color w:val="auto"/>
        </w:rPr>
      </w:pPr>
    </w:p>
    <w:p>
      <w:pPr>
        <w:ind w:left="340" w:right="460" w:hanging="8"/>
        <w:spacing w:after="0" w:line="258"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not yet completed contracting, construction and commissioning for all of our Facilities and Liquefaction Facilities and there can be no assurance that our Facilities or Liquefaction Facilities will operate as expected or at all;</w:t>
      </w:r>
    </w:p>
    <w:p>
      <w:pPr>
        <w:spacing w:after="0" w:line="1" w:lineRule="exact"/>
        <w:rPr>
          <w:rFonts w:ascii="Arial" w:cs="Arial" w:eastAsia="Arial" w:hAnsi="Arial"/>
          <w:sz w:val="18"/>
          <w:szCs w:val="18"/>
          <w:color w:val="auto"/>
        </w:rPr>
      </w:pP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time delays, unforeseen expenses and other complications while developing our projects;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profitable for an indeterminate period of time;</w:t>
      </w:r>
    </w:p>
    <w:p>
      <w:pPr>
        <w:spacing w:after="0" w:line="9" w:lineRule="exact"/>
        <w:rPr>
          <w:rFonts w:ascii="Arial" w:cs="Arial" w:eastAsia="Arial" w:hAnsi="Arial"/>
          <w:sz w:val="18"/>
          <w:szCs w:val="18"/>
          <w:color w:val="auto"/>
        </w:rPr>
      </w:pPr>
    </w:p>
    <w:p>
      <w:pPr>
        <w:ind w:left="340" w:right="440" w:hanging="8"/>
        <w:spacing w:after="0" w:line="250"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ind w:left="340" w:right="200" w:hanging="8"/>
        <w:spacing w:after="0" w:line="250"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ability to generate cash is substantially dependent upon the entry into and performance by customers under long term contracts that we have entered into or will enter into in the near future;</w:t>
      </w: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 of our LNG infrastructure and other facilities that we may construct involves significant risks;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operation of the CHP Plant and any other power plants involves particular, significant risks;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technology failures and cyberattacks could affect us significantly;</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insurance may be insufficient to cover losses that may occur to our property or result from our operations;</w:t>
      </w:r>
    </w:p>
    <w:p>
      <w:pPr>
        <w:spacing w:after="0" w:line="9" w:lineRule="exact"/>
        <w:rPr>
          <w:rFonts w:ascii="Arial" w:cs="Arial" w:eastAsia="Arial" w:hAnsi="Arial"/>
          <w:sz w:val="18"/>
          <w:szCs w:val="18"/>
          <w:color w:val="auto"/>
        </w:rPr>
      </w:pPr>
    </w:p>
    <w:p>
      <w:pPr>
        <w:ind w:left="340" w:hanging="8"/>
        <w:spacing w:after="0" w:line="250"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unable to predict the extent to which the global COVID-19 pandemic will negatively adversely affect our operations financial performance, or ability to achieve our strategic objectives, or our customers and suppliers;</w:t>
      </w:r>
    </w:p>
    <w:p>
      <w:pPr>
        <w:ind w:left="440" w:hanging="1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perform development or construction services from time to time which are subject to a variety of risks unique to these activities;</w:t>
      </w:r>
    </w:p>
    <w:p>
      <w:pPr>
        <w:spacing w:after="0" w:line="9" w:lineRule="exact"/>
        <w:rPr>
          <w:rFonts w:ascii="Arial" w:cs="Arial" w:eastAsia="Arial" w:hAnsi="Arial"/>
          <w:sz w:val="18"/>
          <w:szCs w:val="18"/>
          <w:color w:val="auto"/>
        </w:rPr>
      </w:pPr>
    </w:p>
    <w:p>
      <w:pPr>
        <w:ind w:left="340" w:right="200" w:hanging="8"/>
        <w:spacing w:after="0" w:line="260"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purchase or receive physical delivery of natural gas in sufficient quantities and/or at economically attractive prices to satisfy our delivery obligations to customers;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could adversely affect our expansion strategy;</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could be affected adversely by labor disputes, strikes or work stoppages in Brazil;</w:t>
      </w:r>
    </w:p>
    <w:p>
      <w:pPr>
        <w:spacing w:after="0" w:line="9" w:lineRule="exact"/>
        <w:rPr>
          <w:rFonts w:ascii="Arial" w:cs="Arial" w:eastAsia="Arial" w:hAnsi="Arial"/>
          <w:sz w:val="18"/>
          <w:szCs w:val="18"/>
          <w:color w:val="auto"/>
        </w:rPr>
      </w:pPr>
    </w:p>
    <w:p>
      <w:pPr>
        <w:ind w:left="340" w:right="160" w:hanging="8"/>
        <w:spacing w:after="0" w:line="260" w:lineRule="auto"/>
        <w:tabs>
          <w:tab w:leader="none" w:pos="4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obtain and maintain permits, approvals and authorizations from governmental and regulatory agencies on favorable terms with respect to the design, construction and operation of our facilities could impede operations and construction;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Jurisdictions in Which We Operate</w:t>
      </w:r>
    </w:p>
    <w:p>
      <w:pPr>
        <w:spacing w:after="0" w:line="252" w:lineRule="exact"/>
        <w:rPr>
          <w:sz w:val="20"/>
          <w:szCs w:val="20"/>
          <w:color w:val="auto"/>
        </w:rPr>
      </w:pPr>
    </w:p>
    <w:p>
      <w:pPr>
        <w:ind w:left="340" w:right="240" w:hanging="8"/>
        <w:spacing w:after="0" w:line="277" w:lineRule="auto"/>
        <w:tabs>
          <w:tab w:leader="none" w:pos="4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currently highly dependent upon economic, political and other conditions and developments in the Caribbean, particularly Jamaica, Puerto Rico as well as Brazil and the other jurisdictions in which we operate;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Hygo Business Activities</w:t>
      </w:r>
    </w:p>
    <w:p>
      <w:pPr>
        <w:spacing w:after="0" w:line="252" w:lineRule="exact"/>
        <w:rPr>
          <w:sz w:val="20"/>
          <w:szCs w:val="20"/>
          <w:color w:val="auto"/>
        </w:rPr>
      </w:pPr>
    </w:p>
    <w:p>
      <w:pPr>
        <w:jc w:val="both"/>
        <w:ind w:left="340" w:right="100" w:hanging="8"/>
        <w:spacing w:after="0" w:line="254"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Hygo’s Sergipe Facility is not currently operating at full capacity while equipment is being repaired, and we do not know the precise date when the facility will resume operations at full capacity. Once operations fully resume, the facility will be subject to customary operational risk for facilities of this type. Hygo’s other planned facilities are in various stages of contracting, construction, permitting and commissioning, each of which may present challenges to completion;</w:t>
      </w:r>
    </w:p>
    <w:p>
      <w:pPr>
        <w:spacing w:after="0" w:line="2" w:lineRule="exact"/>
        <w:rPr>
          <w:rFonts w:ascii="Arial" w:cs="Arial" w:eastAsia="Arial" w:hAnsi="Arial"/>
          <w:sz w:val="18"/>
          <w:szCs w:val="18"/>
          <w:color w:val="auto"/>
        </w:rPr>
      </w:pPr>
    </w:p>
    <w:p>
      <w:pPr>
        <w:ind w:left="340" w:hanging="8"/>
        <w:spacing w:after="0" w:line="25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Hygo’s cash flow will be dependent upon the ability of its operating subsidiaries and joint ventures to make cash distributions to Hygo, the amount of which will depend on various contingencies;</w:t>
      </w: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Hygo may not be able to fully utilize the capacity of its facilities;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Hygo is currently highly dependent upon economic, political, regulatory and other conditions and developments in Brazil;</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Hygo’s sale and leaseback agreements contain restrictive covenants that may limit its liquidity and corporate activities;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GMLP Business Activities</w:t>
      </w:r>
    </w:p>
    <w:p>
      <w:pPr>
        <w:spacing w:after="0" w:line="252" w:lineRule="exact"/>
        <w:rPr>
          <w:sz w:val="20"/>
          <w:szCs w:val="20"/>
          <w:color w:val="auto"/>
        </w:rPr>
      </w:pPr>
    </w:p>
    <w:p>
      <w:pPr>
        <w:ind w:left="440" w:hanging="108"/>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GMLP currently derives all of its revenue from a limited number of customers and will face substantial competition in the future;</w:t>
      </w:r>
    </w:p>
    <w:p>
      <w:pPr>
        <w:spacing w:after="0" w:line="23" w:lineRule="exact"/>
        <w:rPr>
          <w:rFonts w:ascii="Arial" w:cs="Arial" w:eastAsia="Arial" w:hAnsi="Arial"/>
          <w:sz w:val="18"/>
          <w:szCs w:val="18"/>
          <w:color w:val="auto"/>
        </w:rPr>
      </w:pPr>
    </w:p>
    <w:p>
      <w:pPr>
        <w:ind w:left="340" w:right="120" w:hanging="8"/>
        <w:spacing w:after="0" w:line="250" w:lineRule="auto"/>
        <w:tabs>
          <w:tab w:leader="none" w:pos="4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GMLP’s equity investment in Golar Hilli LLC may not result in anticipated profitability or generate cash flow sufficient to justify its investment. In addition, this investment exposes GMLP to risks that may harm its business;</w:t>
      </w:r>
    </w:p>
    <w:p>
      <w:pPr>
        <w:ind w:left="440" w:hanging="108"/>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GMLP may experience operational problems with its vessels that reduce revenue and increase costs;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GMLP may be unable to obtain, maintain, and/or renew permits necessary for its operations or experience delays in obtaining such permits;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252" w:lineRule="exact"/>
        <w:rPr>
          <w:sz w:val="20"/>
          <w:szCs w:val="20"/>
          <w:color w:val="auto"/>
        </w:rPr>
      </w:pPr>
    </w:p>
    <w:p>
      <w:pPr>
        <w:ind w:left="340" w:right="80" w:hanging="8"/>
        <w:spacing w:after="0" w:line="258" w:lineRule="auto"/>
        <w:tabs>
          <w:tab w:leader="none" w:pos="4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small number of our original investors have the ability to direct the voting of a majority of our stock, and their interests may conflict with those of our other stockholders; and</w:t>
      </w:r>
    </w:p>
    <w:p>
      <w:pPr>
        <w:spacing w:after="0" w:line="1" w:lineRule="exact"/>
        <w:rPr>
          <w:rFonts w:ascii="Arial" w:cs="Arial" w:eastAsia="Arial" w:hAnsi="Arial"/>
          <w:sz w:val="18"/>
          <w:szCs w:val="18"/>
          <w:color w:val="auto"/>
        </w:rPr>
      </w:pPr>
    </w:p>
    <w:p>
      <w:pPr>
        <w:ind w:left="340" w:right="180" w:hanging="8"/>
        <w:spacing w:after="0" w:line="290" w:lineRule="auto"/>
        <w:tabs>
          <w:tab w:leader="none" w:pos="4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the businesses and realize the anticipated benefits of the Mergers.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success of the Mergers will depend, in part, on our ability to successfully combine each of Hygo and GMLP, which recently operated as independent companies, with our business and realize the anticipated benefits, including synergies, cost savings, innovation and operational efficiencies, from each combination. If we are unable to achieve these objectives within the anticipated time frame, or at all, the anticipated benefits may not be realized fully, or at all, or may take longer to realize than expected and the value of our common stock may be harmed. Additionally, as a result of the Mergers, rating agencies may take negative actions against our credit ratings, which may increase our financing costs, including in connection with the financing of the Mergers.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Mergers involve the integration of Hygo and GMLP with our existing business, which is a complex, costly and time-consuming process. The integration of each of Hygo and GMLP into our business may result in material challenges, including, without limitation:</w:t>
      </w:r>
    </w:p>
    <w:p>
      <w:pPr>
        <w:spacing w:after="0" w:line="197" w:lineRule="exact"/>
        <w:rPr>
          <w:sz w:val="20"/>
          <w:szCs w:val="20"/>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managing a larger company;</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attracting, motivating and retaining management personnel and other key employees;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and attracting new business and operational relationships;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changes in federal or state laws or regulations.</w:t>
      </w:r>
    </w:p>
    <w:p>
      <w:pPr>
        <w:spacing w:after="0" w:line="23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Repairs and maintenance costs for existing vessels are difficult to predict and may be substantially higher than for vessels we have operated since they were built.</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have discovered undisclosed liabilities or other issues of either Hygo or GMLP during our due diligence process, and we may not have adequate legal protection from potential liabilities of, or in respect of our acquisition of, Hygo and GMLP.</w:t>
      </w:r>
    </w:p>
    <w:p>
      <w:pPr>
        <w:spacing w:after="0" w:line="19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course of the due diligence review of each of Hygo and GMLP that we conducted prior to the consummation of each of the Mergers, we may not have discovered, or may have been unable to quantify, undisclosed liabilities or other issues of Hygo or GMLP and their respective subsidiaries. Moreover, we may not have adequate legal protection from potential liabilities of, or in respect of our acquisition of, Hygo or GMLP, irrespective of whether such potential liabilities were discovered or not. Examples of such undisclosed or potential liabilities or other issues may include, but are not limited to, pending or threatened litigation, regulatory matters,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w:t>
      </w:r>
    </w:p>
    <w:p>
      <w:pPr>
        <w:spacing w:after="0" w:line="22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have incurred a significant amount of additional debt to fund a portion of the purchase price for the GMLP Merger and as a result of the consummation of the Mergers.</w:t>
      </w:r>
    </w:p>
    <w:p>
      <w:pPr>
        <w:spacing w:after="0" w:line="19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of December 31, 2020, we had approximately $1,250 million aggregate principal amount of indebtedness outstanding. As of June 30, 2021, we had approximately $3,527 million aggregate principal amount of indebtedness. On an ongoing basis, we engage with lenders and other financial institutions in an effort to improve our liquidity and capital resources. We may incur additional debt to fund our business and strategic initiatives. If we incur additional debt and other obligations, the risks associated with our substantial leverage and the ability to service such debt would increase.</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in connection with both the Hygo Merger and the GMLP Merger, we assumed a significant amount of indebtedness, including guarantees and preferred shares. As such, we are now subject to additional restrictive debt covenants that may limit our ability to finance future operations and capital needs and to pursue business opportunities and activities. In addition, if we fail to comply with any of these restrictions, it could have a material adverse effect on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Facilities and Liquefaction Facilities. There can be no assurance that our Facilities and Liquefaction Facilities will operate as expected, or at all.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have not yet entered into binding construction contracts, issued “final notice to proceed” or obtained all necessary environmental, regulatory, construction and zoning permissions for all of our Facilities (as defined herein) and Liquefaction Facilities. There can be no assurance that we will be able to enter into the contracts required for the development of our Facilities and Liquefaction Facilities on commercially favorable terms, if at all, or that we will be able to obtain all of the environmental, regulatory, construction and zoning permissions we need. For example,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Facilities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Facilities and Liquefaction Facilities as expected, or, when and if constructed, they do not accomplish our goals, or if we experience delays or cost overruns in construction, our business, operating results, cash flows and liquidity could be materially and adversely affected. Expenses related to our pursuit of contracts and regulatory approvals related to our Facilities and Liquefaction Facilities still under development may be significant and will be incurred by us regardless of whether these assets are ultimately constructed and operational.</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convert our anticipated LNG pipeline into binding contracts, and if we fail to convert potential sales into actual sales, we will not generate the revenues and profits we anticipate.</w:t>
      </w:r>
    </w:p>
    <w:p>
      <w:pPr>
        <w:spacing w:after="0" w:line="197"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are actively pursuing a significant number of new LNG contracts with multiple counterparties in multiple jurisdictions. Potential sales contracts may differ meaningfully depending on various factors, including, but not limited to: whether the potential customer is a government entity or a private party; whether the contract process is done pursuant to a public bidding process or a bilateral negotiation; the infrastructure and permits needed for a particular project; customer timing requirements and applicable laws. Moreover, counterparties commemorate their commitment to purchase LNG in various degrees of formality ranging from traditional contracts to less formal arrangements.</w:t>
      </w:r>
    </w:p>
    <w:p>
      <w:pPr>
        <w:spacing w:after="0" w:line="20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Given the variety of sales processes and counterparty acknowledgements of the LNG volumes they will purchase, we sometimes identify potential sales volumes as being either “Committed” or “In Discussion.” “Committed” volumes generally refer to the volumes that management expects to be sold under binding contracts, non-binding letters of intent or memorandums of understanding. “In Discussion” volumes generally refer to volumes that management is actively bidding on, responding to a request for proposals for or is actively negotiating.</w:t>
      </w:r>
    </w:p>
    <w:p>
      <w:pPr>
        <w:spacing w:after="0" w:line="198"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Management’s estimations of “Committed” and “In Discussion” volumes may prove to be incorrect. We may never sign a binding agreement to sell LNG to the counterparty, or we may sell much less LNG than we estimate. Accordingly, we cannot assure you that Committed or In Discussion volumes will result in actual sales, and such volumes should not be used to predict the company’s future results.</w:t>
      </w:r>
    </w:p>
    <w:p>
      <w:pPr>
        <w:spacing w:after="0" w:line="19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51" w:lineRule="exact"/>
        <w:rPr>
          <w:sz w:val="20"/>
          <w:szCs w:val="20"/>
          <w:color w:val="auto"/>
        </w:rPr>
      </w:pPr>
    </w:p>
    <w:p>
      <w:pPr>
        <w:ind w:right="160" w:firstLine="292"/>
        <w:spacing w:after="0" w:line="272" w:lineRule="auto"/>
        <w:rPr>
          <w:sz w:val="20"/>
          <w:szCs w:val="20"/>
          <w:color w:val="auto"/>
        </w:rPr>
      </w:pPr>
      <w:r>
        <w:rPr>
          <w:rFonts w:ascii="Arial" w:cs="Arial" w:eastAsia="Arial" w:hAnsi="Arial"/>
          <w:sz w:val="17"/>
          <w:szCs w:val="17"/>
          <w:color w:val="auto"/>
        </w:rPr>
        <w:t>Development projects, including our Facilities,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w:t>
      </w:r>
    </w:p>
    <w:p>
      <w:pPr>
        <w:spacing w:after="0" w:line="204" w:lineRule="exact"/>
        <w:rPr>
          <w:sz w:val="20"/>
          <w:szCs w:val="20"/>
          <w:color w:val="auto"/>
        </w:rPr>
      </w:pPr>
    </w:p>
    <w:p>
      <w:pPr>
        <w:ind w:right="320" w:firstLine="292"/>
        <w:spacing w:after="0" w:line="342" w:lineRule="auto"/>
        <w:rPr>
          <w:sz w:val="20"/>
          <w:szCs w:val="20"/>
          <w:color w:val="auto"/>
        </w:rPr>
      </w:pPr>
      <w:r>
        <w:rPr>
          <w:rFonts w:ascii="Arial" w:cs="Arial" w:eastAsia="Arial" w:hAnsi="Arial"/>
          <w:sz w:val="16"/>
          <w:szCs w:val="16"/>
          <w:color w:val="auto"/>
        </w:rPr>
        <w:t>A primary focus of our business is the development of projects in foreign jurisdictions, including in locations where we have no prior development experience, and we expect to continue expanding into new jurisdictions in the future, including with our expansion by way of the Mergers.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may experience delays, unforeseen expenses or other obstacles as we develop projects in new jurisdictions that could cause the projects we are developing to take longer and be more expensive than our initial estimates.</w:t>
      </w:r>
    </w:p>
    <w:p>
      <w:pPr>
        <w:spacing w:after="0" w:line="197" w:lineRule="exact"/>
        <w:rPr>
          <w:sz w:val="20"/>
          <w:szCs w:val="20"/>
          <w:color w:val="auto"/>
        </w:rPr>
      </w:pPr>
    </w:p>
    <w:p>
      <w:pPr>
        <w:ind w:firstLine="292"/>
        <w:spacing w:after="0" w:line="269" w:lineRule="auto"/>
        <w:rPr>
          <w:sz w:val="20"/>
          <w:szCs w:val="20"/>
          <w:color w:val="auto"/>
        </w:rPr>
      </w:pPr>
      <w:r>
        <w:rPr>
          <w:rFonts w:ascii="Arial" w:cs="Arial" w:eastAsia="Arial" w:hAnsi="Arial"/>
          <w:sz w:val="17"/>
          <w:szCs w:val="17"/>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San Juan Power Plant (as defined herein) in San Juan, Puerto Rico in the third quarter of 2019. However, due in part to the earthquakes that occurred near Puerto Rico in January 2020 and third-party delays, we began supplying natural gas to Units 5 and 6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52" w:lineRule="exact"/>
        <w:rPr>
          <w:sz w:val="20"/>
          <w:szCs w:val="20"/>
          <w:color w:val="auto"/>
        </w:rPr>
      </w:pPr>
    </w:p>
    <w:p>
      <w:pPr>
        <w:ind w:left="20" w:right="100" w:firstLine="286"/>
        <w:spacing w:after="0" w:line="284"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Nicaragua, Brazil and other countries where we do not currently operate. Our strategy assumes that we will be able to expand our operations into other countries, including countries in the Caribbean and Africa, enter into long-term GSAs and/or PPAs with end-users, acquire and transport LNG at attractive prices, develop infrastructure, including the Pennsylvania Facility (as defined herein),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w:t>
      </w:r>
    </w:p>
    <w:p>
      <w:pPr>
        <w:spacing w:after="0" w:line="2" w:lineRule="exact"/>
        <w:rPr>
          <w:sz w:val="20"/>
          <w:szCs w:val="20"/>
          <w:color w:val="auto"/>
        </w:rPr>
      </w:pPr>
    </w:p>
    <w:p>
      <w:pPr>
        <w:ind w:left="20" w:right="160" w:firstLine="286"/>
        <w:spacing w:after="0" w:line="268" w:lineRule="auto"/>
        <w:rPr>
          <w:sz w:val="20"/>
          <w:szCs w:val="20"/>
          <w:color w:val="auto"/>
        </w:rPr>
      </w:pPr>
      <w:r>
        <w:rPr>
          <w:rFonts w:ascii="Arial" w:cs="Arial" w:eastAsia="Arial" w:hAnsi="Arial"/>
          <w:sz w:val="17"/>
          <w:szCs w:val="17"/>
          <w:color w:val="auto"/>
        </w:rPr>
        <w:t>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210" w:lineRule="exact"/>
        <w:rPr>
          <w:sz w:val="20"/>
          <w:szCs w:val="20"/>
          <w:color w:val="auto"/>
        </w:rPr>
      </w:pPr>
    </w:p>
    <w:p>
      <w:pPr>
        <w:jc w:val="both"/>
        <w:ind w:left="20" w:right="280" w:firstLine="286"/>
        <w:spacing w:after="0" w:line="311"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76" w:lineRule="exact"/>
        <w:rPr>
          <w:sz w:val="20"/>
          <w:szCs w:val="20"/>
          <w:color w:val="auto"/>
        </w:rPr>
      </w:pPr>
    </w:p>
    <w:p>
      <w:pPr>
        <w:ind w:left="820" w:right="400" w:hanging="326"/>
        <w:spacing w:after="0" w:line="258"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9" w:lineRule="exact"/>
        <w:rPr>
          <w:rFonts w:ascii="Arial" w:cs="Arial" w:eastAsia="Arial" w:hAnsi="Arial"/>
          <w:sz w:val="18"/>
          <w:szCs w:val="18"/>
          <w:color w:val="auto"/>
        </w:rPr>
      </w:pPr>
    </w:p>
    <w:p>
      <w:pPr>
        <w:ind w:left="820" w:right="140" w:hanging="326"/>
        <w:spacing w:after="0" w:line="25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ind w:left="820" w:hanging="326"/>
        <w:spacing w:after="0" w:line="25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or failure, of any customer or contract counterparty to perform their contractual obligations to us (for further discussion of counterparty risk, see “–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 w:lineRule="exact"/>
        <w:rPr>
          <w:rFonts w:ascii="Arial" w:cs="Arial" w:eastAsia="Arial" w:hAnsi="Arial"/>
          <w:sz w:val="18"/>
          <w:szCs w:val="18"/>
          <w:color w:val="auto"/>
        </w:rPr>
      </w:pPr>
    </w:p>
    <w:p>
      <w:pPr>
        <w:ind w:left="820" w:right="420" w:hanging="326"/>
        <w:spacing w:after="0" w:line="25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Facilities and Liquefaction Facilities, as well as other future projects, in a timely and cost-effective manner;</w:t>
      </w: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of investments in technology and machinery, such as liquefaction technology or LNG tank truck technology, to perform as expected;</w:t>
      </w:r>
    </w:p>
    <w:p>
      <w:pPr>
        <w:spacing w:after="0" w:line="46" w:lineRule="exact"/>
        <w:rPr>
          <w:rFonts w:ascii="Arial" w:cs="Arial" w:eastAsia="Arial" w:hAnsi="Arial"/>
          <w:sz w:val="16"/>
          <w:szCs w:val="16"/>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source LNG and/or natural gas in sufficient quantities and/or at economically attractive prices;</w:t>
      </w:r>
    </w:p>
    <w:p>
      <w:pPr>
        <w:spacing w:after="0" w:line="9" w:lineRule="exact"/>
        <w:rPr>
          <w:rFonts w:ascii="Arial" w:cs="Arial" w:eastAsia="Arial" w:hAnsi="Arial"/>
          <w:sz w:val="18"/>
          <w:szCs w:val="18"/>
          <w:color w:val="auto"/>
        </w:rPr>
      </w:pPr>
    </w:p>
    <w:p>
      <w:pPr>
        <w:ind w:left="820" w:right="300" w:hanging="326"/>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Nicaragua, Brazil and elsewhere;</w:t>
      </w:r>
    </w:p>
    <w:p>
      <w:pPr>
        <w:ind w:left="820" w:right="400" w:hanging="326"/>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ind w:left="820" w:right="480" w:hanging="326"/>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ind w:left="820" w:right="320" w:hanging="326"/>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Nicaragua, Brazil and in the other geographic areas in which we intend to operate;</w:t>
      </w:r>
    </w:p>
    <w:p>
      <w:pPr>
        <w:ind w:left="820" w:hanging="326"/>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severity and duration of world health events, including the recent COVID-19 pandemic and related economic and political impacts on our or our customers’ or suppliers’ operations and financial status;</w:t>
      </w: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win new bids or contracts on the terms, size and within the time frame we need to execute our business strategy;</w:t>
      </w:r>
    </w:p>
    <w:p>
      <w:pPr>
        <w:spacing w:after="0" w:line="9" w:lineRule="exact"/>
        <w:rPr>
          <w:rFonts w:ascii="Arial" w:cs="Arial" w:eastAsia="Arial" w:hAnsi="Arial"/>
          <w:sz w:val="18"/>
          <w:szCs w:val="18"/>
          <w:color w:val="auto"/>
        </w:rPr>
      </w:pPr>
    </w:p>
    <w:p>
      <w:pPr>
        <w:ind w:left="820" w:right="340" w:hanging="326"/>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ind w:left="820" w:right="100" w:hanging="326"/>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 or</w:t>
      </w: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w:t>
      </w:r>
    </w:p>
    <w:p>
      <w:pPr>
        <w:spacing w:after="0" w:line="238" w:lineRule="exact"/>
        <w:rPr>
          <w:sz w:val="20"/>
          <w:szCs w:val="20"/>
          <w:color w:val="auto"/>
        </w:rPr>
      </w:pPr>
    </w:p>
    <w:p>
      <w:pPr>
        <w:ind w:left="20" w:right="660" w:firstLine="226"/>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Fast LNG strategy is innovative and thus not yet proven. We may not be able to realize the time and cost savings we expect to achieve with our Fast LNG strategy.</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developed our Fast LNG strategy to procure and deliver LNG to our customers more quickly and cost-effectively than traditional LNG procurement and delivery strategies used by other market participants. We are in the process of designing and constructing our first Fast LNG solution. The Fast LNG technology may take more time and money to construct than we currently estimate. We may not be able to successful construct our Fast LNG solution, and even if we succeed in constructing the technology, we may ultimately not be able to realize the time and cost savings we currently expect to achieve from this strategy. Any such failure could negatively affect both the timing and costs of some future projects, impair our ability to reduce our future LNG costs and negatively affect our financial results.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Arial" w:cs="Arial" w:eastAsia="Arial" w:hAnsi="Arial"/>
          <w:sz w:val="18"/>
          <w:szCs w:val="18"/>
          <w:b w:val="1"/>
          <w:bCs w:val="1"/>
          <w:color w:val="auto"/>
        </w:rPr>
        <w:t>.</w:t>
      </w:r>
    </w:p>
    <w:p>
      <w:pPr>
        <w:spacing w:after="0" w:line="19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facilities,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facilities,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20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252" w:lineRule="exact"/>
        <w:rPr>
          <w:sz w:val="20"/>
          <w:szCs w:val="20"/>
          <w:color w:val="auto"/>
        </w:rPr>
      </w:pPr>
    </w:p>
    <w:p>
      <w:pPr>
        <w:ind w:left="20" w:right="120" w:firstLine="286"/>
        <w:spacing w:after="0" w:line="291"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193" w:lineRule="exact"/>
        <w:rPr>
          <w:sz w:val="20"/>
          <w:szCs w:val="20"/>
          <w:color w:val="auto"/>
        </w:rPr>
      </w:pPr>
    </w:p>
    <w:p>
      <w:pPr>
        <w:ind w:right="80" w:firstLine="286"/>
        <w:spacing w:after="0" w:line="269"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Facilities and Liquefaction Facilities under construction, as well as other future projects. We will need to invest significant amounts of additional capital to implement our strategy. We have not yet completed constructing all of our Facilities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Facilities and Liquefaction Facilities under construction, and fulfill our gas delivery obligations under our customer contracts.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9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See “Part I, Item 2. Management’s Discussion and Analysis of Financial Condition and Results of Operations” in this Quarterly Report for more information on our outstanding indebtedness. If we are unable to obtain additional funding, approvals or amendments to our financings outstanding from time to time,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Additional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ectPr>
          <w:pgSz w:w="11900" w:h="16838" w:orient="portrait"/>
          <w:cols w:equalWidth="0" w:num="1">
            <w:col w:w="11220"/>
          </w:cols>
          <w:pgMar w:left="320" w:top="122" w:right="35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we have not achieved profitability for any annual period or for the six months ended June 30, 2021. We have made and will continue to make significant initial investments to complete construction and begin operations of each of our Facilities,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including in connection with the Mergers.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204" w:lineRule="exact"/>
        <w:rPr>
          <w:sz w:val="20"/>
          <w:szCs w:val="20"/>
          <w:color w:val="auto"/>
        </w:rPr>
      </w:pPr>
    </w:p>
    <w:p>
      <w:pPr>
        <w:ind w:right="300" w:firstLine="292"/>
        <w:spacing w:after="0" w:line="277"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19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Puerto Rico and Brazil, and any disruption to those operations would adversely affect us.</w:t>
      </w:r>
    </w:p>
    <w:p>
      <w:pPr>
        <w:spacing w:after="0" w:line="19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operations in Jamaica began in October 2016, when our Montego Bay Facility commenced commercial operations, and continue to grow, and our San Juan Facility became fully operational in the third quarter of 2020. Jamaica, Puerto Rico and Brazil are subject to acts of terrorism or sabotage and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and Brazil. As a result, tourism directly and indirectly affects local demand for our LNG and therefore our results of operations. Trends in tourism in the Caribbean and Brazil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9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197" w:lineRule="exact"/>
        <w:rPr>
          <w:sz w:val="20"/>
          <w:szCs w:val="20"/>
          <w:color w:val="auto"/>
        </w:rPr>
      </w:pPr>
    </w:p>
    <w:p>
      <w:pPr>
        <w:ind w:right="160" w:firstLine="292"/>
        <w:spacing w:after="0" w:line="254" w:lineRule="auto"/>
        <w:rPr>
          <w:sz w:val="20"/>
          <w:szCs w:val="20"/>
          <w:color w:val="auto"/>
        </w:rPr>
      </w:pPr>
      <w:r>
        <w:rPr>
          <w:rFonts w:ascii="Arial" w:cs="Arial" w:eastAsia="Arial" w:hAnsi="Arial"/>
          <w:sz w:val="18"/>
          <w:szCs w:val="18"/>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the Sergipe Facility and the Sergipe Power Plant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we lose any of our charterers and are unable to re-deploy the related vessel for an extended period of time, we will not receive any revenues from that vessel, but we will be required to pay expenses necessary to maintain the vessel in seaworthy operating condition and to service any associated debt. In addition, under the sale and leaseback arrangement in respect of the Golar Eskimo, if the time charter pursuant to which the Golar Eskimo is operating is terminated, the owner of the Golar Eskimo (which is a wholly-owned subsidiary of China Merchants Bank Leasing) will have the right to require us to purchase the vessel from it unless we are able to place such vessel under a suitable replacement charter within 24 months of the termination. We may not have, or be able to obtain, sufficient funds to make these accelerated payments or prepayments or be able to purchase the Golar Eskimo. In such a situation, the loss of a charterer could have a material adverse effect on our business, results of operations and financial condition.</w:t>
      </w:r>
    </w:p>
    <w:p>
      <w:pPr>
        <w:spacing w:after="0" w:line="19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76" w:lineRule="exact"/>
        <w:rPr>
          <w:sz w:val="20"/>
          <w:szCs w:val="20"/>
          <w:color w:val="auto"/>
        </w:rPr>
      </w:pPr>
    </w:p>
    <w:p>
      <w:pPr>
        <w:ind w:right="40" w:firstLine="292"/>
        <w:spacing w:after="0" w:line="271"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While certain of our long-term contracts contain minimum volume commitments, our expected sales to customers under existing contracts are substantially in excess of such minimum volume commitments. Our near-term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205" w:lineRule="exact"/>
        <w:rPr>
          <w:sz w:val="20"/>
          <w:szCs w:val="20"/>
          <w:color w:val="auto"/>
        </w:rPr>
      </w:pPr>
    </w:p>
    <w:p>
      <w:pPr>
        <w:ind w:right="60" w:firstLine="292"/>
        <w:spacing w:after="0" w:line="286" w:lineRule="auto"/>
        <w:rPr>
          <w:sz w:val="20"/>
          <w:szCs w:val="20"/>
          <w:color w:val="auto"/>
        </w:rPr>
      </w:pPr>
      <w:r>
        <w:rPr>
          <w:rFonts w:ascii="Arial" w:cs="Arial" w:eastAsia="Arial" w:hAnsi="Arial"/>
          <w:sz w:val="16"/>
          <w:szCs w:val="16"/>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w:t>
      </w:r>
    </w:p>
    <w:p>
      <w:pPr>
        <w:spacing w:after="0" w:line="20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252" w:lineRule="exact"/>
        <w:rPr>
          <w:sz w:val="20"/>
          <w:szCs w:val="20"/>
          <w:color w:val="auto"/>
        </w:rPr>
      </w:pPr>
    </w:p>
    <w:p>
      <w:pPr>
        <w:jc w:val="both"/>
        <w:ind w:left="20" w:right="260" w:firstLine="286"/>
        <w:spacing w:after="0" w:line="342" w:lineRule="auto"/>
        <w:rPr>
          <w:sz w:val="20"/>
          <w:szCs w:val="20"/>
          <w:color w:val="auto"/>
        </w:rPr>
      </w:pPr>
      <w:r>
        <w:rPr>
          <w:rFonts w:ascii="Arial" w:cs="Arial" w:eastAsia="Arial" w:hAnsi="Arial"/>
          <w:sz w:val="16"/>
          <w:szCs w:val="16"/>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238" w:lineRule="exact"/>
        <w:rPr>
          <w:sz w:val="20"/>
          <w:szCs w:val="20"/>
          <w:color w:val="auto"/>
        </w:rPr>
      </w:pPr>
    </w:p>
    <w:p>
      <w:pPr>
        <w:ind w:right="660" w:firstLine="292"/>
        <w:spacing w:after="0" w:line="263"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211"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211" w:lineRule="exact"/>
        <w:rPr>
          <w:sz w:val="20"/>
          <w:szCs w:val="20"/>
          <w:color w:val="auto"/>
        </w:rPr>
      </w:pPr>
    </w:p>
    <w:p>
      <w:pPr>
        <w:jc w:val="both"/>
        <w:ind w:left="20" w:firstLine="286"/>
        <w:spacing w:after="0" w:line="263"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11" w:lineRule="exact"/>
        <w:rPr>
          <w:sz w:val="20"/>
          <w:szCs w:val="20"/>
          <w:color w:val="auto"/>
        </w:rPr>
      </w:pPr>
    </w:p>
    <w:p>
      <w:pPr>
        <w:ind w:left="660" w:right="10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Brazil, Europe, Asia and other markets, which could divert LNG or natural gas from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including shut-ins and possible proration, which have begun and may continue to decrease the production of natural gas;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ind w:left="660" w:right="2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adverse relative demand for LNG compared to other markets, which may decrease LNG imports into or exports from North America;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 -term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64" w:lineRule="exact"/>
        <w:rPr>
          <w:sz w:val="20"/>
          <w:szCs w:val="20"/>
          <w:color w:val="auto"/>
        </w:rPr>
      </w:pPr>
    </w:p>
    <w:p>
      <w:pPr>
        <w:ind w:left="20" w:firstLine="286"/>
        <w:spacing w:after="0" w:line="275"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252" w:lineRule="exact"/>
        <w:rPr>
          <w:sz w:val="20"/>
          <w:szCs w:val="20"/>
          <w:color w:val="auto"/>
        </w:rPr>
      </w:pPr>
    </w:p>
    <w:p>
      <w:pPr>
        <w:ind w:left="20" w:right="800" w:firstLine="286"/>
        <w:spacing w:after="0" w:line="257" w:lineRule="auto"/>
        <w:rPr>
          <w:sz w:val="20"/>
          <w:szCs w:val="20"/>
          <w:color w:val="auto"/>
        </w:rPr>
      </w:pPr>
      <w:r>
        <w:rPr>
          <w:rFonts w:ascii="Arial" w:cs="Arial" w:eastAsia="Arial" w:hAnsi="Arial"/>
          <w:sz w:val="18"/>
          <w:szCs w:val="18"/>
          <w:color w:val="auto"/>
        </w:rPr>
        <w:t>As more fully discussed in our Annual Report and elsewhere in this Quarterly Report, our existing Facilities and Liquefaction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215" w:lineRule="exact"/>
        <w:rPr>
          <w:sz w:val="20"/>
          <w:szCs w:val="20"/>
          <w:color w:val="auto"/>
        </w:rPr>
      </w:pPr>
    </w:p>
    <w:p>
      <w:pPr>
        <w:ind w:right="300" w:firstLine="286"/>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CHP Plant and other power plants will involve particular, significant risks.</w:t>
      </w:r>
    </w:p>
    <w:p>
      <w:pPr>
        <w:spacing w:after="0" w:line="252" w:lineRule="exact"/>
        <w:rPr>
          <w:sz w:val="20"/>
          <w:szCs w:val="20"/>
          <w:color w:val="auto"/>
        </w:rPr>
      </w:pPr>
    </w:p>
    <w:p>
      <w:pPr>
        <w:ind w:right="40" w:firstLine="286"/>
        <w:spacing w:after="0" w:line="286" w:lineRule="auto"/>
        <w:rPr>
          <w:sz w:val="20"/>
          <w:szCs w:val="20"/>
          <w:color w:val="auto"/>
        </w:rPr>
      </w:pPr>
      <w:r>
        <w:rPr>
          <w:rFonts w:ascii="Arial" w:cs="Arial" w:eastAsia="Arial" w:hAnsi="Arial"/>
          <w:sz w:val="16"/>
          <w:szCs w:val="16"/>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201"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Facilities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common stock.</w:t>
      </w:r>
    </w:p>
    <w:p>
      <w:pPr>
        <w:spacing w:after="0" w:line="195"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211" w:lineRule="exact"/>
        <w:rPr>
          <w:sz w:val="20"/>
          <w:szCs w:val="20"/>
          <w:color w:val="auto"/>
        </w:rPr>
      </w:pPr>
    </w:p>
    <w:p>
      <w:pPr>
        <w:ind w:right="40" w:firstLine="286"/>
        <w:spacing w:after="0" w:line="270"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Liquefaction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208" w:lineRule="exact"/>
        <w:rPr>
          <w:sz w:val="20"/>
          <w:szCs w:val="20"/>
          <w:color w:val="auto"/>
        </w:rPr>
      </w:pPr>
    </w:p>
    <w:p>
      <w:pPr>
        <w:ind w:right="60" w:firstLine="286"/>
        <w:spacing w:after="0" w:line="254" w:lineRule="auto"/>
        <w:rPr>
          <w:sz w:val="20"/>
          <w:szCs w:val="20"/>
          <w:color w:val="auto"/>
        </w:rPr>
      </w:pPr>
      <w:r>
        <w:rPr>
          <w:rFonts w:ascii="Arial" w:cs="Arial" w:eastAsia="Arial" w:hAnsi="Arial"/>
          <w:sz w:val="18"/>
          <w:szCs w:val="18"/>
          <w:color w:val="auto"/>
        </w:rPr>
        <w:t>If one or more tankers, pipelines, Facilities, Liquefaction Facilities, equipment or electronic systems that we own, lease or operate or that deliver products to us or that supply our Facilities, Liquefaction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222" w:lineRule="exact"/>
        <w:rPr>
          <w:sz w:val="20"/>
          <w:szCs w:val="20"/>
          <w:color w:val="auto"/>
        </w:rPr>
      </w:pPr>
    </w:p>
    <w:p>
      <w:pPr>
        <w:ind w:right="160" w:firstLine="286"/>
        <w:spacing w:after="0" w:line="286" w:lineRule="auto"/>
        <w:rPr>
          <w:sz w:val="20"/>
          <w:szCs w:val="20"/>
          <w:color w:val="auto"/>
        </w:rPr>
      </w:pPr>
      <w:r>
        <w:rPr>
          <w:rFonts w:ascii="Arial" w:cs="Arial" w:eastAsia="Arial" w:hAnsi="Arial"/>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252" w:lineRule="exact"/>
        <w:rPr>
          <w:sz w:val="20"/>
          <w:szCs w:val="20"/>
          <w:color w:val="auto"/>
        </w:rPr>
      </w:pPr>
    </w:p>
    <w:p>
      <w:pPr>
        <w:jc w:val="both"/>
        <w:ind w:right="340" w:firstLine="286"/>
        <w:spacing w:after="0" w:line="263" w:lineRule="auto"/>
        <w:rPr>
          <w:sz w:val="20"/>
          <w:szCs w:val="20"/>
          <w:color w:val="auto"/>
        </w:rPr>
      </w:pPr>
      <w:r>
        <w:rPr>
          <w:rFonts w:ascii="Arial" w:cs="Arial" w:eastAsia="Arial" w:hAnsi="Arial"/>
          <w:sz w:val="18"/>
          <w:szCs w:val="18"/>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2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52" w:lineRule="exact"/>
        <w:rPr>
          <w:sz w:val="20"/>
          <w:szCs w:val="20"/>
          <w:color w:val="auto"/>
        </w:rPr>
      </w:pPr>
    </w:p>
    <w:p>
      <w:pPr>
        <w:ind w:right="60" w:firstLine="286"/>
        <w:spacing w:after="0" w:line="270"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Facilities, Liquefaction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208" w:lineRule="exact"/>
        <w:rPr>
          <w:sz w:val="20"/>
          <w:szCs w:val="20"/>
          <w:color w:val="auto"/>
        </w:rPr>
      </w:pPr>
    </w:p>
    <w:p>
      <w:pPr>
        <w:ind w:firstLine="226"/>
        <w:spacing w:after="0" w:line="275"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203" w:lineRule="exact"/>
        <w:rPr>
          <w:sz w:val="20"/>
          <w:szCs w:val="20"/>
          <w:color w:val="auto"/>
        </w:rPr>
      </w:pPr>
    </w:p>
    <w:p>
      <w:pPr>
        <w:ind w:right="20" w:firstLine="286"/>
        <w:spacing w:after="0" w:line="255" w:lineRule="auto"/>
        <w:rPr>
          <w:sz w:val="20"/>
          <w:szCs w:val="20"/>
          <w:color w:val="auto"/>
        </w:rPr>
      </w:pPr>
      <w:r>
        <w:rPr>
          <w:rFonts w:ascii="Arial" w:cs="Arial" w:eastAsia="Arial" w:hAnsi="Arial"/>
          <w:sz w:val="18"/>
          <w:szCs w:val="18"/>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219" w:lineRule="exact"/>
        <w:rPr>
          <w:sz w:val="20"/>
          <w:szCs w:val="20"/>
          <w:color w:val="auto"/>
        </w:rPr>
      </w:pPr>
    </w:p>
    <w:p>
      <w:pPr>
        <w:jc w:val="both"/>
        <w:ind w:right="220" w:firstLine="286"/>
        <w:spacing w:after="0" w:line="277"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9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spacing w:after="0" w:line="127" w:lineRule="exact"/>
        <w:rPr>
          <w:sz w:val="20"/>
          <w:szCs w:val="20"/>
          <w:color w:val="auto"/>
        </w:rPr>
      </w:pPr>
    </w:p>
    <w:p>
      <w:pPr>
        <w:jc w:val="both"/>
        <w:ind w:right="240" w:firstLine="286"/>
        <w:spacing w:after="0" w:line="263" w:lineRule="auto"/>
        <w:rPr>
          <w:sz w:val="20"/>
          <w:szCs w:val="20"/>
          <w:color w:val="auto"/>
        </w:rPr>
      </w:pPr>
      <w:r>
        <w:rPr>
          <w:rFonts w:ascii="Arial" w:cs="Arial" w:eastAsia="Arial" w:hAnsi="Arial"/>
          <w:sz w:val="18"/>
          <w:szCs w:val="18"/>
          <w:color w:val="auto"/>
        </w:rPr>
        <w:t>The COVID-19 pandemic has caused, and is expected to continue to cause, economic disruptions in various regions, disruptions in global supply chains, significant volatility and disruption of financial markets and in the price of oil. In addition, the pandemic has made travel and commercial activity significantly more cumbersome and less efficient compared to pre-pandemic conditions.</w:t>
      </w:r>
    </w:p>
    <w:p>
      <w:pPr>
        <w:spacing w:after="0" w:line="211" w:lineRule="exact"/>
        <w:rPr>
          <w:sz w:val="20"/>
          <w:szCs w:val="20"/>
          <w:color w:val="auto"/>
        </w:rPr>
      </w:pPr>
    </w:p>
    <w:p>
      <w:pPr>
        <w:ind w:left="20" w:firstLine="286"/>
        <w:spacing w:after="0" w:line="271" w:lineRule="auto"/>
        <w:rPr>
          <w:sz w:val="20"/>
          <w:szCs w:val="20"/>
          <w:color w:val="auto"/>
        </w:rPr>
      </w:pPr>
      <w:r>
        <w:rPr>
          <w:rFonts w:ascii="Arial" w:cs="Arial" w:eastAsia="Arial" w:hAnsi="Arial"/>
          <w:sz w:val="17"/>
          <w:szCs w:val="17"/>
          <w:color w:val="auto"/>
        </w:rPr>
        <w:t>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20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COVID-19 pandemic has subjected our operations, financial performance and financial condition to a number of operational financial risks. The COVID-19 pandemic has also affected Hygo and GMLP.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252" w:lineRule="exact"/>
        <w:rPr>
          <w:sz w:val="20"/>
          <w:szCs w:val="20"/>
          <w:color w:val="auto"/>
        </w:rPr>
      </w:pPr>
    </w:p>
    <w:p>
      <w:pPr>
        <w:ind w:left="20" w:right="80" w:firstLine="286"/>
        <w:spacing w:after="0" w:line="257" w:lineRule="auto"/>
        <w:rPr>
          <w:sz w:val="20"/>
          <w:szCs w:val="20"/>
          <w:color w:val="auto"/>
        </w:rPr>
      </w:pPr>
      <w:r>
        <w:rPr>
          <w:rFonts w:ascii="Arial" w:cs="Arial" w:eastAsia="Arial" w:hAnsi="Arial"/>
          <w:sz w:val="18"/>
          <w:szCs w:val="18"/>
          <w:color w:val="auto"/>
        </w:rPr>
        <w:t>In the future we may be subject to material legal proceedings in the course of our business, including, but not limited to, actions relating to contract disputes, business practices, intellectual property and other commercial tax and regulatory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an adverse effect on our business, financial position and results of operations.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84"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97" w:lineRule="exact"/>
        <w:rPr>
          <w:sz w:val="20"/>
          <w:szCs w:val="20"/>
          <w:color w:val="auto"/>
        </w:rPr>
      </w:pPr>
    </w:p>
    <w:p>
      <w:pPr>
        <w:ind w:left="20" w:right="620" w:firstLine="286"/>
        <w:spacing w:after="0" w:line="259" w:lineRule="auto"/>
        <w:rPr>
          <w:sz w:val="20"/>
          <w:szCs w:val="20"/>
          <w:color w:val="auto"/>
        </w:rPr>
      </w:pPr>
      <w:r>
        <w:rPr>
          <w:rFonts w:ascii="Arial" w:cs="Arial" w:eastAsia="Arial" w:hAnsi="Arial"/>
          <w:sz w:val="18"/>
          <w:szCs w:val="18"/>
          <w:color w:val="auto"/>
        </w:rPr>
        <w:t>The construction of energy-related infrastructure, including our Facilities and Liquefaction Facilities, the Barcarena Facility, the Santa Catarina Facility and other assets in Brazil,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214" w:lineRule="exact"/>
        <w:rPr>
          <w:sz w:val="20"/>
          <w:szCs w:val="20"/>
          <w:color w:val="auto"/>
        </w:rPr>
      </w:pPr>
    </w:p>
    <w:p>
      <w:pPr>
        <w:ind w:left="660" w:right="82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delays in obtaining required permits, the unavailability of required construction personnel or materials, accidents or weather conditions;</w:t>
      </w:r>
    </w:p>
    <w:p>
      <w:pPr>
        <w:spacing w:after="0" w:line="1" w:lineRule="exact"/>
        <w:rPr>
          <w:rFonts w:ascii="Arial" w:cs="Arial" w:eastAsia="Arial" w:hAnsi="Arial"/>
          <w:sz w:val="18"/>
          <w:szCs w:val="18"/>
          <w:color w:val="auto"/>
        </w:rPr>
      </w:pPr>
    </w:p>
    <w:p>
      <w:pPr>
        <w:jc w:val="both"/>
        <w:ind w:left="660" w:right="18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construct facilities to capture anticipated future energy consumption growth in a region in which such growth does not materialize;</w:t>
      </w:r>
    </w:p>
    <w:p>
      <w:pPr>
        <w:spacing w:after="0" w:line="20" w:lineRule="exact"/>
        <w:rPr>
          <w:rFonts w:ascii="Arial" w:cs="Arial" w:eastAsia="Arial" w:hAnsi="Arial"/>
          <w:sz w:val="17"/>
          <w:szCs w:val="17"/>
          <w:color w:val="auto"/>
        </w:rPr>
      </w:pPr>
    </w:p>
    <w:p>
      <w:pPr>
        <w:ind w:left="660" w:right="160" w:hanging="328"/>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completion or success of our construction projects may depend on the completion of a third-party construction project (e.g</w:t>
      </w:r>
      <w:r>
        <w:rPr>
          <w:rFonts w:ascii="Arial" w:cs="Arial" w:eastAsia="Arial" w:hAnsi="Arial"/>
          <w:sz w:val="16"/>
          <w:szCs w:val="16"/>
          <w:i w:val="1"/>
          <w:iCs w:val="1"/>
          <w:color w:val="auto"/>
        </w:rPr>
        <w:t>.</w:t>
      </w:r>
      <w:r>
        <w:rPr>
          <w:rFonts w:ascii="Arial" w:cs="Arial" w:eastAsia="Arial" w:hAnsi="Arial"/>
          <w:sz w:val="16"/>
          <w:szCs w:val="16"/>
          <w:color w:val="auto"/>
        </w:rPr>
        <w:t>, additional public utility infrastructure projects) that we do not control and that may be subject to numerous additional potential risks, delays and complexities;</w:t>
      </w:r>
    </w:p>
    <w:p>
      <w:pPr>
        <w:spacing w:after="0" w:line="1" w:lineRule="exact"/>
        <w:rPr>
          <w:rFonts w:ascii="Arial" w:cs="Arial" w:eastAsia="Arial" w:hAnsi="Arial"/>
          <w:sz w:val="16"/>
          <w:szCs w:val="16"/>
          <w:color w:val="auto"/>
        </w:rPr>
      </w:pPr>
    </w:p>
    <w:p>
      <w:pPr>
        <w:ind w:left="660" w:right="1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Facility (as defined herein) is subject to a number of contingencies, many of which are beyond our control and could cause us not to acquire the remaining interests of the project company or cause a delay in the construction of our Ireland Facility;</w:t>
      </w:r>
    </w:p>
    <w:p>
      <w:pPr>
        <w:spacing w:after="0" w:line="1" w:lineRule="exact"/>
        <w:rPr>
          <w:rFonts w:ascii="Arial" w:cs="Arial" w:eastAsia="Arial" w:hAnsi="Arial"/>
          <w:sz w:val="18"/>
          <w:szCs w:val="18"/>
          <w:color w:val="auto"/>
        </w:rPr>
      </w:pPr>
    </w:p>
    <w:p>
      <w:pPr>
        <w:jc w:val="both"/>
        <w:ind w:left="660" w:right="120" w:hanging="328"/>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(and have been in select circumstances) subject to local opposition, including the efforts by environmental groups, which may attract negative publicity or have an adverse impact on our reputation; and</w:t>
      </w: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unable to obtain rights-of-way to construct additional energy-related infrastructure or the cost to do so may be uneconomical.</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97" w:lineRule="exact"/>
        <w:rPr>
          <w:sz w:val="20"/>
          <w:szCs w:val="20"/>
          <w:color w:val="auto"/>
        </w:rPr>
      </w:pPr>
    </w:p>
    <w:p>
      <w:pPr>
        <w:ind w:left="20" w:right="1100"/>
        <w:spacing w:after="0" w:line="277"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197" w:lineRule="exact"/>
        <w:rPr>
          <w:sz w:val="20"/>
          <w:szCs w:val="20"/>
          <w:color w:val="auto"/>
        </w:rPr>
      </w:pPr>
    </w:p>
    <w:p>
      <w:pPr>
        <w:ind w:left="20" w:right="260" w:firstLine="286"/>
        <w:spacing w:after="0" w:line="257" w:lineRule="auto"/>
        <w:rPr>
          <w:sz w:val="20"/>
          <w:szCs w:val="20"/>
          <w:color w:val="auto"/>
        </w:rPr>
      </w:pPr>
      <w:r>
        <w:rPr>
          <w:rFonts w:ascii="Arial" w:cs="Arial" w:eastAsia="Arial" w:hAnsi="Arial"/>
          <w:sz w:val="18"/>
          <w:szCs w:val="18"/>
          <w:color w:val="auto"/>
        </w:rPr>
        <w:t>Timely and cost-effective completion of our energy-related infrastructure, including our Facilities and Liquefaction Facilities, the Sergipe Facility, the Barcarena Facility and the Santa Catarina Facility,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21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the construction process generally, including coordinating with other contractors and regulatory agencies;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238" w:lineRule="exact"/>
        <w:rPr>
          <w:sz w:val="20"/>
          <w:szCs w:val="20"/>
          <w:color w:val="auto"/>
        </w:rPr>
      </w:pPr>
    </w:p>
    <w:p>
      <w:pPr>
        <w:ind w:left="20" w:firstLine="286"/>
        <w:spacing w:after="0" w:line="286" w:lineRule="auto"/>
        <w:rPr>
          <w:sz w:val="20"/>
          <w:szCs w:val="20"/>
          <w:color w:val="auto"/>
        </w:rPr>
      </w:pPr>
      <w:r>
        <w:rPr>
          <w:rFonts w:ascii="Arial" w:cs="Arial" w:eastAsia="Arial" w:hAnsi="Arial"/>
          <w:sz w:val="16"/>
          <w:szCs w:val="16"/>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98" w:lineRule="exact"/>
        <w:rPr>
          <w:sz w:val="20"/>
          <w:szCs w:val="20"/>
          <w:color w:val="auto"/>
        </w:rPr>
      </w:pPr>
    </w:p>
    <w:p>
      <w:pPr>
        <w:ind w:right="60" w:firstLine="286"/>
        <w:spacing w:after="0" w:line="257" w:lineRule="auto"/>
        <w:rPr>
          <w:sz w:val="20"/>
          <w:szCs w:val="20"/>
          <w:color w:val="auto"/>
        </w:rPr>
      </w:pPr>
      <w:r>
        <w:rPr>
          <w:rFonts w:ascii="Arial" w:cs="Arial" w:eastAsia="Arial" w:hAnsi="Arial"/>
          <w:sz w:val="18"/>
          <w:szCs w:val="18"/>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97" w:lineRule="exact"/>
        <w:rPr>
          <w:sz w:val="20"/>
          <w:szCs w:val="20"/>
          <w:color w:val="auto"/>
        </w:rPr>
      </w:pPr>
    </w:p>
    <w:p>
      <w:pPr>
        <w:ind w:right="380" w:firstLine="286"/>
        <w:spacing w:after="0" w:line="255" w:lineRule="auto"/>
        <w:rPr>
          <w:sz w:val="20"/>
          <w:szCs w:val="20"/>
          <w:color w:val="auto"/>
        </w:rPr>
      </w:pPr>
      <w:r>
        <w:rPr>
          <w:rFonts w:ascii="Arial" w:cs="Arial" w:eastAsia="Arial" w:hAnsi="Arial"/>
          <w:sz w:val="18"/>
          <w:szCs w:val="18"/>
          <w:color w:val="auto"/>
        </w:rPr>
        <w:t>We are relying on third parties for the design and engineering services underlying our estimates of the future rated capacity and performance capabilities of our Facilities and Liquefaction Facilities, as well as other future projects. If any of these facilities, when actually constructed, fails to have the rated capacity and performance capabilities that we intend, our estimates may not be accurate. Failure of any of our existing Facilities, Liquefaction Facilities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perform development or construction services from time to time, which are subject to a variety of risks unique to these activities.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San Juan Power Plant was delayed in part due to the earthquakes that occurred near Puerto Rico in January 2020 and third-party delays.</w:t>
      </w:r>
    </w:p>
    <w:p>
      <w:pPr>
        <w:spacing w:after="0" w:line="205" w:lineRule="exact"/>
        <w:rPr>
          <w:sz w:val="20"/>
          <w:szCs w:val="20"/>
          <w:color w:val="auto"/>
        </w:rPr>
      </w:pPr>
    </w:p>
    <w:p>
      <w:pPr>
        <w:ind w:right="40" w:firstLine="286"/>
        <w:spacing w:after="0" w:line="272" w:lineRule="auto"/>
        <w:rPr>
          <w:sz w:val="20"/>
          <w:szCs w:val="20"/>
          <w:color w:val="auto"/>
        </w:rPr>
      </w:pPr>
      <w:r>
        <w:rPr>
          <w:rFonts w:ascii="Arial" w:cs="Arial" w:eastAsia="Arial" w:hAnsi="Arial"/>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any such excess costs or project delays were to be material, such events may adversely affect our cash flow and liquidity.</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7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Under the GSAs with JPS, SJPC and PREPA, we are required to deliver to JPS, SJPC and PREPA specified amounts of natural gas at specified times, while under the SSA with Jamalco, we are required to deliver steam, and under the PPAs with JPS and the Nicaraguan electrical authority, we are required to deliver power, each of which also requires us to obtain sufficient amounts of LNG. However, we may not be able to purchase or receive physical delivery of sufficient quantities of LNG to satisfy those delivery obligations, which may provide a counterparty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205" w:lineRule="exact"/>
        <w:rPr>
          <w:sz w:val="20"/>
          <w:szCs w:val="20"/>
          <w:color w:val="auto"/>
        </w:rPr>
      </w:pPr>
    </w:p>
    <w:p>
      <w:pPr>
        <w:ind w:firstLine="286"/>
        <w:spacing w:after="0" w:line="269" w:lineRule="auto"/>
        <w:rPr>
          <w:sz w:val="20"/>
          <w:szCs w:val="20"/>
          <w:color w:val="auto"/>
        </w:rPr>
      </w:pPr>
      <w:r>
        <w:rPr>
          <w:rFonts w:ascii="Arial" w:cs="Arial" w:eastAsia="Arial" w:hAnsi="Arial"/>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were to default on their obligations under our contracts or seek bankruptcy protection, we may not be able to replace such contracts or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12"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While we have entered into contracts with a third-party to purchase our currently contracted and expected LNG volumes through 2027, we may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Liquefaction Facilities or Fast LNG infrastructure. Even if we do complete the Pennsylvania Facility or implement our Fast LNG strategy, there can be no assurance that it will operate as we expect or that we will succeed in our goal of reducing the risk to our operations of future LNG price variations.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252" w:lineRule="exact"/>
        <w:rPr>
          <w:sz w:val="20"/>
          <w:szCs w:val="20"/>
          <w:color w:val="auto"/>
        </w:rPr>
      </w:pPr>
    </w:p>
    <w:p>
      <w:pPr>
        <w:ind w:left="20" w:right="380" w:firstLine="286"/>
        <w:spacing w:after="0" w:line="275"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20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automotive diesel oil (“ADO”)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9"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88" w:lineRule="exact"/>
        <w:rPr>
          <w:sz w:val="20"/>
          <w:szCs w:val="20"/>
          <w:color w:val="auto"/>
        </w:rPr>
      </w:pPr>
    </w:p>
    <w:p>
      <w:pPr>
        <w:ind w:left="20" w:right="80" w:firstLine="286"/>
        <w:spacing w:after="0" w:line="259" w:lineRule="auto"/>
        <w:rPr>
          <w:sz w:val="20"/>
          <w:szCs w:val="20"/>
          <w:color w:val="auto"/>
        </w:rPr>
      </w:pPr>
      <w:r>
        <w:rPr>
          <w:rFonts w:ascii="Arial" w:cs="Arial" w:eastAsia="Arial" w:hAnsi="Arial"/>
          <w:sz w:val="18"/>
          <w:szCs w:val="18"/>
          <w:color w:val="auto"/>
        </w:rPr>
        <w:t>In addition, we may not be able to successfully execute on our strategy to supply our existing and future customers with LNG produced primarily at our own Liquefaction Facilities upon completion of the Pennsylvania Facility. See “–We have not yet completed contracting, construction and commissioning of all of our Facilities and Liquefaction Facilities. There can be no assurance that our Facilities and Liquefaction Facilities will operate as expected, or at all.”</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part of our business development, we enter into non-binding agreements, and may not agree to final definitive documents on similar terms or at all.</w:t>
      </w:r>
    </w:p>
    <w:p>
      <w:pPr>
        <w:spacing w:after="0" w:line="287" w:lineRule="exact"/>
        <w:rPr>
          <w:sz w:val="20"/>
          <w:szCs w:val="20"/>
          <w:color w:val="auto"/>
        </w:rPr>
      </w:pPr>
    </w:p>
    <w:p>
      <w:pPr>
        <w:ind w:firstLine="292"/>
        <w:spacing w:after="0" w:line="255" w:lineRule="auto"/>
        <w:rPr>
          <w:sz w:val="20"/>
          <w:szCs w:val="20"/>
          <w:color w:val="auto"/>
        </w:rPr>
      </w:pPr>
      <w:r>
        <w:rPr>
          <w:rFonts w:ascii="Arial" w:cs="Arial" w:eastAsia="Arial" w:hAnsi="Arial"/>
          <w:sz w:val="18"/>
          <w:szCs w:val="18"/>
          <w:color w:val="auto"/>
        </w:rPr>
        <w:t>Our business development process includes entering into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w:t>
      </w:r>
    </w:p>
    <w:p>
      <w:pPr>
        <w:spacing w:after="0" w:line="21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As part of our efforts to reduce global carbon emissions, we are making investments in hydrogen energy technologies. The innovative nature of these projects entails the risk that we may never realize the anticipated benefits we hope to achieve for the planet.</w:t>
      </w:r>
    </w:p>
    <w:p>
      <w:pPr>
        <w:spacing w:after="0" w:line="173" w:lineRule="exact"/>
        <w:rPr>
          <w:sz w:val="20"/>
          <w:szCs w:val="20"/>
          <w:color w:val="auto"/>
        </w:rPr>
      </w:pPr>
    </w:p>
    <w:p>
      <w:pPr>
        <w:ind w:firstLine="292"/>
        <w:spacing w:after="0" w:line="254" w:lineRule="auto"/>
        <w:rPr>
          <w:sz w:val="20"/>
          <w:szCs w:val="20"/>
          <w:color w:val="auto"/>
        </w:rPr>
      </w:pPr>
      <w:r>
        <w:rPr>
          <w:rFonts w:ascii="Arial" w:cs="Arial" w:eastAsia="Arial" w:hAnsi="Arial"/>
          <w:sz w:val="18"/>
          <w:szCs w:val="18"/>
          <w:color w:val="auto"/>
        </w:rPr>
        <w:t>We are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investment in H2Pro, an Israel-based company developing a novel, efficient, and low-cost green hydrogen production technology.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252" w:lineRule="exact"/>
        <w:rPr>
          <w:sz w:val="20"/>
          <w:szCs w:val="20"/>
          <w:color w:val="auto"/>
        </w:rPr>
      </w:pPr>
    </w:p>
    <w:p>
      <w:pPr>
        <w:ind w:left="20" w:right="20" w:firstLine="286"/>
        <w:spacing w:after="0" w:line="273"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For example, in March 2021, an amendment to the Mexican Power Industry Law (</w:t>
      </w:r>
      <w:r>
        <w:rPr>
          <w:rFonts w:ascii="Arial" w:cs="Arial" w:eastAsia="Arial" w:hAnsi="Arial"/>
          <w:sz w:val="16"/>
          <w:szCs w:val="16"/>
          <w:i w:val="1"/>
          <w:iCs w:val="1"/>
          <w:color w:val="auto"/>
        </w:rPr>
        <w:t>Ley de la Industria Electrica</w:t>
      </w:r>
      <w:r>
        <w:rPr>
          <w:rFonts w:ascii="Arial" w:cs="Arial" w:eastAsia="Arial" w:hAnsi="Arial"/>
          <w:sz w:val="16"/>
          <w:szCs w:val="16"/>
          <w:color w:val="auto"/>
        </w:rPr>
        <w:t>) was published which would reduce the dispatch priority of privately-owned power plants compared to state-owned power plants in Mexico. The amendment was determined to be unconstitutional by a Mexican court, but the administration may propose a constitutional amendment to implement the change. More recently, on May 4, 2021, an amendment to the Mexican Hydrocarbons Law (</w:t>
      </w:r>
      <w:r>
        <w:rPr>
          <w:rFonts w:ascii="Arial" w:cs="Arial" w:eastAsia="Arial" w:hAnsi="Arial"/>
          <w:sz w:val="16"/>
          <w:szCs w:val="16"/>
          <w:i w:val="1"/>
          <w:iCs w:val="1"/>
          <w:color w:val="auto"/>
        </w:rPr>
        <w:t>Ley de Hidrocarburos</w:t>
      </w:r>
      <w:r>
        <w:rPr>
          <w:rFonts w:ascii="Arial" w:cs="Arial" w:eastAsia="Arial" w:hAnsi="Arial"/>
          <w:sz w:val="16"/>
          <w:szCs w:val="16"/>
          <w:color w:val="auto"/>
        </w:rPr>
        <w:t>) was published which would negatively impact our permits in Mexico. This amendment is being challenged as unconstitutional. If the amendment is enforced against us, it could negatively affect our permitting applications, our revenue and results of operations. If either amendment is enforced against us, it could negatively affect our plant’s dispatch and our revenue and results of operations. Revised, reinterpreted or additional laws and regulations that delay our ability to obtain permits necessary to commence operations or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252" w:lineRule="exact"/>
        <w:rPr>
          <w:sz w:val="20"/>
          <w:szCs w:val="20"/>
          <w:color w:val="auto"/>
        </w:rPr>
      </w:pPr>
    </w:p>
    <w:p>
      <w:pPr>
        <w:ind w:right="180" w:firstLine="286"/>
        <w:spacing w:after="0" w:line="291"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93" w:lineRule="exact"/>
        <w:rPr>
          <w:sz w:val="20"/>
          <w:szCs w:val="20"/>
          <w:color w:val="auto"/>
        </w:rPr>
      </w:pPr>
    </w:p>
    <w:p>
      <w:pPr>
        <w:ind w:right="80" w:firstLine="286"/>
        <w:spacing w:after="0" w:line="254"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219" w:lineRule="exact"/>
        <w:rPr>
          <w:sz w:val="20"/>
          <w:szCs w:val="20"/>
          <w:color w:val="auto"/>
        </w:rPr>
      </w:pPr>
    </w:p>
    <w:p>
      <w:pPr>
        <w:jc w:val="both"/>
        <w:ind w:right="140" w:firstLine="286"/>
        <w:spacing w:after="0" w:line="263"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97" w:lineRule="exact"/>
        <w:rPr>
          <w:sz w:val="20"/>
          <w:szCs w:val="20"/>
          <w:color w:val="auto"/>
        </w:rPr>
      </w:pPr>
    </w:p>
    <w:p>
      <w:pPr>
        <w:ind w:right="60" w:firstLine="286"/>
        <w:spacing w:after="0" w:line="254" w:lineRule="auto"/>
        <w:rPr>
          <w:sz w:val="20"/>
          <w:szCs w:val="20"/>
          <w:color w:val="auto"/>
        </w:rPr>
      </w:pPr>
      <w:r>
        <w:rPr>
          <w:rFonts w:ascii="Arial" w:cs="Arial" w:eastAsia="Arial" w:hAnsi="Arial"/>
          <w:sz w:val="18"/>
          <w:szCs w:val="18"/>
          <w:color w:val="auto"/>
        </w:rPr>
        <w:t>We have obtained long-term leases and corresponding rights-of-way agreements with respect to the land on which the Jamaica Facilities, the pipeline connecting the Montego Bay Facility to the Bogue Power Plant (as defined herein),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Facilities.</w:t>
      </w:r>
    </w:p>
    <w:p>
      <w:pPr>
        <w:spacing w:after="0" w:line="222" w:lineRule="exact"/>
        <w:rPr>
          <w:sz w:val="20"/>
          <w:szCs w:val="20"/>
          <w:color w:val="auto"/>
        </w:rPr>
      </w:pPr>
    </w:p>
    <w:p>
      <w:pPr>
        <w:ind w:right="300" w:firstLine="286"/>
        <w:spacing w:after="0" w:line="273"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ectPr>
          <w:pgSz w:w="11900" w:h="16838" w:orient="portrait"/>
          <w:cols w:equalWidth="0" w:num="1">
            <w:col w:w="11240"/>
          </w:cols>
          <w:pgMar w:left="320" w:top="121"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97" w:lineRule="exact"/>
        <w:rPr>
          <w:sz w:val="20"/>
          <w:szCs w:val="20"/>
          <w:color w:val="auto"/>
        </w:rPr>
      </w:pPr>
    </w:p>
    <w:p>
      <w:pPr>
        <w:ind w:left="20" w:right="40" w:firstLine="286"/>
        <w:spacing w:after="0" w:line="296" w:lineRule="auto"/>
        <w:rPr>
          <w:sz w:val="20"/>
          <w:szCs w:val="20"/>
          <w:color w:val="auto"/>
        </w:rPr>
      </w:pPr>
      <w:r>
        <w:rPr>
          <w:rFonts w:ascii="Arial" w:cs="Arial" w:eastAsia="Arial" w:hAnsi="Arial"/>
          <w:sz w:val="16"/>
          <w:szCs w:val="16"/>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88" w:lineRule="exact"/>
        <w:rPr>
          <w:sz w:val="20"/>
          <w:szCs w:val="20"/>
          <w:color w:val="auto"/>
        </w:rPr>
      </w:pPr>
    </w:p>
    <w:p>
      <w:pPr>
        <w:ind w:right="80" w:firstLine="286"/>
        <w:spacing w:after="0" w:line="277" w:lineRule="auto"/>
        <w:rPr>
          <w:sz w:val="20"/>
          <w:szCs w:val="20"/>
          <w:color w:val="auto"/>
        </w:rPr>
      </w:pPr>
      <w:r>
        <w:rPr>
          <w:rFonts w:ascii="Arial" w:cs="Arial" w:eastAsia="Arial" w:hAnsi="Arial"/>
          <w:sz w:val="18"/>
          <w:szCs w:val="18"/>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9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38" w:lineRule="exact"/>
        <w:rPr>
          <w:sz w:val="20"/>
          <w:szCs w:val="20"/>
          <w:color w:val="auto"/>
        </w:rPr>
      </w:pPr>
    </w:p>
    <w:p>
      <w:pPr>
        <w:ind w:left="20" w:firstLine="286"/>
        <w:spacing w:after="0" w:line="257"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15" w:lineRule="exact"/>
        <w:rPr>
          <w:sz w:val="20"/>
          <w:szCs w:val="20"/>
          <w:color w:val="auto"/>
        </w:rPr>
      </w:pPr>
    </w:p>
    <w:p>
      <w:pPr>
        <w:ind w:left="20" w:right="420"/>
        <w:spacing w:after="0" w:line="277"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25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25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If our chartered vessels suffer damage as a result of such an incident, they may need to be repaired. Repairs and maintenance costs for existing vessels are difficult to predict and may be substantially higher than for vessels we have operated since they were built.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These risks also affect Hygo and GMLP and remain relevant following the Mergers.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certain jurisdictions including the United States, now or in the future, will be subject to cabotage laws including the Merchant Marine Act of 1920, as amended (the “Jones Act”).</w:t>
      </w:r>
    </w:p>
    <w:p>
      <w:pPr>
        <w:spacing w:after="0" w:line="19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Certain activities related to our logistics and shipping operations may constitute “coastwise trade” within the meaning of laws and regulations of the U.S. and other jurisdictions.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 These risks also affect Hygo and GMLP.</w:t>
      </w:r>
    </w:p>
    <w:p>
      <w:pPr>
        <w:spacing w:after="0" w:line="2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97" w:lineRule="exact"/>
        <w:rPr>
          <w:sz w:val="20"/>
          <w:szCs w:val="20"/>
          <w:color w:val="auto"/>
        </w:rPr>
      </w:pPr>
    </w:p>
    <w:p>
      <w:pPr>
        <w:ind w:left="20" w:right="20" w:firstLine="286"/>
        <w:spacing w:after="0" w:line="268"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13" w:lineRule="exact"/>
        <w:rPr>
          <w:sz w:val="20"/>
          <w:szCs w:val="20"/>
          <w:color w:val="auto"/>
        </w:rPr>
      </w:pPr>
    </w:p>
    <w:p>
      <w:pPr>
        <w:ind w:left="20" w:right="20" w:firstLine="286"/>
        <w:spacing w:after="0" w:line="293" w:lineRule="auto"/>
        <w:rPr>
          <w:sz w:val="20"/>
          <w:szCs w:val="20"/>
          <w:color w:val="auto"/>
        </w:rPr>
      </w:pPr>
      <w:r>
        <w:rPr>
          <w:rFonts w:ascii="Arial" w:cs="Arial" w:eastAsia="Arial" w:hAnsi="Arial"/>
          <w:sz w:val="16"/>
          <w:szCs w:val="16"/>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9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5" w:lineRule="exact"/>
        <w:rPr>
          <w:sz w:val="20"/>
          <w:szCs w:val="20"/>
          <w:color w:val="auto"/>
        </w:rPr>
      </w:pPr>
    </w:p>
    <w:p>
      <w:pPr>
        <w:ind w:left="20" w:right="660"/>
        <w:spacing w:after="0" w:line="277"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20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 including as a result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238" w:lineRule="exact"/>
        <w:rPr>
          <w:sz w:val="20"/>
          <w:szCs w:val="20"/>
          <w:color w:val="auto"/>
        </w:rPr>
      </w:pPr>
    </w:p>
    <w:p>
      <w:pPr>
        <w:jc w:val="both"/>
        <w:ind w:left="20" w:right="140" w:firstLine="286"/>
        <w:spacing w:after="0" w:line="259" w:lineRule="auto"/>
        <w:rPr>
          <w:sz w:val="20"/>
          <w:szCs w:val="20"/>
          <w:color w:val="auto"/>
        </w:rPr>
      </w:pPr>
      <w:r>
        <w:rPr>
          <w:rFonts w:ascii="Arial" w:cs="Arial" w:eastAsia="Arial" w:hAnsi="Arial"/>
          <w:sz w:val="18"/>
          <w:szCs w:val="18"/>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214" w:lineRule="exact"/>
        <w:rPr>
          <w:sz w:val="20"/>
          <w:szCs w:val="20"/>
          <w:color w:val="auto"/>
        </w:rPr>
      </w:pPr>
    </w:p>
    <w:p>
      <w:pPr>
        <w:ind w:left="20" w:right="840"/>
        <w:spacing w:after="0" w:line="277"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97" w:lineRule="exact"/>
        <w:rPr>
          <w:sz w:val="20"/>
          <w:szCs w:val="20"/>
          <w:color w:val="auto"/>
        </w:rPr>
      </w:pPr>
    </w:p>
    <w:p>
      <w:pPr>
        <w:ind w:left="20" w:right="580" w:firstLine="286"/>
        <w:spacing w:after="0" w:line="342" w:lineRule="auto"/>
        <w:rPr>
          <w:sz w:val="20"/>
          <w:szCs w:val="20"/>
          <w:color w:val="auto"/>
        </w:rPr>
      </w:pPr>
      <w:r>
        <w:rPr>
          <w:rFonts w:ascii="Arial" w:cs="Arial" w:eastAsia="Arial" w:hAnsi="Arial"/>
          <w:sz w:val="16"/>
          <w:szCs w:val="16"/>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51" w:lineRule="exact"/>
        <w:rPr>
          <w:sz w:val="20"/>
          <w:szCs w:val="20"/>
          <w:color w:val="auto"/>
        </w:rPr>
      </w:pPr>
    </w:p>
    <w:p>
      <w:pPr>
        <w:ind w:left="20" w:right="80" w:firstLine="286"/>
        <w:spacing w:after="0" w:line="254" w:lineRule="auto"/>
        <w:rPr>
          <w:sz w:val="20"/>
          <w:szCs w:val="20"/>
          <w:color w:val="auto"/>
        </w:rPr>
      </w:pPr>
      <w:r>
        <w:rPr>
          <w:rFonts w:ascii="Arial" w:cs="Arial" w:eastAsia="Arial" w:hAnsi="Arial"/>
          <w:sz w:val="18"/>
          <w:szCs w:val="18"/>
          <w:color w:val="auto"/>
        </w:rPr>
        <w:t>Many competing companies have secured access to, or are pursuing development or acquisition of, LNG facilities in North America and internationally. We may face competition from major energy companies and others in pursuing our proposed business strategy to provide liquefaction and export products and services. In addition, competitors have and are developing LNG facilities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219"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97" w:lineRule="exact"/>
        <w:rPr>
          <w:sz w:val="20"/>
          <w:szCs w:val="20"/>
          <w:color w:val="auto"/>
        </w:rPr>
      </w:pPr>
    </w:p>
    <w:p>
      <w:pPr>
        <w:ind w:left="20" w:firstLine="286"/>
        <w:spacing w:after="0" w:line="293"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OPEC have significantly impacted energy markets, and the price of oil has recently traded at historic low prices.</w:t>
      </w:r>
    </w:p>
    <w:p>
      <w:pPr>
        <w:spacing w:after="0" w:line="19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215" w:lineRule="exact"/>
        <w:rPr>
          <w:sz w:val="20"/>
          <w:szCs w:val="20"/>
          <w:color w:val="auto"/>
        </w:rPr>
      </w:pPr>
    </w:p>
    <w:p>
      <w:pPr>
        <w:jc w:val="both"/>
        <w:ind w:left="20" w:right="40" w:firstLine="286"/>
        <w:spacing w:after="0" w:line="263"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252" w:lineRule="exact"/>
        <w:rPr>
          <w:sz w:val="20"/>
          <w:szCs w:val="20"/>
          <w:color w:val="auto"/>
        </w:rPr>
      </w:pPr>
    </w:p>
    <w:p>
      <w:pPr>
        <w:ind w:left="20" w:right="400" w:firstLine="286"/>
        <w:spacing w:after="0" w:line="259"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21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238" w:lineRule="exact"/>
        <w:rPr>
          <w:sz w:val="20"/>
          <w:szCs w:val="20"/>
          <w:color w:val="auto"/>
        </w:rPr>
      </w:pPr>
    </w:p>
    <w:p>
      <w:pPr>
        <w:ind w:left="20" w:right="320" w:firstLine="286"/>
        <w:spacing w:after="0" w:line="286" w:lineRule="auto"/>
        <w:rPr>
          <w:sz w:val="20"/>
          <w:szCs w:val="20"/>
          <w:color w:val="auto"/>
        </w:rPr>
      </w:pPr>
      <w:r>
        <w:rPr>
          <w:rFonts w:ascii="Arial" w:cs="Arial" w:eastAsia="Arial" w:hAnsi="Arial"/>
          <w:sz w:val="17"/>
          <w:szCs w:val="17"/>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92" w:lineRule="exact"/>
        <w:rPr>
          <w:sz w:val="20"/>
          <w:szCs w:val="20"/>
          <w:color w:val="auto"/>
        </w:rPr>
      </w:pPr>
    </w:p>
    <w:p>
      <w:pPr>
        <w:ind w:left="20" w:right="720"/>
        <w:spacing w:after="0" w:line="277"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97" w:lineRule="exact"/>
        <w:rPr>
          <w:sz w:val="20"/>
          <w:szCs w:val="20"/>
          <w:color w:val="auto"/>
        </w:rPr>
      </w:pPr>
    </w:p>
    <w:p>
      <w:pPr>
        <w:ind w:left="20" w:right="40" w:firstLine="286"/>
        <w:spacing w:after="0" w:line="287"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 There can be no assurance that we will complete the Pennsylvania Facility or be able to supply our Facilities and the CHP Plant with LNG produced at our own Liquefaction Facilities. Even if we do complete the Pennsylvania Facility, there can be no assurance that it will operate as expected or that we will succeed in our goal of reducing the risk to our operations of future LNG price variations.</w:t>
      </w:r>
    </w:p>
    <w:p>
      <w:pPr>
        <w:spacing w:after="0" w:line="19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197" w:lineRule="exact"/>
        <w:rPr>
          <w:sz w:val="20"/>
          <w:szCs w:val="20"/>
          <w:color w:val="auto"/>
        </w:rPr>
      </w:pPr>
    </w:p>
    <w:p>
      <w:pPr>
        <w:ind w:left="20" w:firstLine="286"/>
        <w:spacing w:after="0" w:line="269"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97" w:lineRule="exact"/>
        <w:rPr>
          <w:sz w:val="20"/>
          <w:szCs w:val="20"/>
          <w:color w:val="auto"/>
        </w:rPr>
      </w:pPr>
    </w:p>
    <w:p>
      <w:pPr>
        <w:ind w:right="80" w:firstLine="286"/>
        <w:spacing w:after="0" w:line="296" w:lineRule="auto"/>
        <w:rPr>
          <w:sz w:val="20"/>
          <w:szCs w:val="20"/>
          <w:color w:val="auto"/>
        </w:rPr>
      </w:pPr>
      <w:r>
        <w:rPr>
          <w:rFonts w:ascii="Arial" w:cs="Arial" w:eastAsia="Arial" w:hAnsi="Arial"/>
          <w:sz w:val="16"/>
          <w:szCs w:val="16"/>
          <w:color w:val="auto"/>
        </w:rPr>
        <w:t>The substantial majority of our anticipated revenue in 2021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Facilities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labor disputes, strikes or work stoppages in Brazil</w:t>
      </w:r>
    </w:p>
    <w:p>
      <w:pPr>
        <w:spacing w:after="0" w:line="25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All of our employees in Brazil are represented by a labor union and are covered by collective bargaining agreements pursuant to Brazilian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252" w:lineRule="exact"/>
        <w:rPr>
          <w:sz w:val="20"/>
          <w:szCs w:val="20"/>
          <w:color w:val="auto"/>
        </w:rPr>
      </w:pPr>
    </w:p>
    <w:p>
      <w:pPr>
        <w:ind w:right="180" w:firstLine="286"/>
        <w:spacing w:after="0" w:line="272"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204" w:lineRule="exact"/>
        <w:rPr>
          <w:sz w:val="20"/>
          <w:szCs w:val="20"/>
          <w:color w:val="auto"/>
        </w:rPr>
      </w:pPr>
    </w:p>
    <w:p>
      <w:pPr>
        <w:ind w:right="780"/>
        <w:spacing w:after="0" w:line="311" w:lineRule="auto"/>
        <w:rPr>
          <w:sz w:val="20"/>
          <w:szCs w:val="20"/>
          <w:color w:val="auto"/>
        </w:rPr>
      </w:pPr>
      <w:r>
        <w:rPr>
          <w:rFonts w:ascii="Arial" w:cs="Arial" w:eastAsia="Arial" w:hAnsi="Arial"/>
          <w:sz w:val="16"/>
          <w:szCs w:val="16"/>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76" w:lineRule="exact"/>
        <w:rPr>
          <w:sz w:val="20"/>
          <w:szCs w:val="20"/>
          <w:color w:val="auto"/>
        </w:rPr>
      </w:pPr>
    </w:p>
    <w:p>
      <w:pPr>
        <w:ind w:firstLine="286"/>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21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91" w:lineRule="exact"/>
        <w:rPr>
          <w:sz w:val="20"/>
          <w:szCs w:val="20"/>
          <w:color w:val="auto"/>
        </w:rPr>
      </w:pPr>
    </w:p>
    <w:p>
      <w:pPr>
        <w:ind w:right="100" w:firstLine="286"/>
        <w:spacing w:after="0" w:line="270" w:lineRule="auto"/>
        <w:rPr>
          <w:sz w:val="20"/>
          <w:szCs w:val="20"/>
          <w:color w:val="auto"/>
        </w:rPr>
      </w:pPr>
      <w:r>
        <w:rPr>
          <w:rFonts w:ascii="Arial" w:cs="Arial" w:eastAsia="Arial" w:hAnsi="Arial"/>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until August 12, 2022, 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208" w:lineRule="exact"/>
        <w:rPr>
          <w:sz w:val="20"/>
          <w:szCs w:val="20"/>
          <w:color w:val="auto"/>
        </w:rPr>
      </w:pPr>
    </w:p>
    <w:p>
      <w:pPr>
        <w:ind w:right="20" w:firstLine="286"/>
        <w:spacing w:after="0" w:line="289" w:lineRule="auto"/>
        <w:rPr>
          <w:sz w:val="20"/>
          <w:szCs w:val="20"/>
          <w:color w:val="auto"/>
        </w:rPr>
      </w:pPr>
      <w:r>
        <w:rPr>
          <w:rFonts w:ascii="Arial" w:cs="Arial" w:eastAsia="Arial" w:hAnsi="Arial"/>
          <w:sz w:val="16"/>
          <w:szCs w:val="16"/>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193" w:lineRule="exact"/>
        <w:rPr>
          <w:sz w:val="20"/>
          <w:szCs w:val="20"/>
          <w:color w:val="auto"/>
        </w:rPr>
      </w:pPr>
    </w:p>
    <w:p>
      <w:pPr>
        <w:ind w:firstLine="286"/>
        <w:spacing w:after="0" w:line="288"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195" w:lineRule="exact"/>
        <w:rPr>
          <w:sz w:val="20"/>
          <w:szCs w:val="20"/>
          <w:color w:val="auto"/>
        </w:rPr>
      </w:pPr>
    </w:p>
    <w:p>
      <w:pPr>
        <w:ind w:right="20" w:firstLine="286"/>
        <w:spacing w:after="0" w:line="271" w:lineRule="auto"/>
        <w:rPr>
          <w:sz w:val="20"/>
          <w:szCs w:val="20"/>
          <w:color w:val="auto"/>
        </w:rPr>
      </w:pPr>
      <w:r>
        <w:rPr>
          <w:rFonts w:ascii="Arial" w:cs="Arial" w:eastAsia="Arial" w:hAnsi="Arial"/>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05" w:lineRule="exact"/>
        <w:rPr>
          <w:sz w:val="20"/>
          <w:szCs w:val="20"/>
          <w:color w:val="auto"/>
        </w:rPr>
      </w:pPr>
    </w:p>
    <w:p>
      <w:pPr>
        <w:ind w:right="40" w:firstLine="286"/>
        <w:spacing w:after="0" w:line="291" w:lineRule="auto"/>
        <w:rPr>
          <w:sz w:val="20"/>
          <w:szCs w:val="20"/>
          <w:color w:val="auto"/>
        </w:rPr>
      </w:pPr>
      <w:r>
        <w:rPr>
          <w:rFonts w:ascii="Arial" w:cs="Arial" w:eastAsia="Arial" w:hAnsi="Arial"/>
          <w:sz w:val="16"/>
          <w:szCs w:val="16"/>
          <w:color w:val="auto"/>
        </w:rPr>
        <w:t>The European Market Infrastructure Regulation (“EMIR”)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subsidiaries and affiliates operating in the Caribbean may be subject to the Regulation on Wholesale Energy Market Integrity and Transparency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215"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design, construction and operation of energy-related infrastructure, including our existing and proposed facilities, the import and export of LNG and the transportation of natural gas, are highly regulated activities at the federal, state and local levels. The process to obtain the permits, approvals and authorizations we need to conduct our business is complex, challenging and varies in each jurisdiction in which we operate.</w:t>
      </w:r>
    </w:p>
    <w:p>
      <w:pPr>
        <w:spacing w:after="0" w:line="19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2021 and July 15, 2021 orders with the United States Court of the Appeals for the District of Columbia Circuit. To date, no other party has sought review of FERC's orders. While our petitions for review are pending, we intend to comply with FERC's directive to file an application for authorization to operate the San Juan Facility no later than the September 15, 2021 deadline.</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Mexico, we have obtained substantially all permits and have commenced operations but are awaiting regassification and transmission permits. The regulatory authority that issues the regassification permit is temporarily closed because of COVID restrictions, and we do not know the precise date when we will receive the permits we need to commence full commercial operations.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cannot control the outcome of any review or approval process in Mexico or any other jurisdiction where we operate,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212" w:lineRule="exact"/>
        <w:rPr>
          <w:sz w:val="20"/>
          <w:szCs w:val="20"/>
          <w:color w:val="auto"/>
        </w:rPr>
      </w:pPr>
    </w:p>
    <w:p>
      <w:pPr>
        <w:jc w:val="both"/>
        <w:ind w:right="60" w:firstLine="286"/>
        <w:spacing w:after="0" w:line="311" w:lineRule="auto"/>
        <w:rPr>
          <w:sz w:val="20"/>
          <w:szCs w:val="20"/>
          <w:color w:val="auto"/>
        </w:rPr>
      </w:pPr>
      <w:r>
        <w:rPr>
          <w:rFonts w:ascii="Arial" w:cs="Arial" w:eastAsia="Arial" w:hAnsi="Arial"/>
          <w:sz w:val="16"/>
          <w:szCs w:val="16"/>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76" w:lineRule="exact"/>
        <w:rPr>
          <w:sz w:val="20"/>
          <w:szCs w:val="20"/>
          <w:color w:val="auto"/>
        </w:rPr>
      </w:pPr>
    </w:p>
    <w:p>
      <w:pPr>
        <w:ind w:right="40" w:firstLine="286"/>
        <w:spacing w:after="0" w:line="290" w:lineRule="auto"/>
        <w:rPr>
          <w:sz w:val="20"/>
          <w:szCs w:val="20"/>
          <w:color w:val="auto"/>
        </w:rPr>
      </w:pPr>
      <w:r>
        <w:rPr>
          <w:rFonts w:ascii="Arial" w:cs="Arial" w:eastAsia="Arial" w:hAnsi="Arial"/>
          <w:sz w:val="16"/>
          <w:szCs w:val="16"/>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92" w:lineRule="exact"/>
        <w:rPr>
          <w:sz w:val="20"/>
          <w:szCs w:val="20"/>
          <w:color w:val="auto"/>
        </w:rPr>
      </w:pPr>
    </w:p>
    <w:p>
      <w:pPr>
        <w:ind w:right="80" w:firstLine="286"/>
        <w:spacing w:after="0" w:line="254" w:lineRule="auto"/>
        <w:rPr>
          <w:sz w:val="20"/>
          <w:szCs w:val="20"/>
          <w:color w:val="auto"/>
        </w:rPr>
      </w:pPr>
      <w:r>
        <w:rPr>
          <w:rFonts w:ascii="Arial" w:cs="Arial" w:eastAsia="Arial" w:hAnsi="Arial"/>
          <w:sz w:val="18"/>
          <w:szCs w:val="18"/>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19" w:lineRule="exact"/>
        <w:rPr>
          <w:sz w:val="20"/>
          <w:szCs w:val="20"/>
          <w:color w:val="auto"/>
        </w:rPr>
      </w:pPr>
    </w:p>
    <w:p>
      <w:pPr>
        <w:ind w:right="560" w:firstLine="286"/>
        <w:spacing w:after="0" w:line="259" w:lineRule="auto"/>
        <w:rPr>
          <w:sz w:val="20"/>
          <w:szCs w:val="20"/>
          <w:color w:val="auto"/>
        </w:rPr>
      </w:pPr>
      <w:r>
        <w:rPr>
          <w:rFonts w:ascii="Arial" w:cs="Arial" w:eastAsia="Arial" w:hAnsi="Arial"/>
          <w:sz w:val="18"/>
          <w:szCs w:val="18"/>
          <w:i w:val="1"/>
          <w:iCs w:val="1"/>
          <w:color w:val="auto"/>
        </w:rPr>
        <w:t>Greenhouse Gases/Climate Change</w:t>
      </w:r>
      <w:r>
        <w:rPr>
          <w:rFonts w:ascii="Arial" w:cs="Arial" w:eastAsia="Arial" w:hAnsi="Arial"/>
          <w:sz w:val="18"/>
          <w:szCs w:val="18"/>
          <w:color w:val="auto"/>
        </w:rPr>
        <w:t>. The threat of climate change continues to attract considerable attention in the United States and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214" w:lineRule="exact"/>
        <w:rPr>
          <w:sz w:val="20"/>
          <w:szCs w:val="20"/>
          <w:color w:val="auto"/>
        </w:rPr>
      </w:pPr>
    </w:p>
    <w:p>
      <w:pPr>
        <w:ind w:right="120" w:firstLine="286"/>
        <w:spacing w:after="0" w:line="291" w:lineRule="auto"/>
        <w:rPr>
          <w:sz w:val="20"/>
          <w:szCs w:val="20"/>
          <w:color w:val="auto"/>
        </w:rPr>
      </w:pPr>
      <w:r>
        <w:rPr>
          <w:rFonts w:ascii="Arial" w:cs="Arial" w:eastAsia="Arial" w:hAnsi="Arial"/>
          <w:sz w:val="16"/>
          <w:szCs w:val="16"/>
          <w:color w:val="auto"/>
        </w:rPr>
        <w:t>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Ireland, Mexico, and Nicaragua, have signed or acceded to this agreement. However, the scope of future climate and GHG emissions-focused regulatory requirements, if any, remain uncertain.</w:t>
      </w:r>
    </w:p>
    <w:p>
      <w:pPr>
        <w:spacing w:after="0" w:line="19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Governmental, scientific, and public concern over the threat of climate change arising from GHG emissions has resulted in increasing political uncertainty in the United States.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although the U.S. has withdrawn from the Paris Agreement, President Biden has issued executive orders recommitting the U.S. to the Paris Agreement and calling for the federal government to begin formulating the United States nationally determined emissions reductions goal under the agreement with the U.S. recommitting to the Paris Agreement, executive orders may be issued or federal legislation or regulatory initiatives may be adopted to achieve the Paris Agreement’s goals.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3" w:lineRule="exact"/>
        <w:rPr>
          <w:sz w:val="20"/>
          <w:szCs w:val="20"/>
          <w:color w:val="auto"/>
        </w:rPr>
      </w:pPr>
    </w:p>
    <w:p>
      <w:pPr>
        <w:ind w:right="220" w:firstLine="286"/>
        <w:spacing w:after="0" w:line="296" w:lineRule="auto"/>
        <w:rPr>
          <w:sz w:val="20"/>
          <w:szCs w:val="20"/>
          <w:color w:val="auto"/>
        </w:rPr>
      </w:pPr>
      <w:r>
        <w:rPr>
          <w:rFonts w:ascii="Arial" w:cs="Arial" w:eastAsia="Arial" w:hAnsi="Arial"/>
          <w:sz w:val="16"/>
          <w:szCs w:val="16"/>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88" w:lineRule="exact"/>
        <w:rPr>
          <w:sz w:val="20"/>
          <w:szCs w:val="20"/>
          <w:color w:val="auto"/>
        </w:rPr>
      </w:pPr>
    </w:p>
    <w:p>
      <w:pPr>
        <w:ind w:firstLine="286"/>
        <w:spacing w:after="0" w:line="271" w:lineRule="auto"/>
        <w:rPr>
          <w:sz w:val="20"/>
          <w:szCs w:val="20"/>
          <w:color w:val="auto"/>
        </w:rPr>
      </w:pPr>
      <w:r>
        <w:rPr>
          <w:rFonts w:ascii="Arial" w:cs="Arial" w:eastAsia="Arial" w:hAnsi="Arial"/>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20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 subject to concerns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215" w:lineRule="exact"/>
        <w:rPr>
          <w:sz w:val="20"/>
          <w:szCs w:val="20"/>
          <w:color w:val="auto"/>
        </w:rPr>
      </w:pPr>
    </w:p>
    <w:p>
      <w:pPr>
        <w:ind w:right="160" w:firstLine="286"/>
        <w:spacing w:after="0" w:line="263" w:lineRule="auto"/>
        <w:rPr>
          <w:sz w:val="20"/>
          <w:szCs w:val="20"/>
          <w:color w:val="auto"/>
        </w:rPr>
      </w:pPr>
      <w:r>
        <w:rPr>
          <w:rFonts w:ascii="Arial" w:cs="Arial" w:eastAsia="Arial" w:hAnsi="Arial"/>
          <w:sz w:val="18"/>
          <w:szCs w:val="18"/>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1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of natural gas and LNG employ hydraulic fracturing techniques to stimulate natural gas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considered adopting land use restrictions, such as city ordinances, that may restrict the performance of or prohibit the well drilling in general and/or hydraulic fracturing in particular.</w:t>
      </w:r>
    </w:p>
    <w:p>
      <w:pPr>
        <w:spacing w:after="0" w:line="19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27" w:lineRule="exact"/>
        <w:rPr>
          <w:sz w:val="20"/>
          <w:szCs w:val="20"/>
          <w:color w:val="auto"/>
        </w:rPr>
      </w:pPr>
    </w:p>
    <w:p>
      <w:pPr>
        <w:ind w:firstLine="286"/>
        <w:spacing w:after="0" w:line="287"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199" w:lineRule="exact"/>
        <w:rPr>
          <w:sz w:val="20"/>
          <w:szCs w:val="20"/>
          <w:color w:val="auto"/>
        </w:rPr>
      </w:pPr>
    </w:p>
    <w:p>
      <w:pPr>
        <w:ind w:right="100" w:firstLine="286"/>
        <w:spacing w:after="0" w:line="290" w:lineRule="auto"/>
        <w:rPr>
          <w:sz w:val="20"/>
          <w:szCs w:val="20"/>
          <w:color w:val="auto"/>
        </w:rPr>
      </w:pPr>
      <w:r>
        <w:rPr>
          <w:rFonts w:ascii="Arial" w:cs="Arial" w:eastAsia="Arial" w:hAnsi="Arial"/>
          <w:sz w:val="16"/>
          <w:szCs w:val="16"/>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92" w:lineRule="exact"/>
        <w:rPr>
          <w:sz w:val="20"/>
          <w:szCs w:val="20"/>
          <w:color w:val="auto"/>
        </w:rPr>
      </w:pPr>
    </w:p>
    <w:p>
      <w:pPr>
        <w:ind w:left="20" w:right="40" w:firstLine="286"/>
        <w:spacing w:after="0" w:line="291" w:lineRule="auto"/>
        <w:rPr>
          <w:sz w:val="20"/>
          <w:szCs w:val="20"/>
          <w:color w:val="auto"/>
        </w:rPr>
      </w:pPr>
      <w:r>
        <w:rPr>
          <w:rFonts w:ascii="Arial" w:cs="Arial" w:eastAsia="Arial" w:hAnsi="Arial"/>
          <w:sz w:val="16"/>
          <w:szCs w:val="16"/>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193" w:lineRule="exact"/>
        <w:rPr>
          <w:sz w:val="20"/>
          <w:szCs w:val="20"/>
          <w:color w:val="auto"/>
        </w:rPr>
      </w:pPr>
    </w:p>
    <w:p>
      <w:pPr>
        <w:ind w:left="20" w:right="60" w:firstLine="286"/>
        <w:spacing w:after="0" w:line="257" w:lineRule="auto"/>
        <w:rPr>
          <w:sz w:val="20"/>
          <w:szCs w:val="20"/>
          <w:color w:val="auto"/>
        </w:rPr>
      </w:pPr>
      <w:r>
        <w:rPr>
          <w:rFonts w:ascii="Arial" w:cs="Arial" w:eastAsia="Arial" w:hAnsi="Arial"/>
          <w:sz w:val="18"/>
          <w:szCs w:val="18"/>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Brazil, Mexico, Jamaica, Puerto Rico and the other jurisdictions in which we operate.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conduct a meaningful portion of our business in Brazil, Jamaica and Puerto Rico and we soon expect to commence commercial operations in Mexico and Nicaragua. As a result, our current business, results of operations, financial condition and prospects are materially dependent upon economic, political and other conditions and developments in these jurisdictions.</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currently have interests and operations in Jamaica and the United States (including Puerto Rico) and currently intend to expand into additional markets in the Caribbean, Mexico, Ireland,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w:t>
      </w:r>
    </w:p>
    <w:p>
      <w:pPr>
        <w:spacing w:after="0" w:line="21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Brazil, Jamaica, Puerto Rico or other jurisdictions in which we operate worsens because of, for example:</w:t>
      </w:r>
    </w:p>
    <w:p>
      <w:pPr>
        <w:spacing w:after="0" w:line="211" w:lineRule="exact"/>
        <w:rPr>
          <w:sz w:val="20"/>
          <w:szCs w:val="20"/>
          <w:color w:val="auto"/>
        </w:rPr>
      </w:pPr>
    </w:p>
    <w:p>
      <w:pPr>
        <w:ind w:left="660" w:right="48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economic activity, including as a result of the COVID-19 pandemic which has significantly affected Jamaica’s and other jurisdictions’ tourism industries;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in applicable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then our business, results of operations, financial condition and prospects may also be significantly affected by actions taken by the government in the jurisdictions in which we operate. The COVID-19 pandemic has resulted in lower economic activity. Certain of the jurisdictions in which we operate have recently restricted travel, implemented workforce pressures, and experienced reduced business development, travel, hospitality and tourism due to COVID-</w:t>
      </w:r>
    </w:p>
    <w:p>
      <w:pPr>
        <w:spacing w:after="0" w:line="2" w:lineRule="exact"/>
        <w:rPr>
          <w:sz w:val="20"/>
          <w:szCs w:val="20"/>
          <w:color w:val="auto"/>
        </w:rPr>
      </w:pPr>
    </w:p>
    <w:p>
      <w:pPr>
        <w:jc w:val="both"/>
        <w:ind w:firstLine="8"/>
        <w:spacing w:after="0" w:line="268" w:lineRule="auto"/>
        <w:tabs>
          <w:tab w:leader="none" w:pos="279" w:val="left"/>
        </w:tabs>
        <w:numPr>
          <w:ilvl w:val="0"/>
          <w:numId w:val="44"/>
        </w:numPr>
        <w:rPr>
          <w:rFonts w:ascii="Arial" w:cs="Arial" w:eastAsia="Arial" w:hAnsi="Arial"/>
          <w:sz w:val="17"/>
          <w:szCs w:val="17"/>
          <w:color w:val="auto"/>
        </w:rPr>
      </w:pPr>
      <w:r>
        <w:rPr>
          <w:rFonts w:ascii="Arial" w:cs="Arial" w:eastAsia="Arial" w:hAnsi="Arial"/>
          <w:sz w:val="17"/>
          <w:szCs w:val="17"/>
          <w:color w:val="auto"/>
        </w:rPr>
        <w:t>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 For example, JPS and SJPC are subject to the mandate of the OUR. The OUR regulates the amount of money that power utilities in Jamaica, including JPS and SJPC,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development activities and future operations in Nicaragua may be materially affected by political, economic and other uncertainties.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Nicaragua has recently experienced political and economic challenges. Specifically, in 2018, U.S. legislation was approved to restrict U.S. aid to Nicaragua. In 2018, 2019 and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tax laws in any country in which we operate could adversely affect us.</w:t>
      </w:r>
    </w:p>
    <w:p>
      <w:pPr>
        <w:spacing w:after="0" w:line="25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Hygo’s Business Activities</w:t>
      </w:r>
    </w:p>
    <w:p>
      <w:pPr>
        <w:spacing w:after="0" w:line="256"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Hygo has commenced commercial operations at one facility. Hygo’s other planned facilities are in various stages of contracting customers, construction, permitting and commissioning. There can be no assurance that Hygo’s planned facilities will commence operations timely, or at all.</w:t>
      </w:r>
    </w:p>
    <w:p>
      <w:pPr>
        <w:spacing w:after="0" w:line="12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Hygo’s Sergipe Facility commenced commercial operations in March 2020. However, Hygo has not yet commenced commercial operations or entered into binding construction contracts or obtained all necessary environmental, regulatory, construction and zoning permissions for any of its other facilities. In addition, although Hygo has been awarded environmental and regulatory licenses for its Santa Catarina Facility, Hygo has not secured any commercial projects nor obtained all remaining necessary approvals. There can be no assurance that Hygo will be able to enter into the contracts required for the development of Hygo facilities on commercially favorable terms, if at all, or that Hygo will be able to obtain all of the environmental, regulatory, construction and zoning permissions Hygo needs in Brazil and elsewhere.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particular, Hygo will require agreements with ports proximate to its facilities capable of handling the transload of LNG direct from its occupying vessel to its transportation assets. If Hygo is unable to enter into favorable contracts or to obtain the necessary regulatory and land use approvals on favorable terms, Hygo may not be able to construct and operate these assets as anticipated, or at all. In addition, to develop future projects Hygo will, in many cases, have to secure the use of suitable vessels and, as required, convert them. Finally, the construction of facilities is inherently subject to the risks of cost overruns and delays. For example, the construction of Hygo’s Sergipe Power Plant experienced a two-month delay related to the installation of various offshore equipment.</w:t>
      </w:r>
    </w:p>
    <w:p>
      <w:pPr>
        <w:spacing w:after="0" w:line="21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Hygo is unable to construct, commission and operate all of its facilities, or, when and if constructed, they do not accomplish their goals, or if Hygo experiences delays or cost overruns in construction, our business, operating results, cash flows and liquidity could be materially and adversely affected. Expenses related to Hygo’s pursuit of contracts and regulatory approvals related to Hygo’s facilities still under development may be significant and will be incurred by Hygo regardless of whether these assets are ultimately constructed and operational.</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There is no existing market in Brazil for the sale of LNG as a fuel source for trucking or vehicles generally. BR Distribuidora does not currently distribute, nor is obligated to commence distribution of, LNG through its distribution and fuel centers. Additionally, BR Distribuidora is not obligated to, and may not, convert any portion of its existing fleet of diesel trucks. Moreover, Hygo’s agreement with BR Distribuidora is subject to regulatory approval and other uncertainties. Hygo may be unable to realize the anticipated benefits of this partnership.</w:t>
      </w:r>
    </w:p>
    <w:p>
      <w:pPr>
        <w:spacing w:after="0" w:line="18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transportation industry in Brazil currently relies on traditional fuels such as gasoline and diesel. And although there is wide acknowledgement in the industry that LNG represents a less expensive and more environmentally friendly alternative to these fuels, no significant portion of the transportation industry is currently utilizing LNG. Hygo cannot predict when, or even if, any meaningful portion of the transportation industry within Brazil will convert to LNG powered vehicles. Hygo’s agreement with Petrobras Distribuidora S.A. (“BR Distribuidora”) does not contractually obligate it to convert any portion of its fleet of diesel trucks to LNG-powered vehicles. Unless and until there is a significant conversion to LNG-powered vehicles within Brazil, Hygo will not realize the anticipated benefits of Hygo’s partnership with BR Distribuidora, which could adversely impact our future revenues.</w:t>
      </w:r>
    </w:p>
    <w:p>
      <w:pPr>
        <w:spacing w:after="0" w:line="19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Hygo’s activities with respect to the sale of LNG are subject to the approval of other regulatory authorities, including Agência Nacional de Petróleo, Gás Natural e Biocombustíveis (“ANP”). There can be no assurance as to whether regulatory approvals will be received or that they will be granted in a timely manner. Until Hygo receives these approvals, Hygo will be unable to make sales through BR Distribuidora’s distribution channels or other channels. Accordingly, Hygo has not yet made any sales pursuant to this arrangement.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Brazil and the Netherlands are conducting a joint investigation into allegations against Hygo’s former Chief Executive Officer, including allegations of improper payments made in Brazil. The outcome of this investigation could cause Hygo reputational harm or have a material adverse effect on Hygo’s business.</w:t>
      </w:r>
    </w:p>
    <w:p>
      <w:pPr>
        <w:spacing w:after="0" w:line="21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September 23, 2020, Eduardo Antonello, Hygo’s former Chief Executive Officer, was named in a joint corruption investigation in Brazil and the Netherlands. Mauricio Carvalho, the majority shareholder of Evolution Power Partners S.A. (“Evolution”), Hygo’s joint venture partner in Centrais Elétricas Barcarena S.A. (“CELBA”), was also named in the investigation. In connection with the investigation, on September 23, 2020, Brazilian federal police executed search warrants on Hygo’s office in Brazil and certain of its joint ventures, and seized documents and electronic records and devices belonging to those entities relating to Mr. Antonello, Hygo and its joint ventures. On September 25, 2020, Hygo’s board of directors initiated an internal review with respect to Mr. Antonello’s conduct with respect to Hygo and its joint ventures. The board of directors was assisted in this review by outside counsel and accounting advisors. The review included forensic accounting work, review of certain contracts, interviews with certain company personnel and representatives, and review of internal audit material, certain corporate credit card expenses and Hygo’s anti-corruption policies. The board of directors of Hygo and its advisors did not identify any evidence establishing bribery or other corrupt conduct involving Hygo. In October 2020, before the review was completed, Mr. Antonello resigned as Chief Executive Officer and was replaced by Paul Hanrahan, who also joined the Hygo board of directors. The Hygo board of directors will continue its oversight and review of compliance procedures in accordance with the ethical and corporate governance standards established by applicable law.</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Hygo has conducted its own internal investigation and did not identify evidence establishing bribery or other corrupt conduct involving Hygo, Hygo does not know if any authority is conducting an investigation of Mr. Antonello or Hygo, the results of any investigation, or whether any litigation will arise out of, relating to, or in connection with the investigation or the extent of the impact that the investigation or any such litigation may have on Hygo’s business. Publicity or other events associating with Mr. Antonello or the investigation, regardless of their foundation or accuracy, could adversely affect Hygo’s and our reputation and Hygo’s ability to conduct Hygo’s business in Brazil and other jurisdictions. For example, Hygo may experience difficulties participating in public auctions and in some cases, may be disqualified, as was the case with respect to Hygo’s bid to lease Petrobras’s Bahìa Regasification Terminal (the “Bahìa Facility”). On September 30, 2020, Hygo’s subsidiary, Golar Power Comercializadora de Gás Natural Ltda. (“Golar Power Comercializadora”), participated in a public competitive bid process sponsored by Petrobras for the lease of the Bahìa Facility. Although Golar Power Comercializadora was the only qualifying participant to submit a bid, in October 2020, Petrobras notified all participants that Golar Power Comercializadora was disqualified. Golar Power Comercializadora subsequently filed an administrative appeal before the Petrobras Bid Committee challenging the final result of the competitive process. In December 2020, Golar Power Comercializadora lost the appeal and was not awarded the bid for the Bahìa Facility.</w:t>
      </w:r>
    </w:p>
    <w:p>
      <w:pPr>
        <w:spacing w:after="0" w:line="206"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Hygo’s cash flow will be dependent upon the ability of its operating subsidiaries and joint ventures to make cash distributions to Hygo, the amount of which will depend on various contingencies.</w:t>
      </w:r>
    </w:p>
    <w:p>
      <w:pPr>
        <w:spacing w:after="0" w:line="197"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Hygo currently anticipates that a major source of Hygo’s earnings will be cash distributions from Hygo’s operating subsidiaries and joint ventures. The amount of cash that Hygo’s operating subsidiaries and joint ventures can distribute each quarter to their owners, including Hygo, principally depends upon the amount of cash they generate from their operations, which will fluctuate from quarter to quarter based on, among other things:</w:t>
      </w:r>
    </w:p>
    <w:p>
      <w:pPr>
        <w:spacing w:after="0" w:line="176" w:lineRule="exact"/>
        <w:rPr>
          <w:sz w:val="20"/>
          <w:szCs w:val="20"/>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of LNG or natural gas sold to customers;</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price of LNG;</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dispatch of the Sergipe Power Plant and Hygo’s future power plants;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restrictions on the payment of distributions contained in covenants in their financing arrangements and joint venture agreements;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levels of investments in each of Hygo’s operating subsidiaries, which may be limited and disparate;</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levels of operating expenses, maintenance expenses and general and administrative expenses;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 affecting: (i) the supply of, or demand for electricity in Brazil, (ii) operating costs and operating flexibility;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23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Hygo’s facilities may be impacted by operational issues and delays. For example, in September 2020, the Sergipe Power Plant experienced transformer failures impacting its ability to dispatch at 100%, which have not yet been fully resolved, and the plant is not currently operating at 100% capacity. In addition, Hygo does not wholly own all of its operating subsidiaries and joint ventures. As a result, if such operating subsidiaries and joint ventures make distributions, including tax distributions, they will also have to make distributions to their noncontrolling interest owners.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Hygo may not be able to fully utilize the capacity of its facilities, which could impact its future revenues and materially harm Hygo’s business, financial condition and operating results.</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Hygo’s FSRU facilities have significant excess capacity that is currently not dedicated to a particular anchor customer. Part of Hygo’s business strategy is to utilize undedicated excess capacity of Hygo’s FSRU facilities to serve additional downstream customers in the regions in which Hygo operates. However, Hygo has not secured, and Hygo may be unable to secure, commitments for all of its excess capacity. Factors which could cause Hygo to contract less than full capacity include difficulties in negotiations with potential counterparties and factors outside of its control such as the price of and demand for LNG. Failure to secure commitments for less than full capacity could impact Hygo’s future revenues and materially harm Hygo’s business, financial condition and operating results.</w:t>
      </w:r>
    </w:p>
    <w:p>
      <w:pPr>
        <w:spacing w:after="0" w:line="21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addition, the operator of the Sergipe Facility, Centrais Elétricas de Sergipe S.A. (“CELSE”) (which is an entity wholly owned by Centrais Elétricas de Sergipe Participações S.A. (“CELSEPAR”), a 50/50 joint venture between Hygo and Ebrasil Energia Ltda. (“Ebrasil”)), has the right to utilize 100% of the capacity at Hygo’s Sergipe Facility pursuant to the Sergipe FSRU Charter. In order to utilize the excess capacity of the Sergipe Facility, Hygo will need the consent of CELSE and the senior lenders under CELSE’s financing arrangements. If Hygo is unable to obtain the necessary consents to utilize the excess capacity of the Sergipe Facility, Hygo’s business, financial condition and operating results may be adversely affected.</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Hygo operates, and seeks to operate, could adversely affect Hygo’s expansion strategy.</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Hygo’s operations are, and will be, dependent upon LNG being a competitive source of energy in the markets in which Hygo operates. In particular, hydroelectric power generation is the predominant source of electricity in Brazil and LNG is one of several other energy sources used to supplement hydroelectric generation. Potential expansion in other parts of world where Hygo may operate is primarily dependent upon LNG being a competitive source of energy in those geographical locations. Likewise, recent declines in the cost of crude oil, if sustained, will make crude oil and its derivatives a more competitive fuel source to LNG.</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Hygo intends to serve or elsewhere. The failure of natural gas to be a competitive supply alternative to oil and other alternative energy sources could adversely affect Hygo’s ability to deliver LNG or natural gas to Hygo’s customers or other locations on a commercial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CELSE is subject to risk of loss or damage to LNG that is processed and/or stored at its FSRUs and transported via pipeline.</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LNG processed and stored on FSRUs may be subject to loss or damage resulting from equipment malfunction, faulty handling, ageing or otherwise. For the period of time during which LNG is stored on an FSRU or is dispatched to a pipeline, CELSE, in the case of the Sergipe Facility, bears the risk of loss or damage to all such LNG. Any such disruption to the supply of LNG and natural gas may lead to delays, disruptions or curtailments in the production of power at the Sergipe Power Plant. If CELSE cannot generate energy at the Sergipe Power Plant by burning natural gas, our revenues, financial condition and results of operations may be materially and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has a limited operating history and anticipates significant capital expenditures.</w:t>
      </w:r>
    </w:p>
    <w:p>
      <w:pPr>
        <w:spacing w:after="0" w:line="25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Hygo commenced operations in May 2016 and has a limited operating history and track record. As a result, its prior operating history and historical consolidated financial statements may not be a reliable basis for evaluating its business prospects. In addition, Hygo has historically derived its revenues from the operation of its vessels on short-term charters, but Hygo expects the majority of its future revenues to be derived from its LNG-to-power projects. Hygo’s strategy may not be successful, and if unsuccessful, it may be unable to modify it in a timely and successful manner. Hygo cannot give any assurance that it will be able to implement its strategy on a timely basis, if at all, or achieve its internal model or that its assumptions will be accurate. Hygo’s limited history also means that it continues to develop and implement various policies and procedures including those related to data privacy and other matters. Hygo will need to continue to build its team to implement its strategies.</w:t>
      </w:r>
    </w:p>
    <w:p>
      <w:pPr>
        <w:spacing w:after="0" w:line="20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Hygo will continue to incur significant capital and operating expenditures while it develops its network of downstream LNG infrastructure, including for the completion of the Barcarena Facility, the Santa Catarina Facility and other projects in Brazil currently under construction, as well as other future projects. Hygo will need to invest significant amounts of additional capital to implement its strategy. Hygo has not completed constructing all of its facilities and its strategy includes the construction of additional facilities. Any delays beyond the expected development period for these assets would prolong, and could increase the level of, operating losses and negative operating cash flows. Hygo’s future liquidity may also be affected by the timing of construction financing availability in relation to the incurrence of construction costs and other outflows and by the timing of receipt of cash flows under its customer contracts in relation to the incurrence of project and operating expenses. Hygo’s ability to generate any positive operating cash flow and achieve profitability in the future is dependent on, among other things, its ability to successfully and timely complete necessary infrastructure, including its Barcarena and Santa Catarina Facilities and other projects in Brazil currently under construction, and fulfill its delivery obligations under its customer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Hygo’s power generation projects may depend on the construction and operation of transmission and interconnection facilities by third parties.</w:t>
      </w:r>
    </w:p>
    <w:p>
      <w:pPr>
        <w:spacing w:after="0" w:line="2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Hygo’s power generation projects must interconnect to Brazil’s transmission system and such projects may depend on the completion of new lines and/or increases in the capacity of existing facilities by the applicable power transmission concessionaires in order to interconnect and become fully operational. Delays from such concessionaires in the completion of the necessary interconnection and associated facilities may affect the ability of Hygo’s power generation projects to start commercial operation and/or fulfill power delivery commitments under the PPAs.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Hygo’s ability to dispatch electricity from its power plants is dependent upon hydrological and other grid conditions in Brazil.</w:t>
      </w:r>
    </w:p>
    <w:p>
      <w:pPr>
        <w:spacing w:after="0" w:line="25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Historically, Brazil’s electricity generation has been dominated by hydroelectricity plants. There are substantial seasonal variations in monthly and annual flows to the plants, which depend fundamentally on the volume of rain that falls in each rainy season. When hydrological conditions are poor, the National Electricity System Operator (Operador Nacional do Sistema, or “ONS”) dispatches thermoelectric power plants, including those that Hygo operates, to top up hydroelectric generation and maintain the electricity supply level.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ONS Grid Code allows the ONS to dispatch thermoelectric power plants for the following reasons or under the following circumstances: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 marginal operation cost is the same as the variable unit cost of such power plant;</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due to inflexibility or necessity of the generator;</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 dispatch of such power plant is needed in order to maintain the stability of the system;</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determined by the Energy Industry Monitoring Committee where extraordinary circumstances exist;</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due to accelerated and/or replacement generation as proposed by the generator in order to make up for the unavailability of fuel;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purposes of exportation of power to foreign markets.</w:t>
      </w:r>
    </w:p>
    <w:p>
      <w:pPr>
        <w:spacing w:after="0" w:line="23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As a result, the amount of electricity generated by thermoelectric power plants, including Hygo’s power plants that are already contracted and its power plants under development, can vary significantly in response to the hydrological and other grid conditions in Brazil. If Hygo’s power plants are not dispatched or are dispatched at levels lower than expected, its operations and financial results may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may not be profitable for an indeterminate period of time.</w:t>
      </w:r>
    </w:p>
    <w:p>
      <w:pPr>
        <w:spacing w:after="0" w:line="25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Hygo has a limited operating history and did not commence revenue-generating activities until 2016, and therefore did not achieve profitability as of December 31, 2020. Hygo will need to make a significant capital investment to construct and begin operations of the Barcarena Facility, the Santa Catarina Facility, its downstream distribution hubs and its other LNG-to-power projects in Brazil, and Hygo will need to make significant additional investments to develop, improve and operate them, as well as all related infrastructure. Hygo also expects to make significant expenditures and investments in identifying, acquiring and/or developing other future projects. Hygo also expects to incur significant expenses in connection with the launch and growth of its business, including costs for LNG purchases, rail and truck transportation, shipping and logistics and personnel. Hygo will need to raise significant additional debt and/or equity capital to achieve its goals. Hygo may not be able to achieve profitability, and if it does, Hygo cannot assure you that it would be able to sustain such profitability in the future.</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Hygo’s operational and consolidated financial results are partially dependent on the results of the joint ventures, affiliates and special purpose entities in which it invests.</w:t>
      </w:r>
    </w:p>
    <w:p>
      <w:pPr>
        <w:spacing w:after="0" w:line="19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Hygo conducts its business mainly through its operating subsidiaries. In addition, Hygo and its subsidiaries conduct some of their business through joint venture and other special purpose entities, which are created specifically to participate in public auctions for enterprises in the generation and transmission segments. Hygo’s ability to meet its financial obligations is therefore related in part to the cash flow and earnings of its subsidiaries and joint ventures and the distribution or other transfers of earnings to Hygo in the form of dividends, loans or other advances and payments that are governed by various joint venture financing and operating arrangements.</w:t>
      </w:r>
    </w:p>
    <w:p>
      <w:pPr>
        <w:spacing w:after="0" w:line="215"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b w:val="1"/>
          <w:bCs w:val="1"/>
          <w:i w:val="1"/>
          <w:iCs w:val="1"/>
          <w:color w:val="auto"/>
        </w:rPr>
        <w:t>Hygo has entered into joint ventures, and may in the future enter into additional or modify existing joint ventures, that might restrict its operational and corporate flexibility.</w:t>
      </w:r>
    </w:p>
    <w:p>
      <w:pPr>
        <w:spacing w:after="0" w:line="19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Hygo entered into joint ventures to acquire and develop LNG infrastructure projects and may in the future enter into additional joint venture arrangements with third parties. As Hygo does not operate the assets owned by these joint ventures, its control over their operations is limited by provisions of the agreements it has entered into with its joint venture partners and by its percentage ownership in such joint ventures. Because Hygo does not control all of the decisions of its joint ventures, it may be difficult or impossible for Hygo to cause the joint venture to take actions that Hygo believes would be in its or the joint venture’s best interests. For example, Hygo cannot unilaterally cause the distribution of cash by its joint ventures. Additionally, as the joint ventures are separate legal entities, any right Hygo may have to receive assets of any joint venture or other payments upon their liquidation or reorganization will be effectively subordinated to the claims of the creditors of that joint venture (including tax authorities and trade creditors). Moreover, joint venture arrangements involve various risks and uncertainties, such as committing Hygo to fund operating and/or capital expenditures, the timing and amount of which it may not control, and its joint venture partners may not satisfy their financial obligations to the joint venture. Hygo’s results of operations depend on the performance of these joint ventures and their ability to distribute funds to Hygo, and Hygo may be unable to control the amount of cash it will receive from their operations or the timing of capital expenditures, which could adversely affect its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may guarantee the indebtedness of its joint ventures and/or affiliates.</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Hygo may provide guarantees to certain banks with respect to commercial bank indebtedness of its joint ventures and/or affiliates. Failure by any of its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Hygo’s joint ventures, equity method investees and/or affiliates are unable to obtain a waiver or do not have enough cash on hand to repay the outstanding borrowings, the relevant lenders may foreclose their liens on the vessels securing the loans or seek repayment of the loan from Hygo, or both. Either of these possibilities could have a material adverse effect on Hygo’s business. Further, by virtue of Hygo’s guarantees with respect to Hygo’s joint ventures and/or affiliates, this may reduce its ability to gain future credit from certain lenders.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dependent upon GLNG and its affiliates for the operation and maintenance of its vessels.</w:t>
      </w:r>
    </w:p>
    <w:p>
      <w:pPr>
        <w:spacing w:after="0" w:line="25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Each of Hygo’s vessels is operated and maintained by GLNG or its affiliates pursuant to ship management agreements. These agreements are the result of arms-length negotiations and subject to change. In addition, we have entered into management agreements with GLNG or its affiliates with respect to Hygo’s vessels. If GLNG or any of its affiliates that provide services to Hygo fails to perform these services satisfactorily or the terms of the ship management agreements change, it could have a material adverse effect on our business, results of operations and financial condition.</w:t>
      </w:r>
    </w:p>
    <w:p>
      <w:pPr>
        <w:spacing w:after="0" w:line="19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Hygo may not be able to purchase or receive physical delivery of natural gas or LNG in sufficient quantities and/or at economically attractive prices to supply the Sergipe Power Plant and satisfy its delivery obligations under the PPAs, which could have a material adverse effect on Hygo.</w:t>
      </w:r>
    </w:p>
    <w:p>
      <w:pPr>
        <w:spacing w:after="0" w:line="15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Under the PPAs related to the Sergipe Power Plant and its other LNG-to-power facilities, Hygo is required to deliver power, which also requires Hygo to obtain sufficient amounts of LNG. However, Hygo may not be able to purchase or receive physical delivery of sufficient quantities of LNG to satisfy those delivery obligations, which may subject Hygo to certain penalties and provide its counterparties with the right to terminate their PPAs. With respect to the Sergipe Power Plant, Hygo has entered into a supply agreement with Ocean LNG Limited (“Ocean LNG”), an affiliate of Qatar Petroleum. If Ocean LNG fails to deliver sufficient LNG to Sergipe, Hygo would be forced to purchase LNG on the spot market, which may be on less favorable terms. In addition, price fluctuations in natural gas and LNG may make it expensive or uneconomical for Hygo to acquire adequate supply of these items for its other customers.</w:t>
      </w:r>
    </w:p>
    <w:p>
      <w:pPr>
        <w:spacing w:after="0" w:line="22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Hygo is dependent upon third party LNG suppliers and shippers and other tankers and facilities to provide delivery options to and from its tankers and energy-related infrastructure. If LNG were to become unavailable for current or future volumes of natural gas due to repairs or damage to supplier facilities or tankers, lack of capacity, impediments to international shipping or any other reason, Hygo’s ability to continue delivering natural gas, power or steam to end-users could be restricted, thereby reducing its revenues. Additionally, under tanker charters, Hygo will be obligated to make payments for its chartered tankers regardless of use. Hygo may not be able to enter into contracts with purchasers of LNG in quantities equivalent to or greater than the amount of tanker capacity it has purchased. If any third parties were to default on their obligations under Hygo’s contracts or seek bankruptcy protection, Hygo may not be able to purchase or receive a sufficient quantity of natural gas in order to supply the Sergipe Power Plant and satisfy its delivery obligations under its PPAs. Any permanent interruption at any key LNG supply chains that caused a material reduction in volumes transported to Hygo’s facilities could have a material adverse effect on its business, financial condition, operating results, cash flow, liquidity and prospects.</w:t>
      </w:r>
    </w:p>
    <w:p>
      <w:pPr>
        <w:spacing w:after="0" w:line="19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Recently, the LNG industry has experienced increased volatility. If market disruptions and bankruptcies of third party LNG suppliers and shippers negatively impacts Hygo’s ability to purchase a sufficient amount of LNG or significantly increases its costs for purchasing LNG, its business, operating results, cash flows and liquidity could be materially and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Hygo may be required to make payments under its gas supply agreements.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Hygo fails to take delivery of contracted volumes under its gas supply agreements, it may be required to make payments to counterparties under such agreements. For example, CELSE entered into a 25-year LNG supply agreement with Ocean LNG for the supply of LNG to the Sergipe Facility. Pursuant to the terms of the Sergipe Supply Agreement, CELSE is required to take delivery of a specified base quantity of LNG each year, subject to certain adjustments. If CELSE takes less than the full number of scheduled cargoes per year under the Sergipe Supply Agreement, CELSE will be required to pay Ocean LNG a cancellation fee per cargo according to a formula based on the number of the cargoes not taken, subject to a cap over every five-year period and the full 25 year term.</w:t>
      </w: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Hygo’s current lack of asset and geographic diversification could have an adverse effect on its business, contracts, financial condition, operating results, cash flow, liquidity and prospects.</w:t>
      </w:r>
    </w:p>
    <w:p>
      <w:pPr>
        <w:spacing w:after="0" w:line="197"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substantial majority of Hygo’s anticipated revenue in the future will be dependent upon its assets and customers in Brazil. Brazil has historically experienced economic volatility and the general condition and performance of the Brazilian economy, over which Hygo has no control, may affect its business, financial condition and results of operations. Due to its current lack of asset and geographic diversification, an adverse development at any of its facilities in Brazil, in the energy industry or in the economic conditions in Brazil, would have a significantly greater impact on Hygo’s financial condition and operating results than if it maintained more diverse assets and operating areas.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Hygo’s operations could be limited or restricted in order to comply with protections for indigenous populations located in the areas in which it operates, and could also be adversely impacted by any changes in Brazilian law to comply with certain requirements embodied in international treaties and other laws related to indigenous communities.</w:t>
      </w:r>
    </w:p>
    <w:p>
      <w:pPr>
        <w:spacing w:after="0" w:line="21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Indigenous communities—including, in Brazil, Afro-indigenous (“Quilombola”) communities—are subject to certain protections under international and national laws. There are several indigenous communities that surround its operations in Brazil. Hygo has entered into agreements with some of these communities that mainly provide for the use of their land for its operations, and negotiations with other such communities are ongoing. In the event that Hygo is unable to reach an agreement with indigenous communities, that its relationship with these communities deteriorates in future, or that such communities do not comply with any existing agreements related to Hygo’s operations, it could have a material adverse effect on Hygo’s business and results of operations.</w:t>
      </w:r>
    </w:p>
    <w:p>
      <w:pPr>
        <w:spacing w:after="0" w:line="2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Brazil has ratified the International Labor Organization’s Indigenous and Tribal Peoples Convention (“ILO Convention 169”), which is grounded on the principle of consultation and participation of indigenous and traditional communities under the basis of free, prior, and informed consent (“FPIC”). ILO Convention 169 sets forth that governments are to ensure that members of tribes directly affected by legislative or administrative measures, including the grant of government authorizations such as are required for Hygo’s operations, are consulted through appropriate procedures and through their representative institutions. ILO Convention 169 further states that the consultation must be undertaken aiming at achieving an agreement or consent to the proposed legislative or administrative measures.</w:t>
      </w: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Hygo’s operations, Hygo is required to comply with the requirements of, consult with, and obtain certain authorizations from a number of institutions regarding the protection of indigenous interests: the National Congress (in specific cases), the Federal Public Prosecutor’s Office and the National Indian Foundation (Fundação Nacional do Índio or FUNAI) (for indigenous people) or Palmares Cultural Foundation (Fundação Cultural Palmares) (for Quilombola communities). If Hygo is not able to timely obtain the necessary authorizations or obtain them on favorable terms for its operations in areas where indigenous communities reside, Hygo could face construction delays, increased costs, or otherwise experience adverse impacts on its business and results of operations.</w:t>
      </w:r>
    </w:p>
    <w:p>
      <w:pPr>
        <w:spacing w:after="0" w:line="21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the third-parties from the indigenous territory. Hygo cannot predict whether this decision will result in challenges regarding the adequacy of existing Brazilian legal requirements related to the protection of indigenous rights, changes to the existing Brazilian government body consultation process, or impact its existing development agreements or its negotiations for outstanding development agreements with indigenous communities in the areas in which it operates. However, if the consultations with indigenous communities potentially impacted by Hygo’s operations are found to be insufficient, Hygo could experience a material adverse impact to its business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subject to comprehensive regulation of its business, which fundamentally affects its financial performance.</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Hygo’s business is subject to extensive regulation by various Brazilian regulatory authorities, particularly Agência Nacional de Energia Elétrica (“ANEEL”), ANP and Agência Nacional de Transportes Aquaviários (“ANTAQ”). ANEEL regulates and oversees various aspects of Hygo’s business and establishes its tariffs. If Hygo is obligated by ANEEL to make additional and unexpected capital investments and is not allowed to adjust its tariffs accordingly, if ANEEL does not authorize the recovery of all costs or if ANEEL modifies the regulations related to tariff adjustments, Hygo may be adversely affected. ANP regulates the import and export of LNG and the transportation and distribution of natural gas activities, including Hygo’s downstream distribution business. ANTAQ regulates and oversees port activities in Brazil.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addition, both the implementation of Hygo’s strategy for growth and its ordinary business may be adversely affected by governmental actions such as changes to current legislation, the termination of federal and state concession programs, creation of more rigid criteria for qualification in public energy auctions, or a delay in the revision and implementation of new annual tariffs.</w:t>
      </w:r>
    </w:p>
    <w:p>
      <w:pPr>
        <w:spacing w:after="0" w:line="211"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If regulatory changes require Hygo to conduct its business in a manner substantially different from its current operations, Hygo’s operations, financial results and its capacity to fulfill its contractual obligations may be adversely affected</w:t>
      </w:r>
    </w:p>
    <w:p>
      <w:pPr>
        <w:spacing w:after="0" w:line="197" w:lineRule="exact"/>
        <w:rPr>
          <w:sz w:val="20"/>
          <w:szCs w:val="20"/>
          <w:color w:val="auto"/>
        </w:rPr>
      </w:pPr>
    </w:p>
    <w:p>
      <w:pPr>
        <w:jc w:val="both"/>
        <w:ind w:right="1160"/>
        <w:spacing w:after="0" w:line="381" w:lineRule="auto"/>
        <w:rPr>
          <w:sz w:val="20"/>
          <w:szCs w:val="20"/>
          <w:color w:val="auto"/>
        </w:rPr>
      </w:pPr>
      <w:r>
        <w:rPr>
          <w:rFonts w:ascii="Arial" w:cs="Arial" w:eastAsia="Arial" w:hAnsi="Arial"/>
          <w:sz w:val="15"/>
          <w:szCs w:val="15"/>
          <w:b w:val="1"/>
          <w:bCs w:val="1"/>
          <w:i w:val="1"/>
          <w:iCs w:val="1"/>
          <w:color w:val="auto"/>
        </w:rPr>
        <w:t>CELSE and CELBA could be penalized by ANEEL for failing to comply with the terms of their respective authorizations and applicable legislation and CELSE and CELBA may not recover the full value of their respective investments if such authorizations are terminated.</w:t>
      </w:r>
    </w:p>
    <w:p>
      <w:pPr>
        <w:spacing w:after="0" w:line="12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CELSE and CELBA will carry out their respective power generation activities in accordance with the authorizations granted by the Brazilian government through the MME (the “MME Authorizations”). CELSE’s authorization expires in November 2050, and CELBA’s authorization, which is in the process of being granted, is expected to expire in 2055. ANEEL may impose penalties on CELSE and CELBA if they fail to comply with any provision of the MME Authorizations or with the legislation and regulations applicable to the Brazilian power industry. Depending on the extent of the non-compliance, these penalties could include:</w:t>
      </w:r>
    </w:p>
    <w:p>
      <w:pPr>
        <w:spacing w:after="0" w:line="215" w:lineRule="exact"/>
        <w:rPr>
          <w:sz w:val="20"/>
          <w:szCs w:val="20"/>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warnings;</w:t>
      </w:r>
    </w:p>
    <w:p>
      <w:pPr>
        <w:spacing w:after="0" w:line="23" w:lineRule="exact"/>
        <w:rPr>
          <w:rFonts w:ascii="Arial" w:cs="Arial" w:eastAsia="Arial" w:hAnsi="Arial"/>
          <w:sz w:val="18"/>
          <w:szCs w:val="18"/>
          <w:color w:val="auto"/>
        </w:rPr>
      </w:pPr>
    </w:p>
    <w:p>
      <w:pPr>
        <w:ind w:left="340" w:right="300" w:hanging="8"/>
        <w:spacing w:after="0" w:line="250" w:lineRule="auto"/>
        <w:tabs>
          <w:tab w:leader="none" w:pos="4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fines (in some cases up to 2% of gross revenues arising from the generation activity in the 12-month period immediately preceding the assessment);</w:t>
      </w: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prohibition on operations;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bans on the construction of new facilities or the acquisition of new projects;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the operation of existing facilities and projects; or</w:t>
      </w:r>
    </w:p>
    <w:p>
      <w:pPr>
        <w:spacing w:after="0" w:line="9" w:lineRule="exact"/>
        <w:rPr>
          <w:rFonts w:ascii="Arial" w:cs="Arial" w:eastAsia="Arial" w:hAnsi="Arial"/>
          <w:sz w:val="18"/>
          <w:szCs w:val="18"/>
          <w:color w:val="auto"/>
        </w:rPr>
      </w:pPr>
    </w:p>
    <w:p>
      <w:pPr>
        <w:ind w:left="340" w:right="240" w:hanging="8"/>
        <w:spacing w:after="0" w:line="260" w:lineRule="auto"/>
        <w:tabs>
          <w:tab w:leader="none" w:pos="4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operations (including the exclusion from participating in upcoming auctions), temporary suspension of participation in auctions and bidding processes for new concessions and authorizations.</w:t>
      </w:r>
    </w:p>
    <w:p>
      <w:pPr>
        <w:spacing w:after="0" w:line="21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ANEEL may also terminate the MME Authorizations prior to their expiration in the event that CELSE or CELBA fails to comply with the provisions of the MME Authorizations, is declared bankrupt or is dissolved. In the event of non-compliance by CELSE and/or CELBA, ANEEL may also impose certain of the penalties (in particular, bans and restrictions) on affiliates of CELSE and CELBA.</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CELSE and CELBA are subject to extensive legislation and regulations imposed by the Brazilian government and ANEEL, and cannot predict the effect of any changes to the legislation or regulations currently in force regarding their respective businesses.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implementation of Hygo’s business strategy and its ability to carry out its activities may be adversely affected by certain governmental actions.</w:t>
      </w:r>
    </w:p>
    <w:p>
      <w:pPr>
        <w:spacing w:after="0" w:line="2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Hygo may be subject to new regulations enacted by the Brazilian government that could retroactively affect the rules for renewal of its concessions and authorizations.</w:t>
      </w:r>
    </w:p>
    <w:p>
      <w:pPr>
        <w:spacing w:after="0" w:line="197"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color w:val="auto"/>
        </w:rPr>
        <w:t>The non-renewal of any of Hygo’s authorizations, as well as the non-renewal of its energy supply contracts, could have a material adverse effect on its financial condition, results of operations and Hygo’s capacity to fulfill its contractual obligations.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framework under which Hygo operates is subject to legal challenge.</w:t>
      </w:r>
    </w:p>
    <w:p>
      <w:pPr>
        <w:spacing w:after="0" w:line="23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Brazilian government implemented fundamental changes in the regulation of the power industry in legislation passed in 2004 known as the Lei do Novo Modelo do Setor Elétrico, or New Regulatory Framework. Challenges to the constitutionality of the New Regulatory Framework are still pending before the Brazilian Federal Supreme Court (Supremo Tribunal Federal), although preliminary injunctions have been dismissed. It is not possible to estimate when these proceedings will be finally decided. If all or part of the New Regulatory Framework were held to be unconstitutional, there would be uncertain consequences for the validity of existing regulation and the further development of the regulatory framework. The outcome of the legal proceedings is difficult to predict, but it could have an adverse impact on the entire energy sector, including Hygo’s business and results of operations. Due to the duration of the lawsuit, it is possible that the Brazilian Federal Supreme Court will not give retroactive effect to its decision, but rather preserve the validity of past acts applying a judicial practice known as modulation of effects.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If the regulatory framework under which Hygo operates is revised in a way that results in Hygo being required to conduct its business in a manner substantially different from its current operations, Hygo’s operations, financial results and capacity to fulfill its contractual obligations may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activity is subject to potential losses due to short-term variations in energy prices on the spot market.</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Hygo’s sales on the spot market are subject to potential differences in the settlement between the energy delivered and the energy sold. The differences are settled by the Câmara de Comercialização de Energia Elétrica (the Electric Energy Trading Chamber) at the spot price, or the PLD. The PLD is based on the energy traded in the spot energy market. It is calculated for each submarket and load level on a weekly basis and is based on the marginal cost of operation. The maximum and the minimum value of the PLD are set every year by ANEEL. Short-term variations in energy prices on the spot energy market may lead to potential losses in Hygo’s commercialization activity.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uncertain as to the review of the Physical Guarantee of its generation power plants.</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“Physical Guarantee” is the amount of power that a plant is expected to contribute to the electricity grid over the life of a PPA. Hygo cannot be certain if future events could affect the Physical Guarantee of each of its individual power plants. When the Physical Guarantee of a power plant is decreased, Hygo’s ability to supply electricity under that plant’s PPAs is adversely affected, which can lead to a decrease in Hygo’s revenues and increase Hygo’s costs if its generation subsidiaries are required to purchase power elsewhere. Damage to the step up transformer and related equipment at the Sergipe Power Plant in September 2020 is expected to temporarily decrease the Sergipe Power Plant’s Physical Guarantee by 8.75 MWh per year. To the extent CELSE is required to dispatch before repairs to the transformer and related equipment are complete, CELSE could be required to purchase the difference between its committed output and the final available power for delivery to PPA customers for the length of the requested dispatch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currently highly dependent upon economic, political, regulatory and other conditions and developments in Brazil.</w:t>
      </w:r>
    </w:p>
    <w:p>
      <w:pPr>
        <w:spacing w:after="0" w:line="252"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Hygo currently conducts all of its business in Brazil. As a result, Hygo’s current business, results of operations, financial condition and prospects are materially dependent upon economic, political and other conditions and developments in Brazil. For example, on July 8, 2019, Petróleo Brasileiro S.A. – Petrobras (“Petrobras”) the state-owned oil company in Brazil, entered into an agreement (Termo de Compromisso de Cessão de Prática) with Brazilian antitrust authorities (Conselho Administrativo de Defesa Econômica - CADE) pursuant to which it has agreed to divest its equity participation in the gas pipelines and state gas distribution companies in Brazil by December 31, 2021. Such divestment plan, intended to end Petrobras’s monopoly on the distribution of gas in Brazil, will increase competition and may affect Hygo’s business.</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particular, the Brazilian economy has been characterized by frequent and occasionally extensive intervention by the Brazilian government and unstable economic cycles. The Brazilian government has often changed monetary, taxation, credit, tariff and other policies to influence the course of Brazil’s economy. The Brazilian government’s actions to control inflation and implement other policies have at times involved wage and price controls, blocking access to bank accounts, imposing capital controls and limiting imports into Brazil. In addition, Brazilian markets and politics have been characterized by considerable instability in recent years due to uncertainties derived from the ongoing corruption investigations such as Operation Car Wash, the conviction of Former President Luiz Inácio Lula da Silva, the impeachment of Former President Dilma Rousseff and the election of Congressman Jair Bolsonaro. The spread of COVID-19 in Brazil has resulted in heightened uncertainty and political instability as government officials debate appropriate response measures. These uncertainties and any measures adopted by the new administration may increase market volatility and political instability.</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Hygo’s sale and leaseback agreements contain restrictive covenants that may limit its liquidity and corporate activities, and could have an adverse effect on its financial condition and results of operations.</w:t>
      </w:r>
    </w:p>
    <w:p>
      <w:pPr>
        <w:spacing w:after="0" w:line="19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Hygo’s sale and leaseback agreements for the Golar Nanook, Golar Penguin and Golar Celsius contain, and any future sale and leaseback agreements it may enter into are expected to contain, customary covenants and event of default clauses, including cross-default provisions and restrictive covenants and performance requirements that may affect Hygo’s operational and financial flexibility. In addition, Hygo also assigns the shares in its subsidiaries which are the charterers of these vessels to the owners/lessors. Such restrictions could affect, and in many respects limit or prohibit, among other things, its ability to incur additional indebtedness, create liens, sell assets, or engage in mergers or acquisitions. These restrictions could also limit Hygo’s ability to plan for or react to market conditions or meet extraordinary capital needs or otherwise restrict corporate activities. There can be no assurance that such restrictions will not adversely affect its ability to finance its future operations or capital needs.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Certain of Hygo’s sale and leaseback agreements contain cross-default clauses and require it to maintain specified financial ratios, satisfy certain financial covenants and/or assign equity interests in its subsidiaries to third parties, including, among others, the following requirements:</w:t>
      </w:r>
    </w:p>
    <w:p>
      <w:pPr>
        <w:spacing w:after="0" w:line="173" w:lineRule="exact"/>
        <w:rPr>
          <w:sz w:val="20"/>
          <w:szCs w:val="20"/>
          <w:color w:val="auto"/>
        </w:rPr>
      </w:pPr>
    </w:p>
    <w:p>
      <w:pPr>
        <w:ind w:left="440" w:hanging="108"/>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Hygo maintains Free Liquid Assets (as defined in the Penguin Leaseback) of at least $50.0 million; and</w:t>
      </w:r>
    </w:p>
    <w:p>
      <w:pPr>
        <w:spacing w:after="0" w:line="23" w:lineRule="exact"/>
        <w:rPr>
          <w:rFonts w:ascii="Arial" w:cs="Arial" w:eastAsia="Arial" w:hAnsi="Arial"/>
          <w:sz w:val="18"/>
          <w:szCs w:val="18"/>
          <w:color w:val="auto"/>
        </w:rPr>
      </w:pPr>
    </w:p>
    <w:p>
      <w:pPr>
        <w:ind w:left="340" w:right="460" w:hanging="8"/>
        <w:spacing w:after="0" w:line="260" w:lineRule="auto"/>
        <w:tabs>
          <w:tab w:leader="none" w:pos="4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Hygo assigns the shares in each of Golar Hull M2026 Corp., Golar Hull M2023 Corp. and Golar FSRU 8 Corp., its subsidiaries that are the charterers under Hygo’s sale and leaseback agreements, to the applicable vessel owners.</w:t>
      </w:r>
    </w:p>
    <w:p>
      <w:pPr>
        <w:spacing w:after="0" w:line="21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2020, Hygo was in compliance with the consolidated leverage ratio and the minimum free liquidity covenants in its sale and leaseback agreements.</w:t>
      </w:r>
    </w:p>
    <w:p>
      <w:pPr>
        <w:spacing w:after="0" w:line="19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As a result of the restrictions in its sale and leaseback agreements, or similar restrictions in future sale and leaseback agreements, Hygo may need to seek permission from the owners of its leased vessels in order to engage in certain corporate actions. Their interests may be different from Hygo’s and Hygo may not be able to obtain their permission when needed. This may prevent Hygo from taking actions that it believes are in its best interest, which may adversely impact Hygo’s revenues, results of operations and financial condition.</w:t>
      </w:r>
    </w:p>
    <w:p>
      <w:pPr>
        <w:spacing w:after="0" w:line="21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failure by Hygo to meet its payment and other obligations, including its financial covenant requirements, could lead to defaults under its sale and leaseback agreements or any future sale and leaseback agreements. If Hygo is not in compliance with its covenants and is not able to obtain covenant waivers or modifications, the current or future owners of its leased vessels, as appropriate, could retake possession of the vessels or require Hygo to pay down its indebtedness to a level at which Hygo is in compliance with its covenants or sell vessels in its fleet. Hygo could lose its vessels if it defaults on its bareboat charters in connection with the sale and leaseback agreements, which would negatively affect Hygo’s revenues,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and uncertainties relating to Hygo’s sale and leaseback transactions.</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closing of its sale and leaseback transactions, Hygo transferred its ownership interests in each of the Golar Nanook, the Golar Penguin and the Golar Celsius. Although the operation of these vessels is expected to continue in the ordinary course, the bareboat charters in connection with the sale and leaseback transactions may, in certain circumstances, be terminated. Any such termination could have a significant adverse effect on Hygo’s business, financial condition and results of operations of its vessels. The sale and leaseback agreements will also require significant periodic cash payments in respect of the required rent thereunder, which Hygo has not historically incurred for the Golar Celsius or, prior to December 2019, the Golar Penguin, and other allocated operating and maintenance costs. The increase in Hygo’s lease expense may have an adverse impact on its future operations and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GMLP Business Activities</w:t>
      </w:r>
    </w:p>
    <w:p>
      <w:pPr>
        <w:spacing w:after="0" w:line="25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GMLP currently derives all of its revenue from a limited number of customers. The loss of any of its customers would result in a significant loss of revenues and cash flow, if it is unable to re-charter a vessel to another customer for an extended period of time.</w:t>
      </w:r>
    </w:p>
    <w:p>
      <w:pPr>
        <w:spacing w:after="0" w:line="17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GMLP’s fleet consists of six FSRUs, four LNG carriers and an interest in the Hilli. GMLP has derived, and believes that it will continue to derive, all of its revenues and cash flow from a limited number of customers. The majority of its charters have fixed terms, but might nevertheless be lost in the event of unanticipated developments such as a customer’s breach. The ability of each of GMLP’s customers to perform its respective obligations under a charter with GMLP will depend on a number of factors that are beyond its control and may include, among other things, general economic conditions, the condition of the LNG shipping industry, prevailing prices for natural gas and LNG, the impact of COVID-19 and similar pandemics and epidemics and the overall financial condition of the counterparty. GMLP could also lose a customer or the benefits of a charter if the customer fails to make charter payments because of its financial inability, disagreements with GMLP or otherwise or the customer exercises its right to terminate the charter in certain circumstances.</w:t>
      </w:r>
    </w:p>
    <w:p>
      <w:pPr>
        <w:spacing w:after="0" w:line="219"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If GMLP loses any of its charterers and is unable to re-deploy the related vessel for an extended period of time, it will not receive any revenues from that vessel, but it will be required to pay expenses necessary to maintain the vessel in seaworthy operating condition and to service any associated debt. In addition, it is an event of default under the credit facilities related to all of GMLP’s vessels if the time charter of any vessel related to any such credit facility is cancelled, rescinded or frustrated and it is unable to secure a suitable replacement charter, post additional security or make certain significant prepayments. Any event of default under GMLP’s credit facilities would result in acceleration of amounts due thereunder. Under the sale and leaseback arrangement in respect of the Golar Eskimo, if the time charter pursuant to which the Golar Eskimo is operating is terminated, the owner of the Golar Eskimo (which is a wholly-owned subsidiary of China Merchants Bank Leasing) will have the right to require GMLP to purchase the vessel from it unless GMLP is able to place such vessel under a suitable replacement charter within 24 months of the termination. GMLP may not have, or be able to obtain, sufficient funds to make these accelerated payments or prepayments or be able to purchase the Golar Eskimo. In such a situation, the loss of a charterer could have a material adverse effect on GMLP’s business, results of operations and financial condition.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GMLP’s business strategy depends on its ability to expand relationships with existing customers and obtain new customers, for which it will face substantial competition.</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GMLP’s principal strategy is to provide steady and reliable shipping, regasification and liquefaction operations for its customers. The process of obtaining long-term charters for FSRUs and LNG carriers is highly competitive and generally involves an intensive screening process and competitive bids, and often extends for several months. GMLP believes FSRU and LNG carrier time charters are awarded based upon bid price as well as a variety of factors relating to the vessel operator, including:</w:t>
      </w:r>
    </w:p>
    <w:p>
      <w:pPr>
        <w:spacing w:after="0" w:line="214" w:lineRule="exact"/>
        <w:rPr>
          <w:sz w:val="20"/>
          <w:szCs w:val="20"/>
          <w:color w:val="auto"/>
        </w:rPr>
      </w:pPr>
    </w:p>
    <w:p>
      <w:pPr>
        <w:ind w:left="120" w:hanging="112"/>
        <w:spacing w:after="0"/>
        <w:tabs>
          <w:tab w:leader="none" w:pos="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its FSRU and LNG shipping experience, technical ability and reputation for operation of highly specialized vessels;</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its shipping industry relationships and reputation for customer service and safety;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quality and experience of its seafaring crew;</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its financial stability and ability to finance FSRUs and LNG carriers at competitive rates;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its relationships with shipyards and construction management experience;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its willingness to accept operational risks pursuant to the charter.</w:t>
      </w:r>
    </w:p>
    <w:p>
      <w:pPr>
        <w:spacing w:after="0" w:line="23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GMLP faces substantial competition for providing FSRU and marine transportation services for potential LNG projects from a number of experienced companies, including state-sponsored entities and major energy companies. Many of these competitors have significantly greater financial resources and larger and more versatile fleets than GMLP. GMLP anticipates that an increasing number of marine transportation companies, including many with strong reputations and extensive resources and experience will enter the FSRU market and the LNG transportation market. This increased competition may cause greater price competition for time charters. As a result of these factors, GMLP may be unable to expand its relationships with existing customers or to obtain new customers on a favorable basis, if at all, which would have a material adverse effect on its business,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GMLP’s future long-term charter revenue depends on its competitive position and future hire rates for FSRUs and LNG carriers.</w:t>
      </w:r>
    </w:p>
    <w:p>
      <w:pPr>
        <w:spacing w:after="0" w:line="25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One of GMLP’s principal strategies is to enter into new long-term FSRU and LNG carrier time charters and to replace expiring charters with similarly long-term contracts.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and propulsion technology together with an increasing desire by charterers to access modern tonnage could also reduce the appetite of charterers to commit to long-term charters that match their full requirement period. As a result, the duration of long-term charters could also decrease over time.</w:t>
      </w: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GMLP may also face increased difficulty entering into long-term time charters upon the expiration or early termination of its contracts. If as a result GMLP contracts its vessels on short-term contracts, its earnings from these vessels are likely to become more volatile. An increasing emphasis on the short-term or spot LNG market may in the future require that GMLP enter into charters based on variable market prices, as opposed to contracts based on a fixed rate, which could result in a decrease in its cash flow in periods when the market price for shipping LNG is depressed or insufficient funds are available to cover its financing costs for related vessels.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Hire rates for FSRUs and LNG carriers may fluctuate substantially. If rates are lower when GMLP is seeking a new charter, its earnings may decline.</w:t>
      </w:r>
    </w:p>
    <w:p>
      <w:pPr>
        <w:spacing w:after="0" w:line="2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Hire rates for FSRUs and LNG carriers fluctuate over time as a result of changes in the supply-demand balance relating to current and future FSRU and LNG carrier capacity. This supply-demand relationship largely depends on a number of factors outside GMLP’s control. For example, driven in part by an increase in LNG production capacity, the market supply particularly of LNG carriers has been increasing. As of March 2, 2021, the LNG carrier order book totaled 141 vessels. GMLP believes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including as a result of the spread of COVID-19, could adversely affect GMLP’s ability to charter or re-charter its vessels at acceptable rates or to acquire and profitably operate new vessels. Accordingly, this could have a material adverse effect on its earnings.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charterers of two of GMLP’s vessels have the option to extend the charter at a rate lower than the existing hire rate. The exercise of these options could have a material adverse effect on its cash flow.</w:t>
      </w:r>
    </w:p>
    <w:p>
      <w:pPr>
        <w:spacing w:after="0" w:line="19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charterers of the NR Satu and Methane Princess have options to extend their respective existing contracts. If they exercise these options, the hire rate for the NR Satu will be reduced by approximately 12% per day for any day in the extension period falling in 2023, with a further 7% reduction for any day in the extension period falling in 2024 and 2025; and the hire rate for the Methane Princess will be reduced by 37% from 2024. The exercise of these options could have a material adverse effect on GMLP’s results of operations and cash flows.</w:t>
      </w:r>
    </w:p>
    <w:p>
      <w:pPr>
        <w:spacing w:after="0" w:line="19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GMLP’s equity investment in Golar Hilli LLC may not result in anticipated profitability or generate cash flow sufficient to justify its investment. In addition, this investment exposes GMLP to risks that may harm its business, financial condition and operating results.</w:t>
      </w:r>
    </w:p>
    <w:p>
      <w:pPr>
        <w:spacing w:after="0" w:line="173"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In July 2018, GMLP completed an acquisition of 50% of the common units in Hilli LLC (as defined here), the disponent owner of Hilli Corp. (as defined herein), the owner of the Hilli. The acquired interest in Hilli LLC represents the equivalent of 50% of the two liquefaction trains, out of a total of four, that have been contracted to Perenco Cameroon SA (“Perenco”) and Société Nationale Des Hydrocarbures (“SNH” and, together with Perenco, the “Customer”) pursuant to a Liquefaction Tolling Agreement (“LTA”) with an 8 year term. The acquired interest is not exposed to the oil linked pricing elements of the tolling fee under the LTA. However, it exposes us to risks that GMLP may:</w:t>
      </w:r>
    </w:p>
    <w:p>
      <w:pPr>
        <w:spacing w:after="0" w:line="203" w:lineRule="exact"/>
        <w:rPr>
          <w:sz w:val="20"/>
          <w:szCs w:val="20"/>
          <w:color w:val="auto"/>
        </w:rPr>
      </w:pPr>
    </w:p>
    <w:p>
      <w:pPr>
        <w:ind w:left="440" w:hanging="108"/>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 to realize anticipated benefits through cash distributions from Hilli LLC;</w:t>
      </w:r>
    </w:p>
    <w:p>
      <w:pPr>
        <w:spacing w:after="0" w:line="23" w:lineRule="exact"/>
        <w:rPr>
          <w:rFonts w:ascii="Arial" w:cs="Arial" w:eastAsia="Arial" w:hAnsi="Arial"/>
          <w:sz w:val="18"/>
          <w:szCs w:val="18"/>
          <w:color w:val="auto"/>
        </w:rPr>
      </w:pPr>
    </w:p>
    <w:p>
      <w:pPr>
        <w:ind w:left="340" w:right="500" w:hanging="8"/>
        <w:spacing w:after="0" w:line="250" w:lineRule="auto"/>
        <w:tabs>
          <w:tab w:leader="none" w:pos="4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 to obtain the benefits of the LTA if the Customer exercises certain rights to terminate the charter upon the occurrence of specified events of default;</w:t>
      </w:r>
    </w:p>
    <w:p>
      <w:pPr>
        <w:ind w:left="340" w:hanging="8"/>
        <w:spacing w:after="0" w:line="250" w:lineRule="auto"/>
        <w:tabs>
          <w:tab w:leader="none" w:pos="4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 to obtain the benefits of the LTA if the Customer fails to make payments under the LTA because of its financial inability, disagreements with us or otherwise;</w:t>
      </w:r>
    </w:p>
    <w:p>
      <w:pPr>
        <w:ind w:left="440" w:hanging="108"/>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 required to pay damages to the Customer or suffer a reduction in the tolling fee in the event that the Hilli fails to perform to certain specifications;</w:t>
      </w:r>
    </w:p>
    <w:p>
      <w:pPr>
        <w:spacing w:after="0" w:line="32" w:lineRule="exact"/>
        <w:rPr>
          <w:rFonts w:ascii="Arial" w:cs="Arial" w:eastAsia="Arial" w:hAnsi="Arial"/>
          <w:sz w:val="16"/>
          <w:szCs w:val="16"/>
          <w:color w:val="auto"/>
        </w:rPr>
      </w:pPr>
    </w:p>
    <w:p>
      <w:pPr>
        <w:ind w:left="440" w:hanging="108"/>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other significant charges, such as asset devaluation or restructuring charges; or</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 unable to re-charter the FLNG on another long-term charter at the end of the LTA.</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Due to the sophisticated technology utilized by the Hilli, operations are subject to risks that could negatively affect GMLP’s business and financial condition.</w:t>
      </w:r>
    </w:p>
    <w:p>
      <w:pPr>
        <w:spacing w:after="0" w:line="197"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FLNG vessels are complex and their operations are technically challenging and subject to mechanical risks and problems. Unforeseen operational problems with the Hilli may lead to Hilli LLC experiencing a loss of revenue or higher than anticipated operating expenses or require additional capital expenditures. Any of these results could harm GMLP’s business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 guarantees 50% of Hilli Corp’s indebtedness under the Hilli Facility.</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Hilli Corp, a wholly owned subsidiary of Hilli LLC, is a party to a Memorandum of Agreement, dated September 9, 2015, with Fortune Lianjiang Shipping S.A., a subsidiary of China State Shipbuilding Corporation (“Fortune”), pursuant to which Hilli Corp has sold to and leased back from Fortune the Hilli under a 10-year bareboat charter agreement (the “Hilli Facility”). The Hilli Facility provided for post-construction financing for the Hilli in the amount of $960 million.</w:t>
      </w:r>
    </w:p>
    <w:p>
      <w:pPr>
        <w:spacing w:after="0" w:line="21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connection with the closing of the Hilli Acquisition, GMLP agreed to provide a several guarantee (the “GMLP Guarantee”) of 50% of the obligations of Hilli Corp under the Hilli Facility pursuant to a Deed of Amendment, Restatement and Accession relating to a guarantee between GLNG, Fortune and GMLP dated July 12, 2018. In the event that Hilli Corp fails to meet its payment obligations under the Hilli Facility or fails to comply with certain other covenants contained therein, GMLP may be required to make payments to Fortune under the GMLP Guarantee, and such payments may be substantial. The Hilli Facility and the GMLP Guarantee contain certain financial restrictions and other covenants that may restrict GMLP’s business and financing activities. In connection with the consummation of the GMLP acquisition, NFE will enter into a letter of undertaking pursuant to which we will guarantee GMLP’s obligations with respect to its guarantee of Hilli Corp’s debt under the Hilli Leaseback to the extent GMLP does not perform thereunder.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 may experience operational problems with its vessels that reduce revenue and increase costs.</w:t>
      </w:r>
    </w:p>
    <w:p>
      <w:pPr>
        <w:spacing w:after="0" w:line="252"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FSRUs and LNG carriers are complex and their operations are technically challenging. Marine LNG operations are subject to mechanical risks and problems. GMLP’s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and affect the entire shipping industry. Factors such as increased cost of qualified and experienced seafaring crew and changes in regulatory requirements could also increase operating expenditures. Future increases to operational costs are likely to occur. If costs rise, they could materially and adversely affect GMLP’s results of operations. In addition, operational problems may lead to loss of revenue or higher than anticipated operating expenses or require additional capital expenditures. Any of these results could harm GMLP’s business, financial condition and results of operations.</w:t>
      </w: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GMLP may be unable to obtain, maintain, and/or renew permits necessary for its operations or experience delays in obtaining such permits, which could have a material effect on its operations.</w:t>
      </w:r>
    </w:p>
    <w:p>
      <w:pPr>
        <w:spacing w:after="0" w:line="19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design, construction and operation of FSRUs, FLNGs and LNG carriers and interconnecting pipelines require, and are subject to the terms of governmental approvals and permits. The permitting rules, and the interpretations of those rules, are complex, change frequently and are often subject to discretionary interpretations by regulators, all of which may make compliance more difficult or impractical, and may increase the length of time it takes to receive regulatory approval for offshore LNG operations. In the future, the relevant regulatory authorities may take actions to restrict or prohibit the access of FSRUs or LNG carriers to various ports or adopt new rules and regulations applicable to FSRUs and LNG carriers that will increase the time needed or affect GMLP’s ability to obtain necessary environmental permits.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shortage of qualified officers and crew, including due to disruption caused by the outbreak of pandemic diseases, such as COVID-19, could have an adverse effect on GMLP’s business and financial condition.</w:t>
      </w:r>
    </w:p>
    <w:p>
      <w:pPr>
        <w:spacing w:after="0" w:line="19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FSRUs, FLNGs and LNG carriers require technically skilled officers and crews with specialized training. As the worldwide FSRU, FLNG and LNG carrier fleet has grown, the demand for technically skilled officers and crews has increased, which could lead to a shortage of such personnel. Increases in GMLP’s historical vessel operating expenses have been attributable primarily to the rising costs of recruiting and retaining officers for its fleet. If GMLP’s vessel managers are unable to employ technically skilled staff and crew, they will not be able to adequately staff its vessels. A material decrease in the supply of technically skilled officers or an inability of GLNG or its vessel managers to attract and retain such qualified officers could impair its ability to operate or increase the cost of crewing its vessels, which would materially adversely affect GMLP’s business, financial condition and results of operations.</w:t>
      </w:r>
    </w:p>
    <w:p>
      <w:pPr>
        <w:spacing w:after="0" w:line="19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Golar Winter is employed by Petrobras in Brazil. As a result, GMLP is required to hire a certain portion of Brazilian personnel to crew this vessel in accordance with Brazilian law. Also, the NR Satu is employed by PT Nusantara Regas, in Indonesia. As a result, GMLP is required to hire a certain portion of Indonesian personnel to crew the NR Satu in accordance with Indonesian law. Any inability to attract and retain qualified Brazilian and Indonesian crew members could adversely affect its business, results of operations and financial condition.</w:t>
      </w:r>
    </w:p>
    <w:p>
      <w:pPr>
        <w:spacing w:after="0" w:line="19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Furthermore, should there be an outbreak of COVID-19 on board one of GMLP’s vessels, adequate crewing may not be available to fulfill the obligations under its contracts. Due to COVID-19, GMLP could face (i) difficulty in finding healthy qualified replacement officers and crew; (ii) local or international transport or quarantine restrictions limiting the ability to transfer infected crew members off the vessel or bring new crew on board, and (iii) restrictions in availability of supplies needed on board due to disruptions to third-party suppliers or transportation alternatives. Any inability GLNG or its affiliates experiences in the future to attract, hire, train and retain a sufficient number of qualified employees could impair GMLP’s ability to manage, maintain and grow its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locations in which GMLP operate, GMLP is subject to political and security risks.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GMLP’s operations may be affected by economic, political and governmental conditions in the countries where GMLP is engaged in business or where its vessels are registered. Any disruption caused by these factors could harm its business. In particular:</w:t>
      </w:r>
    </w:p>
    <w:p>
      <w:pPr>
        <w:spacing w:after="0" w:line="197" w:lineRule="exact"/>
        <w:rPr>
          <w:sz w:val="20"/>
          <w:szCs w:val="20"/>
          <w:color w:val="auto"/>
        </w:rPr>
      </w:pPr>
    </w:p>
    <w:p>
      <w:pPr>
        <w:ind w:left="340" w:hanging="8"/>
        <w:spacing w:after="0" w:line="272" w:lineRule="auto"/>
        <w:tabs>
          <w:tab w:leader="none" w:pos="4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GMLP derives a substantial portion of its revenues from shipping LNG from politically unstable regions, particularly the Arabian Gulf, Brazil, Indonesia and West Africa.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Future hostilities or other political instability in the regions in which GMLP operates or may operate could have a material adverse effect on the growth of its business, results of operations and financial condition. In addition, tariffs, trade embargoes and other economic sanctions by the United States or other countries against countries in the Middle East, Southeast Asia, Africa or elsewhere as a result of terrorist attacks, hostilities or otherwise may limit trading activities with those countries, which could also harm GMLP’s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100" w:hanging="8"/>
        <w:spacing w:after="0" w:line="253" w:lineRule="auto"/>
        <w:tabs>
          <w:tab w:leader="none" w:pos="4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operations of Hilli Corp in Cameroon under the LTA are subject to higher political and security risks than operations in other areas of the world. Recently, Cameroon has experienced instability in its socio-political environment. Any extreme levels of political instability resulting in changes of governments, internal conflict, unrest and violence, especially from terrorist organizations prevalent in the region, such as Boko Haram, could lead to economic disruptions and shutdowns in industrial activities. In addition, corruption and bribery are a serious concern in the region. The operations of Hilli Corp in Cameroon are subject to these risks, which could materially adversely affect GMLP’s revenues, its ability to perform under the LTA and its financial condition.</w:t>
      </w:r>
    </w:p>
    <w:p>
      <w:pPr>
        <w:spacing w:after="0" w:line="1" w:lineRule="exact"/>
        <w:rPr>
          <w:rFonts w:ascii="Arial" w:cs="Arial" w:eastAsia="Arial" w:hAnsi="Arial"/>
          <w:sz w:val="18"/>
          <w:szCs w:val="18"/>
          <w:color w:val="auto"/>
        </w:rPr>
      </w:pPr>
    </w:p>
    <w:p>
      <w:pPr>
        <w:ind w:left="340" w:right="40" w:hanging="8"/>
        <w:spacing w:after="0" w:line="273" w:lineRule="auto"/>
        <w:tabs>
          <w:tab w:leader="none" w:pos="448"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addition, Hilli Corp maintains insurance coverage for only a portion of the risks incidental to doing business in Cameroon. There also may be certain risks covered by insurance where the policy does not reimburse Hilli Corp for all of the costs related to a loss. For example, any claims covered by insurance will be subject to deductibles, which may be significant. In the event that Hilli Corp incurs business interruption losses with respect to one or more incidents, they could have a material adverse effect on GMLP’s results of operations.</w:t>
      </w: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Vessel values may fluctuate substantially and, if these values are lower at a time when GMLP is attempting to dispose of vessels, GMLP may incur a loss.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Vessel values can fluctuate substantially over time due to a number of different factors, including:</w:t>
      </w:r>
    </w:p>
    <w:p>
      <w:pPr>
        <w:spacing w:after="0" w:line="252" w:lineRule="exact"/>
        <w:rPr>
          <w:sz w:val="20"/>
          <w:szCs w:val="20"/>
          <w:color w:val="auto"/>
        </w:rPr>
      </w:pPr>
    </w:p>
    <w:p>
      <w:pPr>
        <w:ind w:left="440" w:hanging="108"/>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increases in the supply of vessel capacity without a commensurate increase in demand;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size and age of a vessel; and</w:t>
      </w:r>
    </w:p>
    <w:p>
      <w:pPr>
        <w:spacing w:after="0" w:line="9" w:lineRule="exact"/>
        <w:rPr>
          <w:rFonts w:ascii="Arial" w:cs="Arial" w:eastAsia="Arial" w:hAnsi="Arial"/>
          <w:sz w:val="18"/>
          <w:szCs w:val="18"/>
          <w:color w:val="auto"/>
        </w:rPr>
      </w:pPr>
    </w:p>
    <w:p>
      <w:pPr>
        <w:ind w:left="340" w:right="520" w:hanging="8"/>
        <w:spacing w:after="0" w:line="260" w:lineRule="auto"/>
        <w:tabs>
          <w:tab w:leader="none" w:pos="4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retrofitting or modifying existing vessels, as a result of technological advances in vessel design or equipment, changes in applicable environmental or other regulations or standards, customer requirements or otherwise.</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GMLP’s vessels age, the expenses associated with maintaining and operating them are expected to increase, which could have an adverse effect on its business and operations if GMLP does not maintain sufficient cash reserves for maintenance and replacement capital expenditures. Moreover, the cost of a replacement vessel would be significant.</w:t>
      </w:r>
    </w:p>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period a vessel is subject to a charter, GMLP will not be permitted to sell it to take advantage of increases in vessel values without the charterers’ consent. If a charter terminates, GMLP may be unable to re-deploy the affected vessels at attractive rates and, rather than continue to incur costs to maintain and finance them, GMLP may seek to dispose of them. When vessel values are low, GMLP may not be able to dispose of vessels at a reasonable price when GMLP wish to sell vessels, and conversely, when vessel values are elevated, GMLP may not be able to acquire additional vessels at attractive prices when GMLP wish to acquire additional vessels, which could adversely affect GMLP’s business, results of operations, cash flow, and financial condition.</w:t>
      </w:r>
    </w:p>
    <w:p>
      <w:pPr>
        <w:spacing w:after="0" w:line="21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carrying values of GMLP’s vessels may not represent their fair market value at any point in time because the market prices of secondhand vessels tend to fluctuate with changes in charter rates and the cost of new build vessels. GMLP’s vessels are reviewed for impairment whenever events or changes in circumstances indicate that the carrying amount may not be recoverable. Although GMLP did not recognize an impairment charge on any of its vessels for the year ended December 31, 2020, GMLP cannot assure you that GMLP will not recognize impairment losses on its vessels in future years. Any impairment charges incurred as a result of declines in charter rates could negatively affect GMLP’s business, financial condition, or operating results.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GMLP vessels may call on ports located in countries that are subject to restrictions imposed by the U.S. or other governments, which could adversely affect its business.</w:t>
      </w:r>
    </w:p>
    <w:p>
      <w:pPr>
        <w:spacing w:after="0" w:line="19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Although no vessels operated by GMLP have called on ports located in countries subject to comprehensive sanctions and embargoes imposed by the U.S. government or countries identified by the U.S. government as state sponsors of terrorism, in the future GMLP’s vessels may call on ports in these countries from time to time on its charterers’ instructions.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Although GMLP believes that it has been in compliance with all applicable sanctions and embargo laws and regulations, and intends to maintain such compliance, there can be no assurance that GMLP will be in compliance in the future, particularly as the scope of certain laws may be unclear and may be subject to changing interpretations. Any such violation could result in fines, penalties or other sanctions that could severely impact GMLP’s ability to access U.S. capital markets and conduct its business. In addition, certain financial institutions may have policies against lending or extending credit to companies that have contracts with U.S. embargoed countries or countries identified by the U.S. government as state sponsors of terrorism. Moreover, GMLP charterers may violate applicable sanctions and embargo laws and regulations as a result of actions that do not involve GMLP or its vessels, and those violations could in turn negatively affect GMLP’s reputation. In addition, GMLP’s reputation may be adversely affected if it engages in certain other activities, such as entering into charters with individuals or entities in countries subject to U.S. sanctions and embargo laws that are not controlled by the governments of those countries, or engaging in operations associated with those countries pursuant to contracts with third parties that are unrelated to those countries or entities controlled by their governments.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GMLP’s vessels, which could interrupt its cash flow.</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GMLP is in default on certain kinds of obligations, such as those to its lenders, crew members, suppliers of goods and services to its vessels or shippers of cargo, these parties may be entitled to a maritime lien against one or more of GMLP’s vessels. In many jurisdictions, a maritime lien holder may enforce its lien by arresting a vessel through foreclosure proceedings. In a few jurisdictions, claimants could try to assert “sister ship” liability against one vessel in GMLP’s fleet for claims relating to another of its vessels. The arrest or attachment of one or more of GMLP’s vessels could interrupt its cash flow and require it to pay to have the arrest lifted. Under some of GMLP’s present charters, if the vessel is arrested or detained (for as few as 14 days in the case of one of our charters) as a result of a claim against it, GMLP may be in default of its charter and the charterer may terminate the charter. This would negatively impact GMLP’s revenues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56"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The Mergers may not be accretive and may cause dilution to our earnings per share, which may negatively affect the market price of our common stock.</w:t>
      </w:r>
    </w:p>
    <w:p>
      <w:pPr>
        <w:spacing w:after="0" w:line="19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Although we currently anticipate that the Mergers will be accretive to earnings per share (on an as adjusted earnings basis that is not pursuant to GAAP) from and after the Mergers, this expectation is based on assumptions about our, Hygo’s and GMLP’s business and preliminary estimates, which may change materially. As a result, certain other amounts to be paid in connection with the Mergers may cause dilution to our earnings per share or decrease or delay the expected accretive effect of the Mergers and cause a decrease in the market price of our common stock. In addition, we could also encounter additional transaction-related costs or other factors such as the failure to realize all of the benefits anticipated in the Mergers, including cost and revenue synergies. All of these factors could cause dilution to our earnings per share or decrease or delay the expected accretive effect of the Mergers and cause a decrease in the market price of our common stock.</w:t>
      </w:r>
    </w:p>
    <w:p>
      <w:pPr>
        <w:spacing w:after="0" w:line="20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15" w:lineRule="exact"/>
        <w:rPr>
          <w:sz w:val="20"/>
          <w:szCs w:val="20"/>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23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ectPr>
          <w:pgSz w:w="11900" w:h="16838" w:orient="portrait"/>
          <w:cols w:equalWidth="0" w:num="1">
            <w:col w:w="11200"/>
          </w:cols>
          <w:pgMar w:left="320" w:top="121" w:right="379" w:bottom="1440" w:gutter="0" w:footer="0" w:header="0"/>
        </w:sect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3" w:name="page114"/>
    <w:bookmarkEnd w:id="1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Furthermore, the market price of our common stock may fluctuate significantly following consummation of the Mergers if, among other things, the combined company is unable to achieve the expected growth in earnings, or if the operational cost savings estimates in connection with the integration of our, Hygo’s and GMLP’s businesses are not realized, or if the transaction costs relating to the Mergers are greater than expected, or if the financing relating to the transaction is on unfavorable terms. The market price also may decline if the combined company does not achieve the perceived benefits of the Mergers as rapidly or to the extent anticipated by financial or industry analysts or if the effect of the Mergers on the combined company’s financial position, results of operations or cash flows is not consistent with the expectations of financial or industry analysts. In addition, the results of operations of the combined company and the market price of our common stock after the completion of the Mergers may be affected by factors different from those currently affecting the independent results of operations of each of our, Hygo’s and GMLP’s and business.</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97" w:lineRule="exact"/>
        <w:rPr>
          <w:sz w:val="20"/>
          <w:szCs w:val="20"/>
          <w:color w:val="auto"/>
        </w:rPr>
      </w:pPr>
    </w:p>
    <w:p>
      <w:pPr>
        <w:ind w:left="20" w:right="120" w:firstLine="286"/>
        <w:spacing w:after="0" w:line="269" w:lineRule="auto"/>
        <w:rPr>
          <w:sz w:val="20"/>
          <w:szCs w:val="20"/>
          <w:color w:val="auto"/>
        </w:rPr>
      </w:pPr>
      <w:r>
        <w:rPr>
          <w:rFonts w:ascii="Arial" w:cs="Arial" w:eastAsia="Arial" w:hAnsi="Arial"/>
          <w:sz w:val="17"/>
          <w:szCs w:val="17"/>
          <w:color w:val="auto"/>
        </w:rPr>
        <w:t>Affiliates of certain entities controlled by Wesley R. Edens and Randal A. Nardone (“Founder Entities”) and affiliates of Fortress Investment Group LLC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NFE SMRS Holdings LLC are parties to the Shareholders’ Agreement and as of April 23, 2021 hold approximately 16.8%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12"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ind w:left="660" w:right="600" w:hanging="328"/>
        <w:spacing w:after="0" w:line="26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212" w:lineRule="exact"/>
        <w:rPr>
          <w:sz w:val="20"/>
          <w:szCs w:val="20"/>
          <w:color w:val="auto"/>
        </w:rPr>
      </w:pPr>
    </w:p>
    <w:p>
      <w:pPr>
        <w:jc w:val="both"/>
        <w:ind w:left="20" w:right="40" w:firstLine="286"/>
        <w:spacing w:after="0" w:line="259"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197" w:lineRule="exact"/>
        <w:rPr>
          <w:sz w:val="20"/>
          <w:szCs w:val="20"/>
          <w:color w:val="auto"/>
        </w:rPr>
      </w:pPr>
    </w:p>
    <w:p>
      <w:pPr>
        <w:ind w:firstLine="286"/>
        <w:spacing w:after="0" w:line="289" w:lineRule="auto"/>
        <w:rPr>
          <w:sz w:val="20"/>
          <w:szCs w:val="20"/>
          <w:color w:val="auto"/>
        </w:rPr>
      </w:pPr>
      <w:r>
        <w:rPr>
          <w:rFonts w:ascii="Arial" w:cs="Arial" w:eastAsia="Arial" w:hAnsi="Arial"/>
          <w:sz w:val="16"/>
          <w:szCs w:val="16"/>
          <w:color w:val="auto"/>
        </w:rPr>
        <w:t>As of April 23, 2021, affiliates of the Founder Entities own an aggregate of approximately 112,223,619 shares of Class A common stock, representing 54.3% of our voting power. As of April 23, 2021, Wesley R. Edens, Randal A. Nardone and Fortress Investment Group LLC directly or indirectly own 72,627,776 shares, 26,196,526 shares and 13,399,317 shares, respectively, of our Class A common stock, representing 35.1%, 12.7% and 6.5% of the voting power of the Class A common stock, respectively. The beneficial ownership of greater than 50% of our voting stock means affiliates of the Founder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Founder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193"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Given this concentrated ownership, the affiliates of the Founder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may adversely affect the trading price of our securities, including our Class A common stock, to the extent investors perceive a disadvantage in owning securities of a company with a significant stockholder.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Furthermore, in connection with the IPO, we entered into a shareholders’ agreement (the “Shareholders’ Agreement”) with New Fortress Energy Holdings and its affiliates, and in connection with the Exchange Transactions (as defined herein), New Fortress Energy Holdings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21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11" w:lineRule="exact"/>
        <w:rPr>
          <w:sz w:val="20"/>
          <w:szCs w:val="20"/>
          <w:color w:val="auto"/>
        </w:rPr>
      </w:pPr>
    </w:p>
    <w:p>
      <w:pPr>
        <w:ind w:right="140" w:firstLine="292"/>
        <w:spacing w:after="0" w:line="255" w:lineRule="auto"/>
        <w:rPr>
          <w:sz w:val="20"/>
          <w:szCs w:val="20"/>
          <w:color w:val="auto"/>
        </w:rPr>
      </w:pPr>
      <w:r>
        <w:rPr>
          <w:rFonts w:ascii="Arial" w:cs="Arial" w:eastAsia="Arial" w:hAnsi="Arial"/>
          <w:sz w:val="18"/>
          <w:szCs w:val="18"/>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securityholders. These provisions include:</w:t>
      </w:r>
    </w:p>
    <w:p>
      <w:pPr>
        <w:spacing w:after="0" w:line="219"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w:t>
      </w:r>
    </w:p>
    <w:p>
      <w:pPr>
        <w:jc w:val="both"/>
        <w:ind w:left="660" w:right="48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ind w:left="660" w:right="2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212" w:lineRule="exact"/>
        <w:rPr>
          <w:sz w:val="20"/>
          <w:szCs w:val="20"/>
          <w:color w:val="auto"/>
        </w:rPr>
      </w:pPr>
    </w:p>
    <w:p>
      <w:pPr>
        <w:ind w:right="100" w:firstLine="292"/>
        <w:spacing w:after="0" w:line="270"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NFE SMRS Holdings LLC (except in the context of a public offering) or any person whose ownership of stock in excess of 15% of our outstanding voting stock is the result of any action taken solely by us. Our Certificate of Incorporation provides that the Founder Entities and NFE SMRS Holdings LLC and any of their respective direct or indirect transferees, and any group as to which such persons are a party, do not constitute “interested stockholders” for purposes of this provision.</w:t>
      </w:r>
    </w:p>
    <w:p>
      <w:pPr>
        <w:spacing w:after="0" w:line="20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1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Class A common stock upon our liquidation, including any debt issued in connection with the financing of the Mergers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have incurred and may in the future incur or issue debt, including any debt issued in connection with the financing of the Mergers,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252"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19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9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Jumpstart Our Business Startups Act of 2012, or “JOBS Act”, contains provisions that, among other things, relax certain reporting requirements for “emerging growth companies,” including certain requirements relating to auditing standards and compensation disclosure. Prior to September 2, 2020,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20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 As a public company, we are required to report any control deficiencies that constitute a “material weakness” in our internal control over financial reporting, and doing so could impair our ability to raise capital and otherwise adversely affect the value of our securities.</w:t>
      </w:r>
    </w:p>
    <w:p>
      <w:pPr>
        <w:spacing w:after="0" w:line="219"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21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a public company with stock listed on Nasdaq, we are subject to an extensive body of regulations, including certain provisions of the Sarbanes-Oxley Act, the Dodd-Frank Act, regulations of the SEC and Nasdaq requirements. Compliance with these rules and regulations increases our legal, accounting, compliance and other expenses.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9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7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Class A common stock.</w:t>
      </w:r>
    </w:p>
    <w:p>
      <w:pPr>
        <w:spacing w:after="0" w:line="21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expect the Exchange Transactions and the Conversion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w:t>
      </w:r>
    </w:p>
    <w:p>
      <w:pPr>
        <w:spacing w:after="0" w:line="21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Class A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line="53"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6" w:lineRule="exact"/>
        <w:rPr>
          <w:sz w:val="20"/>
          <w:szCs w:val="20"/>
          <w:color w:val="auto"/>
        </w:rPr>
      </w:pPr>
    </w:p>
    <w:p>
      <w:pPr>
        <w:ind w:right="40" w:firstLine="363"/>
        <w:spacing w:after="0" w:line="296" w:lineRule="auto"/>
        <w:rPr>
          <w:sz w:val="20"/>
          <w:szCs w:val="20"/>
          <w:color w:val="auto"/>
        </w:rPr>
      </w:pPr>
      <w:r>
        <w:rPr>
          <w:rFonts w:ascii="Arial" w:cs="Arial" w:eastAsia="Arial" w:hAnsi="Arial"/>
          <w:sz w:val="16"/>
          <w:szCs w:val="16"/>
          <w:color w:val="auto"/>
        </w:rPr>
        <w:t>On June 15, 2021, the Company held its 2021 Annual Meeting of Stockholders (the “Annual Meeting”). As disclosed in the Company’s Current Report on Form 8-K filed June 21, 2021, stockholders approved, on an advisory basis, a frequency of every three years for future advisory votes to approve Named Executive Officers’ compensation. In light of these results, the Company’s board of directors determined that the Company will hold future advisory votes on named executive officers’ compensation on a three-year basis until the occurrence of the next vote on the frequency for future advisory votes on named executive officers’ compensation, which will occur no later than the Company’s 2027 Annual Meeting of Stockholders.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10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0"/>
              </w:rPr>
              <w:t>Agreement and Plan of Merger, dated as of January 13, 2021, by and among NFE, GMLP Merger Sub, GP Buyer, GMLP and the General</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Partner (incorporated by reference to Exhibit 2.1 to the Registrant’s Form 8-K (File No. 001-38790), filed with the SEC on January 20,</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89"/>
              </w:rPr>
              <w:t>Transfer Agreement, dated as of January 13, 2021, by and among GP Buyer, GLNG and the General Partner (incorporated by reference to</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Exhibit 2.2 to the Registrant’s Form 8-K (File No. 001-38790), filed with the SEC on January 20,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0">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Agreement and Plan of Merger, dated as of January 13, 2021, by and among NFE, Hygo Merger Sub, Hygo and the Hygo Shareholders</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(incorporated by reference to Exhibit 2.3 to the Registrant’s Form 8-K (File No. 001-38790), filed with the SEC on January 20,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1"/>
              </w:rPr>
              <w:t>Certificate of Formation of New Fortress Energy LLC (incorporated by reference to Exhibit 3.1 to the Registrant’s Registration Statement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 Form S-1 (File No. 333-228339), filed with the SEC on November 9, 2018)</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7"/>
              </w:rPr>
              <w:t>Certificate of Amendment to Certificate of Formation of New Fortress Energy LLC (incorporated by reference to Exhibit 3.2 to the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Registrant’s Registration Statement on Form S-1 (File No. 333-228339), filed with the SEC on November 9, 2018)</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3">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First Amended and Restated Limited Liability Company Agreement of New Fortress Energy LLC, dated February 4, 2019 (incorporated</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by reference to Exhibit 3.1 to the Registrant’s Form 8-K (File No. 001-38790), filed with the SEC on February 5,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4">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3"/>
              </w:rPr>
              <w:t>Certificate of Conversion of New Fortress Energy Inc. (incorporated by reference to Exhibit 3.1 to the Registrant’s Form 8-K filed with</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 SEC on August 7, 2020).</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5">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Certificate of Incorporation of New Fortress Energy Inc. (incorporated by reference to Exhibit 3.2 to the Registrant’s Form 8-K filed with</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 SEC on August 7, 2020).</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6">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Bylaws of New Fortress Energy Inc. (incorporated by reference to Exhibit 3.3 to the Registrant’s Form 8-K filed with the SEC on August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 2020).</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4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Contribution Agreement, dated February 4, 2019, by and among New Fortress Energy LLC, New Fortress Intermediate LLC, New</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Fortress Energy Holdings LLC, NFE Atlantic Holdings LLC and NFE Sub LLC (incorporated by reference to Exhibit 10.1 to the</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Registrant’s Form 8-K (File No. 001-38790), filed with the SEC on February 5,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4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2"/>
              </w:rPr>
              <w:t>Amended and Restated Limited Liability Company Agreement of New Fortress Intermediate LLC, dated February 4, 2019 (incorporated</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by reference to Exhibit 10.2 to the Registrant’s Form 8-K (File No. 001-38790), filed with the SEC on February 5,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4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New Fortress Energy LLC 2019 Omnibus Incentive Plan (incorporated by reference to Exhibit 4.4 to the Registrant’s Registration</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Statement on Form S-8 (File No. 333-229507), filed with the SEC on February 4,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5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Form of Director Restricted Share Unit Award Agreement (incorporated by reference to Exhibit 10.4 to the Registrant’s Registration</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Statement on Form S-1/A (File No. 333-228339), filed with the SEC on December 24, 2018).</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5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Form of Employee Restricted Share Unit Award Agreement (incorporated by reference to Exhibit 10.5 to the Registrant’s Quarterly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Report on Form 10-Q (File No. 001- 38790), filed with the Commission on May 15,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5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5"/>
              </w:rPr>
              <w:t>Shareholders’ Agreement, dated February 4, 2019, by and among New Fortress Energy LLC, New Fortress Energy Holdings LLC,</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Wesley R. Edens and Randal A. Nardone (incorporated by reference to Exhibit 4.1 to the Registrant’s Form 8-K (File No. 001-38790),</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filed with the SEC on February 5,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5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720" w:type="dxa"/>
            <w:vAlign w:val="bottom"/>
            <w:shd w:val="clear" w:color="auto" w:fill="CCEEFF"/>
          </w:tcPr>
          <w:p>
            <w:pPr>
              <w:spacing w:after="0"/>
              <w:rPr>
                <w:sz w:val="15"/>
                <w:szCs w:val="15"/>
                <w:color w:val="auto"/>
              </w:rPr>
            </w:pPr>
          </w:p>
        </w:tc>
        <w:tc>
          <w:tcPr>
            <w:tcW w:w="10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Administrative Services Agreement, dated February 4, 2019, by and between New Fortress Intermediate LLC and FIG LLC</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(incorporated by reference to Exhibit 10.3 to the Registrant’s Form 8-K (File No. 001-38790), filed with the SEC on February 5, 2019).</w:t>
            </w:r>
          </w:p>
        </w:tc>
      </w:tr>
    </w:tbl>
    <w:p>
      <w:pPr>
        <w:sectPr>
          <w:pgSz w:w="11900" w:h="16891" w:orient="portrait"/>
          <w:cols w:equalWidth="0" w:num="1">
            <w:col w:w="11240"/>
          </w:cols>
          <w:pgMar w:left="320" w:top="121" w:right="339" w:bottom="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2"/>
            <w:shd w:val="clear" w:color="auto" w:fill="CCEEFF"/>
          </w:tcPr>
          <w:p>
            <w:pPr>
              <w:spacing w:after="0"/>
              <w:rPr>
                <w:rFonts w:ascii="Arial" w:cs="Arial" w:eastAsia="Arial" w:hAnsi="Arial"/>
                <w:sz w:val="18"/>
                <w:szCs w:val="18"/>
                <w:color w:val="0000EE"/>
              </w:rPr>
            </w:pPr>
            <w:hyperlink r:id="rId154">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3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Indemnification Agreement (Edens) (incorporated by reference to Exhibit 10.4 to the Registrant’s Form 8-K (File No. 001-38790), filed</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596"/>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80" w:type="dxa"/>
            <w:vAlign w:val="bottom"/>
          </w:tcPr>
          <w:p>
            <w:pPr>
              <w:jc w:val="right"/>
              <w:ind w:right="5436"/>
              <w:spacing w:after="0"/>
              <w:rPr>
                <w:sz w:val="20"/>
                <w:szCs w:val="20"/>
                <w:color w:val="auto"/>
              </w:rPr>
            </w:pPr>
            <w:r>
              <w:rPr>
                <w:rFonts w:ascii="Arial" w:cs="Arial" w:eastAsia="Arial" w:hAnsi="Arial"/>
                <w:sz w:val="14"/>
                <w:szCs w:val="14"/>
                <w:color w:val="auto"/>
              </w:rPr>
              <w:t>113</w:t>
            </w:r>
          </w:p>
        </w:tc>
      </w:tr>
      <w:tr>
        <w:trPr>
          <w:trHeight w:val="46"/>
        </w:trPr>
        <w:tc>
          <w:tcPr>
            <w:tcW w:w="4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3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24" w:right="339" w:bottom="1440" w:gutter="0" w:footer="0" w:header="0"/>
        </w:sectPr>
      </w:pPr>
    </w:p>
    <w:bookmarkStart w:id="120" w:name="page121"/>
    <w:bookmarkEnd w:id="1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gridSpan w:val="3"/>
            <w:shd w:val="clear" w:color="auto" w:fill="CCEEFF"/>
          </w:tcPr>
          <w:p>
            <w:pPr>
              <w:spacing w:after="0"/>
              <w:rPr>
                <w:rFonts w:ascii="Arial" w:cs="Arial" w:eastAsia="Arial" w:hAnsi="Arial"/>
                <w:sz w:val="18"/>
                <w:szCs w:val="18"/>
                <w:color w:val="0000EE"/>
              </w:rPr>
            </w:pPr>
            <w:hyperlink r:id="rId15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Indemnification Agreement (Guinta) (incorporated by reference to Exhibit 10.5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56">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Indemnification Agreement (Catterall) (incorporated by reference to Exhibit 10.7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57">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Indemnification Agreement (Grain) (incorporated by reference to Exhibit 10.8 to the Registrant’s Form 8-K (File No. 001-38790), filed with</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58">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Indemnification Agreement (Griffin) (incorporated by reference to Exhibit 10.9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59">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Indemnification Agreement (Mack) (incorporated by reference to Exhibit 10.10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60">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Indemnification Agreement (Nardone) (incorporated by reference to Exhibit 10.11 to the Registrant’s Form 8-K (File No. 001-38790), filed</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Indemnification Agreement (Wanner) (incorporated by reference to Exhibit 10.12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Indemnification Agreement (Wilkinson) (incorporated by reference to Exhibit 10.13 to the Registrant’s Form 8-K (File No. 001-38790),</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filed 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Amendment Agreement dated as February 11, 2019 to Credit Agreement, dated as of August 15, 2018 and as amended and restated as of</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December 31, 2018, among New Fortress Intermediate LLC, NFE Atlantic Holdings LLC, the subsidiary guarantors from time to time party</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thereto, lenders parties thereto and Morgan Stanley Senior Funding, Inc., as administrative agent (incorporated by reference to Exhibit 10.25</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the Registrant’s Annual Report on Form 10-K, filed with the SEC on 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Second Amendment Agreement, dated as of March 13, 2019 to the Credit Agreement, dated as of August 15, 2018 and as amended and</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restated as of December 31, 2018, and as amended as of February 11, 2019, among New Fortress Intermediate LLC, NFE Atlantic Holdings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LLC, the subsidiary guarantors from time to time party thereto, lenders parties thereto and Morgan Stanley Senior Funding, Inc., as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administrative agent (incorporated by reference to Exhibit 10.26 to the Registrant’s Annual Report on Form 10-K, filed with the SEC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65">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Engineering, Procurement and Construction Agreement for the Marcellus LNG Production Facility I, dated January 8, 2019, by and between</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Bradford County Real Estate Partners LLC and Black &amp; Veatch Construction, Inc. (incorporated by reference to Exhibit 10.17 to the</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Registrant’s Registration Statement on Form S-1/A (File No. 333-228339), filed with the SEC on January 25,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166">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Indemnification Agreement, dated as of March 17, 2019, by and between New Fortress Energy LLC and Yunyoung Shin (incorporated by</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reference to Exhibit 10.29 to the Registrant’s Annual Report on Form 10-K, filed with the SEC on 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67">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Letter Agreement, dated as of December 3, 2019, by and between NFE Management LLC and Yunyoung Shin. (incorporated by reference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Exhibit 10.3 to the Registrant’s Quarterly Report on Form 10-Q, filed with the SEC on May 6,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68">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Indenture, dated September 2, 2020, by and among the Company, the subsidiary guarantors from time to time party thereto, and U.S. Bank</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National Association, as trustee and as notes collateral agent (incorporated by reference to Exhibit 4.1 to the Registrant’s Current Report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8-K, filed with the SEC on September 2,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69">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Pledge and Security Agreement, dated September 2, 2020,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thereto, and U.S. Bank National Association, as notes collateral agent (incorporated by reference to Exhibit 4.2 to the Registrant’s Current</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on Form 8-K, filed with the SEC on September 2,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0">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First Supplemental Indenture, dated December 17, 2020,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thereto and U.S. Bank National Association, as trustee and as notes collateral agent (incorporated by reference to Exhibit 4.1 to the</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Registrant’s Current Report on Form 8-K, filed with the SEC on December 18,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1">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Support Agreement, dated as of January 13, 2021, by and among NFE, GMLP, GLNG and the General Partner (incorporated by reference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Exhibit 10.1 to the Registrant’s Form 8-K (File No. 001-38790), filed with the SEC on January 20,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2">
              <w:r>
                <w:rPr>
                  <w:rFonts w:ascii="Arial" w:cs="Arial" w:eastAsia="Arial" w:hAnsi="Arial"/>
                  <w:sz w:val="18"/>
                  <w:szCs w:val="18"/>
                  <w:color w:val="0000EE"/>
                </w:rPr>
                <w:t>10.</w:t>
              </w:r>
              <w:r>
                <w:rPr>
                  <w:rFonts w:ascii="Arial" w:cs="Arial" w:eastAsia="Arial" w:hAnsi="Arial"/>
                  <w:sz w:val="18"/>
                  <w:szCs w:val="18"/>
                  <w:u w:val="single" w:color="auto"/>
                  <w:color w:val="0000EE"/>
                </w:rPr>
                <w:t>26</w:t>
              </w:r>
            </w:hyperlink>
          </w:p>
        </w:tc>
        <w:tc>
          <w:tcPr>
            <w:tcW w:w="300" w:type="dxa"/>
            <w:vAlign w:val="bottom"/>
            <w:shd w:val="clear" w:color="auto" w:fill="CCEEFF"/>
          </w:tcPr>
          <w:p>
            <w:pPr>
              <w:spacing w:after="0"/>
              <w:rPr>
                <w:sz w:val="15"/>
                <w:szCs w:val="15"/>
                <w:color w:val="auto"/>
              </w:rPr>
            </w:pPr>
          </w:p>
        </w:tc>
        <w:tc>
          <w:tcPr>
            <w:tcW w:w="104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Indenture, dated April 12, 2021, by and among the Company, the subsidiary guarantors from time to time party thereto, and U.S. Bank</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4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National Association, as trustee and as notes collateral agent (incorporated by reference to Exhibit 4.1 to the Registrant’s Current Report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8-K, filed with the SEC on April 12, 2021).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gridSpan w:val="2"/>
            <w:shd w:val="clear" w:color="auto" w:fill="CCEEFF"/>
          </w:tcPr>
          <w:p>
            <w:pPr>
              <w:spacing w:after="0"/>
              <w:rPr>
                <w:rFonts w:ascii="Arial" w:cs="Arial" w:eastAsia="Arial" w:hAnsi="Arial"/>
                <w:sz w:val="18"/>
                <w:szCs w:val="18"/>
                <w:color w:val="0000EE"/>
              </w:rPr>
            </w:pPr>
            <w:hyperlink r:id="rId174">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560" w:type="dxa"/>
            <w:vAlign w:val="bottom"/>
            <w:shd w:val="clear" w:color="auto" w:fill="CCEEFF"/>
          </w:tcPr>
          <w:p>
            <w:pPr>
              <w:spacing w:after="0"/>
              <w:rPr>
                <w:sz w:val="17"/>
                <w:szCs w:val="17"/>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Pledge and Security Agreement, dated April 12, 2021,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thereto, and U.S. Bank National Association, as notes collateral agent (incorporated by reference to Exhibit 4.2 to the Registrant’s</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Report on Form 8-K, filed with the SEC on April 12,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5">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Shareholders’ Agreement, dated as of April 15, 2021, by and among the Company, GLNG, and Stonepeak (incorporated by reference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Exhibit 10.1 to the Registrant’s Current Report on Form 8-K, filed with the SEC on April 21,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6">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Credit Agreement, dated as of April 15, 2021, by and among the Company, as the borrower, the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thereto, the several lenders and issuing banks from time to time party thereto, and Morgan Stanley Senior Funding, Inc,. as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administrative agent and collateral agent (incorporated by reference to Exhibit 10.2 to the Registrant’s Current Report on Form 8-K, filed</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with the SEC on April 21,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7">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Omnibus Agreement, dated as of April 15, 2021, by and among the Company, GLNG and certain other parties thereto (incorporated by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reference to Exhibit 10.30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8">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Indemnity Agreement, dated as of April 15, 2021, by and among the Company, GLNG, and certain affiliates of Stonepeak (incorporated</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by reference to Exhibit 10.31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9">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Omnibus Agreement, dated as of April 15, 2021, by and among the Company, GMLP, GLNG and certain parties thereto (incorporated by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reference to Exhibit 10.32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0">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Indemnification Agreement, dated as of April 15, 2021, by and between NFE International and GLNG (incorporated by reference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Exhibit 10.33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Certification by Chief Executive Officer pursuant to Rule 13a-14(a) and 15d-14(a) of the Exchange Act Rules, as adopted pursuant to</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Certification by Chief Financial Officer pursuant to Rule 13a-14(a) and 15d-14(a) of the Exchange Act Rules, as adopted pursuant to</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1060" w:type="dxa"/>
            <w:vAlign w:val="bottom"/>
            <w:gridSpan w:val="3"/>
            <w:shd w:val="clear" w:color="auto" w:fill="CCEEFF"/>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Certifications by Chief Executive Officer pursuant to Title 18 U.S.C. Section 1350, as adopted pursuant to Section 906 of Sarbanes-</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Oxley 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1060" w:type="dxa"/>
            <w:vAlign w:val="bottom"/>
            <w:gridSpan w:val="3"/>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1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Certifications by Chief Financial Officer pursuant to Title 18 U.S.C. Section 1350, as adopted pursuant to Section 906 of Sarbanes-Oxley</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Schema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Label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Presentation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as an exhibit to this Quarterly Report</w:t>
      </w:r>
    </w:p>
    <w:p>
      <w:pPr>
        <w:spacing w:after="0" w:line="23"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Furnished as an exhibit to this Quarterly Report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Date: August 6, 2021</w:t>
            </w:r>
          </w:p>
        </w:tc>
        <w:tc>
          <w:tcPr>
            <w:tcW w:w="4820" w:type="dxa"/>
            <w:vAlign w:val="bottom"/>
          </w:tcPr>
          <w:p>
            <w:pPr>
              <w:spacing w:after="0"/>
              <w:rPr>
                <w:sz w:val="20"/>
                <w:szCs w:val="20"/>
                <w:color w:val="auto"/>
              </w:rPr>
            </w:pPr>
          </w:p>
        </w:tc>
      </w:tr>
      <w:tr>
        <w:trPr>
          <w:trHeight w:val="439"/>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Wesley R. Edens</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432"/>
        </w:trPr>
        <w:tc>
          <w:tcPr>
            <w:tcW w:w="64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02"/>
        </w:trPr>
        <w:tc>
          <w:tcPr>
            <w:tcW w:w="6420" w:type="dxa"/>
            <w:vAlign w:val="bottom"/>
          </w:tcPr>
          <w:p>
            <w:pPr>
              <w:spacing w:after="0"/>
              <w:rPr>
                <w:sz w:val="20"/>
                <w:szCs w:val="20"/>
                <w:color w:val="auto"/>
              </w:rPr>
            </w:pPr>
            <w:r>
              <w:rPr>
                <w:rFonts w:ascii="Arial" w:cs="Arial" w:eastAsia="Arial" w:hAnsi="Arial"/>
                <w:sz w:val="18"/>
                <w:szCs w:val="18"/>
                <w:color w:val="auto"/>
              </w:rPr>
              <w:t>Date: August 6, 2021</w:t>
            </w:r>
          </w:p>
        </w:tc>
        <w:tc>
          <w:tcPr>
            <w:tcW w:w="4820" w:type="dxa"/>
            <w:vAlign w:val="bottom"/>
          </w:tcPr>
          <w:p>
            <w:pPr>
              <w:spacing w:after="0"/>
              <w:rPr>
                <w:sz w:val="24"/>
                <w:szCs w:val="24"/>
                <w:color w:val="auto"/>
              </w:rPr>
            </w:pPr>
          </w:p>
        </w:tc>
      </w:tr>
      <w:tr>
        <w:trPr>
          <w:trHeight w:val="439"/>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Christopher S. Guinta</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4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02"/>
        </w:trPr>
        <w:tc>
          <w:tcPr>
            <w:tcW w:w="6420" w:type="dxa"/>
            <w:vAlign w:val="bottom"/>
          </w:tcPr>
          <w:p>
            <w:pPr>
              <w:spacing w:after="0"/>
              <w:rPr>
                <w:sz w:val="20"/>
                <w:szCs w:val="20"/>
                <w:color w:val="auto"/>
              </w:rPr>
            </w:pPr>
            <w:r>
              <w:rPr>
                <w:rFonts w:ascii="Arial" w:cs="Arial" w:eastAsia="Arial" w:hAnsi="Arial"/>
                <w:sz w:val="18"/>
                <w:szCs w:val="18"/>
                <w:color w:val="auto"/>
              </w:rPr>
              <w:t>Date: August 6, 2021</w:t>
            </w:r>
          </w:p>
        </w:tc>
        <w:tc>
          <w:tcPr>
            <w:tcW w:w="4820" w:type="dxa"/>
            <w:vAlign w:val="bottom"/>
          </w:tcPr>
          <w:p>
            <w:pPr>
              <w:spacing w:after="0"/>
              <w:rPr>
                <w:sz w:val="24"/>
                <w:szCs w:val="24"/>
                <w:color w:val="auto"/>
              </w:rPr>
            </w:pPr>
          </w:p>
        </w:tc>
      </w:tr>
      <w:tr>
        <w:trPr>
          <w:trHeight w:val="439"/>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Yunyoung Shin</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Yunyoung Shin</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64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649"/>
        </w:trPr>
        <w:tc>
          <w:tcPr>
            <w:tcW w:w="6420" w:type="dxa"/>
            <w:vAlign w:val="bottom"/>
          </w:tcPr>
          <w:p>
            <w:pPr>
              <w:ind w:left="5520"/>
              <w:spacing w:after="0"/>
              <w:rPr>
                <w:sz w:val="20"/>
                <w:szCs w:val="20"/>
                <w:color w:val="auto"/>
              </w:rPr>
            </w:pPr>
            <w:r>
              <w:rPr>
                <w:rFonts w:ascii="Arial" w:cs="Arial" w:eastAsia="Arial" w:hAnsi="Arial"/>
                <w:sz w:val="14"/>
                <w:szCs w:val="14"/>
                <w:color w:val="auto"/>
              </w:rPr>
              <w:t>116</w:t>
            </w:r>
          </w:p>
        </w:tc>
        <w:tc>
          <w:tcPr>
            <w:tcW w:w="48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13A-14(A) AND RULE 15D-14(A)</w:t>
      </w:r>
    </w:p>
    <w:p>
      <w:pPr>
        <w:jc w:val="center"/>
        <w:spacing w:after="0" w:line="230" w:lineRule="auto"/>
        <w:rPr>
          <w:sz w:val="20"/>
          <w:szCs w:val="20"/>
          <w:color w:val="auto"/>
        </w:rPr>
      </w:pPr>
      <w:r>
        <w:rPr>
          <w:rFonts w:ascii="Arial" w:cs="Arial" w:eastAsia="Arial" w:hAnsi="Arial"/>
          <w:sz w:val="22"/>
          <w:szCs w:val="22"/>
          <w:b w:val="1"/>
          <w:bCs w:val="1"/>
          <w:color w:val="auto"/>
        </w:rPr>
        <w:t>UNDER THE SECURITIES EXCHANGE ACT OF 1934,</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 OF THE</w:t>
      </w:r>
    </w:p>
    <w:p>
      <w:pPr>
        <w:jc w:val="center"/>
        <w:spacing w:after="0"/>
        <w:rPr>
          <w:sz w:val="20"/>
          <w:szCs w:val="20"/>
          <w:color w:val="auto"/>
        </w:rPr>
      </w:pPr>
      <w:r>
        <w:rPr>
          <w:rFonts w:ascii="Arial" w:cs="Arial" w:eastAsia="Arial" w:hAnsi="Arial"/>
          <w:sz w:val="22"/>
          <w:szCs w:val="22"/>
          <w:b w:val="1"/>
          <w:bCs w:val="1"/>
          <w:color w:val="auto"/>
        </w:rPr>
        <w:t>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Wesley R. Edens, certify that:</w:t>
      </w:r>
    </w:p>
    <w:p>
      <w:pPr>
        <w:spacing w:after="0" w:line="24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833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13A-14(A) AND RULE 15D-14(A)</w:t>
      </w:r>
    </w:p>
    <w:p>
      <w:pPr>
        <w:jc w:val="center"/>
        <w:spacing w:after="0" w:line="230" w:lineRule="auto"/>
        <w:rPr>
          <w:sz w:val="20"/>
          <w:szCs w:val="20"/>
          <w:color w:val="auto"/>
        </w:rPr>
      </w:pPr>
      <w:r>
        <w:rPr>
          <w:rFonts w:ascii="Arial" w:cs="Arial" w:eastAsia="Arial" w:hAnsi="Arial"/>
          <w:sz w:val="22"/>
          <w:szCs w:val="22"/>
          <w:b w:val="1"/>
          <w:bCs w:val="1"/>
          <w:color w:val="auto"/>
        </w:rPr>
        <w:t>UNDER THE SECURITIES EXCHANGE ACT OF 1934,</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 OF THE</w:t>
      </w:r>
    </w:p>
    <w:p>
      <w:pPr>
        <w:jc w:val="center"/>
        <w:spacing w:after="0"/>
        <w:rPr>
          <w:sz w:val="20"/>
          <w:szCs w:val="20"/>
          <w:color w:val="auto"/>
        </w:rPr>
      </w:pPr>
      <w:r>
        <w:rPr>
          <w:rFonts w:ascii="Arial" w:cs="Arial" w:eastAsia="Arial" w:hAnsi="Arial"/>
          <w:sz w:val="22"/>
          <w:szCs w:val="22"/>
          <w:b w:val="1"/>
          <w:bCs w:val="1"/>
          <w:color w:val="auto"/>
        </w:rPr>
        <w:t>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Christopher S. Guinta, certify that:</w:t>
      </w:r>
    </w:p>
    <w:p>
      <w:pPr>
        <w:spacing w:after="0" w:line="24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833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EXECUTIVE OFFICER UNDER SECTION 906</w:t>
      </w:r>
    </w:p>
    <w:p>
      <w:pPr>
        <w:jc w:val="center"/>
        <w:spacing w:after="0"/>
        <w:rPr>
          <w:sz w:val="20"/>
          <w:szCs w:val="20"/>
          <w:color w:val="auto"/>
        </w:rPr>
      </w:pPr>
      <w:r>
        <w:rPr>
          <w:rFonts w:ascii="Arial" w:cs="Arial" w:eastAsia="Arial" w:hAnsi="Arial"/>
          <w:sz w:val="22"/>
          <w:szCs w:val="22"/>
          <w:b w:val="1"/>
          <w:bCs w:val="1"/>
          <w:color w:val="auto"/>
        </w:rPr>
        <w:t>OF THE SARBANES OXLEY ACT OF 2002, 18 U.S.C. § 1350</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on Form 10-Q of New Fortress Energy Inc.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219"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8332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FINANCIAL OFFICER UNDER SECTION 906</w:t>
      </w:r>
    </w:p>
    <w:p>
      <w:pPr>
        <w:jc w:val="center"/>
        <w:spacing w:after="0"/>
        <w:rPr>
          <w:sz w:val="20"/>
          <w:szCs w:val="20"/>
          <w:color w:val="auto"/>
        </w:rPr>
      </w:pPr>
      <w:r>
        <w:rPr>
          <w:rFonts w:ascii="Arial" w:cs="Arial" w:eastAsia="Arial" w:hAnsi="Arial"/>
          <w:sz w:val="22"/>
          <w:szCs w:val="22"/>
          <w:b w:val="1"/>
          <w:bCs w:val="1"/>
          <w:color w:val="auto"/>
        </w:rPr>
        <w:t>OF THE SARBANES OXLEY ACT OF 2002, 18 U.S.C. § 1350</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on Form 10-Q of New Fortress Energy Inc.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219"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2833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8"/>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19"/>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73"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38" Type="http://schemas.openxmlformats.org/officeDocument/2006/relationships/hyperlink" Target="https://www.sec.gov/Archives/edgar/data/1749723/000114036121001601/brhc10019000_ex2-1.htm" TargetMode="External"/><Relationship Id="rId139" Type="http://schemas.openxmlformats.org/officeDocument/2006/relationships/hyperlink" Target="https://www.sec.gov/Archives/edgar/data/1749723/000114036121001601/brhc10019000_ex-2-2.htm" TargetMode="External"/><Relationship Id="rId140" Type="http://schemas.openxmlformats.org/officeDocument/2006/relationships/hyperlink" Target="https://www.sec.gov/Archives/edgar/data/1749723/000114036121001601/brhc10019000_ex2-3.htm" TargetMode="External"/><Relationship Id="rId141" Type="http://schemas.openxmlformats.org/officeDocument/2006/relationships/hyperlink" Target="https://www.sec.gov/Archives/edgar/data/1749723/000114036118042889/s002392x7_ex3-1.htm" TargetMode="External"/><Relationship Id="rId142" Type="http://schemas.openxmlformats.org/officeDocument/2006/relationships/hyperlink" Target="https://www.sec.gov/Archives/edgar/data/1749723/000114036118042889/s002392x7_ex3-2.htm" TargetMode="External"/><Relationship Id="rId143" Type="http://schemas.openxmlformats.org/officeDocument/2006/relationships/hyperlink" Target="https://www.sec.gov/Archives/edgar/data/1749723/000114036119002493/s002392x20_ex3-1.htm" TargetMode="External"/><Relationship Id="rId144" Type="http://schemas.openxmlformats.org/officeDocument/2006/relationships/hyperlink" Target="https://www.sec.gov/Archives/edgar/data/1749723/000114036120017367/brhc10013767_ex99-2.htm" TargetMode="External"/><Relationship Id="rId145" Type="http://schemas.openxmlformats.org/officeDocument/2006/relationships/hyperlink" Target="https://www.sec.gov/Archives/edgar/data/1749723/000114036120017367/brhc10013767_ex99-3.htm" TargetMode="External"/><Relationship Id="rId146" Type="http://schemas.openxmlformats.org/officeDocument/2006/relationships/hyperlink" Target="https://www.sec.gov/Archives/edgar/data/1749723/000114036120017367/brhc10013767_ex99-4.htm" TargetMode="External"/><Relationship Id="rId147" Type="http://schemas.openxmlformats.org/officeDocument/2006/relationships/hyperlink" Target="https://www.sec.gov/Archives/edgar/data/1749723/000114036119002493/s002392x20_ex10-1.htm" TargetMode="External"/><Relationship Id="rId148" Type="http://schemas.openxmlformats.org/officeDocument/2006/relationships/hyperlink" Target="https://www.sec.gov/Archives/edgar/data/1749723/000114036119002493/s002392x20_ex10-2.htm" TargetMode="External"/><Relationship Id="rId149" Type="http://schemas.openxmlformats.org/officeDocument/2006/relationships/hyperlink" Target="https://www.sec.gov/Archives/edgar/data/1749723/000114036119002438/s002392x19_ex4-4.htm" TargetMode="External"/><Relationship Id="rId150" Type="http://schemas.openxmlformats.org/officeDocument/2006/relationships/hyperlink" Target="https://www.sec.gov/Archives/edgar/data/1749723/000114036118045661/s002392x8_ex10-4.htm" TargetMode="External"/><Relationship Id="rId151" Type="http://schemas.openxmlformats.org/officeDocument/2006/relationships/hyperlink" Target="https://www.sec.gov/Archives/edgar/data/0001749723/000114036119009182/ex10_5.htm" TargetMode="External"/><Relationship Id="rId152" Type="http://schemas.openxmlformats.org/officeDocument/2006/relationships/hyperlink" Target="https://www.sec.gov/Archives/edgar/data/1749723/000114036119002493/s002392x20_ex4-1.htm" TargetMode="External"/><Relationship Id="rId153" Type="http://schemas.openxmlformats.org/officeDocument/2006/relationships/hyperlink" Target="https://www.sec.gov/Archives/edgar/data/1749723/000114036119002493/s002392x20_ex10-3.htm" TargetMode="External"/><Relationship Id="rId154" Type="http://schemas.openxmlformats.org/officeDocument/2006/relationships/hyperlink" Target="https://www.sec.gov/Archives/edgar/data/1749723/000114036119002493/s002392x20_ex10-4.htm" TargetMode="External"/><Relationship Id="rId155" Type="http://schemas.openxmlformats.org/officeDocument/2006/relationships/hyperlink" Target="https://www.sec.gov/Archives/edgar/data/1749723/000114036119002493/s002392x20_ex10-5.htm" TargetMode="External"/><Relationship Id="rId156" Type="http://schemas.openxmlformats.org/officeDocument/2006/relationships/hyperlink" Target="https://www.sec.gov/Archives/edgar/data/1749723/000114036119002493/s002392x20_ex10-7.htm" TargetMode="External"/><Relationship Id="rId157" Type="http://schemas.openxmlformats.org/officeDocument/2006/relationships/hyperlink" Target="https://www.sec.gov/Archives/edgar/data/1749723/000114036119002493/s002392x20_ex10-8.htm" TargetMode="External"/><Relationship Id="rId158" Type="http://schemas.openxmlformats.org/officeDocument/2006/relationships/hyperlink" Target="https://www.sec.gov/Archives/edgar/data/1749723/000114036119002493/s002392x20_ex10-9.htm" TargetMode="External"/><Relationship Id="rId159" Type="http://schemas.openxmlformats.org/officeDocument/2006/relationships/hyperlink" Target="https://www.sec.gov/Archives/edgar/data/1749723/000114036119002493/s002392x20_ex10-10.htm" TargetMode="External"/><Relationship Id="rId160" Type="http://schemas.openxmlformats.org/officeDocument/2006/relationships/hyperlink" Target="https://www.sec.gov/Archives/edgar/data/1749723/000114036119002493/s002392x20_ex10-11.htm" TargetMode="External"/><Relationship Id="rId161" Type="http://schemas.openxmlformats.org/officeDocument/2006/relationships/hyperlink" Target="https://www.sec.gov/Archives/edgar/data/1749723/000114036119002493/s002392x20_ex10-12.htm" TargetMode="External"/><Relationship Id="rId162" Type="http://schemas.openxmlformats.org/officeDocument/2006/relationships/hyperlink" Target="https://www.sec.gov/Archives/edgar/data/1749723/000114036119002493/s002392x20_ex10-13.htm" TargetMode="External"/><Relationship Id="rId163" Type="http://schemas.openxmlformats.org/officeDocument/2006/relationships/hyperlink" Target="https://www.sec.gov/Archives/edgar/data/1749723/000114036119005657/s002752x1_ex10-25.htm" TargetMode="External"/><Relationship Id="rId164" Type="http://schemas.openxmlformats.org/officeDocument/2006/relationships/hyperlink" Target="https://www.sec.gov/Archives/edgar/data/1749723/000114036119005657/s002752x1_ex10-26.htm" TargetMode="External"/><Relationship Id="rId165" Type="http://schemas.openxmlformats.org/officeDocument/2006/relationships/hyperlink" Target="https://www.sec.gov/Archives/edgar/data/1749723/000114036119001592/s002392x11_ex10-17.htm" TargetMode="External"/><Relationship Id="rId166" Type="http://schemas.openxmlformats.org/officeDocument/2006/relationships/hyperlink" Target="https://www.sec.gov/Archives/edgar/data/1749723/000114036119005657/s002752x1_ex10-29.htm" TargetMode="External"/><Relationship Id="rId167" Type="http://schemas.openxmlformats.org/officeDocument/2006/relationships/hyperlink" Target="https://www.sec.gov/Archives/edgar/data/0001749723/000114036120010751/ex10_3.htm" TargetMode="External"/><Relationship Id="rId168" Type="http://schemas.openxmlformats.org/officeDocument/2006/relationships/hyperlink" Target="https://www.sec.gov/Archives/edgar/data/0001749723/000114036120019661/nc10014821x1_ex4-1.htm" TargetMode="External"/><Relationship Id="rId169" Type="http://schemas.openxmlformats.org/officeDocument/2006/relationships/hyperlink" Target="https://www.sec.gov/Archives/edgar/data/0001749723/000114036120019661/nc10014821x1_ex4-2.htm" TargetMode="External"/><Relationship Id="rId170" Type="http://schemas.openxmlformats.org/officeDocument/2006/relationships/hyperlink" Target="https://www.sec.gov/Archives/edgar/data/0001749723/000114036120028859/nt10017907x7_ex4-1.htm" TargetMode="External"/><Relationship Id="rId171" Type="http://schemas.openxmlformats.org/officeDocument/2006/relationships/hyperlink" Target="https://www.sec.gov/Archives/edgar/data/1749723/000114036121001601/brhc10019000_ex10-1.htm" TargetMode="External"/><Relationship Id="rId172" Type="http://schemas.openxmlformats.org/officeDocument/2006/relationships/hyperlink" Target="https://www.sec.gov/Archives/edgar/data/0001749723/000114036121012455/brhc10022997_ex4-1.htm" TargetMode="External"/><Relationship Id="rId174" Type="http://schemas.openxmlformats.org/officeDocument/2006/relationships/hyperlink" Target="https://www.sec.gov/Archives/edgar/data/0001749723/000114036121012455/brhc10022997_ex4-2.htm" TargetMode="External"/><Relationship Id="rId175" Type="http://schemas.openxmlformats.org/officeDocument/2006/relationships/hyperlink" Target="https://www.sec.gov/Archives/edgar/data/0001749723/000114036121013692/brhc10023371_ex10-1.htm" TargetMode="External"/><Relationship Id="rId176" Type="http://schemas.openxmlformats.org/officeDocument/2006/relationships/hyperlink" Target="https://www.sec.gov/Archives/edgar/data/0001749723/000114036121013692/brhc10023371_ex10-2.htm" TargetMode="External"/><Relationship Id="rId177" Type="http://schemas.openxmlformats.org/officeDocument/2006/relationships/hyperlink" Target="https://www.sec.gov/Archives/edgar/data/1749723/000114036121016441/brhc10023949_ex10-30.htm" TargetMode="External"/><Relationship Id="rId178" Type="http://schemas.openxmlformats.org/officeDocument/2006/relationships/hyperlink" Target="https://www.sec.gov/Archives/edgar/data/1749723/000114036121016441/brhc10023949_ex10-31.htm" TargetMode="External"/><Relationship Id="rId179" Type="http://schemas.openxmlformats.org/officeDocument/2006/relationships/hyperlink" Target="https://www.sec.gov/Archives/edgar/data/1749723/000114036121016441/brhc10023949_ex10-32.htm" TargetMode="External"/><Relationship Id="rId180" Type="http://schemas.openxmlformats.org/officeDocument/2006/relationships/hyperlink" Target="https://www.sec.gov/Archives/edgar/data/1749723/000114036121016441/brhc10023949_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2021-08-06T17:26:50Z</dcterms:created>
  <dcterms:modified xsi:type="dcterms:W3CDTF">2021-08-06T17:26:50Z</dcterms:modified>
</cp:coreProperties>
</file>