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Wesley R. Edens</w:t>
      </w:r>
    </w:p>
    <w:p>
      <w:pPr>
        <w:spacing w:after="0" w:line="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0000FF"/>
        </w:rPr>
        <w:t>111 W. 19th St., 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5162687400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Wesley R. Edens</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53,634,666.00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53,634,666.00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53,634,666.00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26" w:right="339" w:bottom="6" w:gutter="0" w:footer="0" w:header="0"/>
        </w:sectPr>
      </w:pPr>
    </w:p>
    <w:p>
      <w:pPr>
        <w:spacing w:after="0" w:line="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b w:val="1"/>
          <w:bCs w:val="1"/>
          <w:color w:val="auto"/>
        </w:rPr>
        <w:t xml:space="preserve">Comment for Type </w:t>
      </w:r>
      <w:r>
        <w:rPr>
          <w:rFonts w:ascii="Times New Roman" w:cs="Times New Roman" w:eastAsia="Times New Roman" w:hAnsi="Times New Roman"/>
          <w:sz w:val="21"/>
          <w:szCs w:val="21"/>
          <w:color w:val="auto"/>
        </w:rPr>
        <w:t>Calculations are based upon a total of 284,552,811 shares of Class A common stock outstanding as of</w:t>
      </w:r>
      <w:r>
        <w:rPr>
          <w:rFonts w:ascii="Times New Roman" w:cs="Times New Roman" w:eastAsia="Times New Roman" w:hAnsi="Times New Roman"/>
          <w:sz w:val="19"/>
          <w:szCs w:val="19"/>
          <w:b w:val="1"/>
          <w:bCs w:val="1"/>
          <w:color w:val="auto"/>
        </w:rPr>
        <w:t xml:space="preserve"> of Reporting Person: </w:t>
      </w:r>
      <w:r>
        <w:rPr>
          <w:rFonts w:ascii="Times New Roman" w:cs="Times New Roman" w:eastAsia="Times New Roman" w:hAnsi="Times New Roman"/>
          <w:sz w:val="21"/>
          <w:szCs w:val="21"/>
          <w:color w:val="auto"/>
        </w:rPr>
        <w:t>November 14, 2025, as reported by the Issuer in its Form 10-Q filed with the SEC on November 21,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111 W. 19th Street, 8th Floor, New York, NEW YORK , 10011.</w:t>
      </w:r>
    </w:p>
    <w:p>
      <w:pPr>
        <w:spacing w:after="0" w:line="20" w:lineRule="exact"/>
        <w:rPr>
          <w:sz w:val="20"/>
          <w:szCs w:val="20"/>
          <w:color w:val="auto"/>
        </w:rPr>
      </w:pPr>
    </w:p>
    <w:p>
      <w:pPr>
        <w:jc w:val="right"/>
        <w:ind w:left="40" w:righ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filing constitutes Amendment No. 7 (this "Amendment") to the Schedule 13D filed by Wesley R. Edens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"Reporting Person") with the Securities and Exchange Commission (the "SEC") on February 11, 2019 (the "Original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Schedule 13D"), as amended by Amendment No. 1 filed with the SEC on March 28, 2019, by Amendment No. 2 filed with the SEC on June 11, 2020, by Amendment No. 3 filed with the SEC on March 18, 2021, by Amendment No. 4 filed with the SEC on June 15, 2021, by Amendment No. 5 filed with the SEC on May 22, 2023 and by Amendment No. 6 filed with the SEC on October 3, 2024 (the Original Schedule 13D, as previously amended and as further amended and supplemented by this Amendment, the "Schedule 13D") with respect to the shares of Class A common stock ("Class A Shares") of New Fortress Energy Inc., a Delaware corporation (the "Issuer"). The Reporting Person is filing this Amendment to disclose that, on March 31, 2026, the Reporting Person entered into an</w:t>
      </w:r>
    </w:p>
    <w:p>
      <w:pPr>
        <w:sectPr>
          <w:pgSz w:w="11900" w:h="16838" w:orient="portrait"/>
          <w:cols w:equalWidth="0" w:num="1">
            <w:col w:w="11240"/>
          </w:cols>
          <w:pgMar w:left="320" w:top="126" w:right="339" w:bottom="6" w:gutter="0" w:footer="0" w:header="0"/>
          <w:type w:val="continuous"/>
        </w:sectPr>
      </w:pPr>
    </w:p>
    <w:bookmarkStart w:id="2" w:name="page3"/>
    <w:bookmarkEnd w:id="2"/>
    <w:p>
      <w:pPr>
        <w:jc w:val="both"/>
        <w:ind w:left="960"/>
        <w:spacing w:after="0" w:line="233" w:lineRule="auto"/>
        <w:rPr>
          <w:sz w:val="20"/>
          <w:szCs w:val="20"/>
          <w:color w:val="auto"/>
        </w:rPr>
      </w:pPr>
      <w:r>
        <w:rPr>
          <w:rFonts w:ascii="Times New Roman" w:cs="Times New Roman" w:eastAsia="Times New Roman" w:hAnsi="Times New Roman"/>
          <w:sz w:val="22"/>
          <w:szCs w:val="22"/>
          <w:color w:val="auto"/>
        </w:rPr>
        <w:t>Assignment and Assumption Agreement pursuant to which the Reporting Person agreed to purchase approximately $110 million aggregate principal amount of the loans (the "Loan Purchase") issued pursuant to the Issuer's Credit Agreement, dated as of July 19, 2024, by and among the Issuer, as the borrower, the guarantors from time to time party thereto, the several lenders from time to time party thereto, and Morgan Stanley Senior Funding Inc., as administrative agent and collateral agent (the "Term Loan A Credit Agreement"). Upon closing of the transactions contemplated by the Restructuring Support Agreement as disclosed in the Issuer's Form 8-K filed on March 17, 2026, the Reporting Person is expected to receive a pro rata portion of the consideration to be received by the lenders under the Term Loan A Credit Agreement, which consideration is expected to include an indeterminate amount of Class A Shares and shares of preferred stock convertible into Class A Shares. Other than as set forth in this Amendment, all previous Items of the Original Schedule 13D, as previously amended, are unchanged. Capitalized terms used in this Amendment and not otherwise defined shall have the same meanings ascribed to them in the Original Schedule 13D, as previously amended.</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40"/>
        <w:spacing w:after="0" w:line="256" w:lineRule="auto"/>
        <w:rPr>
          <w:sz w:val="20"/>
          <w:szCs w:val="20"/>
          <w:color w:val="auto"/>
        </w:rPr>
      </w:pPr>
      <w:r>
        <w:rPr>
          <w:rFonts w:ascii="Times New Roman" w:cs="Times New Roman" w:eastAsia="Times New Roman" w:hAnsi="Times New Roman"/>
          <w:sz w:val="22"/>
          <w:szCs w:val="22"/>
          <w:color w:val="auto"/>
        </w:rPr>
        <w:t>Item 3 to the Schedule 13D is hereby amended by the addition of the following text: The Reporting Person funded the Loan Purchase with personal funds.</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right="560" w:firstLine="918"/>
        <w:spacing w:after="0" w:line="274" w:lineRule="auto"/>
        <w:rPr>
          <w:sz w:val="20"/>
          <w:szCs w:val="20"/>
          <w:color w:val="auto"/>
        </w:rPr>
      </w:pPr>
      <w:r>
        <w:rPr>
          <w:rFonts w:ascii="Times New Roman" w:cs="Times New Roman" w:eastAsia="Times New Roman" w:hAnsi="Times New Roman"/>
          <w:sz w:val="22"/>
          <w:szCs w:val="22"/>
          <w:color w:val="auto"/>
        </w:rPr>
        <w:t>The information in comments to Item 1 of this Amendment is hereby incorporated by reference into this Item 4. Item 5. Interest in Securities of the Issuer</w:t>
      </w:r>
    </w:p>
    <w:p>
      <w:pPr>
        <w:spacing w:after="0" w:line="16" w:lineRule="exact"/>
        <w:rPr>
          <w:sz w:val="20"/>
          <w:szCs w:val="20"/>
          <w:color w:val="auto"/>
        </w:rPr>
      </w:pPr>
    </w:p>
    <w:p>
      <w:pPr>
        <w:ind w:left="920" w:right="72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contained in rows 11 and 13 of the cover page to this Schedule 13D is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right="46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contained in rows 7 through 10 of the cover page to this Schedule 13D is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right="52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for the transactions described in Item 1 of this Amendment, the Reporting Person has not engaged in any transaction during the past 60 days involving Class A Shares.</w:t>
      </w:r>
    </w:p>
    <w:p>
      <w:pPr>
        <w:spacing w:after="0" w:line="17" w:lineRule="exact"/>
        <w:rPr>
          <w:rFonts w:ascii="Times New Roman" w:cs="Times New Roman" w:eastAsia="Times New Roman" w:hAnsi="Times New Roman"/>
          <w:sz w:val="39"/>
          <w:szCs w:val="39"/>
          <w:color w:val="auto"/>
          <w:vertAlign w:val="subscript"/>
        </w:rPr>
      </w:pPr>
    </w:p>
    <w:p>
      <w:pPr>
        <w:jc w:val="both"/>
        <w:ind w:left="920" w:right="200"/>
        <w:spacing w:after="0" w:line="253"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The Reporting Person holds Class A Shares through WRE 2012 GST Exempt Trust LLC (formerly known as WRE 2012 Trust LLC) and Edens Family Partners LLC, entities controlled by the Reporting Person, but has the sole right</w:t>
      </w:r>
    </w:p>
    <w:p>
      <w:pPr>
        <w:ind w:left="920" w:right="180" w:hanging="912"/>
        <w:spacing w:after="0" w:line="189" w:lineRule="auto"/>
        <w:tabs>
          <w:tab w:leader="none" w:pos="92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to receive or direct the receipt of dividends on and the proceeds from the sale of the Class A Shares reported on the cover page of this Schedule 13D and in this Item 5. No other person is known by the Reporting Person to have the right to receive or the power to direct the receipt of dividends on or the proceeds from the sale of the Class A Shares beneficially owned by the Reporting Person.</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380"/>
        <w:spacing w:after="0" w:line="258" w:lineRule="auto"/>
        <w:rPr>
          <w:sz w:val="20"/>
          <w:szCs w:val="20"/>
          <w:color w:val="auto"/>
        </w:rPr>
      </w:pPr>
      <w:r>
        <w:rPr>
          <w:rFonts w:ascii="Times New Roman" w:cs="Times New Roman" w:eastAsia="Times New Roman" w:hAnsi="Times New Roman"/>
          <w:sz w:val="22"/>
          <w:szCs w:val="22"/>
          <w:color w:val="auto"/>
        </w:rPr>
        <w:t>Exhibit 1 Assignment and Acceptance Agreement, dated March 31, 2026, by and between Morgan Stanley Senior Funding, Inc. and Wesley R. Edens.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Wesley R. Edens</w:t>
      </w:r>
    </w:p>
    <w:p>
      <w:pPr>
        <w:spacing w:after="0" w:line="152"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Wesley R. Edens</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Wesley R. Edens/CEO</w:t>
      </w:r>
    </w:p>
    <w:p>
      <w:pPr>
        <w:spacing w:after="0" w:line="44"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ectPr>
          <w:pgSz w:w="11900" w:h="16838" w:orient="portrait"/>
          <w:cols w:equalWidth="0" w:num="1">
            <w:col w:w="11160"/>
          </w:cols>
          <w:pgMar w:left="360" w:top="111"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ACCEPTANCE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Assignment and Acceptance Agreement (this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is dated March 31,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is entered into by and between Morgan Stanley Senior Funding, Inc. (the “</w:t>
      </w:r>
      <w:r>
        <w:rPr>
          <w:rFonts w:ascii="Times New Roman" w:cs="Times New Roman" w:eastAsia="Times New Roman" w:hAnsi="Times New Roman"/>
          <w:sz w:val="18"/>
          <w:szCs w:val="18"/>
          <w:b w:val="1"/>
          <w:bCs w:val="1"/>
          <w:color w:val="auto"/>
        </w:rPr>
        <w:t>Assignor</w:t>
      </w:r>
      <w:r>
        <w:rPr>
          <w:rFonts w:ascii="Times New Roman" w:cs="Times New Roman" w:eastAsia="Times New Roman" w:hAnsi="Times New Roman"/>
          <w:sz w:val="18"/>
          <w:szCs w:val="18"/>
          <w:color w:val="auto"/>
        </w:rPr>
        <w:t>”) and Wesley R. Edens (the “</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The Terms and Conditions set forth in Annex 1 attached hereto are hereby agreed to and incorporated herein by reference and made a part of this Assignment as if set forth herein in full. Reference is made to (i) the Credit Agreement identified below (as amended, supplemented or otherwise modified prior to the date hereof and as it may be further amended, supplemented, renewed, replaced, restructured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and (ii) the Restructuring Support Agreement, dated as of March 17, 2026 (as it may be amended, restated, amended and restated, replaced, supplemented or otherwise modified from time to time, the “</w:t>
      </w:r>
      <w:r>
        <w:rPr>
          <w:rFonts w:ascii="Times New Roman" w:cs="Times New Roman" w:eastAsia="Times New Roman" w:hAnsi="Times New Roman"/>
          <w:sz w:val="18"/>
          <w:szCs w:val="18"/>
          <w:b w:val="1"/>
          <w:bCs w:val="1"/>
          <w:color w:val="auto"/>
        </w:rPr>
        <w:t>RSA</w:t>
      </w:r>
      <w:r>
        <w:rPr>
          <w:rFonts w:ascii="Times New Roman" w:cs="Times New Roman" w:eastAsia="Times New Roman" w:hAnsi="Times New Roman"/>
          <w:sz w:val="18"/>
          <w:szCs w:val="18"/>
          <w:color w:val="auto"/>
        </w:rPr>
        <w:t>”), among the borrower identified below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the other Company Parties (as defined therein), the Supporting Creditors (as defined therein) party thereto and the Information Agent (as defined therein), receipt of a copy of which is, in each case, hereby acknowledged by the Assignee (and in the case of the RSA, the Assignor). Capitalized terms used but not defined herein shall have the meanings given to them in the Credit Agreement, the RSA, or the Trade Confirm (as defined below), as applicable.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Except as expressly provided herein, for an agreed consideration, the Assignor irrevocably sells and assigns to the Assignee, and the Assignee hereby irrevocably purchases and assumes from the Assignor, subject to and in accordance with the Terms and Conditions, the Credit Agreement and the “Terms and Conditions” attached as Exhibit A to the trade confirmation related to, and dated on or around the date of this Assignment (the “</w:t>
      </w:r>
      <w:r>
        <w:rPr>
          <w:rFonts w:ascii="Times New Roman" w:cs="Times New Roman" w:eastAsia="Times New Roman" w:hAnsi="Times New Roman"/>
          <w:sz w:val="18"/>
          <w:szCs w:val="18"/>
          <w:b w:val="1"/>
          <w:bCs w:val="1"/>
          <w:color w:val="auto"/>
        </w:rPr>
        <w:t>Trade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Confirm</w:t>
      </w:r>
      <w:r>
        <w:rPr>
          <w:rFonts w:ascii="Times New Roman" w:cs="Times New Roman" w:eastAsia="Times New Roman" w:hAnsi="Times New Roman"/>
          <w:sz w:val="18"/>
          <w:szCs w:val="18"/>
          <w:color w:val="auto"/>
        </w:rPr>
        <w:t>”), (i) all of the Assignor’s rights and obligations in its capacity as a Lender under the Credit Agreement and any other documents or instruments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pursuant thereto to the extent related to the amount and percentage interest identified below of all of the Assignor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outstanding rights and obligations under the respective facilities identified below (including, without limitation, any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 Assignor to the Assignee pursuant to clauses (i) and (ii) above being referred to herein collectively as the “</w:t>
      </w:r>
      <w:r>
        <w:rPr>
          <w:rFonts w:ascii="Times New Roman" w:cs="Times New Roman" w:eastAsia="Times New Roman" w:hAnsi="Times New Roman"/>
          <w:sz w:val="18"/>
          <w:szCs w:val="18"/>
          <w:b w:val="1"/>
          <w:bCs w:val="1"/>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without representation or warranty by the Assignor.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Assignment shall become effective, and Assignee shall become the legal owner of the Assigned Interest and the lender of record under the Credit Agreement with respect to the Assigned Interest, immediately upon the Effective Date. Solely in the event that the Payment Date has not occurred on or prior to the earlier of (x) December 31, 2026 and (y) the RSA Termination Date (as defined in the RSA, but excluding any automatic termination of the RSA pursuant to the first sentence of Section 13 thereof upon the Restructuring Effective Date)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(and in no other circumstance), this Assignment shall be deemed null and void and, from and after such time, no assignment of any loans of the Assignor shall be deemed to have occurred pursuant to this Assignment, Assignor shall be deemed to be the lender of record under the Credit Agreement with respect to the Assigned Interest, and any payments made to Assignee in respect of the Assigned Interest on or following the Effective Date and on or prior to the Termination Date shall be promptly paid over to the Assignor from Assignee. On and from the Termination Date, each of the Assignor and Assignee hereby irrevocably agrees and undertakes to take all steps reasonably necessary to ensure the voidance of this Assignment shall be given full effect, including by the Borrower.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recording fee payable pursuant to Section 9.6(e) of the Credit Agreement shall be payable in connection with this Assignment.</w:t>
      </w:r>
    </w:p>
    <w:p>
      <w:pPr>
        <w:sectPr>
          <w:pgSz w:w="11900" w:h="16838" w:orient="portrait"/>
          <w:cols w:equalWidth="0" w:num="1">
            <w:col w:w="11240"/>
          </w:cols>
          <w:pgMar w:left="320" w:top="1413" w:right="339" w:bottom="1440" w:gutter="0" w:footer="0" w:header="0"/>
        </w:sectPr>
      </w:pPr>
    </w:p>
    <w:bookmarkStart w:id="4" w:name="page5"/>
    <w:bookmarkEnd w:id="4"/>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w:t>
            </w:r>
          </w:p>
        </w:tc>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Assignor:</w:t>
            </w:r>
          </w:p>
        </w:tc>
        <w:tc>
          <w:tcPr>
            <w:tcW w:w="420" w:type="dxa"/>
            <w:vAlign w:val="bottom"/>
          </w:tcPr>
          <w:p>
            <w:pPr>
              <w:spacing w:after="0"/>
              <w:rPr>
                <w:sz w:val="18"/>
                <w:szCs w:val="18"/>
                <w:color w:val="auto"/>
              </w:rPr>
            </w:pPr>
          </w:p>
        </w:tc>
        <w:tc>
          <w:tcPr>
            <w:tcW w:w="2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Morgan Stanley Senior Funding, Inc.</w:t>
            </w:r>
          </w:p>
        </w:tc>
        <w:tc>
          <w:tcPr>
            <w:tcW w:w="190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466"/>
        </w:trPr>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w:t>
            </w:r>
          </w:p>
        </w:tc>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Assignee:</w:t>
            </w:r>
          </w:p>
        </w:tc>
        <w:tc>
          <w:tcPr>
            <w:tcW w:w="420" w:type="dxa"/>
            <w:vAlign w:val="bottom"/>
          </w:tcPr>
          <w:p>
            <w:pPr>
              <w:spacing w:after="0"/>
              <w:rPr>
                <w:sz w:val="24"/>
                <w:szCs w:val="24"/>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Wesley R. Edens</w:t>
            </w:r>
          </w:p>
        </w:tc>
        <w:tc>
          <w:tcPr>
            <w:tcW w:w="3360" w:type="dxa"/>
            <w:vAlign w:val="bottom"/>
            <w:gridSpan w:val="2"/>
          </w:tcPr>
          <w:p>
            <w:pPr>
              <w:spacing w:after="0"/>
              <w:rPr>
                <w:sz w:val="24"/>
                <w:szCs w:val="24"/>
                <w:color w:val="auto"/>
              </w:rPr>
            </w:pPr>
          </w:p>
        </w:tc>
        <w:tc>
          <w:tcPr>
            <w:tcW w:w="2780" w:type="dxa"/>
            <w:vAlign w:val="bottom"/>
          </w:tcPr>
          <w:p>
            <w:pPr>
              <w:spacing w:after="0"/>
              <w:rPr>
                <w:sz w:val="24"/>
                <w:szCs w:val="24"/>
                <w:color w:val="auto"/>
              </w:rPr>
            </w:pPr>
          </w:p>
        </w:tc>
      </w:tr>
      <w:tr>
        <w:trPr>
          <w:trHeight w:val="488"/>
        </w:trPr>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w:t>
            </w:r>
          </w:p>
        </w:tc>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Borrower:</w:t>
            </w:r>
          </w:p>
        </w:tc>
        <w:tc>
          <w:tcPr>
            <w:tcW w:w="50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NEW FORTRESS ENERGY INC., a Delaware corporation</w:t>
            </w:r>
          </w:p>
        </w:tc>
        <w:tc>
          <w:tcPr>
            <w:tcW w:w="2780" w:type="dxa"/>
            <w:vAlign w:val="bottom"/>
          </w:tcPr>
          <w:p>
            <w:pPr>
              <w:spacing w:after="0"/>
              <w:rPr>
                <w:sz w:val="24"/>
                <w:szCs w:val="24"/>
                <w:color w:val="auto"/>
              </w:rPr>
            </w:pPr>
          </w:p>
        </w:tc>
      </w:tr>
      <w:tr>
        <w:trPr>
          <w:trHeight w:val="229"/>
        </w:trPr>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w:t>
            </w:r>
          </w:p>
        </w:tc>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Administrative Agent:</w:t>
            </w:r>
          </w:p>
        </w:tc>
        <w:tc>
          <w:tcPr>
            <w:tcW w:w="50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MORGAN STANLEY SENIOR FUNDING, INC.</w:t>
            </w:r>
          </w:p>
        </w:tc>
        <w:tc>
          <w:tcPr>
            <w:tcW w:w="2780" w:type="dxa"/>
            <w:vAlign w:val="bottom"/>
          </w:tcPr>
          <w:p>
            <w:pPr>
              <w:spacing w:after="0"/>
              <w:rPr>
                <w:sz w:val="19"/>
                <w:szCs w:val="19"/>
                <w:color w:val="auto"/>
              </w:rPr>
            </w:pPr>
          </w:p>
        </w:tc>
      </w:tr>
      <w:tr>
        <w:trPr>
          <w:trHeight w:val="180"/>
        </w:trPr>
        <w:tc>
          <w:tcPr>
            <w:tcW w:w="580" w:type="dxa"/>
            <w:vAlign w:val="bottom"/>
          </w:tcPr>
          <w:p>
            <w:pPr>
              <w:jc w:val="right"/>
              <w:ind w:right="270"/>
              <w:spacing w:after="0" w:line="181" w:lineRule="exact"/>
              <w:rPr>
                <w:sz w:val="20"/>
                <w:szCs w:val="20"/>
                <w:color w:val="auto"/>
              </w:rPr>
            </w:pPr>
            <w:r>
              <w:rPr>
                <w:rFonts w:ascii="Times New Roman" w:cs="Times New Roman" w:eastAsia="Times New Roman" w:hAnsi="Times New Roman"/>
                <w:sz w:val="18"/>
                <w:szCs w:val="18"/>
                <w:color w:val="auto"/>
              </w:rPr>
              <w:t>5.</w:t>
            </w:r>
          </w:p>
        </w:tc>
        <w:tc>
          <w:tcPr>
            <w:tcW w:w="290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Credit Agreement:</w:t>
            </w:r>
          </w:p>
        </w:tc>
        <w:tc>
          <w:tcPr>
            <w:tcW w:w="7780" w:type="dxa"/>
            <w:vAlign w:val="bottom"/>
            <w:gridSpan w:val="6"/>
          </w:tcPr>
          <w:p>
            <w:pPr>
              <w:ind w:left="360"/>
              <w:spacing w:after="0" w:line="181" w:lineRule="exact"/>
              <w:rPr>
                <w:sz w:val="20"/>
                <w:szCs w:val="20"/>
                <w:color w:val="auto"/>
              </w:rPr>
            </w:pPr>
            <w:r>
              <w:rPr>
                <w:rFonts w:ascii="Times New Roman" w:cs="Times New Roman" w:eastAsia="Times New Roman" w:hAnsi="Times New Roman"/>
                <w:sz w:val="18"/>
                <w:szCs w:val="18"/>
                <w:color w:val="auto"/>
              </w:rPr>
              <w:t>The Credit Agreement, dated as of July 19, 2024, by and among NEW FORTRESS ENERGY INC.,</w:t>
            </w:r>
          </w:p>
        </w:tc>
      </w:tr>
      <w:tr>
        <w:trPr>
          <w:trHeight w:val="184"/>
        </w:trPr>
        <w:tc>
          <w:tcPr>
            <w:tcW w:w="5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7780" w:type="dxa"/>
            <w:vAlign w:val="bottom"/>
            <w:gridSpan w:val="6"/>
          </w:tcPr>
          <w:p>
            <w:pPr>
              <w:ind w:left="360"/>
              <w:spacing w:after="0" w:line="184" w:lineRule="exact"/>
              <w:rPr>
                <w:sz w:val="20"/>
                <w:szCs w:val="20"/>
                <w:color w:val="auto"/>
              </w:rPr>
            </w:pPr>
            <w:r>
              <w:rPr>
                <w:rFonts w:ascii="Times New Roman" w:cs="Times New Roman" w:eastAsia="Times New Roman" w:hAnsi="Times New Roman"/>
                <w:sz w:val="18"/>
                <w:szCs w:val="18"/>
                <w:color w:val="auto"/>
              </w:rPr>
              <w:t>a Delaware corporation, as the Borrower, the Guarantors from time to time party thereto, the Lenders</w:t>
            </w:r>
          </w:p>
        </w:tc>
      </w:tr>
      <w:tr>
        <w:trPr>
          <w:trHeight w:val="180"/>
        </w:trPr>
        <w:tc>
          <w:tcPr>
            <w:tcW w:w="5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780" w:type="dxa"/>
            <w:vAlign w:val="bottom"/>
            <w:gridSpan w:val="6"/>
          </w:tcPr>
          <w:p>
            <w:pPr>
              <w:ind w:left="360"/>
              <w:spacing w:after="0" w:line="181" w:lineRule="exact"/>
              <w:rPr>
                <w:sz w:val="20"/>
                <w:szCs w:val="20"/>
                <w:color w:val="auto"/>
              </w:rPr>
            </w:pPr>
            <w:r>
              <w:rPr>
                <w:rFonts w:ascii="Times New Roman" w:cs="Times New Roman" w:eastAsia="Times New Roman" w:hAnsi="Times New Roman"/>
                <w:sz w:val="18"/>
                <w:szCs w:val="18"/>
                <w:color w:val="auto"/>
              </w:rPr>
              <w:t>from  time  to  time  party  thereto  and  MORGAN  STANLEY  SENIOR  FUNDING,  INC.,  as</w:t>
            </w:r>
          </w:p>
        </w:tc>
      </w:tr>
      <w:tr>
        <w:trPr>
          <w:trHeight w:val="225"/>
        </w:trPr>
        <w:tc>
          <w:tcPr>
            <w:tcW w:w="5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0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Administrative Agent and Collateral Agent</w:t>
            </w:r>
          </w:p>
        </w:tc>
        <w:tc>
          <w:tcPr>
            <w:tcW w:w="2780" w:type="dxa"/>
            <w:vAlign w:val="bottom"/>
          </w:tcPr>
          <w:p>
            <w:pPr>
              <w:spacing w:after="0"/>
              <w:rPr>
                <w:sz w:val="19"/>
                <w:szCs w:val="19"/>
                <w:color w:val="auto"/>
              </w:rPr>
            </w:pPr>
          </w:p>
        </w:tc>
      </w:tr>
      <w:tr>
        <w:trPr>
          <w:trHeight w:val="234"/>
        </w:trPr>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w:t>
            </w:r>
          </w:p>
        </w:tc>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Assigned Interest:</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$109,571,266.40</w:t>
            </w:r>
          </w:p>
        </w:tc>
        <w:tc>
          <w:tcPr>
            <w:tcW w:w="14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364"/>
        </w:trPr>
        <w:tc>
          <w:tcPr>
            <w:tcW w:w="5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3"/>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r>
        <w:trPr>
          <w:trHeight w:val="169"/>
        </w:trPr>
        <w:tc>
          <w:tcPr>
            <w:tcW w:w="580" w:type="dxa"/>
            <w:vAlign w:val="bottom"/>
            <w:tcBorders>
              <w:left w:val="single" w:sz="8" w:color="auto"/>
            </w:tcBorders>
            <w:shd w:val="clear" w:color="auto" w:fill="D9D9D9"/>
          </w:tcPr>
          <w:p>
            <w:pPr>
              <w:spacing w:after="0"/>
              <w:rPr>
                <w:sz w:val="14"/>
                <w:szCs w:val="14"/>
                <w:color w:val="auto"/>
              </w:rPr>
            </w:pPr>
          </w:p>
        </w:tc>
        <w:tc>
          <w:tcPr>
            <w:tcW w:w="2900" w:type="dxa"/>
            <w:vAlign w:val="bottom"/>
            <w:shd w:val="clear" w:color="auto" w:fill="D9D9D9"/>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Aggregate Amount of</w:t>
            </w:r>
          </w:p>
        </w:tc>
        <w:tc>
          <w:tcPr>
            <w:tcW w:w="420" w:type="dxa"/>
            <w:vAlign w:val="bottom"/>
            <w:shd w:val="clear" w:color="auto" w:fill="D9D9D9"/>
          </w:tcPr>
          <w:p>
            <w:pPr>
              <w:spacing w:after="0"/>
              <w:rPr>
                <w:sz w:val="14"/>
                <w:szCs w:val="14"/>
                <w:color w:val="auto"/>
              </w:rPr>
            </w:pPr>
          </w:p>
        </w:tc>
        <w:tc>
          <w:tcPr>
            <w:tcW w:w="280" w:type="dxa"/>
            <w:vAlign w:val="bottom"/>
            <w:tcBorders>
              <w:right w:val="single" w:sz="8" w:color="auto"/>
            </w:tcBorders>
            <w:shd w:val="clear" w:color="auto" w:fill="D9D9D9"/>
          </w:tcPr>
          <w:p>
            <w:pPr>
              <w:spacing w:after="0"/>
              <w:rPr>
                <w:sz w:val="14"/>
                <w:szCs w:val="14"/>
                <w:color w:val="auto"/>
              </w:rPr>
            </w:pPr>
          </w:p>
        </w:tc>
        <w:tc>
          <w:tcPr>
            <w:tcW w:w="4300" w:type="dxa"/>
            <w:vAlign w:val="bottom"/>
            <w:tcBorders>
              <w:right w:val="single" w:sz="8" w:color="auto"/>
            </w:tcBorders>
            <w:gridSpan w:val="3"/>
            <w:shd w:val="clear" w:color="auto" w:fill="D9D9D9"/>
          </w:tcPr>
          <w:p>
            <w:pPr>
              <w:jc w:val="center"/>
              <w:ind w:right="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Amount of Commitments/Loans Assigned</w:t>
            </w:r>
          </w:p>
        </w:tc>
        <w:tc>
          <w:tcPr>
            <w:tcW w:w="2780" w:type="dxa"/>
            <w:vAlign w:val="bottom"/>
            <w:tcBorders>
              <w:right w:val="single" w:sz="8" w:color="auto"/>
            </w:tcBorders>
            <w:shd w:val="clear" w:color="auto" w:fill="D9D9D9"/>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Percentage Assigned of</w:t>
            </w:r>
          </w:p>
        </w:tc>
      </w:tr>
      <w:tr>
        <w:trPr>
          <w:trHeight w:val="175"/>
        </w:trPr>
        <w:tc>
          <w:tcPr>
            <w:tcW w:w="580" w:type="dxa"/>
            <w:vAlign w:val="bottom"/>
            <w:tcBorders>
              <w:left w:val="single" w:sz="8" w:color="auto"/>
            </w:tcBorders>
            <w:shd w:val="clear" w:color="auto" w:fill="D9D9D9"/>
          </w:tcPr>
          <w:p>
            <w:pPr>
              <w:spacing w:after="0"/>
              <w:rPr>
                <w:sz w:val="15"/>
                <w:szCs w:val="15"/>
                <w:color w:val="auto"/>
              </w:rPr>
            </w:pPr>
          </w:p>
        </w:tc>
        <w:tc>
          <w:tcPr>
            <w:tcW w:w="2900" w:type="dxa"/>
            <w:vAlign w:val="bottom"/>
            <w:shd w:val="clear" w:color="auto" w:fill="D9D9D9"/>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Commitments/Loans for all</w:t>
            </w:r>
          </w:p>
        </w:tc>
        <w:tc>
          <w:tcPr>
            <w:tcW w:w="420" w:type="dxa"/>
            <w:vAlign w:val="bottom"/>
            <w:shd w:val="clear" w:color="auto" w:fill="D9D9D9"/>
          </w:tcPr>
          <w:p>
            <w:pPr>
              <w:spacing w:after="0"/>
              <w:rPr>
                <w:sz w:val="15"/>
                <w:szCs w:val="15"/>
                <w:color w:val="auto"/>
              </w:rPr>
            </w:pPr>
          </w:p>
        </w:tc>
        <w:tc>
          <w:tcPr>
            <w:tcW w:w="280" w:type="dxa"/>
            <w:vAlign w:val="bottom"/>
            <w:tcBorders>
              <w:right w:val="single" w:sz="8" w:color="auto"/>
            </w:tcBorders>
            <w:shd w:val="clear" w:color="auto" w:fill="D9D9D9"/>
          </w:tcPr>
          <w:p>
            <w:pPr>
              <w:spacing w:after="0"/>
              <w:rPr>
                <w:sz w:val="15"/>
                <w:szCs w:val="15"/>
                <w:color w:val="auto"/>
              </w:rPr>
            </w:pPr>
          </w:p>
        </w:tc>
        <w:tc>
          <w:tcPr>
            <w:tcW w:w="940" w:type="dxa"/>
            <w:vAlign w:val="bottom"/>
            <w:shd w:val="clear" w:color="auto" w:fill="D9D9D9"/>
          </w:tcPr>
          <w:p>
            <w:pPr>
              <w:spacing w:after="0"/>
              <w:rPr>
                <w:sz w:val="15"/>
                <w:szCs w:val="15"/>
                <w:color w:val="auto"/>
              </w:rPr>
            </w:pPr>
          </w:p>
        </w:tc>
        <w:tc>
          <w:tcPr>
            <w:tcW w:w="1460" w:type="dxa"/>
            <w:vAlign w:val="bottom"/>
            <w:shd w:val="clear" w:color="auto" w:fill="D9D9D9"/>
          </w:tcPr>
          <w:p>
            <w:pPr>
              <w:spacing w:after="0"/>
              <w:rPr>
                <w:sz w:val="15"/>
                <w:szCs w:val="15"/>
                <w:color w:val="auto"/>
              </w:rPr>
            </w:pPr>
          </w:p>
        </w:tc>
        <w:tc>
          <w:tcPr>
            <w:tcW w:w="1900" w:type="dxa"/>
            <w:vAlign w:val="bottom"/>
            <w:tcBorders>
              <w:right w:val="single" w:sz="8" w:color="auto"/>
            </w:tcBorders>
            <w:shd w:val="clear" w:color="auto" w:fill="D9D9D9"/>
          </w:tcPr>
          <w:p>
            <w:pPr>
              <w:spacing w:after="0"/>
              <w:rPr>
                <w:sz w:val="15"/>
                <w:szCs w:val="15"/>
                <w:color w:val="auto"/>
              </w:rPr>
            </w:pPr>
          </w:p>
        </w:tc>
        <w:tc>
          <w:tcPr>
            <w:tcW w:w="2780" w:type="dxa"/>
            <w:vAlign w:val="bottom"/>
            <w:tcBorders>
              <w:right w:val="single" w:sz="8" w:color="auto"/>
            </w:tcBorders>
            <w:shd w:val="clear" w:color="auto" w:fill="D9D9D9"/>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Aggregate Amount of</w:t>
            </w:r>
          </w:p>
        </w:tc>
      </w:tr>
      <w:tr>
        <w:trPr>
          <w:trHeight w:val="180"/>
        </w:trPr>
        <w:tc>
          <w:tcPr>
            <w:tcW w:w="580" w:type="dxa"/>
            <w:vAlign w:val="bottom"/>
            <w:tcBorders>
              <w:left w:val="single" w:sz="8" w:color="auto"/>
            </w:tcBorders>
            <w:shd w:val="clear" w:color="auto" w:fill="D9D9D9"/>
          </w:tcPr>
          <w:p>
            <w:pPr>
              <w:spacing w:after="0"/>
              <w:rPr>
                <w:sz w:val="15"/>
                <w:szCs w:val="15"/>
                <w:color w:val="auto"/>
              </w:rPr>
            </w:pPr>
          </w:p>
        </w:tc>
        <w:tc>
          <w:tcPr>
            <w:tcW w:w="2900" w:type="dxa"/>
            <w:vAlign w:val="bottom"/>
            <w:shd w:val="clear" w:color="auto" w:fill="D9D9D9"/>
          </w:tcPr>
          <w:p>
            <w:pPr>
              <w:jc w:val="center"/>
              <w:ind w:left="30"/>
              <w:spacing w:after="0" w:line="180" w:lineRule="exact"/>
              <w:rPr>
                <w:sz w:val="20"/>
                <w:szCs w:val="20"/>
                <w:color w:val="auto"/>
              </w:rPr>
            </w:pPr>
            <w:r>
              <w:rPr>
                <w:rFonts w:ascii="Times New Roman" w:cs="Times New Roman" w:eastAsia="Times New Roman" w:hAnsi="Times New Roman"/>
                <w:sz w:val="18"/>
                <w:szCs w:val="18"/>
                <w:b w:val="1"/>
                <w:bCs w:val="1"/>
                <w:color w:val="auto"/>
                <w:w w:val="98"/>
              </w:rPr>
              <w:t>Lenders</w:t>
            </w:r>
          </w:p>
        </w:tc>
        <w:tc>
          <w:tcPr>
            <w:tcW w:w="420" w:type="dxa"/>
            <w:vAlign w:val="bottom"/>
            <w:shd w:val="clear" w:color="auto" w:fill="D9D9D9"/>
          </w:tcPr>
          <w:p>
            <w:pPr>
              <w:spacing w:after="0"/>
              <w:rPr>
                <w:sz w:val="15"/>
                <w:szCs w:val="15"/>
                <w:color w:val="auto"/>
              </w:rPr>
            </w:pPr>
          </w:p>
        </w:tc>
        <w:tc>
          <w:tcPr>
            <w:tcW w:w="280" w:type="dxa"/>
            <w:vAlign w:val="bottom"/>
            <w:tcBorders>
              <w:right w:val="single" w:sz="8" w:color="auto"/>
            </w:tcBorders>
            <w:shd w:val="clear" w:color="auto" w:fill="D9D9D9"/>
          </w:tcPr>
          <w:p>
            <w:pPr>
              <w:spacing w:after="0"/>
              <w:rPr>
                <w:sz w:val="15"/>
                <w:szCs w:val="15"/>
                <w:color w:val="auto"/>
              </w:rPr>
            </w:pPr>
          </w:p>
        </w:tc>
        <w:tc>
          <w:tcPr>
            <w:tcW w:w="940" w:type="dxa"/>
            <w:vAlign w:val="bottom"/>
            <w:shd w:val="clear" w:color="auto" w:fill="D9D9D9"/>
          </w:tcPr>
          <w:p>
            <w:pPr>
              <w:spacing w:after="0"/>
              <w:rPr>
                <w:sz w:val="15"/>
                <w:szCs w:val="15"/>
                <w:color w:val="auto"/>
              </w:rPr>
            </w:pPr>
          </w:p>
        </w:tc>
        <w:tc>
          <w:tcPr>
            <w:tcW w:w="1460" w:type="dxa"/>
            <w:vAlign w:val="bottom"/>
            <w:shd w:val="clear" w:color="auto" w:fill="D9D9D9"/>
          </w:tcPr>
          <w:p>
            <w:pPr>
              <w:spacing w:after="0"/>
              <w:rPr>
                <w:sz w:val="15"/>
                <w:szCs w:val="15"/>
                <w:color w:val="auto"/>
              </w:rPr>
            </w:pPr>
          </w:p>
        </w:tc>
        <w:tc>
          <w:tcPr>
            <w:tcW w:w="1900" w:type="dxa"/>
            <w:vAlign w:val="bottom"/>
            <w:tcBorders>
              <w:right w:val="single" w:sz="8" w:color="auto"/>
            </w:tcBorders>
            <w:shd w:val="clear" w:color="auto" w:fill="D9D9D9"/>
          </w:tcPr>
          <w:p>
            <w:pPr>
              <w:spacing w:after="0"/>
              <w:rPr>
                <w:sz w:val="15"/>
                <w:szCs w:val="15"/>
                <w:color w:val="auto"/>
              </w:rPr>
            </w:pPr>
          </w:p>
        </w:tc>
        <w:tc>
          <w:tcPr>
            <w:tcW w:w="2780" w:type="dxa"/>
            <w:vAlign w:val="bottom"/>
            <w:tcBorders>
              <w:right w:val="single" w:sz="8" w:color="auto"/>
            </w:tcBorders>
            <w:shd w:val="clear" w:color="auto" w:fill="D9D9D9"/>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Commitments/Loans of all</w:t>
            </w:r>
          </w:p>
        </w:tc>
      </w:tr>
      <w:tr>
        <w:trPr>
          <w:trHeight w:val="238"/>
        </w:trPr>
        <w:tc>
          <w:tcPr>
            <w:tcW w:w="580" w:type="dxa"/>
            <w:vAlign w:val="bottom"/>
            <w:tcBorders>
              <w:left w:val="single" w:sz="8" w:color="auto"/>
              <w:bottom w:val="single" w:sz="8" w:color="auto"/>
            </w:tcBorders>
            <w:shd w:val="clear" w:color="auto" w:fill="D9D9D9"/>
          </w:tcPr>
          <w:p>
            <w:pPr>
              <w:spacing w:after="0"/>
              <w:rPr>
                <w:sz w:val="20"/>
                <w:szCs w:val="20"/>
                <w:color w:val="auto"/>
              </w:rPr>
            </w:pPr>
          </w:p>
        </w:tc>
        <w:tc>
          <w:tcPr>
            <w:tcW w:w="2900" w:type="dxa"/>
            <w:vAlign w:val="bottom"/>
            <w:tcBorders>
              <w:bottom w:val="single" w:sz="8" w:color="auto"/>
            </w:tcBorders>
            <w:shd w:val="clear" w:color="auto" w:fill="D9D9D9"/>
          </w:tcPr>
          <w:p>
            <w:pPr>
              <w:spacing w:after="0"/>
              <w:rPr>
                <w:sz w:val="20"/>
                <w:szCs w:val="20"/>
                <w:color w:val="auto"/>
              </w:rPr>
            </w:pPr>
          </w:p>
        </w:tc>
        <w:tc>
          <w:tcPr>
            <w:tcW w:w="420" w:type="dxa"/>
            <w:vAlign w:val="bottom"/>
            <w:tcBorders>
              <w:bottom w:val="single" w:sz="8" w:color="auto"/>
            </w:tcBorders>
            <w:shd w:val="clear" w:color="auto" w:fill="D9D9D9"/>
          </w:tcPr>
          <w:p>
            <w:pPr>
              <w:spacing w:after="0"/>
              <w:rPr>
                <w:sz w:val="20"/>
                <w:szCs w:val="20"/>
                <w:color w:val="auto"/>
              </w:rPr>
            </w:pPr>
          </w:p>
        </w:tc>
        <w:tc>
          <w:tcPr>
            <w:tcW w:w="280" w:type="dxa"/>
            <w:vAlign w:val="bottom"/>
            <w:tcBorders>
              <w:bottom w:val="single" w:sz="8" w:color="auto"/>
              <w:right w:val="single" w:sz="8" w:color="auto"/>
            </w:tcBorders>
            <w:shd w:val="clear" w:color="auto" w:fill="D9D9D9"/>
          </w:tcPr>
          <w:p>
            <w:pPr>
              <w:spacing w:after="0"/>
              <w:rPr>
                <w:sz w:val="20"/>
                <w:szCs w:val="20"/>
                <w:color w:val="auto"/>
              </w:rPr>
            </w:pPr>
          </w:p>
        </w:tc>
        <w:tc>
          <w:tcPr>
            <w:tcW w:w="940" w:type="dxa"/>
            <w:vAlign w:val="bottom"/>
            <w:tcBorders>
              <w:bottom w:val="single" w:sz="8" w:color="auto"/>
            </w:tcBorders>
            <w:shd w:val="clear" w:color="auto" w:fill="D9D9D9"/>
          </w:tcPr>
          <w:p>
            <w:pPr>
              <w:spacing w:after="0"/>
              <w:rPr>
                <w:sz w:val="20"/>
                <w:szCs w:val="20"/>
                <w:color w:val="auto"/>
              </w:rPr>
            </w:pPr>
          </w:p>
        </w:tc>
        <w:tc>
          <w:tcPr>
            <w:tcW w:w="1460" w:type="dxa"/>
            <w:vAlign w:val="bottom"/>
            <w:tcBorders>
              <w:bottom w:val="single" w:sz="8" w:color="auto"/>
            </w:tcBorders>
            <w:shd w:val="clear" w:color="auto" w:fill="D9D9D9"/>
          </w:tcPr>
          <w:p>
            <w:pPr>
              <w:spacing w:after="0"/>
              <w:rPr>
                <w:sz w:val="20"/>
                <w:szCs w:val="20"/>
                <w:color w:val="auto"/>
              </w:rPr>
            </w:pPr>
          </w:p>
        </w:tc>
        <w:tc>
          <w:tcPr>
            <w:tcW w:w="1900" w:type="dxa"/>
            <w:vAlign w:val="bottom"/>
            <w:tcBorders>
              <w:bottom w:val="single" w:sz="8" w:color="auto"/>
              <w:right w:val="single" w:sz="8" w:color="auto"/>
            </w:tcBorders>
            <w:shd w:val="clear" w:color="auto" w:fill="D9D9D9"/>
          </w:tcPr>
          <w:p>
            <w:pPr>
              <w:spacing w:after="0"/>
              <w:rPr>
                <w:sz w:val="20"/>
                <w:szCs w:val="20"/>
                <w:color w:val="auto"/>
              </w:rPr>
            </w:pPr>
          </w:p>
        </w:tc>
        <w:tc>
          <w:tcPr>
            <w:tcW w:w="2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Lenders</w:t>
            </w:r>
          </w:p>
        </w:tc>
      </w:tr>
      <w:tr>
        <w:trPr>
          <w:trHeight w:val="223"/>
        </w:trPr>
        <w:tc>
          <w:tcPr>
            <w:tcW w:w="580" w:type="dxa"/>
            <w:vAlign w:val="bottom"/>
            <w:tcBorders>
              <w:left w:val="single" w:sz="8" w:color="auto"/>
              <w:bottom w:val="single" w:sz="8" w:color="auto"/>
            </w:tcBorders>
          </w:tcPr>
          <w:p>
            <w:pPr>
              <w:spacing w:after="0"/>
              <w:rPr>
                <w:sz w:val="19"/>
                <w:szCs w:val="19"/>
                <w:color w:val="auto"/>
              </w:rPr>
            </w:pPr>
          </w:p>
        </w:tc>
        <w:tc>
          <w:tcPr>
            <w:tcW w:w="29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$294,999,563.37</w:t>
            </w:r>
          </w:p>
        </w:tc>
        <w:tc>
          <w:tcPr>
            <w:tcW w:w="700" w:type="dxa"/>
            <w:vAlign w:val="bottom"/>
            <w:tcBorders>
              <w:bottom w:val="single" w:sz="8" w:color="auto"/>
              <w:right w:val="single" w:sz="8" w:color="auto"/>
            </w:tcBorders>
            <w:gridSpan w:val="2"/>
          </w:tcPr>
          <w:p>
            <w:pPr>
              <w:spacing w:after="0"/>
              <w:rPr>
                <w:sz w:val="19"/>
                <w:szCs w:val="19"/>
                <w:color w:val="auto"/>
              </w:rPr>
            </w:pPr>
          </w:p>
        </w:tc>
        <w:tc>
          <w:tcPr>
            <w:tcW w:w="4300" w:type="dxa"/>
            <w:vAlign w:val="bottom"/>
            <w:tcBorders>
              <w:bottom w:val="single" w:sz="8" w:color="auto"/>
              <w:right w:val="single" w:sz="8" w:color="auto"/>
            </w:tcBorders>
            <w:gridSpan w:val="3"/>
          </w:tcPr>
          <w:p>
            <w:pPr>
              <w:jc w:val="right"/>
              <w:ind w:right="1560"/>
              <w:spacing w:after="0"/>
              <w:rPr>
                <w:sz w:val="20"/>
                <w:szCs w:val="20"/>
                <w:color w:val="auto"/>
              </w:rPr>
            </w:pPr>
            <w:r>
              <w:rPr>
                <w:rFonts w:ascii="Times New Roman" w:cs="Times New Roman" w:eastAsia="Times New Roman" w:hAnsi="Times New Roman"/>
                <w:sz w:val="18"/>
                <w:szCs w:val="18"/>
                <w:color w:val="auto"/>
              </w:rPr>
              <w:t>$109,571,266.40</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37.142857145%</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March 31, 2026</w:t>
      </w: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7"/>
          <w:szCs w:val="17"/>
          <w:color w:val="auto"/>
        </w:rPr>
        <w:t>Notice and Wire Instructions:</w:t>
      </w:r>
    </w:p>
    <w:p>
      <w:pPr>
        <w:spacing w:after="0" w:line="221" w:lineRule="exact"/>
        <w:rPr>
          <w:sz w:val="20"/>
          <w:szCs w:val="20"/>
          <w:color w:val="auto"/>
        </w:rPr>
      </w:pPr>
    </w:p>
    <w:p>
      <w:pPr>
        <w:spacing w:after="0"/>
        <w:tabs>
          <w:tab w:leader="none" w:pos="3980" w:val="left"/>
        </w:tabs>
        <w:rPr>
          <w:sz w:val="20"/>
          <w:szCs w:val="20"/>
          <w:color w:val="auto"/>
        </w:rPr>
      </w:pPr>
      <w:r>
        <w:rPr>
          <w:rFonts w:ascii="Times New Roman" w:cs="Times New Roman" w:eastAsia="Times New Roman" w:hAnsi="Times New Roman"/>
          <w:sz w:val="18"/>
          <w:szCs w:val="18"/>
          <w:b w:val="1"/>
          <w:bCs w:val="1"/>
          <w:color w:val="auto"/>
        </w:rPr>
        <w:t>MORGAN STANLEY SENIOR FUNDING, INC.</w:t>
      </w:r>
      <w:r>
        <w:rPr>
          <w:sz w:val="20"/>
          <w:szCs w:val="20"/>
          <w:color w:val="auto"/>
        </w:rPr>
        <w:tab/>
      </w:r>
      <w:r>
        <w:rPr>
          <w:rFonts w:ascii="Times New Roman" w:cs="Times New Roman" w:eastAsia="Times New Roman" w:hAnsi="Times New Roman"/>
          <w:sz w:val="17"/>
          <w:szCs w:val="17"/>
          <w:b w:val="1"/>
          <w:bCs w:val="1"/>
          <w:color w:val="auto"/>
        </w:rPr>
        <w:t>WESLEY R. EDENS</w:t>
      </w:r>
    </w:p>
    <w:p>
      <w:pPr>
        <w:spacing w:after="0" w:line="200" w:lineRule="exact"/>
        <w:rPr>
          <w:sz w:val="20"/>
          <w:szCs w:val="20"/>
          <w:color w:val="auto"/>
        </w:rPr>
      </w:pPr>
    </w:p>
    <w:p>
      <w:pPr>
        <w:spacing w:after="0" w:line="24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ectPr>
          <w:pgSz w:w="11900" w:h="16838" w:orient="portrait"/>
          <w:cols w:equalWidth="0" w:num="1">
            <w:col w:w="11260"/>
          </w:cols>
          <w:pgMar w:left="320" w:top="1440" w:right="31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msloanservicing@morganstanley.com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853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853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1143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128905</wp:posOffset>
            </wp:positionV>
            <wp:extent cx="1143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1143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266065</wp:posOffset>
            </wp:positionV>
            <wp:extent cx="1143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18"/>
          <w:szCs w:val="18"/>
          <w:color w:val="auto"/>
        </w:rPr>
        <w:t>Attention: MSLoanServicing</w:t>
      </w:r>
      <w:r>
        <w:rPr>
          <w:sz w:val="20"/>
          <w:szCs w:val="20"/>
          <w:color w:val="auto"/>
        </w:rPr>
        <w:tab/>
      </w:r>
      <w:r>
        <w:rPr>
          <w:rFonts w:ascii="Times New Roman" w:cs="Times New Roman" w:eastAsia="Times New Roman" w:hAnsi="Times New Roman"/>
          <w:sz w:val="17"/>
          <w:szCs w:val="17"/>
          <w:color w:val="auto"/>
        </w:rPr>
        <w:t>Attention: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msloanservicing@morganstanley.com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Cahill Gordon &amp; Reindel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1395095</wp:posOffset>
            </wp:positionH>
            <wp:positionV relativeFrom="paragraph">
              <wp:posOffset>-7620</wp:posOffset>
            </wp:positionV>
            <wp:extent cx="1143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-7620</wp:posOffset>
            </wp:positionV>
            <wp:extent cx="1143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Ariel Goldman (AGoldman@cahill.com)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2282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282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Matthew Rosenthal (MRosenthal@cahill.com)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2536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5361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Fax: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684530</wp:posOffset>
            </wp:positionV>
            <wp:extent cx="1143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173" w:lineRule="exact"/>
        <w:rPr>
          <w:sz w:val="20"/>
          <w:szCs w:val="20"/>
          <w:color w:val="auto"/>
        </w:rPr>
      </w:pPr>
    </w:p>
    <w:p>
      <w:pPr>
        <w:sectPr>
          <w:pgSz w:w="11900" w:h="16838" w:orient="portrait"/>
          <w:cols w:equalWidth="0" w:num="2">
            <w:col w:w="3580" w:space="120"/>
            <w:col w:w="7560"/>
          </w:cols>
          <w:pgMar w:left="320" w:top="1440" w:right="319" w:bottom="1440" w:gutter="0" w:footer="0" w:header="0"/>
          <w:type w:val="continuous"/>
        </w:sectPr>
      </w:pPr>
    </w:p>
    <w:p>
      <w:pPr>
        <w:spacing w:after="0" w:line="7"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color w:val="auto"/>
        </w:rPr>
        <w:t>Wire Instructions:</w:t>
      </w:r>
      <w:r>
        <w:rPr>
          <w:sz w:val="20"/>
          <w:szCs w:val="20"/>
          <w:color w:val="auto"/>
        </w:rPr>
        <w:tab/>
      </w:r>
      <w:r>
        <w:rPr>
          <w:rFonts w:ascii="Times New Roman" w:cs="Times New Roman" w:eastAsia="Times New Roman" w:hAnsi="Times New Roman"/>
          <w:sz w:val="17"/>
          <w:szCs w:val="17"/>
          <w:color w:val="auto"/>
        </w:rPr>
        <w:t>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143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266065</wp:posOffset>
            </wp:positionV>
            <wp:extent cx="1143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1160780</wp:posOffset>
            </wp:positionV>
            <wp:extent cx="1143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page">
              <wp:posOffset>436880</wp:posOffset>
            </wp:positionH>
            <wp:positionV relativeFrom="page">
              <wp:posOffset>1160780</wp:posOffset>
            </wp:positionV>
            <wp:extent cx="114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1297305</wp:posOffset>
            </wp:positionV>
            <wp:extent cx="1143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page">
              <wp:posOffset>436880</wp:posOffset>
            </wp:positionH>
            <wp:positionV relativeFrom="page">
              <wp:posOffset>1297305</wp:posOffset>
            </wp:positionV>
            <wp:extent cx="1143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1435100</wp:posOffset>
            </wp:positionV>
            <wp:extent cx="1143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page">
              <wp:posOffset>436880</wp:posOffset>
            </wp:positionH>
            <wp:positionV relativeFrom="page">
              <wp:posOffset>1435100</wp:posOffset>
            </wp:positionV>
            <wp:extent cx="1143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set forth in this Assignment are hereby agreed to:</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ASSIGNOR</w:t>
      </w:r>
    </w:p>
    <w:p>
      <w:pPr>
        <w:spacing w:after="0" w:line="221" w:lineRule="exact"/>
        <w:rPr>
          <w:sz w:val="20"/>
          <w:szCs w:val="20"/>
          <w:color w:val="auto"/>
        </w:rPr>
      </w:pPr>
    </w:p>
    <w:p>
      <w:pPr>
        <w:jc w:val="right"/>
        <w:ind w:right="2439"/>
        <w:spacing w:after="0"/>
        <w:rPr>
          <w:sz w:val="20"/>
          <w:szCs w:val="20"/>
          <w:color w:val="auto"/>
        </w:rPr>
      </w:pPr>
      <w:r>
        <w:rPr>
          <w:rFonts w:ascii="Times New Roman" w:cs="Times New Roman" w:eastAsia="Times New Roman" w:hAnsi="Times New Roman"/>
          <w:sz w:val="18"/>
          <w:szCs w:val="18"/>
          <w:b w:val="1"/>
          <w:bCs w:val="1"/>
          <w:color w:val="auto"/>
        </w:rPr>
        <w:t>MORGAN STANLEY SENIOR FUNDING, INC.</w:t>
      </w:r>
    </w:p>
    <w:p>
      <w:pPr>
        <w:spacing w:after="0" w:line="200" w:lineRule="exact"/>
        <w:rPr>
          <w:sz w:val="20"/>
          <w:szCs w:val="20"/>
          <w:color w:val="auto"/>
        </w:rPr>
      </w:pPr>
    </w:p>
    <w:p>
      <w:pPr>
        <w:spacing w:after="0" w:line="24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-7620</wp:posOffset>
            </wp:positionV>
            <wp:extent cx="2286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479"/>
          </w:cols>
          <w:pgMar w:left="980" w:top="1440" w:right="1440" w:bottom="1440" w:gutter="0" w:footer="0" w:header="0"/>
        </w:sectPr>
      </w:pPr>
    </w:p>
    <w:bookmarkStart w:id="6" w:name="page7"/>
    <w:bookmarkEnd w:id="6"/>
    <w:p>
      <w:pPr>
        <w:ind w:left="3900"/>
        <w:spacing w:after="0"/>
        <w:rPr>
          <w:sz w:val="20"/>
          <w:szCs w:val="20"/>
          <w:color w:val="auto"/>
        </w:rPr>
      </w:pPr>
      <w:r>
        <w:rPr>
          <w:rFonts w:ascii="Times New Roman" w:cs="Times New Roman" w:eastAsia="Times New Roman" w:hAnsi="Times New Roman"/>
          <w:sz w:val="18"/>
          <w:szCs w:val="18"/>
          <w:color w:val="auto"/>
        </w:rPr>
        <w:t>ASSIGNEE</w:t>
      </w:r>
    </w:p>
    <w:p>
      <w:pPr>
        <w:spacing w:after="0" w:line="2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WESLEY R. EDENS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-7620</wp:posOffset>
            </wp:positionV>
            <wp:extent cx="2286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2779"/>
        <w:spacing w:after="0"/>
        <w:rPr>
          <w:sz w:val="20"/>
          <w:szCs w:val="20"/>
          <w:color w:val="auto"/>
        </w:rPr>
      </w:pPr>
      <w:r>
        <w:rPr>
          <w:rFonts w:ascii="Times New Roman" w:cs="Times New Roman" w:eastAsia="Times New Roman" w:hAnsi="Times New Roman"/>
          <w:sz w:val="18"/>
          <w:szCs w:val="18"/>
          <w:color w:val="auto"/>
        </w:rPr>
        <w:t>[Signature Page to Assignment and Acceptance]</w:t>
      </w:r>
    </w:p>
    <w:p>
      <w:pPr>
        <w:sectPr>
          <w:pgSz w:w="11900" w:h="16838" w:orient="portrait"/>
          <w:cols w:equalWidth="0" w:num="1">
            <w:col w:w="10139"/>
          </w:cols>
          <w:pgMar w:left="320" w:top="1417"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Consented to and Accepted: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MORGAN STANLEY SENIOR FUNDING,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-7620</wp:posOffset>
            </wp:positionV>
            <wp:extent cx="1143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2779"/>
        <w:spacing w:after="0"/>
        <w:rPr>
          <w:sz w:val="20"/>
          <w:szCs w:val="20"/>
          <w:color w:val="auto"/>
        </w:rPr>
      </w:pPr>
      <w:r>
        <w:rPr>
          <w:rFonts w:ascii="Times New Roman" w:cs="Times New Roman" w:eastAsia="Times New Roman" w:hAnsi="Times New Roman"/>
          <w:sz w:val="18"/>
          <w:szCs w:val="18"/>
          <w:color w:val="auto"/>
        </w:rPr>
        <w:t>[Signature Page to Assignment and Acceptance]</w:t>
      </w:r>
    </w:p>
    <w:p>
      <w:pPr>
        <w:sectPr>
          <w:pgSz w:w="11900" w:h="16838" w:orient="portrait"/>
          <w:cols w:equalWidth="0" w:num="1">
            <w:col w:w="10139"/>
          </w:cols>
          <w:pgMar w:left="320" w:top="1417"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ANNEX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TERMS AND CONDITIONS FOR ASSIGNMENT AND ACCEPTANCE AGREEMENT</w:t>
      </w:r>
    </w:p>
    <w:p>
      <w:pPr>
        <w:spacing w:after="0" w:line="225" w:lineRule="exact"/>
        <w:rPr>
          <w:sz w:val="20"/>
          <w:szCs w:val="20"/>
          <w:color w:val="auto"/>
        </w:rPr>
      </w:pPr>
    </w:p>
    <w:p>
      <w:pPr>
        <w:ind w:left="1040" w:hanging="3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to consummate the transactions contemplated hereby and (iv) it is not a Defaulting Lender; and (b) assumes no responsibility with respect to (i) any statements, warranties or representations made in or in connection with any Credit Document (as defined below), (ii) the execution, legality, validity, enforceability, genuineness, sufficiency or value of the Credit Agreement or any other instrument or document delivered pursuant thereto, other than this Assignment (herein collectively the “</w:t>
      </w:r>
      <w:r>
        <w:rPr>
          <w:rFonts w:ascii="Times New Roman" w:cs="Times New Roman" w:eastAsia="Times New Roman" w:hAnsi="Times New Roman"/>
          <w:sz w:val="18"/>
          <w:szCs w:val="18"/>
          <w:b w:val="1"/>
          <w:bCs w:val="1"/>
          <w:color w:val="auto"/>
        </w:rPr>
        <w:t>Credit Documents</w:t>
      </w:r>
      <w:r>
        <w:rPr>
          <w:rFonts w:ascii="Times New Roman" w:cs="Times New Roman" w:eastAsia="Times New Roman" w:hAnsi="Times New Roman"/>
          <w:sz w:val="18"/>
          <w:szCs w:val="18"/>
          <w:color w:val="auto"/>
        </w:rPr>
        <w:t>”), or any collateral thereunder, (iii) the financial condition of Borrower, any of its Subsidiaries or Affiliates or any other Person obligated in respect of any Credit Document or (iv) the performance or observance by Borrower, any of its Subsidiaries or Affiliates or any other Person of any of their respective obligations under any Credit Document.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The Assignee (a) represents and warrants that (i) it has taken all action necessary to execute and deliver this Assignment and to consummate the transactions contemplated hereby and to become a Lender under the Credit Agreement (after giving effect to the Waiver to Credit Agreement, dated as of the Effective Date, among the Borrower and the Required Lenders (the “</w:t>
      </w:r>
      <w:r>
        <w:rPr>
          <w:rFonts w:ascii="Times New Roman" w:cs="Times New Roman" w:eastAsia="Times New Roman" w:hAnsi="Times New Roman"/>
          <w:sz w:val="18"/>
          <w:szCs w:val="18"/>
          <w:b w:val="1"/>
          <w:bCs w:val="1"/>
          <w:color w:val="auto"/>
        </w:rPr>
        <w:t>Term Loan A Amendment</w:t>
      </w:r>
      <w:r>
        <w:rPr>
          <w:rFonts w:ascii="Times New Roman" w:cs="Times New Roman" w:eastAsia="Times New Roman" w:hAnsi="Times New Roman"/>
          <w:sz w:val="18"/>
          <w:szCs w:val="18"/>
          <w:color w:val="auto"/>
        </w:rPr>
        <w:t xml:space="preserve">”), (ii) it meets all the requirements to be an assignee under </w:t>
      </w:r>
      <w:r>
        <w:rPr>
          <w:rFonts w:ascii="Times New Roman" w:cs="Times New Roman" w:eastAsia="Times New Roman" w:hAnsi="Times New Roman"/>
          <w:sz w:val="18"/>
          <w:szCs w:val="18"/>
          <w:u w:val="single" w:color="auto"/>
          <w:color w:val="auto"/>
        </w:rPr>
        <w:t>Section 9.6(c)</w:t>
      </w:r>
      <w:r>
        <w:rPr>
          <w:rFonts w:ascii="Times New Roman" w:cs="Times New Roman" w:eastAsia="Times New Roman" w:hAnsi="Times New Roman"/>
          <w:sz w:val="18"/>
          <w:szCs w:val="18"/>
          <w:color w:val="auto"/>
        </w:rPr>
        <w:t xml:space="preserve"> of the Credit Agreement (subject to such consents, if any, as may be required under </w:t>
      </w:r>
      <w:r>
        <w:rPr>
          <w:rFonts w:ascii="Times New Roman" w:cs="Times New Roman" w:eastAsia="Times New Roman" w:hAnsi="Times New Roman"/>
          <w:sz w:val="18"/>
          <w:szCs w:val="18"/>
          <w:u w:val="single" w:color="auto"/>
          <w:color w:val="auto"/>
        </w:rPr>
        <w:t>Section 9.6(c)</w:t>
      </w:r>
      <w:r>
        <w:rPr>
          <w:rFonts w:ascii="Times New Roman" w:cs="Times New Roman" w:eastAsia="Times New Roman" w:hAnsi="Times New Roman"/>
          <w:sz w:val="18"/>
          <w:szCs w:val="18"/>
          <w:color w:val="auto"/>
        </w:rPr>
        <w:t xml:space="preserve"> of the Credit Agreement and after giving effect to the Term Loan A Amendment), (iii) from and after the Effective Date, it shall be bound by the provisions of the Credit Agreement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the business of acquiring assets of such type, (v) it has received a copy of the Credit Agreement, and has received or has been accorded the opportunity to receive copies of the most recent financial statements delivered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thereof, as applicable, and such other documents and information as it deems appropriate to make its own credit analysis and decision to enter into this Assignment and to purchase the Assigned Interest, (vi) it has, independently and without reliance upon Administrative Agent or any other Lender and based on such documents and information as it has deemed appropriate, made its own credit analysis and decision to enter into this Assignment and to purchase the Assigned Interest, and (vii) if it is a Foreign Lender, attached to this Assignment is any documentation required to be delivered by it pursuant to the terms of the Credit Agreement, duly completed and executed by the Assignee; and (b) agrees that (i) it will, independently and without reliance on Administrative Agent, the Assignor or any other Lender, and based on such documents and information as it shall deem appropriate at the time, continue to make its own credit decisions in taking or not taking action under the Credit Documents, and (ii) it will perform in accordance with their terms all of the obligations which by the terms of the Credit Documents are required to be performed by it as a Lender.</w:t>
      </w:r>
    </w:p>
    <w:p>
      <w:pPr>
        <w:spacing w:after="0" w:line="193" w:lineRule="exact"/>
        <w:rPr>
          <w:sz w:val="20"/>
          <w:szCs w:val="20"/>
          <w:color w:val="auto"/>
        </w:rPr>
      </w:pPr>
    </w:p>
    <w:p>
      <w:pPr>
        <w:jc w:val="both"/>
        <w:ind w:firstLine="656"/>
        <w:spacing w:after="0" w:line="255" w:lineRule="auto"/>
        <w:tabs>
          <w:tab w:leader="none" w:pos="9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payments with respect to the Assigned Interest shall be made as follows: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 In the event the Termination Date occurs, all payments in respect of the Assigned Interest (including payments of principal, interest, fees and other amounts) occurring after the Termination Date shall be made to the Assignor, and any payments made to Assignee in respect of the Assigned Interest on or following the Effective Date and on or prior to the Termination Date shall be promptly paid over to the Assignor from Assignee, whether such amounts accrued before, on or after the Effective Date.</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Assignment shall be binding upon, and inure to the benefit of, the parties hereto and their respective successors and assigns. This Assignment may be executed in any number of counterparts,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1-1</w:t>
      </w:r>
    </w:p>
    <w:p>
      <w:pPr>
        <w:sectPr>
          <w:pgSz w:w="11900" w:h="16838" w:orient="portrait"/>
          <w:cols w:equalWidth="0" w:num="1">
            <w:col w:w="11240"/>
          </w:cols>
          <w:pgMar w:left="320" w:top="1417"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which together shall constitute one instrument. Delivery of an executed counterpart of a signature page of this Assignment in the form of an Electronic Signature shall be effective as delivery of a manually executed counterpart of this Assignment. This Assignment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1-2</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2026-04-02T17:30:00Z</dcterms:created>
  <dcterms:modified xsi:type="dcterms:W3CDTF">2026-04-02T17:30:00Z</dcterms:modified>
</cp:coreProperties>
</file>