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9"/>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30"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jc w:val="center"/>
        <w:ind w:right="-179"/>
        <w:spacing w:after="0" w:line="229" w:lineRule="auto"/>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12"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CURRENT REPORT</w:t>
      </w: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7"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16"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September 5, 2025</w:t>
      </w:r>
    </w:p>
    <w:p>
      <w:pPr>
        <w:spacing w:after="0" w:line="209"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43"/>
          <w:szCs w:val="43"/>
          <w:b w:val="1"/>
          <w:bCs w:val="1"/>
          <w:color w:val="auto"/>
        </w:rPr>
        <w:t>New Fortress Energy Inc.</w:t>
      </w:r>
    </w:p>
    <w:p>
      <w:pPr>
        <w:spacing w:after="0" w:line="58"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080"/>
          </w:cols>
          <w:pgMar w:left="320" w:top="1029" w:right="499" w:bottom="1440" w:gutter="0" w:footer="0" w:header="0"/>
        </w:sectPr>
      </w:pPr>
    </w:p>
    <w:p>
      <w:pPr>
        <w:spacing w:after="0" w:line="269" w:lineRule="exact"/>
        <w:rPr>
          <w:sz w:val="24"/>
          <w:szCs w:val="24"/>
          <w:color w:val="auto"/>
        </w:rPr>
      </w:pPr>
    </w:p>
    <w:p>
      <w:pPr>
        <w:ind w:left="1700"/>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49" w:lineRule="exact"/>
        <w:rPr>
          <w:sz w:val="24"/>
          <w:szCs w:val="24"/>
          <w:color w:val="auto"/>
        </w:rPr>
      </w:pPr>
    </w:p>
    <w:p>
      <w:pPr>
        <w:jc w:val="center"/>
        <w:ind w:right="2000"/>
        <w:spacing w:after="0"/>
        <w:rPr>
          <w:sz w:val="20"/>
          <w:szCs w:val="20"/>
          <w:color w:val="auto"/>
        </w:rPr>
      </w:pPr>
      <w:r>
        <w:rPr>
          <w:rFonts w:ascii="Times New Roman" w:cs="Times New Roman" w:eastAsia="Times New Roman" w:hAnsi="Times New Roman"/>
          <w:sz w:val="17"/>
          <w:szCs w:val="17"/>
          <w:b w:val="1"/>
          <w:bCs w:val="1"/>
          <w:color w:val="auto"/>
        </w:rPr>
        <w:t>001-38790</w:t>
      </w:r>
    </w:p>
    <w:p>
      <w:pPr>
        <w:spacing w:after="0" w:line="20" w:lineRule="exact"/>
        <w:rPr>
          <w:sz w:val="24"/>
          <w:szCs w:val="24"/>
          <w:color w:val="auto"/>
        </w:rPr>
      </w:pPr>
      <w:r>
        <w:rPr>
          <w:sz w:val="24"/>
          <w:szCs w:val="24"/>
          <w:color w:val="auto"/>
        </w:rPr>
        <w:br w:type="column"/>
      </w:r>
    </w:p>
    <w:p>
      <w:pPr>
        <w:spacing w:after="0" w:line="24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83-1482060</w:t>
      </w:r>
    </w:p>
    <w:p>
      <w:pPr>
        <w:spacing w:after="0" w:line="49" w:lineRule="exact"/>
        <w:rPr>
          <w:sz w:val="24"/>
          <w:szCs w:val="24"/>
          <w:color w:val="auto"/>
        </w:rPr>
      </w:pPr>
    </w:p>
    <w:p>
      <w:pPr>
        <w:sectPr>
          <w:pgSz w:w="11900" w:h="16838" w:orient="portrait"/>
          <w:cols w:equalWidth="0" w:num="3">
            <w:col w:w="4620" w:space="720"/>
            <w:col w:w="2780" w:space="720"/>
            <w:col w:w="2240"/>
          </w:cols>
          <w:pgMar w:left="320" w:top="1029" w:right="499" w:bottom="1440" w:gutter="0" w:footer="0" w:header="0"/>
          <w:type w:val="continuous"/>
        </w:sectPr>
      </w:pPr>
    </w:p>
    <w:p>
      <w:pPr>
        <w:ind w:left="760"/>
        <w:spacing w:after="0"/>
        <w:rPr>
          <w:sz w:val="20"/>
          <w:szCs w:val="20"/>
          <w:color w:val="auto"/>
        </w:rPr>
      </w:pPr>
      <w:r>
        <w:rPr>
          <w:rFonts w:ascii="Times New Roman" w:cs="Times New Roman" w:eastAsia="Times New Roman" w:hAnsi="Times New Roman"/>
          <w:sz w:val="14"/>
          <w:szCs w:val="14"/>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color w:val="auto"/>
        </w:rPr>
        <w:t>(IRS Employer Identification No.)</w:t>
      </w:r>
    </w:p>
    <w:p>
      <w:pPr>
        <w:spacing w:after="0" w:line="200" w:lineRule="exact"/>
        <w:rPr>
          <w:sz w:val="24"/>
          <w:szCs w:val="24"/>
          <w:color w:val="auto"/>
        </w:rPr>
      </w:pPr>
    </w:p>
    <w:p>
      <w:pPr>
        <w:sectPr>
          <w:pgSz w:w="11900" w:h="16838" w:orient="portrait"/>
          <w:cols w:equalWidth="0" w:num="3">
            <w:col w:w="4220" w:space="720"/>
            <w:col w:w="2640" w:space="720"/>
            <w:col w:w="2780"/>
          </w:cols>
          <w:pgMar w:left="320" w:top="1029" w:right="499" w:bottom="1440" w:gutter="0" w:footer="0" w:header="0"/>
          <w:type w:val="continuous"/>
        </w:sectPr>
      </w:pPr>
    </w:p>
    <w:p>
      <w:pPr>
        <w:spacing w:after="0" w:line="220"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7"/>
          <w:szCs w:val="17"/>
          <w:b w:val="1"/>
          <w:bCs w:val="1"/>
          <w:color w:val="auto"/>
        </w:rPr>
        <w:t>111 W. 19th Street, 8th Floor</w:t>
      </w:r>
    </w:p>
    <w:p>
      <w:pPr>
        <w:spacing w:after="0" w:line="31"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8"/>
          <w:szCs w:val="18"/>
          <w:b w:val="1"/>
          <w:bCs w:val="1"/>
          <w:color w:val="auto"/>
        </w:rPr>
        <w:t>New York, NY</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16"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10011</w:t>
      </w:r>
    </w:p>
    <w:p>
      <w:pPr>
        <w:spacing w:after="0" w:line="64" w:lineRule="exact"/>
        <w:rPr>
          <w:sz w:val="24"/>
          <w:szCs w:val="24"/>
          <w:color w:val="auto"/>
        </w:rPr>
      </w:pPr>
    </w:p>
    <w:p>
      <w:pPr>
        <w:sectPr>
          <w:pgSz w:w="11900" w:h="16838" w:orient="portrait"/>
          <w:cols w:equalWidth="0" w:num="2">
            <w:col w:w="8300" w:space="720"/>
            <w:col w:w="2060"/>
          </w:cols>
          <w:pgMar w:left="320" w:top="1029" w:right="499" w:bottom="1440" w:gutter="0" w:footer="0" w:header="0"/>
          <w:type w:val="continuous"/>
        </w:sectPr>
      </w:pPr>
    </w:p>
    <w:p>
      <w:pPr>
        <w:ind w:left="212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8"/>
          <w:szCs w:val="18"/>
          <w:color w:val="auto"/>
        </w:rPr>
        <w:t>(Zip Code)</w:t>
      </w:r>
    </w:p>
    <w:p>
      <w:pPr>
        <w:spacing w:after="0" w:line="113" w:lineRule="exact"/>
        <w:rPr>
          <w:sz w:val="24"/>
          <w:szCs w:val="24"/>
          <w:color w:val="auto"/>
        </w:rPr>
      </w:pPr>
    </w:p>
    <w:p>
      <w:pPr>
        <w:sectPr>
          <w:pgSz w:w="11900" w:h="16838" w:orient="portrait"/>
          <w:cols w:equalWidth="0" w:num="2">
            <w:col w:w="8120" w:space="720"/>
            <w:col w:w="2240"/>
          </w:cols>
          <w:pgMar w:left="320" w:top="1029" w:right="499" w:bottom="1440" w:gutter="0" w:footer="0" w:header="0"/>
          <w:type w:val="continuous"/>
        </w:sectPr>
      </w:pPr>
    </w:p>
    <w:p>
      <w:pPr>
        <w:jc w:val="center"/>
        <w:ind w:right="-179"/>
        <w:spacing w:after="0"/>
        <w:rPr>
          <w:sz w:val="20"/>
          <w:szCs w:val="20"/>
          <w:color w:val="auto"/>
        </w:rPr>
      </w:pPr>
      <w:r>
        <w:rPr>
          <w:rFonts w:ascii="Times New Roman" w:cs="Times New Roman" w:eastAsia="Times New Roman" w:hAnsi="Times New Roman"/>
          <w:sz w:val="17"/>
          <w:szCs w:val="17"/>
          <w:color w:val="auto"/>
        </w:rPr>
        <w:t xml:space="preserve">Registrant’s Telephone Number, Including Area Code: </w:t>
      </w:r>
      <w:r>
        <w:rPr>
          <w:rFonts w:ascii="Times New Roman" w:cs="Times New Roman" w:eastAsia="Times New Roman" w:hAnsi="Times New Roman"/>
          <w:sz w:val="17"/>
          <w:szCs w:val="17"/>
          <w:b w:val="1"/>
          <w:bCs w:val="1"/>
          <w:color w:val="auto"/>
        </w:rPr>
        <w:t>(516) 268-7400</w:t>
      </w:r>
    </w:p>
    <w:p>
      <w:pPr>
        <w:sectPr>
          <w:pgSz w:w="11900" w:h="16838" w:orient="portrait"/>
          <w:cols w:equalWidth="0" w:num="1">
            <w:col w:w="11080"/>
          </w:cols>
          <w:pgMar w:left="320" w:top="1029" w:right="499" w:bottom="1440" w:gutter="0" w:footer="0" w:header="0"/>
          <w:type w:val="continuous"/>
        </w:sectPr>
      </w:pPr>
    </w:p>
    <w:p>
      <w:pPr>
        <w:spacing w:after="0" w:line="200" w:lineRule="exact"/>
        <w:rPr>
          <w:sz w:val="24"/>
          <w:szCs w:val="24"/>
          <w:color w:val="auto"/>
        </w:rPr>
      </w:pPr>
    </w:p>
    <w:p>
      <w:pPr>
        <w:spacing w:after="0" w:line="297" w:lineRule="exact"/>
        <w:rPr>
          <w:sz w:val="24"/>
          <w:szCs w:val="24"/>
          <w:color w:val="auto"/>
        </w:rPr>
      </w:pPr>
    </w:p>
    <w:p>
      <w:pPr>
        <w:ind w:right="520"/>
        <w:spacing w:after="0" w:line="266"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257" w:lineRule="exact"/>
        <w:rPr>
          <w:sz w:val="24"/>
          <w:szCs w:val="24"/>
          <w:color w:val="auto"/>
        </w:rPr>
      </w:pPr>
    </w:p>
    <w:p>
      <w:pPr>
        <w:ind w:left="440" w:hanging="414"/>
        <w:spacing w:after="0"/>
        <w:tabs>
          <w:tab w:leader="none" w:pos="4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57" w:lineRule="exact"/>
        <w:rPr>
          <w:rFonts w:ascii="MS PGothic" w:cs="MS PGothic" w:eastAsia="MS PGothic" w:hAnsi="MS PGothic"/>
          <w:sz w:val="18"/>
          <w:szCs w:val="18"/>
          <w:color w:val="auto"/>
        </w:rPr>
      </w:pPr>
    </w:p>
    <w:p>
      <w:pPr>
        <w:ind w:left="440" w:hanging="414"/>
        <w:spacing w:after="0"/>
        <w:tabs>
          <w:tab w:leader="none" w:pos="4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71" w:lineRule="exact"/>
        <w:rPr>
          <w:rFonts w:ascii="MS PGothic" w:cs="MS PGothic" w:eastAsia="MS PGothic" w:hAnsi="MS PGothic"/>
          <w:sz w:val="18"/>
          <w:szCs w:val="18"/>
          <w:color w:val="auto"/>
        </w:rPr>
      </w:pPr>
    </w:p>
    <w:p>
      <w:pPr>
        <w:ind w:left="440" w:hanging="414"/>
        <w:spacing w:after="0"/>
        <w:tabs>
          <w:tab w:leader="none" w:pos="4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71" w:lineRule="exact"/>
        <w:rPr>
          <w:rFonts w:ascii="MS PGothic" w:cs="MS PGothic" w:eastAsia="MS PGothic" w:hAnsi="MS PGothic"/>
          <w:sz w:val="18"/>
          <w:szCs w:val="18"/>
          <w:color w:val="auto"/>
        </w:rPr>
      </w:pPr>
    </w:p>
    <w:p>
      <w:pPr>
        <w:ind w:left="440" w:hanging="414"/>
        <w:spacing w:after="0"/>
        <w:tabs>
          <w:tab w:leader="none" w:pos="4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343"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200" w:lineRule="exact"/>
        <w:rPr>
          <w:sz w:val="24"/>
          <w:szCs w:val="24"/>
          <w:color w:val="auto"/>
        </w:rPr>
      </w:pPr>
    </w:p>
    <w:p>
      <w:pPr>
        <w:spacing w:after="0" w:line="340" w:lineRule="exact"/>
        <w:rPr>
          <w:sz w:val="24"/>
          <w:szCs w:val="24"/>
          <w:color w:val="auto"/>
        </w:rPr>
      </w:pPr>
    </w:p>
    <w:tbl>
      <w:tblPr>
        <w:tblLayout w:type="fixed"/>
        <w:tblInd w:w="880" w:type="dxa"/>
        <w:tblCellMar>
          <w:top w:w="0" w:type="dxa"/>
          <w:left w:w="0" w:type="dxa"/>
          <w:bottom w:w="0" w:type="dxa"/>
          <w:right w:w="0" w:type="dxa"/>
        </w:tblCellMar>
      </w:tblPr>
      <w:tr>
        <w:trPr>
          <w:trHeight w:val="207"/>
        </w:trPr>
        <w:tc>
          <w:tcPr>
            <w:tcW w:w="220" w:type="dxa"/>
            <w:vAlign w:val="bottom"/>
          </w:tcPr>
          <w:p>
            <w:pPr>
              <w:spacing w:after="0"/>
              <w:rPr>
                <w:sz w:val="18"/>
                <w:szCs w:val="18"/>
                <w:color w:val="auto"/>
              </w:rPr>
            </w:pPr>
          </w:p>
        </w:tc>
        <w:tc>
          <w:tcPr>
            <w:tcW w:w="3260" w:type="dxa"/>
            <w:vAlign w:val="bottom"/>
            <w:gridSpan w:val="2"/>
          </w:tcPr>
          <w:p>
            <w:pPr>
              <w:jc w:val="center"/>
              <w:ind w:right="196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140" w:type="dxa"/>
            <w:vAlign w:val="bottom"/>
            <w:gridSpan w:val="2"/>
          </w:tcPr>
          <w:p>
            <w:pPr>
              <w:jc w:val="center"/>
              <w:ind w:right="800"/>
              <w:spacing w:after="0"/>
              <w:rPr>
                <w:sz w:val="20"/>
                <w:szCs w:val="20"/>
                <w:color w:val="auto"/>
              </w:rPr>
            </w:pPr>
            <w:r>
              <w:rPr>
                <w:rFonts w:ascii="Times New Roman" w:cs="Times New Roman" w:eastAsia="Times New Roman" w:hAnsi="Times New Roman"/>
                <w:sz w:val="18"/>
                <w:szCs w:val="18"/>
                <w:color w:val="auto"/>
                <w:w w:val="98"/>
              </w:rPr>
              <w:t>Trading Symbol(s)</w:t>
            </w:r>
          </w:p>
        </w:tc>
        <w:tc>
          <w:tcPr>
            <w:tcW w:w="3980" w:type="dxa"/>
            <w:vAlign w:val="bottom"/>
            <w:gridSpan w:val="2"/>
          </w:tcPr>
          <w:p>
            <w:pPr>
              <w:jc w:val="center"/>
              <w:ind w:left="710"/>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0"/>
        </w:trPr>
        <w:tc>
          <w:tcPr>
            <w:tcW w:w="22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180" w:type="dxa"/>
            <w:vAlign w:val="bottom"/>
            <w:shd w:val="clear" w:color="auto" w:fill="000000"/>
          </w:tcPr>
          <w:p>
            <w:pPr>
              <w:spacing w:after="0" w:line="20" w:lineRule="exact"/>
              <w:rPr>
                <w:sz w:val="1"/>
                <w:szCs w:val="1"/>
                <w:color w:val="auto"/>
              </w:rPr>
            </w:pPr>
          </w:p>
        </w:tc>
      </w:tr>
      <w:tr>
        <w:trPr>
          <w:trHeight w:val="277"/>
        </w:trPr>
        <w:tc>
          <w:tcPr>
            <w:tcW w:w="3480" w:type="dxa"/>
            <w:vAlign w:val="bottom"/>
            <w:gridSpan w:val="3"/>
          </w:tcPr>
          <w:p>
            <w:pPr>
              <w:jc w:val="center"/>
              <w:ind w:right="1740"/>
              <w:spacing w:after="0"/>
              <w:rPr>
                <w:sz w:val="20"/>
                <w:szCs w:val="20"/>
                <w:color w:val="auto"/>
              </w:rPr>
            </w:pPr>
            <w:r>
              <w:rPr>
                <w:rFonts w:ascii="Times New Roman" w:cs="Times New Roman" w:eastAsia="Times New Roman" w:hAnsi="Times New Roman"/>
                <w:sz w:val="18"/>
                <w:szCs w:val="18"/>
                <w:b w:val="1"/>
                <w:bCs w:val="1"/>
                <w:color w:val="auto"/>
              </w:rPr>
              <w:t>Class A common stock</w:t>
            </w:r>
          </w:p>
        </w:tc>
        <w:tc>
          <w:tcPr>
            <w:tcW w:w="2140" w:type="dxa"/>
            <w:vAlign w:val="bottom"/>
            <w:gridSpan w:val="2"/>
          </w:tcPr>
          <w:p>
            <w:pPr>
              <w:jc w:val="center"/>
              <w:ind w:right="800"/>
              <w:spacing w:after="0"/>
              <w:rPr>
                <w:sz w:val="20"/>
                <w:szCs w:val="20"/>
                <w:color w:val="auto"/>
              </w:rPr>
            </w:pPr>
            <w:r>
              <w:rPr>
                <w:rFonts w:ascii="Times New Roman" w:cs="Times New Roman" w:eastAsia="Times New Roman" w:hAnsi="Times New Roman"/>
                <w:sz w:val="18"/>
                <w:szCs w:val="18"/>
                <w:b w:val="1"/>
                <w:bCs w:val="1"/>
                <w:color w:val="auto"/>
                <w:w w:val="99"/>
              </w:rPr>
              <w:t>“NFE”</w:t>
            </w:r>
          </w:p>
        </w:tc>
        <w:tc>
          <w:tcPr>
            <w:tcW w:w="800" w:type="dxa"/>
            <w:vAlign w:val="bottom"/>
          </w:tcPr>
          <w:p>
            <w:pPr>
              <w:spacing w:after="0"/>
              <w:rPr>
                <w:sz w:val="24"/>
                <w:szCs w:val="24"/>
                <w:color w:val="auto"/>
              </w:rPr>
            </w:pPr>
          </w:p>
        </w:tc>
        <w:tc>
          <w:tcPr>
            <w:tcW w:w="31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NASDAQ Global Select Market</w:t>
            </w:r>
          </w:p>
        </w:tc>
      </w:tr>
    </w:tbl>
    <w:p>
      <w:pPr>
        <w:spacing w:after="0" w:line="200" w:lineRule="exact"/>
        <w:rPr>
          <w:sz w:val="24"/>
          <w:szCs w:val="24"/>
          <w:color w:val="auto"/>
        </w:rPr>
      </w:pPr>
    </w:p>
    <w:p>
      <w:pPr>
        <w:spacing w:after="0" w:line="362" w:lineRule="exact"/>
        <w:rPr>
          <w:sz w:val="24"/>
          <w:szCs w:val="24"/>
          <w:color w:val="auto"/>
        </w:rPr>
      </w:pPr>
    </w:p>
    <w:p>
      <w:pPr>
        <w:ind w:right="360"/>
        <w:spacing w:after="0" w:line="250"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 w:lineRule="exact"/>
        <w:rPr>
          <w:sz w:val="24"/>
          <w:szCs w:val="24"/>
          <w:color w:val="auto"/>
        </w:rPr>
      </w:pPr>
    </w:p>
    <w:p>
      <w:pPr>
        <w:ind w:left="220" w:hanging="212"/>
        <w:spacing w:after="0"/>
        <w:tabs>
          <w:tab w:leader="none" w:pos="22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Emerging growth company</w:t>
      </w:r>
    </w:p>
    <w:p>
      <w:pPr>
        <w:spacing w:after="0" w:line="2" w:lineRule="exact"/>
        <w:rPr>
          <w:sz w:val="24"/>
          <w:szCs w:val="24"/>
          <w:color w:val="auto"/>
        </w:rPr>
      </w:pPr>
    </w:p>
    <w:p>
      <w:pPr>
        <w:spacing w:after="0" w:line="22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699135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1029" w:right="499" w:bottom="1440" w:gutter="0" w:footer="0" w:header="0"/>
          <w:type w:val="continuous"/>
        </w:sectPr>
      </w:pPr>
    </w:p>
    <w:bookmarkStart w:id="1" w:name="page2"/>
    <w:bookmarkEnd w:id="1"/>
    <w:p>
      <w:pPr>
        <w:spacing w:after="0"/>
        <w:tabs>
          <w:tab w:leader="none" w:pos="980" w:val="left"/>
        </w:tabs>
        <w:rPr>
          <w:sz w:val="20"/>
          <w:szCs w:val="20"/>
          <w:color w:val="auto"/>
        </w:rPr>
      </w:pPr>
      <w:r>
        <w:rPr>
          <w:rFonts w:ascii="Times New Roman" w:cs="Times New Roman" w:eastAsia="Times New Roman" w:hAnsi="Times New Roman"/>
          <w:sz w:val="18"/>
          <w:szCs w:val="18"/>
          <w:b w:val="1"/>
          <w:bCs w:val="1"/>
          <w:color w:val="auto"/>
        </w:rPr>
        <w:t>Item 2.02.</w:t>
      </w:r>
      <w:r>
        <w:rPr>
          <w:sz w:val="20"/>
          <w:szCs w:val="20"/>
          <w:color w:val="auto"/>
        </w:rPr>
        <w:tab/>
      </w:r>
      <w:r>
        <w:rPr>
          <w:rFonts w:ascii="Times New Roman" w:cs="Times New Roman" w:eastAsia="Times New Roman" w:hAnsi="Times New Roman"/>
          <w:sz w:val="17"/>
          <w:szCs w:val="17"/>
          <w:b w:val="1"/>
          <w:bCs w:val="1"/>
          <w:color w:val="auto"/>
        </w:rPr>
        <w:t>Results of Operations and Financial Condition.</w:t>
      </w:r>
    </w:p>
    <w:p>
      <w:pPr>
        <w:spacing w:after="0" w:line="243" w:lineRule="exact"/>
        <w:rPr>
          <w:sz w:val="20"/>
          <w:szCs w:val="20"/>
          <w:color w:val="auto"/>
        </w:rPr>
      </w:pPr>
    </w:p>
    <w:p>
      <w:pPr>
        <w:ind w:right="420" w:firstLine="486"/>
        <w:spacing w:after="0" w:line="258" w:lineRule="auto"/>
        <w:rPr>
          <w:sz w:val="20"/>
          <w:szCs w:val="20"/>
          <w:color w:val="auto"/>
        </w:rPr>
      </w:pPr>
      <w:r>
        <w:rPr>
          <w:rFonts w:ascii="Times New Roman" w:cs="Times New Roman" w:eastAsia="Times New Roman" w:hAnsi="Times New Roman"/>
          <w:sz w:val="18"/>
          <w:szCs w:val="18"/>
          <w:color w:val="auto"/>
        </w:rPr>
        <w:t>On September 5, 2025, New Fortress Energy Inc. (“NFE” or the “Company”) issued a press release announcing the Company’s financial and operating results for its fiscal quarter ended June 30, 2025. A copy of the Company’s press release is attached to this Current Report on Form 8-K (the “Current Report”) as Exhibit 99.1 and is incorporated herein solely for purposes of this Item 2.02 disclosure.</w:t>
      </w:r>
    </w:p>
    <w:p>
      <w:pPr>
        <w:spacing w:after="0" w:line="196" w:lineRule="exact"/>
        <w:rPr>
          <w:sz w:val="20"/>
          <w:szCs w:val="20"/>
          <w:color w:val="auto"/>
        </w:rPr>
      </w:pPr>
    </w:p>
    <w:p>
      <w:pPr>
        <w:ind w:right="240" w:firstLine="486"/>
        <w:spacing w:after="0" w:line="250" w:lineRule="auto"/>
        <w:rPr>
          <w:sz w:val="20"/>
          <w:szCs w:val="20"/>
          <w:color w:val="auto"/>
        </w:rPr>
      </w:pPr>
      <w:r>
        <w:rPr>
          <w:rFonts w:ascii="Times New Roman" w:cs="Times New Roman" w:eastAsia="Times New Roman" w:hAnsi="Times New Roman"/>
          <w:sz w:val="18"/>
          <w:szCs w:val="18"/>
          <w:color w:val="auto"/>
        </w:rPr>
        <w:t>This Current Report, including the exhibit attached hereto, is being furnished and shall not be deemed to be filed for purposes of Section 18 of the Securities Exchange Act of 1934, as amended (the “Exchange Act”), or otherwise subject to the liabilities of that section, nor shall it be incorporated by reference into any of the Company’s filings under the Securities Act of 1933, as amended, or the Exchange Act, unless expressly set forth as being incorporated by reference into such filing.</w:t>
      </w:r>
    </w:p>
    <w:p>
      <w:pPr>
        <w:spacing w:after="0" w:line="200" w:lineRule="exact"/>
        <w:rPr>
          <w:sz w:val="20"/>
          <w:szCs w:val="20"/>
          <w:color w:val="auto"/>
        </w:rPr>
      </w:pPr>
    </w:p>
    <w:p>
      <w:pPr>
        <w:spacing w:after="0" w:line="257"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18"/>
          <w:szCs w:val="18"/>
          <w:b w:val="1"/>
          <w:bCs w:val="1"/>
          <w:color w:val="auto"/>
        </w:rPr>
        <w:t>Item 9.01.</w:t>
        <w:tab/>
        <w:t>Financial Statements and Exhibits</w:t>
      </w:r>
    </w:p>
    <w:p>
      <w:pPr>
        <w:spacing w:after="0" w:line="24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(d) Exhibits</w:t>
      </w:r>
    </w:p>
    <w:p>
      <w:pPr>
        <w:spacing w:after="0" w:line="200" w:lineRule="exact"/>
        <w:rPr>
          <w:sz w:val="20"/>
          <w:szCs w:val="20"/>
          <w:color w:val="auto"/>
        </w:rPr>
      </w:pPr>
    </w:p>
    <w:p>
      <w:pPr>
        <w:spacing w:after="0" w:line="33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80" w:type="dxa"/>
            <w:vAlign w:val="bottom"/>
            <w:gridSpan w:val="4"/>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Exhibit</w:t>
            </w:r>
          </w:p>
        </w:tc>
        <w:tc>
          <w:tcPr>
            <w:tcW w:w="10260" w:type="dxa"/>
            <w:vAlign w:val="bottom"/>
          </w:tcPr>
          <w:p>
            <w:pPr>
              <w:spacing w:after="0"/>
              <w:rPr>
                <w:sz w:val="18"/>
                <w:szCs w:val="18"/>
                <w:color w:val="auto"/>
              </w:rPr>
            </w:pPr>
          </w:p>
        </w:tc>
      </w:tr>
      <w:tr>
        <w:trPr>
          <w:trHeight w:val="259"/>
        </w:trPr>
        <w:tc>
          <w:tcPr>
            <w:tcW w:w="280" w:type="dxa"/>
            <w:vAlign w:val="bottom"/>
          </w:tcPr>
          <w:p>
            <w:pPr>
              <w:spacing w:after="0"/>
              <w:rPr>
                <w:sz w:val="22"/>
                <w:szCs w:val="22"/>
                <w:color w:val="auto"/>
              </w:rPr>
            </w:pPr>
          </w:p>
        </w:tc>
        <w:tc>
          <w:tcPr>
            <w:tcW w:w="700" w:type="dxa"/>
            <w:vAlign w:val="bottom"/>
            <w:gridSpan w:val="3"/>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rPr>
              <w:t>No.</w:t>
            </w:r>
          </w:p>
        </w:tc>
        <w:tc>
          <w:tcPr>
            <w:tcW w:w="10260" w:type="dxa"/>
            <w:vAlign w:val="bottom"/>
          </w:tcPr>
          <w:p>
            <w:pPr>
              <w:ind w:left="468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02"/>
        </w:trPr>
        <w:tc>
          <w:tcPr>
            <w:tcW w:w="280" w:type="dxa"/>
            <w:vAlign w:val="bottom"/>
            <w:tcBorders>
              <w:top w:val="single" w:sz="8" w:color="auto"/>
            </w:tcBorders>
          </w:tcPr>
          <w:p>
            <w:pPr>
              <w:spacing w:after="0"/>
              <w:rPr>
                <w:sz w:val="17"/>
                <w:szCs w:val="17"/>
                <w:color w:val="auto"/>
              </w:rPr>
            </w:pPr>
          </w:p>
        </w:tc>
        <w:tc>
          <w:tcPr>
            <w:tcW w:w="320" w:type="dxa"/>
            <w:vAlign w:val="bottom"/>
            <w:tcBorders>
              <w:top w:val="single" w:sz="8" w:color="auto"/>
              <w:bottom w:val="single" w:sz="8" w:color="0000FF"/>
            </w:tcBorders>
          </w:tcPr>
          <w:p>
            <w:pPr>
              <w:jc w:val="center"/>
              <w:spacing w:after="0" w:line="202" w:lineRule="exact"/>
              <w:rPr>
                <w:sz w:val="20"/>
                <w:szCs w:val="20"/>
                <w:color w:val="auto"/>
              </w:rPr>
            </w:pPr>
            <w:r>
              <w:rPr>
                <w:rFonts w:ascii="Times New Roman" w:cs="Times New Roman" w:eastAsia="Times New Roman" w:hAnsi="Times New Roman"/>
                <w:sz w:val="18"/>
                <w:szCs w:val="18"/>
                <w:color w:val="0000FF"/>
                <w:w w:val="95"/>
              </w:rPr>
              <w:t>99.</w:t>
            </w:r>
            <w:r>
              <w:rPr>
                <w:rFonts w:ascii="Times New Roman" w:cs="Times New Roman" w:eastAsia="Times New Roman" w:hAnsi="Times New Roman"/>
                <w:sz w:val="18"/>
                <w:szCs w:val="18"/>
                <w:u w:val="single" w:color="auto"/>
                <w:color w:val="0000FF"/>
                <w:w w:val="95"/>
              </w:rPr>
              <w:t>1</w:t>
            </w:r>
          </w:p>
        </w:tc>
        <w:tc>
          <w:tcPr>
            <w:tcW w:w="2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260" w:type="dxa"/>
            <w:vAlign w:val="bottom"/>
            <w:tcBorders>
              <w:top w:val="single" w:sz="8" w:color="auto"/>
            </w:tcBorders>
          </w:tcPr>
          <w:p>
            <w:pPr>
              <w:ind w:left="20"/>
              <w:spacing w:after="0" w:line="202" w:lineRule="exact"/>
              <w:rPr>
                <w:sz w:val="20"/>
                <w:szCs w:val="20"/>
                <w:color w:val="auto"/>
              </w:rPr>
            </w:pPr>
            <w:r>
              <w:rPr>
                <w:rFonts w:ascii="Times New Roman" w:cs="Times New Roman" w:eastAsia="Times New Roman" w:hAnsi="Times New Roman"/>
                <w:sz w:val="18"/>
                <w:szCs w:val="18"/>
                <w:color w:val="auto"/>
              </w:rPr>
              <w:t>Press Release, dated September 5, 2025, issued by New Fortress Energy Inc.</w:t>
            </w:r>
          </w:p>
        </w:tc>
      </w:tr>
      <w:tr>
        <w:trPr>
          <w:trHeight w:val="277"/>
        </w:trPr>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Cover Page Interactive Data File - the cover page XBRL tags are embedded within the Inline XBRL document.</w:t>
            </w:r>
          </w:p>
        </w:tc>
      </w:tr>
      <w:tr>
        <w:trPr>
          <w:trHeight w:val="1276"/>
        </w:trPr>
        <w:tc>
          <w:tcPr>
            <w:tcW w:w="28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2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00" w:lineRule="exact"/>
        <w:rPr>
          <w:sz w:val="20"/>
          <w:szCs w:val="20"/>
          <w:color w:val="auto"/>
        </w:rPr>
      </w:pPr>
    </w:p>
    <w:p>
      <w:pPr>
        <w:spacing w:after="0" w:line="286"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225"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3300" w:type="dxa"/>
            <w:vAlign w:val="bottom"/>
          </w:tcPr>
          <w:p>
            <w:pPr>
              <w:spacing w:after="0"/>
              <w:rPr>
                <w:sz w:val="20"/>
                <w:szCs w:val="20"/>
                <w:color w:val="auto"/>
              </w:rPr>
            </w:pPr>
          </w:p>
        </w:tc>
        <w:tc>
          <w:tcPr>
            <w:tcW w:w="7900" w:type="dxa"/>
            <w:vAlign w:val="bottom"/>
            <w:gridSpan w:val="2"/>
          </w:tcPr>
          <w:p>
            <w:pPr>
              <w:ind w:left="1940"/>
              <w:spacing w:after="0"/>
              <w:rPr>
                <w:sz w:val="20"/>
                <w:szCs w:val="20"/>
                <w:color w:val="auto"/>
              </w:rPr>
            </w:pPr>
            <w:r>
              <w:rPr>
                <w:rFonts w:ascii="Times New Roman" w:cs="Times New Roman" w:eastAsia="Times New Roman" w:hAnsi="Times New Roman"/>
                <w:sz w:val="18"/>
                <w:szCs w:val="18"/>
                <w:b w:val="1"/>
                <w:bCs w:val="1"/>
                <w:color w:val="auto"/>
              </w:rPr>
              <w:t>NEW FORTRESS ENERGY INC.</w:t>
            </w:r>
          </w:p>
        </w:tc>
      </w:tr>
      <w:tr>
        <w:trPr>
          <w:trHeight w:val="533"/>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September 5, 2025</w:t>
            </w:r>
          </w:p>
        </w:tc>
        <w:tc>
          <w:tcPr>
            <w:tcW w:w="2660" w:type="dxa"/>
            <w:vAlign w:val="bottom"/>
          </w:tcPr>
          <w:p>
            <w:pPr>
              <w:ind w:left="1940"/>
              <w:spacing w:after="0"/>
              <w:rPr>
                <w:sz w:val="20"/>
                <w:szCs w:val="20"/>
                <w:color w:val="auto"/>
              </w:rPr>
            </w:pPr>
            <w:r>
              <w:rPr>
                <w:rFonts w:ascii="Times New Roman" w:cs="Times New Roman" w:eastAsia="Times New Roman" w:hAnsi="Times New Roman"/>
                <w:sz w:val="18"/>
                <w:szCs w:val="18"/>
                <w:color w:val="auto"/>
              </w:rPr>
              <w:t>By:</w:t>
            </w:r>
          </w:p>
        </w:tc>
        <w:tc>
          <w:tcPr>
            <w:tcW w:w="5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Christopher S. Guinta</w:t>
            </w:r>
          </w:p>
        </w:tc>
      </w:tr>
      <w:tr>
        <w:trPr>
          <w:trHeight w:val="243"/>
        </w:trPr>
        <w:tc>
          <w:tcPr>
            <w:tcW w:w="3300" w:type="dxa"/>
            <w:vAlign w:val="bottom"/>
          </w:tcPr>
          <w:p>
            <w:pPr>
              <w:spacing w:after="0"/>
              <w:rPr>
                <w:sz w:val="21"/>
                <w:szCs w:val="21"/>
                <w:color w:val="auto"/>
              </w:rPr>
            </w:pPr>
          </w:p>
        </w:tc>
        <w:tc>
          <w:tcPr>
            <w:tcW w:w="2660" w:type="dxa"/>
            <w:vAlign w:val="bottom"/>
          </w:tcPr>
          <w:p>
            <w:pPr>
              <w:ind w:left="1940"/>
              <w:spacing w:after="0"/>
              <w:rPr>
                <w:sz w:val="20"/>
                <w:szCs w:val="20"/>
                <w:color w:val="auto"/>
              </w:rPr>
            </w:pPr>
            <w:r>
              <w:rPr>
                <w:rFonts w:ascii="Times New Roman" w:cs="Times New Roman" w:eastAsia="Times New Roman" w:hAnsi="Times New Roman"/>
                <w:sz w:val="18"/>
                <w:szCs w:val="18"/>
                <w:color w:val="auto"/>
              </w:rPr>
              <w:t>Name:</w:t>
            </w:r>
          </w:p>
        </w:tc>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Christopher S. Guinta</w:t>
            </w:r>
          </w:p>
        </w:tc>
      </w:tr>
      <w:tr>
        <w:trPr>
          <w:trHeight w:val="257"/>
        </w:trPr>
        <w:tc>
          <w:tcPr>
            <w:tcW w:w="3300" w:type="dxa"/>
            <w:vAlign w:val="bottom"/>
          </w:tcPr>
          <w:p>
            <w:pPr>
              <w:spacing w:after="0"/>
              <w:rPr>
                <w:sz w:val="22"/>
                <w:szCs w:val="22"/>
                <w:color w:val="auto"/>
              </w:rPr>
            </w:pPr>
          </w:p>
        </w:tc>
        <w:tc>
          <w:tcPr>
            <w:tcW w:w="2660" w:type="dxa"/>
            <w:vAlign w:val="bottom"/>
          </w:tcPr>
          <w:p>
            <w:pPr>
              <w:ind w:left="1940"/>
              <w:spacing w:after="0"/>
              <w:rPr>
                <w:sz w:val="20"/>
                <w:szCs w:val="20"/>
                <w:color w:val="auto"/>
              </w:rPr>
            </w:pPr>
            <w:r>
              <w:rPr>
                <w:rFonts w:ascii="Times New Roman" w:cs="Times New Roman" w:eastAsia="Times New Roman" w:hAnsi="Times New Roman"/>
                <w:sz w:val="18"/>
                <w:szCs w:val="18"/>
                <w:color w:val="auto"/>
              </w:rPr>
              <w:t>Title:</w:t>
            </w:r>
          </w:p>
        </w:tc>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bl>
    <w:p>
      <w:pPr>
        <w:sectPr>
          <w:pgSz w:w="11900" w:h="16838" w:orient="portrait"/>
          <w:cols w:equalWidth="0" w:num="1">
            <w:col w:w="11220"/>
          </w:cols>
          <w:pgMar w:left="320" w:top="927" w:right="35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jc w:val="right"/>
        <w:ind w:right="20"/>
        <w:spacing w:after="0" w:line="215" w:lineRule="auto"/>
        <w:rPr>
          <w:sz w:val="20"/>
          <w:szCs w:val="20"/>
          <w:color w:val="auto"/>
        </w:rPr>
      </w:pPr>
      <w:r>
        <w:rPr>
          <w:rFonts w:ascii="Times New Roman" w:cs="Times New Roman" w:eastAsia="Times New Roman" w:hAnsi="Times New Roman"/>
          <w:sz w:val="18"/>
          <w:szCs w:val="18"/>
          <w:color w:val="auto"/>
        </w:rPr>
        <w:t>111 W 19</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18"/>
          <w:szCs w:val="18"/>
          <w:color w:val="auto"/>
        </w:rPr>
        <w:t xml:space="preserve"> Street, 8</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18"/>
          <w:szCs w:val="18"/>
          <w:color w:val="auto"/>
        </w:rPr>
        <w:t xml:space="preserve"> Floor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-154305</wp:posOffset>
            </wp:positionV>
            <wp:extent cx="1071245" cy="2654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71245" cy="265430"/>
                    </a:xfrm>
                    <a:prstGeom prst="rect">
                      <a:avLst/>
                    </a:prstGeom>
                    <a:noFill/>
                  </pic:spPr>
                </pic:pic>
              </a:graphicData>
            </a:graphic>
          </wp:anchor>
        </w:drawing>
      </w:r>
    </w:p>
    <w:p>
      <w:pPr>
        <w:jc w:val="right"/>
        <w:ind w:right="20"/>
        <w:spacing w:after="0"/>
        <w:rPr>
          <w:sz w:val="20"/>
          <w:szCs w:val="20"/>
          <w:color w:val="auto"/>
        </w:rPr>
      </w:pPr>
      <w:r>
        <w:rPr>
          <w:rFonts w:ascii="Times New Roman" w:cs="Times New Roman" w:eastAsia="Times New Roman" w:hAnsi="Times New Roman"/>
          <w:sz w:val="18"/>
          <w:szCs w:val="18"/>
          <w:color w:val="auto"/>
        </w:rPr>
        <w:t>New York, NY 10011</w:t>
      </w: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New Fortress Energy Announces Second Quarter 2025 Results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5, 2025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 New Fortress Energy Inc. (Nasdaq: NFE) (“NFE” or the “Company”) today reported its financial results for the second quarter of 2025.</w:t>
      </w:r>
    </w:p>
    <w:p>
      <w:pPr>
        <w:spacing w:after="0" w:line="114" w:lineRule="exact"/>
        <w:rPr>
          <w:sz w:val="20"/>
          <w:szCs w:val="20"/>
          <w:color w:val="auto"/>
        </w:rPr>
      </w:pPr>
    </w:p>
    <w:p>
      <w:pPr>
        <w:ind w:left="240" w:hanging="232"/>
        <w:spacing w:after="0"/>
        <w:tabs>
          <w:tab w:leader="none" w:pos="24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Adjusted EBITDA</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 xml:space="preserve"> of $(4) million in the second quarter of 2025</w:t>
      </w:r>
    </w:p>
    <w:p>
      <w:pPr>
        <w:spacing w:after="0" w:line="62" w:lineRule="exact"/>
        <w:rPr>
          <w:rFonts w:ascii="Times New Roman" w:cs="Times New Roman" w:eastAsia="Times New Roman" w:hAnsi="Times New Roman"/>
          <w:sz w:val="18"/>
          <w:szCs w:val="18"/>
          <w:b w:val="1"/>
          <w:bCs w:val="1"/>
          <w:color w:val="auto"/>
        </w:rPr>
      </w:pPr>
    </w:p>
    <w:p>
      <w:pPr>
        <w:ind w:left="240" w:hanging="232"/>
        <w:spacing w:after="0"/>
        <w:tabs>
          <w:tab w:leader="none" w:pos="2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loss of $557 million in the second quarter of 2025</w:t>
      </w:r>
    </w:p>
    <w:p>
      <w:pPr>
        <w:spacing w:after="0" w:line="117" w:lineRule="exact"/>
        <w:rPr>
          <w:rFonts w:ascii="Times New Roman" w:cs="Times New Roman" w:eastAsia="Times New Roman" w:hAnsi="Times New Roman"/>
          <w:sz w:val="18"/>
          <w:szCs w:val="18"/>
          <w:color w:val="auto"/>
        </w:rPr>
      </w:pPr>
    </w:p>
    <w:p>
      <w:pPr>
        <w:ind w:left="900" w:hanging="244"/>
        <w:spacing w:after="0"/>
        <w:tabs>
          <w:tab w:leader="none" w:pos="90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non-cash impairments of assets and goodwill totaling $699 million</w:t>
      </w:r>
    </w:p>
    <w:p>
      <w:pPr>
        <w:spacing w:after="0" w:line="117" w:lineRule="exact"/>
        <w:rPr>
          <w:rFonts w:ascii="Times New Roman" w:cs="Times New Roman" w:eastAsia="Times New Roman" w:hAnsi="Times New Roman"/>
          <w:sz w:val="18"/>
          <w:szCs w:val="18"/>
          <w:color w:val="auto"/>
        </w:rPr>
      </w:pPr>
    </w:p>
    <w:p>
      <w:pPr>
        <w:ind w:left="900" w:hanging="244"/>
        <w:spacing w:after="0"/>
        <w:tabs>
          <w:tab w:leader="none" w:pos="90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Gain on sale of our Jamaican operations of $473 million</w:t>
      </w:r>
    </w:p>
    <w:p>
      <w:pPr>
        <w:spacing w:after="0" w:line="117"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EPS of $(2.02) on a fully diluted basis in the second quarter of 2025</w:t>
      </w:r>
    </w:p>
    <w:p>
      <w:pPr>
        <w:spacing w:after="0" w:line="117"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cash balance of $821 million, of which $551 million is unrestricted as of June 30, 2025</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believe there are a number of substantial commercial opportunities to improve our results of operations and liquidity position by the end of 2025, including:</w:t>
      </w:r>
    </w:p>
    <w:p>
      <w:pPr>
        <w:spacing w:after="0" w:line="162" w:lineRule="exact"/>
        <w:rPr>
          <w:sz w:val="20"/>
          <w:szCs w:val="20"/>
          <w:color w:val="auto"/>
        </w:rPr>
      </w:pPr>
    </w:p>
    <w:p>
      <w:pPr>
        <w:jc w:val="both"/>
        <w:ind w:left="260" w:hanging="252"/>
        <w:spacing w:after="0" w:line="266" w:lineRule="auto"/>
        <w:tabs>
          <w:tab w:leader="none" w:pos="2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continue to negotiate a long-term gas sale agreement ("GSA") with PREPA to provide gas island-wide in Puerto Rico. During these negotiations we are extending the current island-wide GSA on a weekly basis as we work towards a long-term agreement that is in the best interests of both parties and achieves our mutual goal of sustained, efficient, and economical power generation for the people of Puerto Rico.</w:t>
      </w:r>
    </w:p>
    <w:p>
      <w:pPr>
        <w:spacing w:after="0" w:line="175" w:lineRule="exact"/>
        <w:rPr>
          <w:rFonts w:ascii="Times New Roman" w:cs="Times New Roman" w:eastAsia="Times New Roman" w:hAnsi="Times New Roman"/>
          <w:sz w:val="18"/>
          <w:szCs w:val="18"/>
          <w:color w:val="auto"/>
        </w:rPr>
      </w:pPr>
    </w:p>
    <w:p>
      <w:pPr>
        <w:ind w:left="260" w:hanging="252"/>
        <w:spacing w:after="0" w:line="282" w:lineRule="auto"/>
        <w:tabs>
          <w:tab w:leader="none" w:pos="2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continue to be in active dialogue with FEMA and the US Army Corps of Engineers on our Request for an Equitable Adjustment related to the temporary power solution in Puerto Rico and are increasingly confident the matter will be resolved by the end of this year.</w:t>
      </w:r>
    </w:p>
    <w:p>
      <w:pPr>
        <w:spacing w:after="0" w:line="158"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begun the commissioning of our 624 MW CELBA plant, and we expect the power plant to be operational</w:t>
      </w:r>
      <w:r>
        <w:rPr>
          <w:rFonts w:ascii="Times New Roman" w:cs="Times New Roman" w:eastAsia="Times New Roman" w:hAnsi="Times New Roman"/>
          <w:sz w:val="23"/>
          <w:szCs w:val="23"/>
          <w:color w:val="auto"/>
          <w:vertAlign w:val="superscript"/>
        </w:rPr>
        <w:t>(3)</w:t>
      </w:r>
      <w:r>
        <w:rPr>
          <w:rFonts w:ascii="Times New Roman" w:cs="Times New Roman" w:eastAsia="Times New Roman" w:hAnsi="Times New Roman"/>
          <w:sz w:val="18"/>
          <w:szCs w:val="18"/>
          <w:color w:val="auto"/>
        </w:rPr>
        <w:t xml:space="preserve"> before the end of the year.</w:t>
      </w:r>
    </w:p>
    <w:p>
      <w:pPr>
        <w:spacing w:after="0" w:line="170" w:lineRule="exact"/>
        <w:rPr>
          <w:rFonts w:ascii="Times New Roman" w:cs="Times New Roman" w:eastAsia="Times New Roman" w:hAnsi="Times New Roman"/>
          <w:sz w:val="18"/>
          <w:szCs w:val="18"/>
          <w:color w:val="auto"/>
        </w:rPr>
      </w:pPr>
    </w:p>
    <w:p>
      <w:pPr>
        <w:jc w:val="both"/>
        <w:ind w:left="260" w:hanging="252"/>
        <w:spacing w:after="0" w:line="266" w:lineRule="auto"/>
        <w:tabs>
          <w:tab w:leader="none" w:pos="2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continue to optimize our shipping portfolio; we executed a 10 year charter for the Energos Eskimo with the Egyptian Natural Gas Holding Company ("EGAS") in Q4 2024, and we have executed a 3 year charter for the Energos Freeze with Energia 2000 S.A. in Q2 2025. Furthermore, we executed a 5 year charter for the Energos Winter with EGAS in July.</w:t>
      </w:r>
    </w:p>
    <w:p>
      <w:pPr>
        <w:spacing w:after="0" w:line="175" w:lineRule="exact"/>
        <w:rPr>
          <w:rFonts w:ascii="Times New Roman" w:cs="Times New Roman" w:eastAsia="Times New Roman" w:hAnsi="Times New Roman"/>
          <w:sz w:val="18"/>
          <w:szCs w:val="18"/>
          <w:color w:val="auto"/>
        </w:rPr>
      </w:pPr>
    </w:p>
    <w:p>
      <w:pPr>
        <w:jc w:val="both"/>
        <w:ind w:left="260" w:hanging="252"/>
        <w:spacing w:after="0" w:line="266" w:lineRule="auto"/>
        <w:tabs>
          <w:tab w:leader="none" w:pos="2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encouraged by a recent announcement in Brazil of an intention to hold power auctions on March 13, 2026. We think the ultimate size of the auction could be larger than initially expected, potentially as large as 15 GW. We believe our critical infrastructure assets, including our terminal in Santa Catarina, positions us well to either develop our own power projects or provide reliable service to others.</w:t>
      </w:r>
    </w:p>
    <w:p>
      <w:pPr>
        <w:spacing w:after="0" w:line="172" w:lineRule="exact"/>
        <w:rPr>
          <w:sz w:val="20"/>
          <w:szCs w:val="20"/>
          <w:color w:val="auto"/>
        </w:rPr>
      </w:pPr>
    </w:p>
    <w:p>
      <w:pPr>
        <w:spacing w:after="0" w:line="230" w:lineRule="auto"/>
        <w:rPr>
          <w:sz w:val="20"/>
          <w:szCs w:val="20"/>
          <w:color w:val="auto"/>
        </w:rPr>
      </w:pPr>
      <w:r>
        <w:rPr>
          <w:rFonts w:ascii="Times New Roman" w:cs="Times New Roman" w:eastAsia="Times New Roman" w:hAnsi="Times New Roman"/>
          <w:sz w:val="18"/>
          <w:szCs w:val="18"/>
          <w:color w:val="auto"/>
        </w:rPr>
        <w:t>We expect our core earnings to increase as our developments in Brazil, Nicaragua and expansions in Puerto Rico, come online</w:t>
      </w:r>
      <w:r>
        <w:rPr>
          <w:rFonts w:ascii="Times New Roman" w:cs="Times New Roman" w:eastAsia="Times New Roman" w:hAnsi="Times New Roman"/>
          <w:sz w:val="23"/>
          <w:szCs w:val="23"/>
          <w:color w:val="auto"/>
          <w:vertAlign w:val="superscript"/>
        </w:rPr>
        <w:t>(3)</w:t>
      </w:r>
      <w:r>
        <w:rPr>
          <w:rFonts w:ascii="Times New Roman" w:cs="Times New Roman" w:eastAsia="Times New Roman" w:hAnsi="Times New Roman"/>
          <w:sz w:val="18"/>
          <w:szCs w:val="18"/>
          <w:color w:val="auto"/>
        </w:rPr>
        <w:t>, and we have the following positive developments across our business:</w:t>
      </w:r>
    </w:p>
    <w:p>
      <w:pPr>
        <w:spacing w:after="0" w:line="196" w:lineRule="exact"/>
        <w:rPr>
          <w:sz w:val="20"/>
          <w:szCs w:val="20"/>
          <w:color w:val="auto"/>
        </w:rPr>
      </w:pPr>
    </w:p>
    <w:p>
      <w:pPr>
        <w:ind w:left="260" w:right="20" w:hanging="252"/>
        <w:spacing w:after="0" w:line="230" w:lineRule="auto"/>
        <w:tabs>
          <w:tab w:leader="none" w:pos="2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continue to make substantial progress on our PortoCem power plant in Brazil that is over 70% complete</w:t>
      </w:r>
      <w:r>
        <w:rPr>
          <w:rFonts w:ascii="Times New Roman" w:cs="Times New Roman" w:eastAsia="Times New Roman" w:hAnsi="Times New Roman"/>
          <w:sz w:val="23"/>
          <w:szCs w:val="23"/>
          <w:color w:val="auto"/>
          <w:vertAlign w:val="superscript"/>
        </w:rPr>
        <w:t>(3)</w:t>
      </w:r>
      <w:r>
        <w:rPr>
          <w:rFonts w:ascii="Times New Roman" w:cs="Times New Roman" w:eastAsia="Times New Roman" w:hAnsi="Times New Roman"/>
          <w:sz w:val="18"/>
          <w:szCs w:val="18"/>
          <w:color w:val="auto"/>
        </w:rPr>
        <w:t>. The project is on-time, on-budget and is fully funded with asset-level debt already in place.</w:t>
      </w:r>
    </w:p>
    <w:p>
      <w:pPr>
        <w:spacing w:after="0" w:line="277"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FLNG 1 performed at or above nameplate capacity for all of Q2.</w:t>
      </w:r>
      <w:r>
        <w:rPr>
          <w:rFonts w:ascii="Times New Roman" w:cs="Times New Roman" w:eastAsia="Times New Roman" w:hAnsi="Times New Roman"/>
          <w:sz w:val="23"/>
          <w:szCs w:val="23"/>
          <w:color w:val="auto"/>
          <w:vertAlign w:val="superscript"/>
        </w:rPr>
        <w:t>(4)</w:t>
      </w:r>
    </w:p>
    <w:p>
      <w:pPr>
        <w:spacing w:after="0" w:line="15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NFE has initiated a process to evaluate its strategic alternatives to improve its capital structure. It has retained Houlihan Lokey Capital, Inc. as financial advisor and Skadden, Arps, Slate, Meagher &amp; Flom LLP as legal advisor to assist NFE in this evaluation. The Company, along with its advisors, is considering all options available, including asset sales, capital</w:t>
      </w:r>
    </w:p>
    <w:p>
      <w:pPr>
        <w:sectPr>
          <w:pgSz w:w="11900" w:h="16838" w:orient="portrait"/>
          <w:cols w:equalWidth="0" w:num="1">
            <w:col w:w="11240"/>
          </w:cols>
          <w:pgMar w:left="320" w:top="927" w:right="339" w:bottom="1440" w:gutter="0" w:footer="0" w:header="0"/>
        </w:sectPr>
      </w:pPr>
    </w:p>
    <w:bookmarkStart w:id="4" w:name="page5"/>
    <w:bookmarkEnd w:id="4"/>
    <w:p>
      <w:pPr>
        <w:jc w:val="both"/>
        <w:spacing w:after="0" w:line="258" w:lineRule="auto"/>
        <w:rPr>
          <w:sz w:val="20"/>
          <w:szCs w:val="20"/>
          <w:color w:val="auto"/>
        </w:rPr>
      </w:pPr>
      <w:r>
        <w:rPr>
          <w:rFonts w:ascii="Times New Roman" w:cs="Times New Roman" w:eastAsia="Times New Roman" w:hAnsi="Times New Roman"/>
          <w:sz w:val="18"/>
          <w:szCs w:val="18"/>
          <w:color w:val="auto"/>
        </w:rPr>
        <w:t>raising, debt amendments and refinancing transactions, and other strategic transactions that seek to provide additional liquidity and relief from acceleration under its debt agreements. As part of this process, NFE is engaging in discussions with various existing stakeholders and potential investors. There are inherent uncertainties as the outcome of these negotiations and potential transactions described above are outside management’s control, and therefore there are no assurances that management will be successful in these negotiations and that any of these potential transactions will occur. In addition, there can be no assurances that these transactions will sufficiently improve the Company's liquidity or that the Company will otherwise realize the anticipated benefits.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6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Financial Detail</w:t>
            </w:r>
          </w:p>
        </w:tc>
        <w:tc>
          <w:tcPr>
            <w:tcW w:w="2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98"/>
        </w:trPr>
        <w:tc>
          <w:tcPr>
            <w:tcW w:w="1240" w:type="dxa"/>
            <w:vAlign w:val="bottom"/>
            <w:tcBorders>
              <w:top w:val="single" w:sz="8" w:color="auto"/>
            </w:tcBorders>
          </w:tcPr>
          <w:p>
            <w:pPr>
              <w:spacing w:after="0"/>
              <w:rPr>
                <w:sz w:val="24"/>
                <w:szCs w:val="24"/>
                <w:color w:val="auto"/>
              </w:rPr>
            </w:pPr>
          </w:p>
        </w:tc>
        <w:tc>
          <w:tcPr>
            <w:tcW w:w="43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8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r>
      <w:tr>
        <w:trPr>
          <w:trHeight w:val="250"/>
        </w:trPr>
        <w:tc>
          <w:tcPr>
            <w:tcW w:w="56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 except per share amounts)</w:t>
            </w:r>
          </w:p>
        </w:tc>
        <w:tc>
          <w:tcPr>
            <w:tcW w:w="22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220" w:type="dxa"/>
            <w:vAlign w:val="bottom"/>
            <w:tcBorders>
              <w:bottom w:val="single" w:sz="8" w:color="auto"/>
            </w:tcBorders>
          </w:tcPr>
          <w:p>
            <w:pPr>
              <w:spacing w:after="0"/>
              <w:rPr>
                <w:sz w:val="21"/>
                <w:szCs w:val="21"/>
                <w:color w:val="auto"/>
              </w:rPr>
            </w:pPr>
          </w:p>
        </w:tc>
        <w:tc>
          <w:tcPr>
            <w:tcW w:w="19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March 31, 2025</w:t>
            </w:r>
          </w:p>
        </w:tc>
        <w:tc>
          <w:tcPr>
            <w:tcW w:w="28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June 30, 2025</w:t>
            </w:r>
          </w:p>
        </w:tc>
      </w:tr>
      <w:tr>
        <w:trPr>
          <w:trHeight w:val="257"/>
        </w:trPr>
        <w:tc>
          <w:tcPr>
            <w:tcW w:w="5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428.0</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470.5</w:t>
            </w:r>
          </w:p>
        </w:tc>
        <w:tc>
          <w:tcPr>
            <w:tcW w:w="2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301.7</w:t>
            </w:r>
          </w:p>
        </w:tc>
      </w:tr>
      <w:tr>
        <w:trPr>
          <w:trHeight w:val="250"/>
        </w:trPr>
        <w:tc>
          <w:tcPr>
            <w:tcW w:w="5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(86.9)</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(197.4)</w:t>
            </w:r>
          </w:p>
        </w:tc>
        <w:tc>
          <w:tcPr>
            <w:tcW w:w="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(556.8)</w:t>
            </w:r>
          </w:p>
        </w:tc>
      </w:tr>
      <w:tr>
        <w:trPr>
          <w:trHeight w:val="263"/>
        </w:trPr>
        <w:tc>
          <w:tcPr>
            <w:tcW w:w="56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Diluted EPS</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(0.44)</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(0.73)</w:t>
            </w:r>
          </w:p>
        </w:tc>
        <w:tc>
          <w:tcPr>
            <w:tcW w:w="2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w:t>
            </w:r>
          </w:p>
        </w:tc>
      </w:tr>
      <w:tr>
        <w:trPr>
          <w:trHeight w:val="257"/>
        </w:trPr>
        <w:tc>
          <w:tcPr>
            <w:tcW w:w="5620" w:type="dxa"/>
            <w:vAlign w:val="bottom"/>
            <w:gridSpan w:val="2"/>
          </w:tcPr>
          <w:p>
            <w:pPr>
              <w:ind w:left="140"/>
              <w:spacing w:after="0" w:line="256" w:lineRule="exact"/>
              <w:rPr>
                <w:sz w:val="20"/>
                <w:szCs w:val="20"/>
                <w:color w:val="auto"/>
              </w:rPr>
            </w:pPr>
            <w:r>
              <w:rPr>
                <w:rFonts w:ascii="Times New Roman" w:cs="Times New Roman" w:eastAsia="Times New Roman" w:hAnsi="Times New Roman"/>
                <w:sz w:val="18"/>
                <w:szCs w:val="18"/>
                <w:color w:val="auto"/>
              </w:rPr>
              <w:t>Terminals and Infrastructure Segment Operating Margin</w:t>
            </w:r>
            <w:r>
              <w:rPr>
                <w:rFonts w:ascii="Times New Roman" w:cs="Times New Roman" w:eastAsia="Times New Roman" w:hAnsi="Times New Roman"/>
                <w:sz w:val="23"/>
                <w:szCs w:val="23"/>
                <w:color w:val="auto"/>
                <w:vertAlign w:val="superscript"/>
              </w:rPr>
              <w:t>(2)</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214.3</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74.6</w:t>
            </w:r>
          </w:p>
        </w:tc>
        <w:tc>
          <w:tcPr>
            <w:tcW w:w="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r>
      <w:tr>
        <w:trPr>
          <w:trHeight w:val="257"/>
        </w:trPr>
        <w:tc>
          <w:tcPr>
            <w:tcW w:w="5620" w:type="dxa"/>
            <w:vAlign w:val="bottom"/>
            <w:gridSpan w:val="2"/>
            <w:shd w:val="clear" w:color="auto" w:fill="CCEEFF"/>
          </w:tcPr>
          <w:p>
            <w:pPr>
              <w:ind w:left="140"/>
              <w:spacing w:after="0" w:line="256" w:lineRule="exact"/>
              <w:rPr>
                <w:sz w:val="20"/>
                <w:szCs w:val="20"/>
                <w:color w:val="auto"/>
              </w:rPr>
            </w:pPr>
            <w:r>
              <w:rPr>
                <w:rFonts w:ascii="Times New Roman" w:cs="Times New Roman" w:eastAsia="Times New Roman" w:hAnsi="Times New Roman"/>
                <w:sz w:val="18"/>
                <w:szCs w:val="18"/>
                <w:color w:val="auto"/>
              </w:rPr>
              <w:t>Ships Segment Operating Margin</w:t>
            </w:r>
            <w:r>
              <w:rPr>
                <w:rFonts w:ascii="Times New Roman" w:cs="Times New Roman" w:eastAsia="Times New Roman" w:hAnsi="Times New Roman"/>
                <w:sz w:val="23"/>
                <w:szCs w:val="23"/>
                <w:color w:val="auto"/>
                <w:vertAlign w:val="superscript"/>
              </w:rPr>
              <w:t>(2)</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34.1</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31.4</w:t>
            </w:r>
          </w:p>
        </w:tc>
        <w:tc>
          <w:tcPr>
            <w:tcW w:w="2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w:t>
            </w:r>
          </w:p>
        </w:tc>
      </w:tr>
      <w:tr>
        <w:trPr>
          <w:trHeight w:val="257"/>
        </w:trPr>
        <w:tc>
          <w:tcPr>
            <w:tcW w:w="5620" w:type="dxa"/>
            <w:vAlign w:val="bottom"/>
            <w:gridSpan w:val="2"/>
          </w:tcPr>
          <w:p>
            <w:pPr>
              <w:ind w:left="20"/>
              <w:spacing w:after="0" w:line="256" w:lineRule="exact"/>
              <w:rPr>
                <w:sz w:val="20"/>
                <w:szCs w:val="20"/>
                <w:color w:val="auto"/>
              </w:rPr>
            </w:pPr>
            <w:r>
              <w:rPr>
                <w:rFonts w:ascii="Times New Roman" w:cs="Times New Roman" w:eastAsia="Times New Roman" w:hAnsi="Times New Roman"/>
                <w:sz w:val="18"/>
                <w:szCs w:val="18"/>
                <w:color w:val="auto"/>
              </w:rPr>
              <w:t>Total Segment Operating Margin</w:t>
            </w:r>
            <w:r>
              <w:rPr>
                <w:rFonts w:ascii="Times New Roman" w:cs="Times New Roman" w:eastAsia="Times New Roman" w:hAnsi="Times New Roman"/>
                <w:sz w:val="23"/>
                <w:szCs w:val="23"/>
                <w:color w:val="auto"/>
                <w:vertAlign w:val="superscript"/>
              </w:rPr>
              <w:t>(2)</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248.4</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106.0</w:t>
            </w:r>
          </w:p>
        </w:tc>
        <w:tc>
          <w:tcPr>
            <w:tcW w:w="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w:t>
            </w:r>
          </w:p>
        </w:tc>
      </w:tr>
      <w:tr>
        <w:trPr>
          <w:trHeight w:val="257"/>
        </w:trPr>
        <w:tc>
          <w:tcPr>
            <w:tcW w:w="5620" w:type="dxa"/>
            <w:vAlign w:val="bottom"/>
            <w:gridSpan w:val="2"/>
            <w:shd w:val="clear" w:color="auto" w:fill="CCEEFF"/>
          </w:tcPr>
          <w:p>
            <w:pPr>
              <w:ind w:left="40"/>
              <w:spacing w:after="0" w:line="256" w:lineRule="exact"/>
              <w:rPr>
                <w:sz w:val="20"/>
                <w:szCs w:val="20"/>
                <w:color w:val="auto"/>
              </w:rPr>
            </w:pPr>
            <w:r>
              <w:rPr>
                <w:rFonts w:ascii="Times New Roman" w:cs="Times New Roman" w:eastAsia="Times New Roman" w:hAnsi="Times New Roman"/>
                <w:sz w:val="18"/>
                <w:szCs w:val="18"/>
                <w:b w:val="1"/>
                <w:bCs w:val="1"/>
                <w:color w:val="auto"/>
              </w:rPr>
              <w:t>Adjusted EBITDA</w:t>
            </w:r>
            <w:r>
              <w:rPr>
                <w:rFonts w:ascii="Times New Roman" w:cs="Times New Roman" w:eastAsia="Times New Roman" w:hAnsi="Times New Roman"/>
                <w:sz w:val="23"/>
                <w:szCs w:val="23"/>
                <w:b w:val="1"/>
                <w:bCs w:val="1"/>
                <w:color w:val="auto"/>
                <w:vertAlign w:val="superscript"/>
              </w:rPr>
              <w:t>(1)</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5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120.2</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9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82.3</w:t>
            </w:r>
          </w:p>
        </w:tc>
        <w:tc>
          <w:tcPr>
            <w:tcW w:w="2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w:t>
            </w:r>
          </w:p>
        </w:tc>
      </w:tr>
    </w:tbl>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1)For a definition and reconciliation of “Adjusted EBITDA,” a non-GAAP measure, see the exhibits to this press release.</w:t>
      </w:r>
    </w:p>
    <w:p>
      <w:pPr>
        <w:spacing w:after="0" w:line="4" w:lineRule="exact"/>
        <w:rPr>
          <w:sz w:val="20"/>
          <w:szCs w:val="20"/>
          <w:color w:val="auto"/>
        </w:rPr>
      </w:pPr>
    </w:p>
    <w:p>
      <w:pPr>
        <w:ind w:right="220" w:firstLine="8"/>
        <w:spacing w:after="0" w:line="224" w:lineRule="auto"/>
        <w:tabs>
          <w:tab w:leader="none" w:pos="195" w:val="left"/>
        </w:tabs>
        <w:numPr>
          <w:ilvl w:val="0"/>
          <w:numId w:val="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“Total Segment Operating Margin” is the total of our Terminals and Infrastructure Segment Operating Margin and Ships Segment Operating Margin, each as reported in our financial statements. Our segment measure also excludes unrealized mark-to-market gains or losses on derivative instruments, certain contract acquisition costs and deferred earnings from contracted sales for which a prepayment has been received.</w:t>
      </w:r>
    </w:p>
    <w:p>
      <w:pPr>
        <w:ind w:right="100" w:firstLine="8"/>
        <w:spacing w:after="0" w:line="222" w:lineRule="auto"/>
        <w:tabs>
          <w:tab w:leader="none" w:pos="195" w:val="left"/>
        </w:tabs>
        <w:numPr>
          <w:ilvl w:val="0"/>
          <w:numId w:val="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"Completed", “Placed into service” "Online" or similar statuses (either capitalized or lower case) with respect to a particular project means we expect gas to be made available in the near future, gas has been made available to the relevant project, or that the relevant project is in full commercial operations. Where gas is going to be made available or has been made available but full commercial operations have not yet begun, full commercial operations will occur later than, and may occur substantially later than, our reported Operational, Completion or Deployment date, and we may not generate any revenue until full commercial operations have begun. We cannot assure you if or when such projects will reach full commercial operation. Our ability to export liquefied natural gas depends on our ability to obtain export and other permits from governmental and regulatory agencies. No assurance can be given that we will receive required permits, approvals and authorizations from governmental and regulatory agencies in connection with the exportation of liquefied natural gas on a timely basis or at all or that, once received, we will be able to maintain in full force and effect, renew or replace such permits, approvals and authorizations.</w:t>
      </w:r>
    </w:p>
    <w:p>
      <w:pPr>
        <w:spacing w:after="0" w:line="4" w:lineRule="exact"/>
        <w:rPr>
          <w:rFonts w:ascii="Times New Roman" w:cs="Times New Roman" w:eastAsia="Times New Roman" w:hAnsi="Times New Roman"/>
          <w:sz w:val="18"/>
          <w:szCs w:val="18"/>
          <w:i w:val="1"/>
          <w:iCs w:val="1"/>
          <w:color w:val="auto"/>
        </w:rPr>
      </w:pPr>
    </w:p>
    <w:p>
      <w:pPr>
        <w:ind w:right="60" w:firstLine="8"/>
        <w:spacing w:after="0" w:line="233" w:lineRule="auto"/>
        <w:tabs>
          <w:tab w:leader="none" w:pos="195" w:val="left"/>
        </w:tabs>
        <w:numPr>
          <w:ilvl w:val="0"/>
          <w:numId w:val="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FLNG 1 unit performed at or above name plate capacity for all of the second quarter excluding scheduled and planned maintenance periods during the quarter.</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Additional Information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additional information that management believes to be useful for investors, please refer to the Company's most recent Annual Report on Form 10-K and Quarterly Report on Form 10-Q, posted on New Fortress Energy’s website, www.newfortressenergy.com. Nothing on our website is included or incorporated by reference herein.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About New Fortress Energy Inc.</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New Fortress Energy Inc. (NASDAQ: NFE) is a global energy infrastructure company founded to address energy poverty and accelerate the world’s transition to reliable, affordable, and clean energy. The Company owns and operates natural gas and liquefied natural gas (LNG) infrastructure and an integrated fleet of ships and logistics assets to rapidly deliver turnkey energy solutions to global markets. Collectively, the Company’s assets and operations reinforce global energy security, enable economic growth, enhance environmental stewardship and transform local industries and communities around the world.</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Cautionary Statement Concerning Forward-Looking Statements</w:t>
      </w:r>
    </w:p>
    <w:p>
      <w:pPr>
        <w:spacing w:after="0" w:line="6" w:lineRule="exact"/>
        <w:rPr>
          <w:sz w:val="20"/>
          <w:szCs w:val="20"/>
          <w:color w:val="auto"/>
        </w:rPr>
      </w:pPr>
    </w:p>
    <w:p>
      <w:pPr>
        <w:ind w:right="280"/>
        <w:spacing w:after="0" w:line="239" w:lineRule="auto"/>
        <w:rPr>
          <w:sz w:val="20"/>
          <w:szCs w:val="20"/>
          <w:color w:val="auto"/>
        </w:rPr>
      </w:pPr>
      <w:r>
        <w:rPr>
          <w:rFonts w:ascii="Times New Roman" w:cs="Times New Roman" w:eastAsia="Times New Roman" w:hAnsi="Times New Roman"/>
          <w:sz w:val="18"/>
          <w:szCs w:val="18"/>
          <w:color w:val="auto"/>
        </w:rPr>
        <w:t>This press release contains certain statements and information that may constitute “forward-looking statements” within the meaning of the Private Securities Litigation Reform Act of 1995. All statements contained in this press release other than historical information are forward-looking statements that involve known and unknown risks and relate to future events,</w:t>
      </w:r>
    </w:p>
    <w:p>
      <w:pPr>
        <w:sectPr>
          <w:pgSz w:w="11900" w:h="16838" w:orient="portrait"/>
          <w:cols w:equalWidth="0" w:num="1">
            <w:col w:w="11240"/>
          </w:cols>
          <w:pgMar w:left="320" w:top="1147" w:right="339" w:bottom="1440" w:gutter="0" w:footer="0" w:header="0"/>
        </w:sectPr>
      </w:pPr>
    </w:p>
    <w:bookmarkStart w:id="5" w:name="page6"/>
    <w:bookmarkEnd w:id="5"/>
    <w:p>
      <w:pPr>
        <w:spacing w:after="0" w:line="235" w:lineRule="auto"/>
        <w:rPr>
          <w:sz w:val="20"/>
          <w:szCs w:val="20"/>
          <w:color w:val="auto"/>
        </w:rPr>
      </w:pPr>
      <w:r>
        <w:rPr>
          <w:rFonts w:ascii="Times New Roman" w:cs="Times New Roman" w:eastAsia="Times New Roman" w:hAnsi="Times New Roman"/>
          <w:sz w:val="18"/>
          <w:szCs w:val="18"/>
          <w:color w:val="auto"/>
        </w:rPr>
        <w:t>our future financial performance or our projected business results. You can identify these forward-looking statements by the use of forward-looking words such as “expects,” “may,” “will,” “can,” “could,” “should,” “predicts,” “intends,” “plans,” “estimates,” “anticipates,” “believes,” “schedules,” “progress,” “targets,” “budgets,” “outlook,” “trends,” “forecasts,” “projects,” “guidance,” “focus,” “on track,” “goals,” “objectives,” “strategies,” “opportunities,” “poised,” or the negative version of those words or other comparable words. Forward-looking statements include statements regarding our expectations in the remainder of 2025, including the impact on our results, core earnings, the process to evaluate our strategic alternatives, and any potential asset sales, capital raising, debt amendments and refinancing and other transactions. These forward-looking statements are based upon current information and involve a number of risks, uncertainties and other factors, many of which are outside of the Company’s control. Actual results or events may differ materially from the results anticipated in these forward-looking statements. Specific factors that could cause actual results to differ from those in the forward-looking statements include, but are not limited to: our strategy and plans for the Company, including the structure, form, timing and nature of the Company’s business in the future and characteristics of the business going forward; risks related to the development, construction, completion or commissioning schedule for the facilities; risks related to the operation and maintenance of our facilities and assets; failure of our third-party contractors, equipment manufacturers, suppliers and operators to perform their obligations for the development, construction and operation of our projects, vessels and assets; our ability to implement our business strategy; our capital allocation plans, as such plans may change including with respect to de-leveraging actions; operational execution by our businesses; changes in law, economic and financial conditions, including the effect of enactment of U.S. tax reform or other tax law changes, trade policy and tariffs, interest and exchange rate volatility, commodity and equity prices and the value of financial assets; the other factors that are described in "Forward-Looking Statements" in the Company’s most recent earnings release or SEC filings; and the other factors that are described in "Risk Factors" in our Annual Report on Form 10-K for the year ended December 31, 2024, as updated in our Quarterly Reports on Form 10-Q. These factors are not necessarily all of the important factors that could cause actual results to differ materially from those expressed in any of the Company’s forward-looking statements. Other known or unpredictable factors could also have material adverse effects on future results. Any forward-looking statement speaks only as of the date on which it is made, and we undertake no duty to update or revise any forward-looking statements, even though our situation may change in the future or we may become aware of new or updated information relating to such forward-looking statements. New factors emerge from time to time, and it is not possible for the Company to predict all such factors. When considering these forward-looking statements, you should keep in mind the risk factors and other cautionary statements included in New Fortress Energy Inc.’s annual and quarterly reports filed with the Securities and Exchange Commission, which could cause its actual results to differ materially from those contained in any forward-looking statement.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Investor Relations:</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ir@newfortressenergy.com</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Media Relations:</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press@newfortressenergy.com</w:t>
      </w:r>
    </w:p>
    <w:p>
      <w:pPr>
        <w:spacing w:after="0"/>
        <w:rPr>
          <w:sz w:val="20"/>
          <w:szCs w:val="20"/>
          <w:color w:val="auto"/>
        </w:rPr>
      </w:pPr>
      <w:r>
        <w:rPr>
          <w:rFonts w:ascii="Times New Roman" w:cs="Times New Roman" w:eastAsia="Times New Roman" w:hAnsi="Times New Roman"/>
          <w:sz w:val="18"/>
          <w:szCs w:val="18"/>
          <w:u w:val="single" w:color="auto"/>
          <w:color w:val="auto"/>
        </w:rPr>
        <w:t>(516) 268-7403</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Source: New Fortress Energy Inc.</w:t>
      </w:r>
    </w:p>
    <w:p>
      <w:pPr>
        <w:sectPr>
          <w:pgSz w:w="11900" w:h="16838" w:orient="portrait"/>
          <w:cols w:equalWidth="0" w:num="1">
            <w:col w:w="11220"/>
          </w:cols>
          <w:pgMar w:left="320" w:top="918" w:right="35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color w:val="auto"/>
        </w:rPr>
        <w:t>Exhibits – Financial Statements</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the three months ended March 31, 2025 and June 30, 2025</w:t>
      </w:r>
    </w:p>
    <w:p>
      <w:pPr>
        <w:spacing w:after="0"/>
        <w:rPr>
          <w:sz w:val="20"/>
          <w:szCs w:val="20"/>
          <w:color w:val="auto"/>
        </w:rPr>
      </w:pPr>
      <w:r>
        <w:rPr>
          <w:rFonts w:ascii="Times New Roman" w:cs="Times New Roman" w:eastAsia="Times New Roman" w:hAnsi="Times New Roman"/>
          <w:sz w:val="18"/>
          <w:szCs w:val="18"/>
          <w:b w:val="1"/>
          <w:bCs w:val="1"/>
          <w:color w:val="auto"/>
        </w:rPr>
        <w:t>(Unaudited, in thousands of U.S. dollars, except share and per share amounts)</w:t>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259"/>
        </w:trPr>
        <w:tc>
          <w:tcPr>
            <w:tcW w:w="734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3620" w:type="dxa"/>
            <w:vAlign w:val="bottom"/>
            <w:tcBorders>
              <w:bottom w:val="single" w:sz="8" w:color="auto"/>
            </w:tcBorders>
            <w:gridSpan w:val="4"/>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For the Three Months Ended</w:t>
            </w:r>
          </w:p>
        </w:tc>
      </w:tr>
      <w:tr>
        <w:trPr>
          <w:trHeight w:val="236"/>
        </w:trPr>
        <w:tc>
          <w:tcPr>
            <w:tcW w:w="7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92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March 31, 2025</w:t>
            </w:r>
          </w:p>
        </w:tc>
        <w:tc>
          <w:tcPr>
            <w:tcW w:w="220" w:type="dxa"/>
            <w:vAlign w:val="bottom"/>
          </w:tcPr>
          <w:p>
            <w:pPr>
              <w:spacing w:after="0"/>
              <w:rPr>
                <w:sz w:val="20"/>
                <w:szCs w:val="20"/>
                <w:color w:val="auto"/>
              </w:rPr>
            </w:pPr>
          </w:p>
        </w:tc>
        <w:tc>
          <w:tcPr>
            <w:tcW w:w="148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June 30, 2025</w:t>
            </w:r>
          </w:p>
        </w:tc>
      </w:tr>
      <w:tr>
        <w:trPr>
          <w:trHeight w:val="250"/>
        </w:trPr>
        <w:tc>
          <w:tcPr>
            <w:tcW w:w="7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280" w:type="dxa"/>
            <w:vAlign w:val="bottom"/>
            <w:tcBorders>
              <w:top w:val="single" w:sz="8" w:color="auto"/>
              <w:bottom w:val="single" w:sz="8" w:color="auto"/>
            </w:tcBorders>
          </w:tcPr>
          <w:p>
            <w:pPr>
              <w:spacing w:after="0"/>
              <w:rPr>
                <w:sz w:val="21"/>
                <w:szCs w:val="21"/>
                <w:color w:val="auto"/>
              </w:rPr>
            </w:pPr>
          </w:p>
        </w:tc>
        <w:tc>
          <w:tcPr>
            <w:tcW w:w="1820" w:type="dxa"/>
            <w:vAlign w:val="bottom"/>
            <w:tcBorders>
              <w:top w:val="single" w:sz="8" w:color="auto"/>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1480" w:type="dxa"/>
            <w:vAlign w:val="bottom"/>
            <w:tcBorders>
              <w:top w:val="single" w:sz="8" w:color="auto"/>
              <w:bottom w:val="single" w:sz="8" w:color="auto"/>
            </w:tcBorders>
          </w:tcPr>
          <w:p>
            <w:pPr>
              <w:spacing w:after="0"/>
              <w:rPr>
                <w:sz w:val="21"/>
                <w:szCs w:val="21"/>
                <w:color w:val="auto"/>
              </w:rPr>
            </w:pPr>
          </w:p>
        </w:tc>
      </w:tr>
      <w:tr>
        <w:trPr>
          <w:trHeight w:val="264"/>
        </w:trPr>
        <w:tc>
          <w:tcPr>
            <w:tcW w:w="73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Total revenues</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470,536</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301,692</w:t>
            </w:r>
          </w:p>
        </w:tc>
      </w:tr>
      <w:tr>
        <w:trPr>
          <w:trHeight w:val="243"/>
        </w:trPr>
        <w:tc>
          <w:tcPr>
            <w:tcW w:w="73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tcPr>
          <w:p>
            <w:pPr>
              <w:spacing w:after="0"/>
              <w:rPr>
                <w:sz w:val="21"/>
                <w:szCs w:val="21"/>
                <w:color w:val="auto"/>
              </w:rPr>
            </w:pPr>
          </w:p>
        </w:tc>
      </w:tr>
      <w:tr>
        <w:trPr>
          <w:trHeight w:val="257"/>
        </w:trPr>
        <w:tc>
          <w:tcPr>
            <w:tcW w:w="7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280" w:type="dxa"/>
            <w:vAlign w:val="bottom"/>
            <w:shd w:val="clear" w:color="auto" w:fill="CCEEFF"/>
          </w:tcPr>
          <w:p>
            <w:pPr>
              <w:spacing w:after="0"/>
              <w:rPr>
                <w:sz w:val="22"/>
                <w:szCs w:val="22"/>
                <w:color w:val="auto"/>
              </w:rPr>
            </w:pPr>
          </w:p>
        </w:tc>
        <w:tc>
          <w:tcPr>
            <w:tcW w:w="18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480" w:type="dxa"/>
            <w:vAlign w:val="bottom"/>
            <w:shd w:val="clear" w:color="auto" w:fill="CCEEFF"/>
          </w:tcPr>
          <w:p>
            <w:pPr>
              <w:spacing w:after="0"/>
              <w:rPr>
                <w:sz w:val="22"/>
                <w:szCs w:val="22"/>
                <w:color w:val="auto"/>
              </w:rPr>
            </w:pPr>
          </w:p>
        </w:tc>
      </w:tr>
      <w:tr>
        <w:trPr>
          <w:trHeight w:val="250"/>
        </w:trPr>
        <w:tc>
          <w:tcPr>
            <w:tcW w:w="7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sales (exclusive of depreciation and amortization shown separately below)</w:t>
            </w:r>
          </w:p>
        </w:tc>
        <w:tc>
          <w:tcPr>
            <w:tcW w:w="28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302,377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208,852</w:t>
            </w:r>
          </w:p>
        </w:tc>
      </w:tr>
      <w:tr>
        <w:trPr>
          <w:trHeight w:val="263"/>
        </w:trPr>
        <w:tc>
          <w:tcPr>
            <w:tcW w:w="7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Vessel operating expenses</w:t>
            </w:r>
          </w:p>
        </w:tc>
        <w:tc>
          <w:tcPr>
            <w:tcW w:w="280" w:type="dxa"/>
            <w:vAlign w:val="bottom"/>
            <w:shd w:val="clear" w:color="auto" w:fill="CCEEFF"/>
          </w:tcPr>
          <w:p>
            <w:pPr>
              <w:spacing w:after="0"/>
              <w:rPr>
                <w:sz w:val="22"/>
                <w:szCs w:val="22"/>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7,176</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8,056</w:t>
            </w:r>
          </w:p>
        </w:tc>
      </w:tr>
      <w:tr>
        <w:trPr>
          <w:trHeight w:val="250"/>
        </w:trPr>
        <w:tc>
          <w:tcPr>
            <w:tcW w:w="7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Operations and maintenance</w:t>
            </w:r>
          </w:p>
        </w:tc>
        <w:tc>
          <w:tcPr>
            <w:tcW w:w="28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54,957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59,817</w:t>
            </w:r>
          </w:p>
        </w:tc>
      </w:tr>
      <w:tr>
        <w:trPr>
          <w:trHeight w:val="263"/>
        </w:trPr>
        <w:tc>
          <w:tcPr>
            <w:tcW w:w="7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80" w:type="dxa"/>
            <w:vAlign w:val="bottom"/>
            <w:shd w:val="clear" w:color="auto" w:fill="CCEEFF"/>
          </w:tcPr>
          <w:p>
            <w:pPr>
              <w:spacing w:after="0"/>
              <w:rPr>
                <w:sz w:val="22"/>
                <w:szCs w:val="22"/>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59,271</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57,256</w:t>
            </w:r>
          </w:p>
        </w:tc>
      </w:tr>
      <w:tr>
        <w:trPr>
          <w:trHeight w:val="250"/>
        </w:trPr>
        <w:tc>
          <w:tcPr>
            <w:tcW w:w="7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Transaction and integration costs</w:t>
            </w:r>
          </w:p>
        </w:tc>
        <w:tc>
          <w:tcPr>
            <w:tcW w:w="28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11,931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75,384</w:t>
            </w:r>
          </w:p>
        </w:tc>
      </w:tr>
      <w:tr>
        <w:trPr>
          <w:trHeight w:val="263"/>
        </w:trPr>
        <w:tc>
          <w:tcPr>
            <w:tcW w:w="7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80" w:type="dxa"/>
            <w:vAlign w:val="bottom"/>
            <w:shd w:val="clear" w:color="auto" w:fill="CCEEFF"/>
          </w:tcPr>
          <w:p>
            <w:pPr>
              <w:spacing w:after="0"/>
              <w:rPr>
                <w:sz w:val="22"/>
                <w:szCs w:val="22"/>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53,057</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52,870</w:t>
            </w:r>
          </w:p>
        </w:tc>
      </w:tr>
      <w:tr>
        <w:trPr>
          <w:trHeight w:val="256"/>
        </w:trPr>
        <w:tc>
          <w:tcPr>
            <w:tcW w:w="7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 impairment expense</w:t>
            </w:r>
          </w:p>
        </w:tc>
        <w:tc>
          <w:tcPr>
            <w:tcW w:w="280" w:type="dxa"/>
            <w:vAlign w:val="bottom"/>
          </w:tcPr>
          <w:p>
            <w:pPr>
              <w:spacing w:after="0"/>
              <w:rPr>
                <w:sz w:val="22"/>
                <w:szCs w:val="22"/>
                <w:color w:val="auto"/>
              </w:rPr>
            </w:pPr>
          </w:p>
        </w:tc>
        <w:tc>
          <w:tcPr>
            <w:tcW w:w="1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2"/>
                <w:szCs w:val="22"/>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582,172</w:t>
            </w:r>
          </w:p>
        </w:tc>
      </w:tr>
      <w:tr>
        <w:trPr>
          <w:trHeight w:val="257"/>
        </w:trPr>
        <w:tc>
          <w:tcPr>
            <w:tcW w:w="7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 impairment expense</w:t>
            </w:r>
          </w:p>
        </w:tc>
        <w:tc>
          <w:tcPr>
            <w:tcW w:w="280" w:type="dxa"/>
            <w:vAlign w:val="bottom"/>
            <w:shd w:val="clear" w:color="auto" w:fill="CCEEFF"/>
          </w:tcPr>
          <w:p>
            <w:pPr>
              <w:spacing w:after="0"/>
              <w:rPr>
                <w:sz w:val="22"/>
                <w:szCs w:val="22"/>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117,312</w:t>
            </w:r>
          </w:p>
        </w:tc>
      </w:tr>
      <w:tr>
        <w:trPr>
          <w:trHeight w:val="250"/>
        </w:trPr>
        <w:tc>
          <w:tcPr>
            <w:tcW w:w="7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(Gain) loss on sale</w:t>
            </w:r>
          </w:p>
        </w:tc>
        <w:tc>
          <w:tcPr>
            <w:tcW w:w="280" w:type="dxa"/>
            <w:vAlign w:val="bottom"/>
          </w:tcPr>
          <w:p>
            <w:pPr>
              <w:spacing w:after="0"/>
              <w:rPr>
                <w:sz w:val="21"/>
                <w:szCs w:val="21"/>
                <w:color w:val="auto"/>
              </w:rPr>
            </w:pPr>
          </w:p>
        </w:tc>
        <w:tc>
          <w:tcPr>
            <w:tcW w:w="1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(472,699)</w:t>
            </w:r>
          </w:p>
        </w:tc>
      </w:tr>
      <w:tr>
        <w:trPr>
          <w:trHeight w:val="277"/>
        </w:trPr>
        <w:tc>
          <w:tcPr>
            <w:tcW w:w="734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280" w:type="dxa"/>
            <w:vAlign w:val="bottom"/>
            <w:tcBorders>
              <w:top w:val="single" w:sz="8" w:color="auto"/>
              <w:bottom w:val="single" w:sz="8" w:color="auto"/>
            </w:tcBorders>
            <w:shd w:val="clear" w:color="auto" w:fill="CCEEFF"/>
          </w:tcPr>
          <w:p>
            <w:pPr>
              <w:spacing w:after="0"/>
              <w:rPr>
                <w:sz w:val="24"/>
                <w:szCs w:val="24"/>
                <w:color w:val="auto"/>
              </w:rPr>
            </w:pPr>
          </w:p>
        </w:tc>
        <w:tc>
          <w:tcPr>
            <w:tcW w:w="1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489,015</w:t>
            </w: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220" w:type="dxa"/>
            <w:vAlign w:val="bottom"/>
            <w:tcBorders>
              <w:top w:val="single" w:sz="8" w:color="auto"/>
              <w:bottom w:val="single" w:sz="8" w:color="auto"/>
            </w:tcBorders>
            <w:shd w:val="clear" w:color="auto" w:fill="CCEEFF"/>
          </w:tcPr>
          <w:p>
            <w:pPr>
              <w:spacing w:after="0"/>
              <w:rPr>
                <w:sz w:val="24"/>
                <w:szCs w:val="24"/>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689,020</w:t>
            </w:r>
          </w:p>
        </w:tc>
      </w:tr>
      <w:tr>
        <w:trPr>
          <w:trHeight w:val="237"/>
        </w:trPr>
        <w:tc>
          <w:tcPr>
            <w:tcW w:w="734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Operating loss</w:t>
            </w:r>
          </w:p>
        </w:tc>
        <w:tc>
          <w:tcPr>
            <w:tcW w:w="280" w:type="dxa"/>
            <w:vAlign w:val="bottom"/>
          </w:tcPr>
          <w:p>
            <w:pPr>
              <w:spacing w:after="0"/>
              <w:rPr>
                <w:sz w:val="20"/>
                <w:szCs w:val="20"/>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(18,479)</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(387,328)</w:t>
            </w:r>
          </w:p>
        </w:tc>
      </w:tr>
      <w:tr>
        <w:trPr>
          <w:trHeight w:val="263"/>
        </w:trPr>
        <w:tc>
          <w:tcPr>
            <w:tcW w:w="7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280" w:type="dxa"/>
            <w:vAlign w:val="bottom"/>
            <w:shd w:val="clear" w:color="auto" w:fill="CCEEFF"/>
          </w:tcPr>
          <w:p>
            <w:pPr>
              <w:spacing w:after="0"/>
              <w:rPr>
                <w:sz w:val="22"/>
                <w:szCs w:val="22"/>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213,694</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206,408</w:t>
            </w:r>
          </w:p>
        </w:tc>
      </w:tr>
      <w:tr>
        <w:trPr>
          <w:trHeight w:val="250"/>
        </w:trPr>
        <w:tc>
          <w:tcPr>
            <w:tcW w:w="7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28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(63,937)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(56,262)</w:t>
            </w:r>
          </w:p>
        </w:tc>
      </w:tr>
      <w:tr>
        <w:trPr>
          <w:trHeight w:val="263"/>
        </w:trPr>
        <w:tc>
          <w:tcPr>
            <w:tcW w:w="7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on extinguishment of debt, net</w:t>
            </w:r>
          </w:p>
        </w:tc>
        <w:tc>
          <w:tcPr>
            <w:tcW w:w="280" w:type="dxa"/>
            <w:vAlign w:val="bottom"/>
            <w:tcBorders>
              <w:bottom w:val="single" w:sz="8" w:color="auto"/>
            </w:tcBorders>
            <w:shd w:val="clear" w:color="auto" w:fill="CCEEFF"/>
          </w:tcPr>
          <w:p>
            <w:pPr>
              <w:spacing w:after="0"/>
              <w:rPr>
                <w:sz w:val="22"/>
                <w:szCs w:val="22"/>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w:t>
            </w:r>
          </w:p>
        </w:tc>
        <w:tc>
          <w:tcPr>
            <w:tcW w:w="10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20,320</w:t>
            </w:r>
          </w:p>
        </w:tc>
      </w:tr>
      <w:tr>
        <w:trPr>
          <w:trHeight w:val="243"/>
        </w:trPr>
        <w:tc>
          <w:tcPr>
            <w:tcW w:w="734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(Loss) before income taxes</w:t>
            </w:r>
          </w:p>
        </w:tc>
        <w:tc>
          <w:tcPr>
            <w:tcW w:w="28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(168,703)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(557,794)</w:t>
            </w:r>
          </w:p>
        </w:tc>
      </w:tr>
      <w:tr>
        <w:trPr>
          <w:trHeight w:val="283"/>
        </w:trPr>
        <w:tc>
          <w:tcPr>
            <w:tcW w:w="7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Tax provision</w:t>
            </w:r>
          </w:p>
        </w:tc>
        <w:tc>
          <w:tcPr>
            <w:tcW w:w="280" w:type="dxa"/>
            <w:vAlign w:val="bottom"/>
            <w:tcBorders>
              <w:bottom w:val="single" w:sz="8" w:color="auto"/>
            </w:tcBorders>
            <w:shd w:val="clear" w:color="auto" w:fill="CCEEFF"/>
          </w:tcPr>
          <w:p>
            <w:pPr>
              <w:spacing w:after="0"/>
              <w:rPr>
                <w:sz w:val="24"/>
                <w:szCs w:val="24"/>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28,670</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spacing w:after="0"/>
              <w:rPr>
                <w:sz w:val="24"/>
                <w:szCs w:val="24"/>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(967)</w:t>
            </w:r>
          </w:p>
        </w:tc>
      </w:tr>
      <w:tr>
        <w:trPr>
          <w:trHeight w:val="237"/>
        </w:trPr>
        <w:tc>
          <w:tcPr>
            <w:tcW w:w="734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280" w:type="dxa"/>
            <w:vAlign w:val="bottom"/>
          </w:tcPr>
          <w:p>
            <w:pPr>
              <w:spacing w:after="0"/>
              <w:rPr>
                <w:sz w:val="20"/>
                <w:szCs w:val="20"/>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(197,373)</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(556,827)</w:t>
            </w:r>
          </w:p>
        </w:tc>
      </w:tr>
      <w:tr>
        <w:trPr>
          <w:trHeight w:val="277"/>
        </w:trPr>
        <w:tc>
          <w:tcPr>
            <w:tcW w:w="7340" w:type="dxa"/>
            <w:vAlign w:val="bottom"/>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spacing w:after="0"/>
              <w:rPr>
                <w:sz w:val="24"/>
                <w:szCs w:val="24"/>
                <w:color w:val="auto"/>
              </w:rPr>
            </w:pPr>
          </w:p>
        </w:tc>
        <w:tc>
          <w:tcPr>
            <w:tcW w:w="1820" w:type="dxa"/>
            <w:vAlign w:val="bottom"/>
            <w:tcBorders>
              <w:bottom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spacing w:after="0"/>
              <w:rPr>
                <w:sz w:val="24"/>
                <w:szCs w:val="24"/>
                <w:color w:val="auto"/>
              </w:rPr>
            </w:pPr>
          </w:p>
        </w:tc>
        <w:tc>
          <w:tcPr>
            <w:tcW w:w="1480" w:type="dxa"/>
            <w:vAlign w:val="bottom"/>
            <w:tcBorders>
              <w:bottom w:val="single" w:sz="8" w:color="auto"/>
            </w:tcBorders>
            <w:shd w:val="clear" w:color="auto" w:fill="CCEEFF"/>
          </w:tcPr>
          <w:p>
            <w:pPr>
              <w:spacing w:after="0"/>
              <w:rPr>
                <w:sz w:val="24"/>
                <w:szCs w:val="24"/>
                <w:color w:val="auto"/>
              </w:rPr>
            </w:pPr>
          </w:p>
        </w:tc>
      </w:tr>
      <w:tr>
        <w:trPr>
          <w:trHeight w:val="250"/>
        </w:trPr>
        <w:tc>
          <w:tcPr>
            <w:tcW w:w="734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Net (loss) attributable to common stockholders</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(200,129)</w:t>
            </w:r>
          </w:p>
        </w:tc>
        <w:tc>
          <w:tcPr>
            <w:tcW w:w="100" w:type="dxa"/>
            <w:vAlign w:val="bottom"/>
          </w:tcPr>
          <w:p>
            <w:pPr>
              <w:spacing w:after="0"/>
              <w:rPr>
                <w:sz w:val="21"/>
                <w:szCs w:val="21"/>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(555,077)</w:t>
            </w:r>
          </w:p>
        </w:tc>
      </w:tr>
      <w:tr>
        <w:trPr>
          <w:trHeight w:val="20"/>
        </w:trPr>
        <w:tc>
          <w:tcPr>
            <w:tcW w:w="73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r>
        <w:trPr>
          <w:trHeight w:val="223"/>
        </w:trPr>
        <w:tc>
          <w:tcPr>
            <w:tcW w:w="73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r>
      <w:tr>
        <w:trPr>
          <w:trHeight w:val="230"/>
        </w:trPr>
        <w:tc>
          <w:tcPr>
            <w:tcW w:w="7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per share - basic</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(0.73)</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w:t>
            </w:r>
          </w:p>
        </w:tc>
      </w:tr>
      <w:tr>
        <w:trPr>
          <w:trHeight w:val="20"/>
        </w:trPr>
        <w:tc>
          <w:tcPr>
            <w:tcW w:w="73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r>
        <w:trPr>
          <w:trHeight w:val="248"/>
        </w:trPr>
        <w:tc>
          <w:tcPr>
            <w:tcW w:w="7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per share - diluted</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w:t>
            </w:r>
          </w:p>
        </w:tc>
      </w:tr>
      <w:tr>
        <w:trPr>
          <w:trHeight w:val="20"/>
        </w:trPr>
        <w:tc>
          <w:tcPr>
            <w:tcW w:w="73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7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81"/>
        </w:trPr>
        <w:tc>
          <w:tcPr>
            <w:tcW w:w="7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number of shares outstanding – basic</w:t>
            </w:r>
          </w:p>
        </w:tc>
        <w:tc>
          <w:tcPr>
            <w:tcW w:w="280" w:type="dxa"/>
            <w:vAlign w:val="bottom"/>
            <w:tcBorders>
              <w:bottom w:val="single" w:sz="8" w:color="auto"/>
            </w:tcBorders>
            <w:shd w:val="clear" w:color="auto" w:fill="CCEEFF"/>
          </w:tcPr>
          <w:p>
            <w:pPr>
              <w:spacing w:after="0"/>
              <w:rPr>
                <w:sz w:val="24"/>
                <w:szCs w:val="24"/>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273,609,766</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spacing w:after="0"/>
              <w:rPr>
                <w:sz w:val="24"/>
                <w:szCs w:val="24"/>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274,371,636</w:t>
            </w:r>
          </w:p>
        </w:tc>
      </w:tr>
      <w:tr>
        <w:trPr>
          <w:trHeight w:val="20"/>
        </w:trPr>
        <w:tc>
          <w:tcPr>
            <w:tcW w:w="73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r>
        <w:trPr>
          <w:trHeight w:val="231"/>
        </w:trPr>
        <w:tc>
          <w:tcPr>
            <w:tcW w:w="7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number of shares outstanding – diluted</w:t>
            </w:r>
          </w:p>
        </w:tc>
        <w:tc>
          <w:tcPr>
            <w:tcW w:w="28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273,609,766</w:t>
            </w: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274,371,636</w:t>
            </w:r>
          </w:p>
        </w:tc>
      </w:tr>
      <w:tr>
        <w:trPr>
          <w:trHeight w:val="20"/>
        </w:trPr>
        <w:tc>
          <w:tcPr>
            <w:tcW w:w="73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240"/>
          </w:cols>
          <w:pgMar w:left="320" w:top="931"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t>Adjusted EBITDA</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the three months ended June 30, 2025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(Unaudited, in thousands of U.S. dollars)</w:t>
      </w:r>
    </w:p>
    <w:p>
      <w:pPr>
        <w:spacing w:after="0" w:line="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Adjusted EBITDA is not a measurement of financial performance under GAAP and should not be considered in isolation or as an alternative to income from operations, net income, cash flow from operating activities or any other measure of performance or liquidity derived in accordance with GAAP. We believe this non-GAAP measure, as we have defined it, offers a useful supplemental view of the overall operation of our business in evaluating the effectiveness of our ongoing operating performance in a manner that is consistent with metrics used for management’s evaluation of our overall performance and to compensate employees. We believe that Adjusted EBITDA is widely used by investors to measure a company’s operating performance without regard to items such as interest expense, taxes, depreciation, and amortization which vary substantially from company to company depending on capital structure, the method by which assets were acquired and depreciation policies. Further, we exclude certain items from our SG&amp;A not otherwise indicative of ongoing operating performance.</w:t>
      </w:r>
    </w:p>
    <w:p>
      <w:pPr>
        <w:spacing w:after="0" w:line="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 xml:space="preserve">We calculate Adjusted EBITDA as net income,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transaction and integration costs, contract termination charges and loss on mitigations sales, depreciation and amortization, asset impairment expense, loss on asset sales, interest expense, net, other (income) expense, net, loss on extinguishment of debt, changes in fair value of non-hedge derivative instruments and contingent consideration, tax expense, and adjusting for certain items from our SG&amp;A not otherwise indicative of ongoing operating performance, including non-cash share-based compensation and severance expense, non-capitalizable development expenses, cost to pursue new business opportunities and expenses associated with changes to our corporate structure, certain non-capitalizable contract acquisition costs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our pro rata share of Adjusted EBITDA from certain unconsolidated entities, </w:t>
      </w:r>
      <w:r>
        <w:rPr>
          <w:rFonts w:ascii="Times New Roman" w:cs="Times New Roman" w:eastAsia="Times New Roman" w:hAnsi="Times New Roman"/>
          <w:sz w:val="18"/>
          <w:szCs w:val="18"/>
          <w:i w:val="1"/>
          <w:iCs w:val="1"/>
          <w:color w:val="auto"/>
        </w:rPr>
        <w:t>less</w:t>
      </w:r>
      <w:r>
        <w:rPr>
          <w:rFonts w:ascii="Times New Roman" w:cs="Times New Roman" w:eastAsia="Times New Roman" w:hAnsi="Times New Roman"/>
          <w:sz w:val="18"/>
          <w:szCs w:val="18"/>
          <w:color w:val="auto"/>
        </w:rPr>
        <w:t xml:space="preserve"> the impact of equity in earnings (losses) of certain unconsolidated entities.</w:t>
      </w:r>
    </w:p>
    <w:p>
      <w:pPr>
        <w:spacing w:after="0" w:line="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Adjusted EBITDA is mathematically equivalent to our Total Segment Operating Margin, as reported in the segment disclosures within our financial statements, minus Core SG&amp;A, including our pro rata share of such expenses of certain unconsolidated entities, minus deferred earnings for which a prepayment was received. Core SG&amp;A is defined as total SG&amp;A adjusted for non-cash share-based compensation and severance expense, non-capitalizable development expenses, cost of exploring new business opportunities and expenses associated with changes to our corporate structure. Core SG&amp;A excludes certain items from our SG&amp;A not otherwise indicative of ongoing operating performance.</w:t>
      </w:r>
    </w:p>
    <w:p>
      <w:pPr>
        <w:spacing w:after="0" w:line="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principal limitation of this non-GAAP measure is that it excludes significant expenses and income that are required by GAAP to be recorded in our financial statements. Investors are encouraged to review the related GAAP financial measures and the reconciliation of the non-GAAP financial measure to our GAAP net income, and not to rely on any single financial measure to evaluate our business. Adjusted EBITDA does not have a standardized meaning, and different companies may use different Adjusted EBITDA definitions. Therefore, Adjusted EBITDA may not be necessarily comparable to similarly titled measures reported by other companies. Moreover, our definition of Adjusted EBITDA may not necessarily be the same as those we use for purposes of establishing covenant compliance under our financing agreements or for other purposes. Adjusted EBITDA should not be construed as alternatives to net income and diluted earnings per share attributable to New Fortress Energy, which are determined in accordance with GAAP.</w:t>
      </w:r>
    </w:p>
    <w:p>
      <w:pPr>
        <w:sectPr>
          <w:pgSz w:w="11900" w:h="16838" w:orient="portrait"/>
          <w:cols w:equalWidth="0" w:num="1">
            <w:col w:w="11240"/>
          </w:cols>
          <w:pgMar w:left="320" w:top="927" w:right="339" w:bottom="1440" w:gutter="0" w:footer="0" w:header="0"/>
        </w:sectPr>
      </w:pPr>
    </w:p>
    <w:bookmarkStart w:id="8" w:name="page9"/>
    <w:bookmarkEnd w:id="8"/>
    <w:p>
      <w:pPr>
        <w:ind w:right="20"/>
        <w:spacing w:after="0" w:line="266" w:lineRule="auto"/>
        <w:rPr>
          <w:sz w:val="20"/>
          <w:szCs w:val="20"/>
          <w:color w:val="auto"/>
        </w:rPr>
      </w:pPr>
      <w:r>
        <w:rPr>
          <w:rFonts w:ascii="Times New Roman" w:cs="Times New Roman" w:eastAsia="Times New Roman" w:hAnsi="Times New Roman"/>
          <w:sz w:val="18"/>
          <w:szCs w:val="18"/>
          <w:color w:val="auto"/>
        </w:rPr>
        <w:t>The following table sets forth a reconciliation of net income to Adjusted EBITDA for the three months ended June 30, 2024, March 31, 2025 and June 30, 2025:</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Three Months</w:t>
            </w:r>
          </w:p>
        </w:tc>
        <w:tc>
          <w:tcPr>
            <w:tcW w:w="140" w:type="dxa"/>
            <w:vAlign w:val="bottom"/>
          </w:tcPr>
          <w:p>
            <w:pPr>
              <w:spacing w:after="0"/>
              <w:rPr>
                <w:sz w:val="17"/>
                <w:szCs w:val="17"/>
                <w:color w:val="auto"/>
              </w:rPr>
            </w:pPr>
          </w:p>
        </w:tc>
        <w:tc>
          <w:tcPr>
            <w:tcW w:w="152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8"/>
              </w:rPr>
              <w:t>Three Months</w:t>
            </w:r>
          </w:p>
        </w:tc>
        <w:tc>
          <w:tcPr>
            <w:tcW w:w="180" w:type="dxa"/>
            <w:vAlign w:val="bottom"/>
          </w:tcPr>
          <w:p>
            <w:pPr>
              <w:spacing w:after="0"/>
              <w:rPr>
                <w:sz w:val="17"/>
                <w:szCs w:val="17"/>
                <w:color w:val="auto"/>
              </w:rPr>
            </w:pPr>
          </w:p>
        </w:tc>
        <w:tc>
          <w:tcPr>
            <w:tcW w:w="142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8"/>
              </w:rPr>
              <w:t>Three Months</w:t>
            </w:r>
          </w:p>
        </w:tc>
      </w:tr>
      <w:tr>
        <w:trPr>
          <w:trHeight w:val="203"/>
        </w:trPr>
        <w:tc>
          <w:tcPr>
            <w:tcW w:w="6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20" w:type="dxa"/>
            <w:vAlign w:val="bottom"/>
            <w:gridSpan w:val="2"/>
          </w:tcPr>
          <w:p>
            <w:pPr>
              <w:jc w:val="center"/>
              <w:ind w:right="260"/>
              <w:spacing w:after="0" w:line="202" w:lineRule="exact"/>
              <w:rPr>
                <w:sz w:val="20"/>
                <w:szCs w:val="20"/>
                <w:color w:val="auto"/>
              </w:rPr>
            </w:pPr>
            <w:r>
              <w:rPr>
                <w:rFonts w:ascii="Times New Roman" w:cs="Times New Roman" w:eastAsia="Times New Roman" w:hAnsi="Times New Roman"/>
                <w:sz w:val="18"/>
                <w:szCs w:val="18"/>
                <w:b w:val="1"/>
                <w:bCs w:val="1"/>
                <w:color w:val="auto"/>
                <w:w w:val="99"/>
              </w:rPr>
              <w:t>Ended</w:t>
            </w:r>
          </w:p>
        </w:tc>
        <w:tc>
          <w:tcPr>
            <w:tcW w:w="140" w:type="dxa"/>
            <w:vAlign w:val="bottom"/>
          </w:tcPr>
          <w:p>
            <w:pPr>
              <w:spacing w:after="0"/>
              <w:rPr>
                <w:sz w:val="17"/>
                <w:szCs w:val="17"/>
                <w:color w:val="auto"/>
              </w:rPr>
            </w:pPr>
          </w:p>
        </w:tc>
        <w:tc>
          <w:tcPr>
            <w:tcW w:w="1520" w:type="dxa"/>
            <w:vAlign w:val="bottom"/>
            <w:gridSpan w:val="2"/>
          </w:tcPr>
          <w:p>
            <w:pPr>
              <w:jc w:val="center"/>
              <w:ind w:right="220"/>
              <w:spacing w:after="0" w:line="202" w:lineRule="exact"/>
              <w:rPr>
                <w:sz w:val="20"/>
                <w:szCs w:val="20"/>
                <w:color w:val="auto"/>
              </w:rPr>
            </w:pPr>
            <w:r>
              <w:rPr>
                <w:rFonts w:ascii="Times New Roman" w:cs="Times New Roman" w:eastAsia="Times New Roman" w:hAnsi="Times New Roman"/>
                <w:sz w:val="18"/>
                <w:szCs w:val="18"/>
                <w:b w:val="1"/>
                <w:bCs w:val="1"/>
                <w:color w:val="auto"/>
                <w:w w:val="99"/>
              </w:rPr>
              <w:t>Ended</w:t>
            </w:r>
          </w:p>
        </w:tc>
        <w:tc>
          <w:tcPr>
            <w:tcW w:w="180" w:type="dxa"/>
            <w:vAlign w:val="bottom"/>
          </w:tcPr>
          <w:p>
            <w:pPr>
              <w:spacing w:after="0"/>
              <w:rPr>
                <w:sz w:val="17"/>
                <w:szCs w:val="17"/>
                <w:color w:val="auto"/>
              </w:rPr>
            </w:pPr>
          </w:p>
        </w:tc>
        <w:tc>
          <w:tcPr>
            <w:tcW w:w="1420" w:type="dxa"/>
            <w:vAlign w:val="bottom"/>
          </w:tcPr>
          <w:p>
            <w:pPr>
              <w:jc w:val="center"/>
              <w:ind w:right="70"/>
              <w:spacing w:after="0" w:line="202" w:lineRule="exact"/>
              <w:rPr>
                <w:sz w:val="20"/>
                <w:szCs w:val="20"/>
                <w:color w:val="auto"/>
              </w:rPr>
            </w:pPr>
            <w:r>
              <w:rPr>
                <w:rFonts w:ascii="Times New Roman" w:cs="Times New Roman" w:eastAsia="Times New Roman" w:hAnsi="Times New Roman"/>
                <w:sz w:val="18"/>
                <w:szCs w:val="18"/>
                <w:b w:val="1"/>
                <w:bCs w:val="1"/>
                <w:color w:val="auto"/>
                <w:w w:val="99"/>
              </w:rPr>
              <w:t>Ended</w:t>
            </w:r>
          </w:p>
        </w:tc>
      </w:tr>
      <w:tr>
        <w:trPr>
          <w:trHeight w:val="272"/>
        </w:trPr>
        <w:tc>
          <w:tcPr>
            <w:tcW w:w="6300" w:type="dxa"/>
            <w:vAlign w:val="bottom"/>
          </w:tcPr>
          <w:p>
            <w:pPr>
              <w:ind w:left="8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60" w:type="dxa"/>
            <w:vAlign w:val="bottom"/>
          </w:tcPr>
          <w:p>
            <w:pPr>
              <w:spacing w:after="0"/>
              <w:rPr>
                <w:sz w:val="23"/>
                <w:szCs w:val="23"/>
                <w:color w:val="auto"/>
              </w:rPr>
            </w:pPr>
          </w:p>
        </w:tc>
        <w:tc>
          <w:tcPr>
            <w:tcW w:w="15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140" w:type="dxa"/>
            <w:vAlign w:val="bottom"/>
          </w:tcPr>
          <w:p>
            <w:pPr>
              <w:spacing w:after="0"/>
              <w:rPr>
                <w:sz w:val="23"/>
                <w:szCs w:val="23"/>
                <w:color w:val="auto"/>
              </w:rPr>
            </w:pPr>
          </w:p>
        </w:tc>
        <w:tc>
          <w:tcPr>
            <w:tcW w:w="15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March 31, 2025</w:t>
            </w:r>
          </w:p>
        </w:tc>
        <w:tc>
          <w:tcPr>
            <w:tcW w:w="180" w:type="dxa"/>
            <w:vAlign w:val="bottom"/>
          </w:tcPr>
          <w:p>
            <w:pPr>
              <w:spacing w:after="0"/>
              <w:rPr>
                <w:sz w:val="23"/>
                <w:szCs w:val="23"/>
                <w:color w:val="auto"/>
              </w:rPr>
            </w:pPr>
          </w:p>
        </w:tc>
        <w:tc>
          <w:tcPr>
            <w:tcW w:w="142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June 30, 2025</w:t>
            </w:r>
          </w:p>
        </w:tc>
      </w:tr>
      <w:tr>
        <w:trPr>
          <w:trHeight w:val="257"/>
        </w:trPr>
        <w:tc>
          <w:tcPr>
            <w:tcW w:w="63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Segment Operating Margin</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248,351</w:t>
            </w:r>
          </w:p>
        </w:tc>
        <w:tc>
          <w:tcPr>
            <w:tcW w:w="10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106,026</w:t>
            </w:r>
          </w:p>
        </w:tc>
        <w:tc>
          <w:tcPr>
            <w:tcW w:w="8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24,967</w:t>
            </w:r>
          </w:p>
        </w:tc>
      </w:tr>
      <w:tr>
        <w:trPr>
          <w:trHeight w:val="250"/>
        </w:trPr>
        <w:tc>
          <w:tcPr>
            <w:tcW w:w="6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Core SG&amp;A (see definition above)</w:t>
            </w:r>
          </w:p>
        </w:tc>
        <w:tc>
          <w:tcPr>
            <w:tcW w:w="16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38,190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34,086</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36,939</w:t>
            </w:r>
          </w:p>
        </w:tc>
      </w:tr>
      <w:tr>
        <w:trPr>
          <w:trHeight w:val="263"/>
        </w:trPr>
        <w:tc>
          <w:tcPr>
            <w:tcW w:w="6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Deferred earnings from contracted sales</w:t>
            </w:r>
          </w:p>
        </w:tc>
        <w:tc>
          <w:tcPr>
            <w:tcW w:w="160" w:type="dxa"/>
            <w:vAlign w:val="bottom"/>
            <w:shd w:val="clear" w:color="auto" w:fill="CCEEFF"/>
          </w:tcPr>
          <w:p>
            <w:pPr>
              <w:spacing w:after="0"/>
              <w:rPr>
                <w:sz w:val="22"/>
                <w:szCs w:val="22"/>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90,000</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2"/>
                <w:szCs w:val="22"/>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63"/>
        </w:trPr>
        <w:tc>
          <w:tcPr>
            <w:tcW w:w="6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 Depreciation in Cost of Sales</w:t>
            </w:r>
          </w:p>
        </w:tc>
        <w:tc>
          <w:tcPr>
            <w:tcW w:w="160" w:type="dxa"/>
            <w:vAlign w:val="bottom"/>
          </w:tcPr>
          <w:p>
            <w:pPr>
              <w:spacing w:after="0"/>
              <w:rPr>
                <w:sz w:val="22"/>
                <w:szCs w:val="22"/>
                <w:color w:val="auto"/>
              </w:rPr>
            </w:pPr>
          </w:p>
        </w:tc>
        <w:tc>
          <w:tcPr>
            <w:tcW w:w="1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10,401</w:t>
            </w:r>
          </w:p>
        </w:tc>
        <w:tc>
          <w:tcPr>
            <w:tcW w:w="8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8,314</w:t>
            </w:r>
          </w:p>
        </w:tc>
      </w:tr>
      <w:tr>
        <w:trPr>
          <w:trHeight w:val="257"/>
        </w:trPr>
        <w:tc>
          <w:tcPr>
            <w:tcW w:w="63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EBITDA (Non-GAAP)</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120,161</w:t>
            </w:r>
          </w:p>
        </w:tc>
        <w:tc>
          <w:tcPr>
            <w:tcW w:w="10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82,341</w:t>
            </w:r>
          </w:p>
        </w:tc>
        <w:tc>
          <w:tcPr>
            <w:tcW w:w="8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(3,658)</w:t>
            </w:r>
          </w:p>
        </w:tc>
      </w:tr>
      <w:tr>
        <w:trPr>
          <w:trHeight w:val="256"/>
        </w:trPr>
        <w:tc>
          <w:tcPr>
            <w:tcW w:w="63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20" w:type="dxa"/>
            <w:vAlign w:val="bottom"/>
          </w:tcPr>
          <w:p>
            <w:pPr>
              <w:spacing w:after="0"/>
              <w:rPr>
                <w:sz w:val="22"/>
                <w:szCs w:val="22"/>
                <w:color w:val="auto"/>
              </w:rPr>
            </w:pPr>
          </w:p>
        </w:tc>
      </w:tr>
      <w:tr>
        <w:trPr>
          <w:trHeight w:val="257"/>
        </w:trPr>
        <w:tc>
          <w:tcPr>
            <w:tcW w:w="63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4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420" w:type="dxa"/>
            <w:vAlign w:val="bottom"/>
            <w:shd w:val="clear" w:color="auto" w:fill="CCEEFF"/>
          </w:tcPr>
          <w:p>
            <w:pPr>
              <w:spacing w:after="0"/>
              <w:rPr>
                <w:sz w:val="22"/>
                <w:szCs w:val="22"/>
                <w:color w:val="auto"/>
              </w:rPr>
            </w:pPr>
          </w:p>
        </w:tc>
      </w:tr>
      <w:tr>
        <w:trPr>
          <w:trHeight w:val="250"/>
        </w:trPr>
        <w:tc>
          <w:tcPr>
            <w:tcW w:w="63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(86,860)</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(197,373)</w:t>
            </w:r>
          </w:p>
        </w:tc>
        <w:tc>
          <w:tcPr>
            <w:tcW w:w="8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(556,827)</w:t>
            </w:r>
          </w:p>
        </w:tc>
      </w:tr>
      <w:tr>
        <w:trPr>
          <w:trHeight w:val="263"/>
        </w:trPr>
        <w:tc>
          <w:tcPr>
            <w:tcW w:w="6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Add: Interest expense</w:t>
            </w:r>
          </w:p>
        </w:tc>
        <w:tc>
          <w:tcPr>
            <w:tcW w:w="160" w:type="dxa"/>
            <w:vAlign w:val="bottom"/>
            <w:shd w:val="clear" w:color="auto" w:fill="CCEEFF"/>
          </w:tcPr>
          <w:p>
            <w:pPr>
              <w:spacing w:after="0"/>
              <w:rPr>
                <w:sz w:val="22"/>
                <w:szCs w:val="22"/>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80,399</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213,694</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206,408</w:t>
            </w:r>
          </w:p>
        </w:tc>
      </w:tr>
      <w:tr>
        <w:trPr>
          <w:trHeight w:val="250"/>
        </w:trPr>
        <w:tc>
          <w:tcPr>
            <w:tcW w:w="6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 Tax provision (benefit)</w:t>
            </w:r>
          </w:p>
        </w:tc>
        <w:tc>
          <w:tcPr>
            <w:tcW w:w="16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28,670</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(967)</w:t>
            </w:r>
          </w:p>
        </w:tc>
      </w:tr>
      <w:tr>
        <w:trPr>
          <w:trHeight w:val="263"/>
        </w:trPr>
        <w:tc>
          <w:tcPr>
            <w:tcW w:w="6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Add: Depreciation and amortization</w:t>
            </w:r>
          </w:p>
        </w:tc>
        <w:tc>
          <w:tcPr>
            <w:tcW w:w="160" w:type="dxa"/>
            <w:vAlign w:val="bottom"/>
            <w:shd w:val="clear" w:color="auto" w:fill="CCEEFF"/>
          </w:tcPr>
          <w:p>
            <w:pPr>
              <w:spacing w:after="0"/>
              <w:rPr>
                <w:sz w:val="22"/>
                <w:szCs w:val="22"/>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37,413</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63,458</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61,184</w:t>
            </w:r>
          </w:p>
        </w:tc>
      </w:tr>
      <w:tr>
        <w:trPr>
          <w:trHeight w:val="250"/>
        </w:trPr>
        <w:tc>
          <w:tcPr>
            <w:tcW w:w="6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 Goodwill impairment expense</w:t>
            </w:r>
          </w:p>
        </w:tc>
        <w:tc>
          <w:tcPr>
            <w:tcW w:w="160" w:type="dxa"/>
            <w:vAlign w:val="bottom"/>
          </w:tcPr>
          <w:p>
            <w:pPr>
              <w:spacing w:after="0"/>
              <w:rPr>
                <w:sz w:val="21"/>
                <w:szCs w:val="21"/>
                <w:color w:val="auto"/>
              </w:rPr>
            </w:pPr>
          </w:p>
        </w:tc>
        <w:tc>
          <w:tcPr>
            <w:tcW w:w="1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5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582,172</w:t>
            </w:r>
          </w:p>
        </w:tc>
      </w:tr>
      <w:tr>
        <w:trPr>
          <w:trHeight w:val="263"/>
        </w:trPr>
        <w:tc>
          <w:tcPr>
            <w:tcW w:w="6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Add: Asset impairment expense</w:t>
            </w:r>
          </w:p>
        </w:tc>
        <w:tc>
          <w:tcPr>
            <w:tcW w:w="160" w:type="dxa"/>
            <w:vAlign w:val="bottom"/>
            <w:shd w:val="clear" w:color="auto" w:fill="CCEEFF"/>
          </w:tcPr>
          <w:p>
            <w:pPr>
              <w:spacing w:after="0"/>
              <w:rPr>
                <w:sz w:val="22"/>
                <w:szCs w:val="22"/>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4,272</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117,312</w:t>
            </w:r>
          </w:p>
        </w:tc>
      </w:tr>
      <w:tr>
        <w:trPr>
          <w:trHeight w:val="250"/>
        </w:trPr>
        <w:tc>
          <w:tcPr>
            <w:tcW w:w="6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 SG&amp;A items excluded from Core SG&amp;A (see definition above)</w:t>
            </w:r>
          </w:p>
        </w:tc>
        <w:tc>
          <w:tcPr>
            <w:tcW w:w="16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32,388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25,185</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20,317</w:t>
            </w:r>
          </w:p>
        </w:tc>
      </w:tr>
      <w:tr>
        <w:trPr>
          <w:trHeight w:val="263"/>
        </w:trPr>
        <w:tc>
          <w:tcPr>
            <w:tcW w:w="6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Add: Transaction and integration costs</w:t>
            </w:r>
          </w:p>
        </w:tc>
        <w:tc>
          <w:tcPr>
            <w:tcW w:w="160" w:type="dxa"/>
            <w:vAlign w:val="bottom"/>
            <w:shd w:val="clear" w:color="auto" w:fill="CCEEFF"/>
          </w:tcPr>
          <w:p>
            <w:pPr>
              <w:spacing w:after="0"/>
              <w:rPr>
                <w:sz w:val="22"/>
                <w:szCs w:val="22"/>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1,760</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11,931</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75,384</w:t>
            </w:r>
          </w:p>
        </w:tc>
      </w:tr>
      <w:tr>
        <w:trPr>
          <w:trHeight w:val="250"/>
        </w:trPr>
        <w:tc>
          <w:tcPr>
            <w:tcW w:w="6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 Other expense (income), net</w:t>
            </w:r>
          </w:p>
        </w:tc>
        <w:tc>
          <w:tcPr>
            <w:tcW w:w="16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47,354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(63,937)</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(56,262)</w:t>
            </w:r>
          </w:p>
        </w:tc>
      </w:tr>
      <w:tr>
        <w:trPr>
          <w:trHeight w:val="263"/>
        </w:trPr>
        <w:tc>
          <w:tcPr>
            <w:tcW w:w="6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Add: Loss on extinguishment of debt, net</w:t>
            </w:r>
          </w:p>
        </w:tc>
        <w:tc>
          <w:tcPr>
            <w:tcW w:w="160" w:type="dxa"/>
            <w:vAlign w:val="bottom"/>
            <w:shd w:val="clear" w:color="auto" w:fill="CCEEFF"/>
          </w:tcPr>
          <w:p>
            <w:pPr>
              <w:spacing w:after="0"/>
              <w:rPr>
                <w:sz w:val="22"/>
                <w:szCs w:val="22"/>
                <w:color w:val="auto"/>
              </w:rPr>
            </w:pPr>
          </w:p>
        </w:tc>
        <w:tc>
          <w:tcPr>
            <w:tcW w:w="15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2"/>
                <w:szCs w:val="22"/>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20,320</w:t>
            </w:r>
          </w:p>
        </w:tc>
      </w:tr>
      <w:tr>
        <w:trPr>
          <w:trHeight w:val="250"/>
        </w:trPr>
        <w:tc>
          <w:tcPr>
            <w:tcW w:w="6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 (Gain) loss on sale</w:t>
            </w:r>
          </w:p>
        </w:tc>
        <w:tc>
          <w:tcPr>
            <w:tcW w:w="160" w:type="dxa"/>
            <w:vAlign w:val="bottom"/>
          </w:tcPr>
          <w:p>
            <w:pPr>
              <w:spacing w:after="0"/>
              <w:rPr>
                <w:sz w:val="21"/>
                <w:szCs w:val="21"/>
                <w:color w:val="auto"/>
              </w:rPr>
            </w:pPr>
          </w:p>
        </w:tc>
        <w:tc>
          <w:tcPr>
            <w:tcW w:w="1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5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(472,699)</w:t>
            </w:r>
          </w:p>
        </w:tc>
      </w:tr>
      <w:tr>
        <w:trPr>
          <w:trHeight w:val="256"/>
        </w:trPr>
        <w:tc>
          <w:tcPr>
            <w:tcW w:w="63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120,161</w:t>
            </w:r>
          </w:p>
        </w:tc>
        <w:tc>
          <w:tcPr>
            <w:tcW w:w="10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82,341</w:t>
            </w:r>
          </w:p>
        </w:tc>
        <w:tc>
          <w:tcPr>
            <w:tcW w:w="8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(3,658)</w:t>
            </w:r>
          </w:p>
        </w:tc>
      </w:tr>
    </w:tbl>
    <w:p>
      <w:pPr>
        <w:sectPr>
          <w:pgSz w:w="11900" w:h="16838" w:orient="portrait"/>
          <w:cols w:equalWidth="0" w:num="1">
            <w:col w:w="11240"/>
          </w:cols>
          <w:pgMar w:left="320" w:top="93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color w:val="auto"/>
        </w:rPr>
        <w:t>Segment Operating Margin</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(Unaudited, in thousands of U.S. dollars)</w:t>
      </w:r>
    </w:p>
    <w:p>
      <w:pPr>
        <w:spacing w:after="0" w:line="232" w:lineRule="exact"/>
        <w:rPr>
          <w:sz w:val="20"/>
          <w:szCs w:val="20"/>
          <w:color w:val="auto"/>
        </w:rPr>
      </w:pPr>
    </w:p>
    <w:p>
      <w:pPr>
        <w:ind w:right="200"/>
        <w:spacing w:after="0" w:line="245" w:lineRule="auto"/>
        <w:rPr>
          <w:sz w:val="20"/>
          <w:szCs w:val="20"/>
          <w:color w:val="auto"/>
        </w:rPr>
      </w:pPr>
      <w:r>
        <w:rPr>
          <w:rFonts w:ascii="Times New Roman" w:cs="Times New Roman" w:eastAsia="Times New Roman" w:hAnsi="Times New Roman"/>
          <w:sz w:val="18"/>
          <w:szCs w:val="18"/>
          <w:color w:val="auto"/>
        </w:rPr>
        <w:t>Performance of our two segments, Terminals and Infrastructure and Ships, is evaluated based on Segment Operating Margin. Segment Operating Margin reconciles to Consolidated Segment Operating Margin as reflected below, which is a non-GAAP measure. We define Consolidated Segment Operating Margin as GAAP net income, adjusted for selling, general and administrative expense, transaction and integration costs, contract termination charges and loss on mitigation sales, depreciation and amortization, asset impairment expense, (gain) loss on sales, interest expense, other (income) expense, loss on extinguishment of debt, net, (income) loss from equity method investments and tax (benefit) provision. Consolidated Segment Operating Margin is mathematically equivalent to Revenue minus Cost of sales minus Operations and maintenance minus Vessel operating expenses, each as reported in our financial statements.</w:t>
      </w: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Three Months Ended June 30,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92"/>
        </w:trPr>
        <w:tc>
          <w:tcPr>
            <w:tcW w:w="330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(in thousands of $)</w:t>
            </w:r>
          </w:p>
        </w:tc>
        <w:tc>
          <w:tcPr>
            <w:tcW w:w="860" w:type="dxa"/>
            <w:vAlign w:val="bottom"/>
          </w:tcPr>
          <w:p>
            <w:pPr>
              <w:spacing w:after="0"/>
              <w:rPr>
                <w:sz w:val="24"/>
                <w:szCs w:val="24"/>
                <w:color w:val="auto"/>
              </w:rPr>
            </w:pPr>
          </w:p>
        </w:tc>
        <w:tc>
          <w:tcPr>
            <w:tcW w:w="146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Terminals and</w:t>
            </w:r>
          </w:p>
        </w:tc>
        <w:tc>
          <w:tcPr>
            <w:tcW w:w="300" w:type="dxa"/>
            <w:vAlign w:val="bottom"/>
          </w:tcPr>
          <w:p>
            <w:pPr>
              <w:spacing w:after="0"/>
              <w:rPr>
                <w:sz w:val="24"/>
                <w:szCs w:val="24"/>
                <w:color w:val="auto"/>
              </w:rPr>
            </w:pPr>
          </w:p>
        </w:tc>
        <w:tc>
          <w:tcPr>
            <w:tcW w:w="92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Ships</w:t>
            </w:r>
          </w:p>
        </w:tc>
        <w:tc>
          <w:tcPr>
            <w:tcW w:w="128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Total Segment</w:t>
            </w:r>
          </w:p>
        </w:tc>
        <w:tc>
          <w:tcPr>
            <w:tcW w:w="182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Consolidation and</w:t>
            </w:r>
          </w:p>
        </w:tc>
        <w:tc>
          <w:tcPr>
            <w:tcW w:w="130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Consolidated</w:t>
            </w:r>
          </w:p>
        </w:tc>
        <w:tc>
          <w:tcPr>
            <w:tcW w:w="0" w:type="dxa"/>
            <w:vAlign w:val="bottom"/>
          </w:tcPr>
          <w:p>
            <w:pPr>
              <w:spacing w:after="0"/>
              <w:rPr>
                <w:sz w:val="1"/>
                <w:szCs w:val="1"/>
                <w:color w:val="auto"/>
              </w:rPr>
            </w:pPr>
          </w:p>
        </w:tc>
      </w:tr>
      <w:tr>
        <w:trPr>
          <w:trHeight w:val="183"/>
        </w:trPr>
        <w:tc>
          <w:tcPr>
            <w:tcW w:w="3300" w:type="dxa"/>
            <w:vAlign w:val="bottom"/>
            <w:tcBorders>
              <w:bottom w:val="single" w:sz="8" w:color="auto"/>
            </w:tcBorders>
            <w:vMerge w:val="continue"/>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ind w:left="60"/>
              <w:spacing w:after="0" w:line="176" w:lineRule="exact"/>
              <w:rPr>
                <w:sz w:val="20"/>
                <w:szCs w:val="20"/>
                <w:color w:val="auto"/>
              </w:rPr>
            </w:pPr>
            <w:r>
              <w:rPr>
                <w:rFonts w:ascii="Times New Roman" w:cs="Times New Roman" w:eastAsia="Times New Roman" w:hAnsi="Times New Roman"/>
                <w:sz w:val="18"/>
                <w:szCs w:val="18"/>
                <w:b w:val="1"/>
                <w:bCs w:val="1"/>
                <w:color w:val="auto"/>
              </w:rPr>
              <w:t>Infrastructure</w:t>
            </w:r>
          </w:p>
        </w:tc>
        <w:tc>
          <w:tcPr>
            <w:tcW w:w="3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ind w:right="670"/>
              <w:spacing w:after="0" w:line="176" w:lineRule="exact"/>
              <w:rPr>
                <w:sz w:val="20"/>
                <w:szCs w:val="20"/>
                <w:color w:val="auto"/>
              </w:rPr>
            </w:pPr>
            <w:r>
              <w:rPr>
                <w:rFonts w:ascii="Times New Roman" w:cs="Times New Roman" w:eastAsia="Times New Roman" w:hAnsi="Times New Roman"/>
                <w:sz w:val="18"/>
                <w:szCs w:val="18"/>
                <w:b w:val="1"/>
                <w:bCs w:val="1"/>
                <w:color w:val="auto"/>
              </w:rPr>
              <w:t>Other</w:t>
            </w:r>
          </w:p>
        </w:tc>
        <w:tc>
          <w:tcPr>
            <w:tcW w:w="13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57"/>
        </w:trPr>
        <w:tc>
          <w:tcPr>
            <w:tcW w:w="3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Segment Operating Margin</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(7,198)</w:t>
            </w:r>
          </w:p>
        </w:tc>
        <w:tc>
          <w:tcPr>
            <w:tcW w:w="3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32,165</w:t>
            </w:r>
          </w:p>
        </w:tc>
        <w:tc>
          <w:tcPr>
            <w:tcW w:w="4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24,967</w:t>
            </w:r>
          </w:p>
        </w:tc>
        <w:tc>
          <w:tcPr>
            <w:tcW w:w="3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24,967</w:t>
            </w:r>
          </w:p>
        </w:tc>
        <w:tc>
          <w:tcPr>
            <w:tcW w:w="0" w:type="dxa"/>
            <w:vAlign w:val="bottom"/>
          </w:tcPr>
          <w:p>
            <w:pPr>
              <w:spacing w:after="0"/>
              <w:rPr>
                <w:sz w:val="1"/>
                <w:szCs w:val="1"/>
                <w:color w:val="auto"/>
              </w:rPr>
            </w:pPr>
          </w:p>
        </w:tc>
      </w:tr>
      <w:tr>
        <w:trPr>
          <w:trHeight w:val="250"/>
        </w:trPr>
        <w:tc>
          <w:tcPr>
            <w:tcW w:w="3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w:t>
            </w:r>
          </w:p>
        </w:tc>
        <w:tc>
          <w:tcPr>
            <w:tcW w:w="86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3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860" w:type="dxa"/>
            <w:vAlign w:val="bottom"/>
            <w:shd w:val="clear" w:color="auto" w:fill="CCEEFF"/>
          </w:tcPr>
          <w:p>
            <w:pPr>
              <w:spacing w:after="0"/>
              <w:rPr>
                <w:sz w:val="22"/>
                <w:szCs w:val="22"/>
                <w:color w:val="auto"/>
              </w:rPr>
            </w:pPr>
          </w:p>
        </w:tc>
        <w:tc>
          <w:tcPr>
            <w:tcW w:w="146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57,256</w:t>
            </w:r>
          </w:p>
        </w:tc>
        <w:tc>
          <w:tcPr>
            <w:tcW w:w="0" w:type="dxa"/>
            <w:vAlign w:val="bottom"/>
          </w:tcPr>
          <w:p>
            <w:pPr>
              <w:spacing w:after="0"/>
              <w:rPr>
                <w:sz w:val="1"/>
                <w:szCs w:val="1"/>
                <w:color w:val="auto"/>
              </w:rPr>
            </w:pPr>
          </w:p>
        </w:tc>
      </w:tr>
      <w:tr>
        <w:trPr>
          <w:trHeight w:val="257"/>
        </w:trPr>
        <w:tc>
          <w:tcPr>
            <w:tcW w:w="3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Transaction and integration costs</w:t>
            </w:r>
          </w:p>
        </w:tc>
        <w:tc>
          <w:tcPr>
            <w:tcW w:w="86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75,384</w:t>
            </w:r>
          </w:p>
        </w:tc>
        <w:tc>
          <w:tcPr>
            <w:tcW w:w="0" w:type="dxa"/>
            <w:vAlign w:val="bottom"/>
          </w:tcPr>
          <w:p>
            <w:pPr>
              <w:spacing w:after="0"/>
              <w:rPr>
                <w:sz w:val="1"/>
                <w:szCs w:val="1"/>
                <w:color w:val="auto"/>
              </w:rPr>
            </w:pPr>
          </w:p>
        </w:tc>
      </w:tr>
      <w:tr>
        <w:trPr>
          <w:trHeight w:val="257"/>
        </w:trPr>
        <w:tc>
          <w:tcPr>
            <w:tcW w:w="3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860" w:type="dxa"/>
            <w:vAlign w:val="bottom"/>
            <w:shd w:val="clear" w:color="auto" w:fill="CCEEFF"/>
          </w:tcPr>
          <w:p>
            <w:pPr>
              <w:spacing w:after="0"/>
              <w:rPr>
                <w:sz w:val="22"/>
                <w:szCs w:val="22"/>
                <w:color w:val="auto"/>
              </w:rPr>
            </w:pPr>
          </w:p>
        </w:tc>
        <w:tc>
          <w:tcPr>
            <w:tcW w:w="146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52,870</w:t>
            </w:r>
          </w:p>
        </w:tc>
        <w:tc>
          <w:tcPr>
            <w:tcW w:w="0" w:type="dxa"/>
            <w:vAlign w:val="bottom"/>
          </w:tcPr>
          <w:p>
            <w:pPr>
              <w:spacing w:after="0"/>
              <w:rPr>
                <w:sz w:val="1"/>
                <w:szCs w:val="1"/>
                <w:color w:val="auto"/>
              </w:rPr>
            </w:pPr>
          </w:p>
        </w:tc>
      </w:tr>
      <w:tr>
        <w:trPr>
          <w:trHeight w:val="257"/>
        </w:trPr>
        <w:tc>
          <w:tcPr>
            <w:tcW w:w="3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 impairment expense</w:t>
            </w:r>
          </w:p>
        </w:tc>
        <w:tc>
          <w:tcPr>
            <w:tcW w:w="86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582,172</w:t>
            </w:r>
          </w:p>
        </w:tc>
        <w:tc>
          <w:tcPr>
            <w:tcW w:w="0" w:type="dxa"/>
            <w:vAlign w:val="bottom"/>
          </w:tcPr>
          <w:p>
            <w:pPr>
              <w:spacing w:after="0"/>
              <w:rPr>
                <w:sz w:val="1"/>
                <w:szCs w:val="1"/>
                <w:color w:val="auto"/>
              </w:rPr>
            </w:pPr>
          </w:p>
        </w:tc>
      </w:tr>
      <w:tr>
        <w:trPr>
          <w:trHeight w:val="256"/>
        </w:trPr>
        <w:tc>
          <w:tcPr>
            <w:tcW w:w="3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 impairment expense</w:t>
            </w:r>
          </w:p>
        </w:tc>
        <w:tc>
          <w:tcPr>
            <w:tcW w:w="860" w:type="dxa"/>
            <w:vAlign w:val="bottom"/>
            <w:shd w:val="clear" w:color="auto" w:fill="CCEEFF"/>
          </w:tcPr>
          <w:p>
            <w:pPr>
              <w:spacing w:after="0"/>
              <w:rPr>
                <w:sz w:val="22"/>
                <w:szCs w:val="22"/>
                <w:color w:val="auto"/>
              </w:rPr>
            </w:pPr>
          </w:p>
        </w:tc>
        <w:tc>
          <w:tcPr>
            <w:tcW w:w="146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117,312</w:t>
            </w:r>
          </w:p>
        </w:tc>
        <w:tc>
          <w:tcPr>
            <w:tcW w:w="0" w:type="dxa"/>
            <w:vAlign w:val="bottom"/>
          </w:tcPr>
          <w:p>
            <w:pPr>
              <w:spacing w:after="0"/>
              <w:rPr>
                <w:sz w:val="1"/>
                <w:szCs w:val="1"/>
                <w:color w:val="auto"/>
              </w:rPr>
            </w:pPr>
          </w:p>
        </w:tc>
      </w:tr>
      <w:tr>
        <w:trPr>
          <w:trHeight w:val="257"/>
        </w:trPr>
        <w:tc>
          <w:tcPr>
            <w:tcW w:w="3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86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206,408</w:t>
            </w:r>
          </w:p>
        </w:tc>
        <w:tc>
          <w:tcPr>
            <w:tcW w:w="0" w:type="dxa"/>
            <w:vAlign w:val="bottom"/>
          </w:tcPr>
          <w:p>
            <w:pPr>
              <w:spacing w:after="0"/>
              <w:rPr>
                <w:sz w:val="1"/>
                <w:szCs w:val="1"/>
                <w:color w:val="auto"/>
              </w:rPr>
            </w:pPr>
          </w:p>
        </w:tc>
      </w:tr>
      <w:tr>
        <w:trPr>
          <w:trHeight w:val="257"/>
        </w:trPr>
        <w:tc>
          <w:tcPr>
            <w:tcW w:w="3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860" w:type="dxa"/>
            <w:vAlign w:val="bottom"/>
            <w:shd w:val="clear" w:color="auto" w:fill="CCEEFF"/>
          </w:tcPr>
          <w:p>
            <w:pPr>
              <w:spacing w:after="0"/>
              <w:rPr>
                <w:sz w:val="22"/>
                <w:szCs w:val="22"/>
                <w:color w:val="auto"/>
              </w:rPr>
            </w:pPr>
          </w:p>
        </w:tc>
        <w:tc>
          <w:tcPr>
            <w:tcW w:w="146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(56,262)</w:t>
            </w:r>
          </w:p>
        </w:tc>
        <w:tc>
          <w:tcPr>
            <w:tcW w:w="0" w:type="dxa"/>
            <w:vAlign w:val="bottom"/>
          </w:tcPr>
          <w:p>
            <w:pPr>
              <w:spacing w:after="0"/>
              <w:rPr>
                <w:sz w:val="1"/>
                <w:szCs w:val="1"/>
                <w:color w:val="auto"/>
              </w:rPr>
            </w:pPr>
          </w:p>
        </w:tc>
      </w:tr>
      <w:tr>
        <w:trPr>
          <w:trHeight w:val="250"/>
        </w:trPr>
        <w:tc>
          <w:tcPr>
            <w:tcW w:w="3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(Gain) on sale</w:t>
            </w:r>
          </w:p>
        </w:tc>
        <w:tc>
          <w:tcPr>
            <w:tcW w:w="86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(472,699)</w:t>
            </w:r>
          </w:p>
        </w:tc>
        <w:tc>
          <w:tcPr>
            <w:tcW w:w="0" w:type="dxa"/>
            <w:vAlign w:val="bottom"/>
          </w:tcPr>
          <w:p>
            <w:pPr>
              <w:spacing w:after="0"/>
              <w:rPr>
                <w:sz w:val="1"/>
                <w:szCs w:val="1"/>
                <w:color w:val="auto"/>
              </w:rPr>
            </w:pPr>
          </w:p>
        </w:tc>
      </w:tr>
      <w:tr>
        <w:trPr>
          <w:trHeight w:val="263"/>
        </w:trPr>
        <w:tc>
          <w:tcPr>
            <w:tcW w:w="3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on extinguishment of debt, net</w:t>
            </w:r>
          </w:p>
        </w:tc>
        <w:tc>
          <w:tcPr>
            <w:tcW w:w="860" w:type="dxa"/>
            <w:vAlign w:val="bottom"/>
            <w:shd w:val="clear" w:color="auto" w:fill="CCEEFF"/>
          </w:tcPr>
          <w:p>
            <w:pPr>
              <w:spacing w:after="0"/>
              <w:rPr>
                <w:sz w:val="22"/>
                <w:szCs w:val="22"/>
                <w:color w:val="auto"/>
              </w:rPr>
            </w:pPr>
          </w:p>
        </w:tc>
        <w:tc>
          <w:tcPr>
            <w:tcW w:w="146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20,320</w:t>
            </w:r>
          </w:p>
        </w:tc>
        <w:tc>
          <w:tcPr>
            <w:tcW w:w="0" w:type="dxa"/>
            <w:vAlign w:val="bottom"/>
          </w:tcPr>
          <w:p>
            <w:pPr>
              <w:spacing w:after="0"/>
              <w:rPr>
                <w:sz w:val="1"/>
                <w:szCs w:val="1"/>
                <w:color w:val="auto"/>
              </w:rPr>
            </w:pPr>
          </w:p>
        </w:tc>
      </w:tr>
      <w:tr>
        <w:trPr>
          <w:trHeight w:val="250"/>
        </w:trPr>
        <w:tc>
          <w:tcPr>
            <w:tcW w:w="3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Tax provision (benefit)</w:t>
            </w:r>
          </w:p>
        </w:tc>
        <w:tc>
          <w:tcPr>
            <w:tcW w:w="86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(967)</w:t>
            </w:r>
          </w:p>
        </w:tc>
        <w:tc>
          <w:tcPr>
            <w:tcW w:w="0" w:type="dxa"/>
            <w:vAlign w:val="bottom"/>
          </w:tcPr>
          <w:p>
            <w:pPr>
              <w:spacing w:after="0"/>
              <w:rPr>
                <w:sz w:val="1"/>
                <w:szCs w:val="1"/>
                <w:color w:val="auto"/>
              </w:rPr>
            </w:pPr>
          </w:p>
        </w:tc>
      </w:tr>
      <w:tr>
        <w:trPr>
          <w:trHeight w:val="257"/>
        </w:trPr>
        <w:tc>
          <w:tcPr>
            <w:tcW w:w="3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860" w:type="dxa"/>
            <w:vAlign w:val="bottom"/>
            <w:shd w:val="clear" w:color="auto" w:fill="CCEEFF"/>
          </w:tcPr>
          <w:p>
            <w:pPr>
              <w:spacing w:after="0"/>
              <w:rPr>
                <w:sz w:val="22"/>
                <w:szCs w:val="22"/>
                <w:color w:val="auto"/>
              </w:rPr>
            </w:pPr>
          </w:p>
        </w:tc>
        <w:tc>
          <w:tcPr>
            <w:tcW w:w="146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(556,827)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Three Months Ended March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92"/>
        </w:trPr>
        <w:tc>
          <w:tcPr>
            <w:tcW w:w="330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(in thousands of $)</w:t>
            </w:r>
          </w:p>
        </w:tc>
        <w:tc>
          <w:tcPr>
            <w:tcW w:w="840" w:type="dxa"/>
            <w:vAlign w:val="bottom"/>
          </w:tcPr>
          <w:p>
            <w:pPr>
              <w:spacing w:after="0"/>
              <w:rPr>
                <w:sz w:val="24"/>
                <w:szCs w:val="24"/>
                <w:color w:val="auto"/>
              </w:rPr>
            </w:pPr>
          </w:p>
        </w:tc>
        <w:tc>
          <w:tcPr>
            <w:tcW w:w="144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Terminals and</w:t>
            </w:r>
          </w:p>
        </w:tc>
        <w:tc>
          <w:tcPr>
            <w:tcW w:w="320" w:type="dxa"/>
            <w:vAlign w:val="bottom"/>
          </w:tcPr>
          <w:p>
            <w:pPr>
              <w:spacing w:after="0"/>
              <w:rPr>
                <w:sz w:val="24"/>
                <w:szCs w:val="24"/>
                <w:color w:val="auto"/>
              </w:rPr>
            </w:pPr>
          </w:p>
        </w:tc>
        <w:tc>
          <w:tcPr>
            <w:tcW w:w="92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Ships</w:t>
            </w:r>
          </w:p>
        </w:tc>
        <w:tc>
          <w:tcPr>
            <w:tcW w:w="128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Total Segment</w:t>
            </w:r>
          </w:p>
        </w:tc>
        <w:tc>
          <w:tcPr>
            <w:tcW w:w="182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Consolidation and</w:t>
            </w:r>
          </w:p>
        </w:tc>
        <w:tc>
          <w:tcPr>
            <w:tcW w:w="132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Consolidated</w:t>
            </w:r>
          </w:p>
        </w:tc>
        <w:tc>
          <w:tcPr>
            <w:tcW w:w="0" w:type="dxa"/>
            <w:vAlign w:val="bottom"/>
          </w:tcPr>
          <w:p>
            <w:pPr>
              <w:spacing w:after="0"/>
              <w:rPr>
                <w:sz w:val="1"/>
                <w:szCs w:val="1"/>
                <w:color w:val="auto"/>
              </w:rPr>
            </w:pPr>
          </w:p>
        </w:tc>
      </w:tr>
      <w:tr>
        <w:trPr>
          <w:trHeight w:val="183"/>
        </w:trPr>
        <w:tc>
          <w:tcPr>
            <w:tcW w:w="3300" w:type="dxa"/>
            <w:vAlign w:val="bottom"/>
            <w:tcBorders>
              <w:bottom w:val="single" w:sz="8" w:color="auto"/>
            </w:tcBorders>
            <w:vMerge w:val="continue"/>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ind w:left="80"/>
              <w:spacing w:after="0" w:line="176" w:lineRule="exact"/>
              <w:rPr>
                <w:sz w:val="20"/>
                <w:szCs w:val="20"/>
                <w:color w:val="auto"/>
              </w:rPr>
            </w:pPr>
            <w:r>
              <w:rPr>
                <w:rFonts w:ascii="Times New Roman" w:cs="Times New Roman" w:eastAsia="Times New Roman" w:hAnsi="Times New Roman"/>
                <w:sz w:val="18"/>
                <w:szCs w:val="18"/>
                <w:b w:val="1"/>
                <w:bCs w:val="1"/>
                <w:color w:val="auto"/>
              </w:rPr>
              <w:t>Infrastructure</w:t>
            </w:r>
          </w:p>
        </w:tc>
        <w:tc>
          <w:tcPr>
            <w:tcW w:w="3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ind w:right="670"/>
              <w:spacing w:after="0" w:line="176" w:lineRule="exact"/>
              <w:rPr>
                <w:sz w:val="20"/>
                <w:szCs w:val="20"/>
                <w:color w:val="auto"/>
              </w:rPr>
            </w:pPr>
            <w:r>
              <w:rPr>
                <w:rFonts w:ascii="Times New Roman" w:cs="Times New Roman" w:eastAsia="Times New Roman" w:hAnsi="Times New Roman"/>
                <w:sz w:val="18"/>
                <w:szCs w:val="18"/>
                <w:b w:val="1"/>
                <w:bCs w:val="1"/>
                <w:color w:val="auto"/>
              </w:rPr>
              <w:t>Other</w:t>
            </w:r>
          </w:p>
        </w:tc>
        <w:tc>
          <w:tcPr>
            <w:tcW w:w="13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56"/>
        </w:trPr>
        <w:tc>
          <w:tcPr>
            <w:tcW w:w="3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Segment Operating Margin</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74,593</w:t>
            </w:r>
          </w:p>
        </w:tc>
        <w:tc>
          <w:tcPr>
            <w:tcW w:w="3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31,433</w:t>
            </w:r>
          </w:p>
        </w:tc>
        <w:tc>
          <w:tcPr>
            <w:tcW w:w="3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106,026</w:t>
            </w:r>
          </w:p>
        </w:tc>
        <w:tc>
          <w:tcPr>
            <w:tcW w:w="3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106,026</w:t>
            </w:r>
          </w:p>
        </w:tc>
        <w:tc>
          <w:tcPr>
            <w:tcW w:w="0" w:type="dxa"/>
            <w:vAlign w:val="bottom"/>
          </w:tcPr>
          <w:p>
            <w:pPr>
              <w:spacing w:after="0"/>
              <w:rPr>
                <w:sz w:val="1"/>
                <w:szCs w:val="1"/>
                <w:color w:val="auto"/>
              </w:rPr>
            </w:pPr>
          </w:p>
        </w:tc>
      </w:tr>
      <w:tr>
        <w:trPr>
          <w:trHeight w:val="250"/>
        </w:trPr>
        <w:tc>
          <w:tcPr>
            <w:tcW w:w="3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w:t>
            </w:r>
          </w:p>
        </w:tc>
        <w:tc>
          <w:tcPr>
            <w:tcW w:w="84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3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84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59,271</w:t>
            </w:r>
          </w:p>
        </w:tc>
        <w:tc>
          <w:tcPr>
            <w:tcW w:w="0" w:type="dxa"/>
            <w:vAlign w:val="bottom"/>
          </w:tcPr>
          <w:p>
            <w:pPr>
              <w:spacing w:after="0"/>
              <w:rPr>
                <w:sz w:val="1"/>
                <w:szCs w:val="1"/>
                <w:color w:val="auto"/>
              </w:rPr>
            </w:pPr>
          </w:p>
        </w:tc>
      </w:tr>
      <w:tr>
        <w:trPr>
          <w:trHeight w:val="257"/>
        </w:trPr>
        <w:tc>
          <w:tcPr>
            <w:tcW w:w="3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Transaction and integration costs</w:t>
            </w:r>
          </w:p>
        </w:tc>
        <w:tc>
          <w:tcPr>
            <w:tcW w:w="84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11,931</w:t>
            </w:r>
          </w:p>
        </w:tc>
        <w:tc>
          <w:tcPr>
            <w:tcW w:w="0" w:type="dxa"/>
            <w:vAlign w:val="bottom"/>
          </w:tcPr>
          <w:p>
            <w:pPr>
              <w:spacing w:after="0"/>
              <w:rPr>
                <w:sz w:val="1"/>
                <w:szCs w:val="1"/>
                <w:color w:val="auto"/>
              </w:rPr>
            </w:pPr>
          </w:p>
        </w:tc>
      </w:tr>
      <w:tr>
        <w:trPr>
          <w:trHeight w:val="256"/>
        </w:trPr>
        <w:tc>
          <w:tcPr>
            <w:tcW w:w="3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84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53,057</w:t>
            </w:r>
          </w:p>
        </w:tc>
        <w:tc>
          <w:tcPr>
            <w:tcW w:w="0" w:type="dxa"/>
            <w:vAlign w:val="bottom"/>
          </w:tcPr>
          <w:p>
            <w:pPr>
              <w:spacing w:after="0"/>
              <w:rPr>
                <w:sz w:val="1"/>
                <w:szCs w:val="1"/>
                <w:color w:val="auto"/>
              </w:rPr>
            </w:pPr>
          </w:p>
        </w:tc>
      </w:tr>
      <w:tr>
        <w:trPr>
          <w:trHeight w:val="257"/>
        </w:trPr>
        <w:tc>
          <w:tcPr>
            <w:tcW w:w="3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Asset impairment expense</w:t>
            </w:r>
          </w:p>
        </w:tc>
        <w:tc>
          <w:tcPr>
            <w:tcW w:w="84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0" w:type="dxa"/>
            <w:vAlign w:val="bottom"/>
          </w:tcPr>
          <w:p>
            <w:pPr>
              <w:spacing w:after="0"/>
              <w:rPr>
                <w:sz w:val="1"/>
                <w:szCs w:val="1"/>
                <w:color w:val="auto"/>
              </w:rPr>
            </w:pPr>
          </w:p>
        </w:tc>
      </w:tr>
      <w:tr>
        <w:trPr>
          <w:trHeight w:val="257"/>
        </w:trPr>
        <w:tc>
          <w:tcPr>
            <w:tcW w:w="3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84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213,694</w:t>
            </w:r>
          </w:p>
        </w:tc>
        <w:tc>
          <w:tcPr>
            <w:tcW w:w="0" w:type="dxa"/>
            <w:vAlign w:val="bottom"/>
          </w:tcPr>
          <w:p>
            <w:pPr>
              <w:spacing w:after="0"/>
              <w:rPr>
                <w:sz w:val="1"/>
                <w:szCs w:val="1"/>
                <w:color w:val="auto"/>
              </w:rPr>
            </w:pPr>
          </w:p>
        </w:tc>
      </w:tr>
      <w:tr>
        <w:trPr>
          <w:trHeight w:val="256"/>
        </w:trPr>
        <w:tc>
          <w:tcPr>
            <w:tcW w:w="3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expense, net</w:t>
            </w:r>
          </w:p>
        </w:tc>
        <w:tc>
          <w:tcPr>
            <w:tcW w:w="84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(63,937)</w:t>
            </w:r>
          </w:p>
        </w:tc>
        <w:tc>
          <w:tcPr>
            <w:tcW w:w="0" w:type="dxa"/>
            <w:vAlign w:val="bottom"/>
          </w:tcPr>
          <w:p>
            <w:pPr>
              <w:spacing w:after="0"/>
              <w:rPr>
                <w:sz w:val="1"/>
                <w:szCs w:val="1"/>
                <w:color w:val="auto"/>
              </w:rPr>
            </w:pPr>
          </w:p>
        </w:tc>
      </w:tr>
      <w:tr>
        <w:trPr>
          <w:trHeight w:val="257"/>
        </w:trPr>
        <w:tc>
          <w:tcPr>
            <w:tcW w:w="3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on extinguishment of debt, net</w:t>
            </w:r>
          </w:p>
        </w:tc>
        <w:tc>
          <w:tcPr>
            <w:tcW w:w="84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w:t>
            </w:r>
          </w:p>
        </w:tc>
        <w:tc>
          <w:tcPr>
            <w:tcW w:w="0" w:type="dxa"/>
            <w:vAlign w:val="bottom"/>
          </w:tcPr>
          <w:p>
            <w:pPr>
              <w:spacing w:after="0"/>
              <w:rPr>
                <w:sz w:val="1"/>
                <w:szCs w:val="1"/>
                <w:color w:val="auto"/>
              </w:rPr>
            </w:pPr>
          </w:p>
        </w:tc>
      </w:tr>
      <w:tr>
        <w:trPr>
          <w:trHeight w:val="250"/>
        </w:trPr>
        <w:tc>
          <w:tcPr>
            <w:tcW w:w="3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Tax provision</w:t>
            </w:r>
          </w:p>
        </w:tc>
        <w:tc>
          <w:tcPr>
            <w:tcW w:w="84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28,670</w:t>
            </w:r>
          </w:p>
        </w:tc>
        <w:tc>
          <w:tcPr>
            <w:tcW w:w="0" w:type="dxa"/>
            <w:vAlign w:val="bottom"/>
          </w:tcPr>
          <w:p>
            <w:pPr>
              <w:spacing w:after="0"/>
              <w:rPr>
                <w:sz w:val="1"/>
                <w:szCs w:val="1"/>
                <w:color w:val="auto"/>
              </w:rPr>
            </w:pPr>
          </w:p>
        </w:tc>
      </w:tr>
      <w:tr>
        <w:trPr>
          <w:trHeight w:val="256"/>
        </w:trPr>
        <w:tc>
          <w:tcPr>
            <w:tcW w:w="3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84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(197,373)</w:t>
            </w:r>
          </w:p>
        </w:tc>
        <w:tc>
          <w:tcPr>
            <w:tcW w:w="0" w:type="dxa"/>
            <w:vAlign w:val="bottom"/>
          </w:tcPr>
          <w:p>
            <w:pPr>
              <w:spacing w:after="0"/>
              <w:rPr>
                <w:sz w:val="1"/>
                <w:szCs w:val="1"/>
                <w:color w:val="auto"/>
              </w:rPr>
            </w:pPr>
          </w:p>
        </w:tc>
      </w:tr>
    </w:tbl>
    <w:p>
      <w:pPr>
        <w:sectPr>
          <w:pgSz w:w="11900" w:h="16838" w:orient="portrait"/>
          <w:cols w:equalWidth="0" w:num="1">
            <w:col w:w="11240"/>
          </w:cols>
          <w:pgMar w:left="320" w:top="927" w:right="3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Three Months Ended June 30,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92"/>
        </w:trPr>
        <w:tc>
          <w:tcPr>
            <w:tcW w:w="326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(in thousands of $)</w:t>
            </w:r>
          </w:p>
        </w:tc>
        <w:tc>
          <w:tcPr>
            <w:tcW w:w="840" w:type="dxa"/>
            <w:vAlign w:val="bottom"/>
          </w:tcPr>
          <w:p>
            <w:pPr>
              <w:spacing w:after="0"/>
              <w:rPr>
                <w:sz w:val="24"/>
                <w:szCs w:val="24"/>
                <w:color w:val="auto"/>
              </w:rPr>
            </w:pPr>
          </w:p>
        </w:tc>
        <w:tc>
          <w:tcPr>
            <w:tcW w:w="1480" w:type="dxa"/>
            <w:vAlign w:val="bottom"/>
          </w:tcPr>
          <w:p>
            <w:pPr>
              <w:jc w:val="center"/>
              <w:ind w:right="54"/>
              <w:spacing w:after="0"/>
              <w:rPr>
                <w:sz w:val="20"/>
                <w:szCs w:val="20"/>
                <w:color w:val="auto"/>
              </w:rPr>
            </w:pPr>
            <w:r>
              <w:rPr>
                <w:rFonts w:ascii="Times New Roman" w:cs="Times New Roman" w:eastAsia="Times New Roman" w:hAnsi="Times New Roman"/>
                <w:sz w:val="18"/>
                <w:szCs w:val="18"/>
                <w:b w:val="1"/>
                <w:bCs w:val="1"/>
                <w:color w:val="auto"/>
                <w:w w:val="97"/>
              </w:rPr>
              <w:t>Terminals and</w:t>
            </w:r>
          </w:p>
        </w:tc>
        <w:tc>
          <w:tcPr>
            <w:tcW w:w="320" w:type="dxa"/>
            <w:vAlign w:val="bottom"/>
          </w:tcPr>
          <w:p>
            <w:pPr>
              <w:spacing w:after="0"/>
              <w:rPr>
                <w:sz w:val="24"/>
                <w:szCs w:val="24"/>
                <w:color w:val="auto"/>
              </w:rPr>
            </w:pPr>
          </w:p>
        </w:tc>
        <w:tc>
          <w:tcPr>
            <w:tcW w:w="92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Ships</w:t>
            </w:r>
          </w:p>
        </w:tc>
        <w:tc>
          <w:tcPr>
            <w:tcW w:w="128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Total Segment</w:t>
            </w:r>
          </w:p>
        </w:tc>
        <w:tc>
          <w:tcPr>
            <w:tcW w:w="160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Consolidation and</w:t>
            </w:r>
          </w:p>
        </w:tc>
        <w:tc>
          <w:tcPr>
            <w:tcW w:w="220" w:type="dxa"/>
            <w:vAlign w:val="bottom"/>
          </w:tcPr>
          <w:p>
            <w:pPr>
              <w:spacing w:after="0"/>
              <w:rPr>
                <w:sz w:val="24"/>
                <w:szCs w:val="24"/>
                <w:color w:val="auto"/>
              </w:rPr>
            </w:pPr>
          </w:p>
        </w:tc>
        <w:tc>
          <w:tcPr>
            <w:tcW w:w="132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Consolidated</w:t>
            </w:r>
          </w:p>
        </w:tc>
        <w:tc>
          <w:tcPr>
            <w:tcW w:w="0" w:type="dxa"/>
            <w:vAlign w:val="bottom"/>
          </w:tcPr>
          <w:p>
            <w:pPr>
              <w:spacing w:after="0"/>
              <w:rPr>
                <w:sz w:val="1"/>
                <w:szCs w:val="1"/>
                <w:color w:val="auto"/>
              </w:rPr>
            </w:pPr>
          </w:p>
        </w:tc>
      </w:tr>
      <w:tr>
        <w:trPr>
          <w:trHeight w:val="183"/>
        </w:trPr>
        <w:tc>
          <w:tcPr>
            <w:tcW w:w="3260" w:type="dxa"/>
            <w:vAlign w:val="bottom"/>
            <w:tcBorders>
              <w:bottom w:val="single" w:sz="8" w:color="auto"/>
            </w:tcBorders>
            <w:vMerge w:val="continue"/>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jc w:val="center"/>
              <w:ind w:right="54"/>
              <w:spacing w:after="0" w:line="176" w:lineRule="exact"/>
              <w:rPr>
                <w:sz w:val="20"/>
                <w:szCs w:val="20"/>
                <w:color w:val="auto"/>
              </w:rPr>
            </w:pPr>
            <w:r>
              <w:rPr>
                <w:rFonts w:ascii="Times New Roman" w:cs="Times New Roman" w:eastAsia="Times New Roman" w:hAnsi="Times New Roman"/>
                <w:sz w:val="16"/>
                <w:szCs w:val="16"/>
                <w:b w:val="1"/>
                <w:bCs w:val="1"/>
                <w:color w:val="auto"/>
              </w:rPr>
              <w:t xml:space="preserve">Infrastructure </w:t>
            </w:r>
            <w:r>
              <w:rPr>
                <w:rFonts w:ascii="Times New Roman" w:cs="Times New Roman" w:eastAsia="Times New Roman" w:hAnsi="Times New Roman"/>
                <w:sz w:val="20"/>
                <w:szCs w:val="20"/>
                <w:b w:val="1"/>
                <w:bCs w:val="1"/>
                <w:color w:val="auto"/>
                <w:vertAlign w:val="superscript"/>
              </w:rPr>
              <w:t>(1)</w:t>
            </w:r>
          </w:p>
        </w:tc>
        <w:tc>
          <w:tcPr>
            <w:tcW w:w="3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390"/>
              <w:spacing w:after="0" w:line="176" w:lineRule="exact"/>
              <w:rPr>
                <w:sz w:val="20"/>
                <w:szCs w:val="20"/>
                <w:color w:val="auto"/>
              </w:rPr>
            </w:pPr>
            <w:r>
              <w:rPr>
                <w:rFonts w:ascii="Times New Roman" w:cs="Times New Roman" w:eastAsia="Times New Roman" w:hAnsi="Times New Roman"/>
                <w:sz w:val="18"/>
                <w:szCs w:val="18"/>
                <w:b w:val="1"/>
                <w:bCs w:val="1"/>
                <w:color w:val="auto"/>
              </w:rPr>
              <w:t>Other</w:t>
            </w:r>
            <w:r>
              <w:rPr>
                <w:rFonts w:ascii="MS PGothic" w:cs="MS PGothic" w:eastAsia="MS PGothic" w:hAnsi="MS PGothic"/>
                <w:sz w:val="18"/>
                <w:szCs w:val="18"/>
                <w:color w:val="auto"/>
              </w:rPr>
              <w:t>⁽</w:t>
            </w:r>
            <w:r>
              <w:rPr>
                <w:rFonts w:ascii="Times New Roman" w:cs="Times New Roman" w:eastAsia="Times New Roman" w:hAnsi="Times New Roman"/>
                <w:sz w:val="18"/>
                <w:szCs w:val="18"/>
                <w:b w:val="1"/>
                <w:bCs w:val="1"/>
                <w:color w:val="auto"/>
              </w:rPr>
              <w:t>¹</w:t>
            </w:r>
            <w:r>
              <w:rPr>
                <w:rFonts w:ascii="MS PGothic" w:cs="MS PGothic" w:eastAsia="MS PGothic" w:hAnsi="MS PGothic"/>
                <w:sz w:val="18"/>
                <w:szCs w:val="18"/>
                <w:color w:val="auto"/>
              </w:rPr>
              <w:t>⁾</w:t>
            </w:r>
          </w:p>
        </w:tc>
        <w:tc>
          <w:tcPr>
            <w:tcW w:w="22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57"/>
        </w:trPr>
        <w:tc>
          <w:tcPr>
            <w:tcW w:w="3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Segment Operating Margin</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8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b w:val="1"/>
                <w:bCs w:val="1"/>
                <w:color w:val="auto"/>
              </w:rPr>
              <w:t>214,276</w:t>
            </w:r>
          </w:p>
        </w:tc>
        <w:tc>
          <w:tcPr>
            <w:tcW w:w="3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34,075</w:t>
            </w:r>
          </w:p>
        </w:tc>
        <w:tc>
          <w:tcPr>
            <w:tcW w:w="3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248,351</w:t>
            </w:r>
          </w:p>
        </w:tc>
        <w:tc>
          <w:tcPr>
            <w:tcW w:w="3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(90,000)</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158,351</w:t>
            </w:r>
          </w:p>
        </w:tc>
        <w:tc>
          <w:tcPr>
            <w:tcW w:w="0" w:type="dxa"/>
            <w:vAlign w:val="bottom"/>
          </w:tcPr>
          <w:p>
            <w:pPr>
              <w:spacing w:after="0"/>
              <w:rPr>
                <w:sz w:val="1"/>
                <w:szCs w:val="1"/>
                <w:color w:val="auto"/>
              </w:rPr>
            </w:pPr>
          </w:p>
        </w:tc>
      </w:tr>
      <w:tr>
        <w:trPr>
          <w:trHeight w:val="250"/>
        </w:trPr>
        <w:tc>
          <w:tcPr>
            <w:tcW w:w="3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w:t>
            </w:r>
          </w:p>
        </w:tc>
        <w:tc>
          <w:tcPr>
            <w:tcW w:w="84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3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840" w:type="dxa"/>
            <w:vAlign w:val="bottom"/>
            <w:shd w:val="clear" w:color="auto" w:fill="CCEEFF"/>
          </w:tcPr>
          <w:p>
            <w:pPr>
              <w:spacing w:after="0"/>
              <w:rPr>
                <w:sz w:val="22"/>
                <w:szCs w:val="22"/>
                <w:color w:val="auto"/>
              </w:rPr>
            </w:pPr>
          </w:p>
        </w:tc>
        <w:tc>
          <w:tcPr>
            <w:tcW w:w="148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70,578</w:t>
            </w:r>
          </w:p>
        </w:tc>
        <w:tc>
          <w:tcPr>
            <w:tcW w:w="0" w:type="dxa"/>
            <w:vAlign w:val="bottom"/>
          </w:tcPr>
          <w:p>
            <w:pPr>
              <w:spacing w:after="0"/>
              <w:rPr>
                <w:sz w:val="1"/>
                <w:szCs w:val="1"/>
                <w:color w:val="auto"/>
              </w:rPr>
            </w:pPr>
          </w:p>
        </w:tc>
      </w:tr>
      <w:tr>
        <w:trPr>
          <w:trHeight w:val="256"/>
        </w:trPr>
        <w:tc>
          <w:tcPr>
            <w:tcW w:w="3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Transaction and integration costs</w:t>
            </w:r>
          </w:p>
        </w:tc>
        <w:tc>
          <w:tcPr>
            <w:tcW w:w="84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1,760</w:t>
            </w:r>
          </w:p>
        </w:tc>
        <w:tc>
          <w:tcPr>
            <w:tcW w:w="0" w:type="dxa"/>
            <w:vAlign w:val="bottom"/>
          </w:tcPr>
          <w:p>
            <w:pPr>
              <w:spacing w:after="0"/>
              <w:rPr>
                <w:sz w:val="1"/>
                <w:szCs w:val="1"/>
                <w:color w:val="auto"/>
              </w:rPr>
            </w:pPr>
          </w:p>
        </w:tc>
      </w:tr>
      <w:tr>
        <w:trPr>
          <w:trHeight w:val="257"/>
        </w:trPr>
        <w:tc>
          <w:tcPr>
            <w:tcW w:w="3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840" w:type="dxa"/>
            <w:vAlign w:val="bottom"/>
            <w:shd w:val="clear" w:color="auto" w:fill="CCEEFF"/>
          </w:tcPr>
          <w:p>
            <w:pPr>
              <w:spacing w:after="0"/>
              <w:rPr>
                <w:sz w:val="22"/>
                <w:szCs w:val="22"/>
                <w:color w:val="auto"/>
              </w:rPr>
            </w:pPr>
          </w:p>
        </w:tc>
        <w:tc>
          <w:tcPr>
            <w:tcW w:w="148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37,413</w:t>
            </w:r>
          </w:p>
        </w:tc>
        <w:tc>
          <w:tcPr>
            <w:tcW w:w="0" w:type="dxa"/>
            <w:vAlign w:val="bottom"/>
          </w:tcPr>
          <w:p>
            <w:pPr>
              <w:spacing w:after="0"/>
              <w:rPr>
                <w:sz w:val="1"/>
                <w:szCs w:val="1"/>
                <w:color w:val="auto"/>
              </w:rPr>
            </w:pPr>
          </w:p>
        </w:tc>
      </w:tr>
      <w:tr>
        <w:trPr>
          <w:trHeight w:val="257"/>
        </w:trPr>
        <w:tc>
          <w:tcPr>
            <w:tcW w:w="3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Asset impairment expense</w:t>
            </w:r>
          </w:p>
        </w:tc>
        <w:tc>
          <w:tcPr>
            <w:tcW w:w="84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4,272</w:t>
            </w:r>
          </w:p>
        </w:tc>
        <w:tc>
          <w:tcPr>
            <w:tcW w:w="0" w:type="dxa"/>
            <w:vAlign w:val="bottom"/>
          </w:tcPr>
          <w:p>
            <w:pPr>
              <w:spacing w:after="0"/>
              <w:rPr>
                <w:sz w:val="1"/>
                <w:szCs w:val="1"/>
                <w:color w:val="auto"/>
              </w:rPr>
            </w:pPr>
          </w:p>
        </w:tc>
      </w:tr>
      <w:tr>
        <w:trPr>
          <w:trHeight w:val="257"/>
        </w:trPr>
        <w:tc>
          <w:tcPr>
            <w:tcW w:w="3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840" w:type="dxa"/>
            <w:vAlign w:val="bottom"/>
            <w:shd w:val="clear" w:color="auto" w:fill="CCEEFF"/>
          </w:tcPr>
          <w:p>
            <w:pPr>
              <w:spacing w:after="0"/>
              <w:rPr>
                <w:sz w:val="22"/>
                <w:szCs w:val="22"/>
                <w:color w:val="auto"/>
              </w:rPr>
            </w:pPr>
          </w:p>
        </w:tc>
        <w:tc>
          <w:tcPr>
            <w:tcW w:w="148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80,399</w:t>
            </w:r>
          </w:p>
        </w:tc>
        <w:tc>
          <w:tcPr>
            <w:tcW w:w="0" w:type="dxa"/>
            <w:vAlign w:val="bottom"/>
          </w:tcPr>
          <w:p>
            <w:pPr>
              <w:spacing w:after="0"/>
              <w:rPr>
                <w:sz w:val="1"/>
                <w:szCs w:val="1"/>
                <w:color w:val="auto"/>
              </w:rPr>
            </w:pPr>
          </w:p>
        </w:tc>
      </w:tr>
      <w:tr>
        <w:trPr>
          <w:trHeight w:val="256"/>
        </w:trPr>
        <w:tc>
          <w:tcPr>
            <w:tcW w:w="3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expense, net</w:t>
            </w:r>
          </w:p>
        </w:tc>
        <w:tc>
          <w:tcPr>
            <w:tcW w:w="84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47,354</w:t>
            </w:r>
          </w:p>
        </w:tc>
        <w:tc>
          <w:tcPr>
            <w:tcW w:w="0" w:type="dxa"/>
            <w:vAlign w:val="bottom"/>
          </w:tcPr>
          <w:p>
            <w:pPr>
              <w:spacing w:after="0"/>
              <w:rPr>
                <w:sz w:val="1"/>
                <w:szCs w:val="1"/>
                <w:color w:val="auto"/>
              </w:rPr>
            </w:pPr>
          </w:p>
        </w:tc>
      </w:tr>
      <w:tr>
        <w:trPr>
          <w:trHeight w:val="250"/>
        </w:trPr>
        <w:tc>
          <w:tcPr>
            <w:tcW w:w="32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Tax provision</w:t>
            </w:r>
          </w:p>
        </w:tc>
        <w:tc>
          <w:tcPr>
            <w:tcW w:w="840" w:type="dxa"/>
            <w:vAlign w:val="bottom"/>
            <w:tcBorders>
              <w:bottom w:val="single" w:sz="8" w:color="auto"/>
            </w:tcBorders>
            <w:shd w:val="clear" w:color="auto" w:fill="CCEEFF"/>
          </w:tcPr>
          <w:p>
            <w:pPr>
              <w:spacing w:after="0"/>
              <w:rPr>
                <w:sz w:val="21"/>
                <w:szCs w:val="21"/>
                <w:color w:val="auto"/>
              </w:rPr>
            </w:pPr>
          </w:p>
        </w:tc>
        <w:tc>
          <w:tcPr>
            <w:tcW w:w="1480" w:type="dxa"/>
            <w:vAlign w:val="bottom"/>
            <w:tcBorders>
              <w:bottom w:val="single" w:sz="8" w:color="auto"/>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3,435</w:t>
            </w:r>
          </w:p>
        </w:tc>
        <w:tc>
          <w:tcPr>
            <w:tcW w:w="0" w:type="dxa"/>
            <w:vAlign w:val="bottom"/>
          </w:tcPr>
          <w:p>
            <w:pPr>
              <w:spacing w:after="0"/>
              <w:rPr>
                <w:sz w:val="1"/>
                <w:szCs w:val="1"/>
                <w:color w:val="auto"/>
              </w:rPr>
            </w:pPr>
          </w:p>
        </w:tc>
      </w:tr>
      <w:tr>
        <w:trPr>
          <w:trHeight w:val="243"/>
        </w:trPr>
        <w:tc>
          <w:tcPr>
            <w:tcW w:w="32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84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(86,860)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5765165</wp:posOffset>
            </wp:positionH>
            <wp:positionV relativeFrom="paragraph">
              <wp:posOffset>-1800225</wp:posOffset>
            </wp:positionV>
            <wp:extent cx="106045" cy="8699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06045" cy="86995"/>
                    </a:xfrm>
                    <a:prstGeom prst="rect">
                      <a:avLst/>
                    </a:prstGeom>
                    <a:noFill/>
                  </pic:spPr>
                </pic:pic>
              </a:graphicData>
            </a:graphic>
          </wp:anchor>
        </w:drawing>
      </w:r>
    </w:p>
    <w:p>
      <w:pPr>
        <w:spacing w:after="0" w:line="313" w:lineRule="exact"/>
        <w:rPr>
          <w:sz w:val="20"/>
          <w:szCs w:val="20"/>
          <w:color w:val="auto"/>
        </w:rPr>
      </w:pPr>
    </w:p>
    <w:p>
      <w:pPr>
        <w:ind w:left="340" w:right="400" w:hanging="332"/>
        <w:spacing w:after="0" w:line="231" w:lineRule="auto"/>
        <w:tabs>
          <w:tab w:leader="none" w:pos="328" w:val="left"/>
        </w:tabs>
        <w:numPr>
          <w:ilvl w:val="0"/>
          <w:numId w:val="7"/>
        </w:numPr>
        <w:rPr>
          <w:rFonts w:ascii="Times New Roman" w:cs="Times New Roman" w:eastAsia="Times New Roman" w:hAnsi="Times New Roman"/>
          <w:sz w:val="23"/>
          <w:szCs w:val="23"/>
          <w:b w:val="1"/>
          <w:bCs w:val="1"/>
          <w:color w:val="auto"/>
          <w:vertAlign w:val="superscript"/>
        </w:rPr>
      </w:pPr>
      <w:r>
        <w:rPr>
          <w:rFonts w:ascii="Times New Roman" w:cs="Times New Roman" w:eastAsia="Times New Roman" w:hAnsi="Times New Roman"/>
          <w:sz w:val="18"/>
          <w:szCs w:val="18"/>
          <w:color w:val="auto"/>
        </w:rPr>
        <w:t>Terminals and Infrastructure included deferred earnings from contracted sales that were contracted in the current period, and prepayment for these sales was received. Revenue was recognized in the Condensed Consolidated Statements of Operations and Comprehensive (Loss) Income when delivery under these forward sales transactions was completed in the third and fourth quarters of 2024. Consolidation and Other adjusts for the inclusion of deferred earnings from contracted sales in Total Segment Operating Margin of $90,000.</w:t>
      </w:r>
    </w:p>
    <w:p>
      <w:pPr>
        <w:sectPr>
          <w:pgSz w:w="11900" w:h="16838" w:orient="portrait"/>
          <w:cols w:equalWidth="0" w:num="1">
            <w:col w:w="11240"/>
          </w:cols>
          <w:pgMar w:left="320" w:top="981" w:right="339" w:bottom="1440" w:gutter="0" w:footer="0" w:header="0"/>
        </w:sectPr>
      </w:pPr>
    </w:p>
    <w:bookmarkStart w:id="11" w:name="page12"/>
    <w:bookmarkEnd w:id="11"/>
    <w:p>
      <w:pPr>
        <w:spacing w:after="0" w:line="231" w:lineRule="auto"/>
        <w:tabs>
          <w:tab w:leader="none" w:pos="328" w:val="left"/>
        </w:tabs>
        <w:rPr>
          <w:sz w:val="20"/>
          <w:szCs w:val="20"/>
          <w:color w:val="auto"/>
        </w:rPr>
      </w:pPr>
    </w:p>
    <w:p>
      <w:pPr>
        <w:sectPr>
          <w:pgSz w:w="11900" w:h="16838" w:orient="portrait"/>
          <w:cols w:equalWidth="1" w:num="1" w:space="0"/>
          <w:pgMar w:left="1440" w:top="1440" w:right="1440" w:bottom="875"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 of June 30, 2025 and December 31, 2024</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(Unaudited, in thousands of U.S. dollars, except share and per share amounts)</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6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4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160" w:type="dxa"/>
            <w:vAlign w:val="bottom"/>
          </w:tcPr>
          <w:p>
            <w:pPr>
              <w:spacing w:after="0"/>
              <w:rPr>
                <w:sz w:val="16"/>
                <w:szCs w:val="16"/>
                <w:color w:val="auto"/>
              </w:rPr>
            </w:pPr>
          </w:p>
        </w:tc>
        <w:tc>
          <w:tcPr>
            <w:tcW w:w="1500" w:type="dxa"/>
            <w:vAlign w:val="bottom"/>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0" w:type="dxa"/>
            <w:vAlign w:val="bottom"/>
          </w:tcPr>
          <w:p>
            <w:pPr>
              <w:spacing w:after="0"/>
              <w:rPr>
                <w:sz w:val="1"/>
                <w:szCs w:val="1"/>
                <w:color w:val="auto"/>
              </w:rPr>
            </w:pPr>
          </w:p>
        </w:tc>
      </w:tr>
      <w:tr>
        <w:trPr>
          <w:trHeight w:val="23"/>
        </w:trPr>
        <w:tc>
          <w:tcPr>
            <w:tcW w:w="76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3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9"/>
        </w:trPr>
        <w:tc>
          <w:tcPr>
            <w:tcW w:w="7640" w:type="dxa"/>
            <w:vAlign w:val="bottom"/>
            <w:vMerge w:val="continue"/>
          </w:tcPr>
          <w:p>
            <w:pPr>
              <w:spacing w:after="0"/>
              <w:rPr>
                <w:sz w:val="13"/>
                <w:szCs w:val="13"/>
                <w:color w:val="auto"/>
              </w:rPr>
            </w:pPr>
          </w:p>
        </w:tc>
        <w:tc>
          <w:tcPr>
            <w:tcW w:w="30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764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Current assets</w:t>
            </w:r>
          </w:p>
        </w:tc>
        <w:tc>
          <w:tcPr>
            <w:tcW w:w="3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76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7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30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551,109</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492,881</w:t>
            </w:r>
          </w:p>
        </w:tc>
        <w:tc>
          <w:tcPr>
            <w:tcW w:w="0" w:type="dxa"/>
            <w:vAlign w:val="bottom"/>
          </w:tcPr>
          <w:p>
            <w:pPr>
              <w:spacing w:after="0"/>
              <w:rPr>
                <w:sz w:val="1"/>
                <w:szCs w:val="1"/>
                <w:color w:val="auto"/>
              </w:rPr>
            </w:pPr>
          </w:p>
        </w:tc>
      </w:tr>
      <w:tr>
        <w:trPr>
          <w:trHeight w:val="195"/>
        </w:trPr>
        <w:tc>
          <w:tcPr>
            <w:tcW w:w="76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Restricted cash</w:t>
            </w:r>
          </w:p>
        </w:tc>
        <w:tc>
          <w:tcPr>
            <w:tcW w:w="30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270,298</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472,696</w:t>
            </w:r>
          </w:p>
        </w:tc>
        <w:tc>
          <w:tcPr>
            <w:tcW w:w="0" w:type="dxa"/>
            <w:vAlign w:val="bottom"/>
          </w:tcPr>
          <w:p>
            <w:pPr>
              <w:spacing w:after="0"/>
              <w:rPr>
                <w:sz w:val="1"/>
                <w:szCs w:val="1"/>
                <w:color w:val="auto"/>
              </w:rPr>
            </w:pPr>
          </w:p>
        </w:tc>
      </w:tr>
      <w:tr>
        <w:trPr>
          <w:trHeight w:val="210"/>
        </w:trPr>
        <w:tc>
          <w:tcPr>
            <w:tcW w:w="7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Receivables, net of allowances of $13,571 and $13,629, respectively</w:t>
            </w:r>
          </w:p>
        </w:tc>
        <w:tc>
          <w:tcPr>
            <w:tcW w:w="30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269,405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335,813</w:t>
            </w:r>
          </w:p>
        </w:tc>
        <w:tc>
          <w:tcPr>
            <w:tcW w:w="0" w:type="dxa"/>
            <w:vAlign w:val="bottom"/>
          </w:tcPr>
          <w:p>
            <w:pPr>
              <w:spacing w:after="0"/>
              <w:rPr>
                <w:sz w:val="1"/>
                <w:szCs w:val="1"/>
                <w:color w:val="auto"/>
              </w:rPr>
            </w:pPr>
          </w:p>
        </w:tc>
      </w:tr>
      <w:tr>
        <w:trPr>
          <w:trHeight w:val="195"/>
        </w:trPr>
        <w:tc>
          <w:tcPr>
            <w:tcW w:w="76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Inventory</w:t>
            </w:r>
          </w:p>
        </w:tc>
        <w:tc>
          <w:tcPr>
            <w:tcW w:w="30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74,000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103,224</w:t>
            </w:r>
          </w:p>
        </w:tc>
        <w:tc>
          <w:tcPr>
            <w:tcW w:w="0" w:type="dxa"/>
            <w:vAlign w:val="bottom"/>
          </w:tcPr>
          <w:p>
            <w:pPr>
              <w:spacing w:after="0"/>
              <w:rPr>
                <w:sz w:val="1"/>
                <w:szCs w:val="1"/>
                <w:color w:val="auto"/>
              </w:rPr>
            </w:pPr>
          </w:p>
        </w:tc>
      </w:tr>
      <w:tr>
        <w:trPr>
          <w:trHeight w:val="210"/>
        </w:trPr>
        <w:tc>
          <w:tcPr>
            <w:tcW w:w="7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Prepaid expenses and other current assets, net</w:t>
            </w:r>
          </w:p>
        </w:tc>
        <w:tc>
          <w:tcPr>
            <w:tcW w:w="300" w:type="dxa"/>
            <w:vAlign w:val="bottom"/>
            <w:tcBorders>
              <w:bottom w:val="single" w:sz="8" w:color="auto"/>
            </w:tcBorders>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317,687</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205,496</w:t>
            </w:r>
          </w:p>
        </w:tc>
        <w:tc>
          <w:tcPr>
            <w:tcW w:w="0" w:type="dxa"/>
            <w:vAlign w:val="bottom"/>
          </w:tcPr>
          <w:p>
            <w:pPr>
              <w:spacing w:after="0"/>
              <w:rPr>
                <w:sz w:val="1"/>
                <w:szCs w:val="1"/>
                <w:color w:val="auto"/>
              </w:rPr>
            </w:pPr>
          </w:p>
        </w:tc>
      </w:tr>
      <w:tr>
        <w:trPr>
          <w:trHeight w:val="189"/>
        </w:trPr>
        <w:tc>
          <w:tcPr>
            <w:tcW w:w="764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Total current assets</w:t>
            </w:r>
          </w:p>
        </w:tc>
        <w:tc>
          <w:tcPr>
            <w:tcW w:w="30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1,482,499</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1,610,110</w:t>
            </w:r>
          </w:p>
        </w:tc>
        <w:tc>
          <w:tcPr>
            <w:tcW w:w="0" w:type="dxa"/>
            <w:vAlign w:val="bottom"/>
          </w:tcPr>
          <w:p>
            <w:pPr>
              <w:spacing w:after="0"/>
              <w:rPr>
                <w:sz w:val="1"/>
                <w:szCs w:val="1"/>
                <w:color w:val="auto"/>
              </w:rPr>
            </w:pPr>
          </w:p>
        </w:tc>
      </w:tr>
      <w:tr>
        <w:trPr>
          <w:trHeight w:val="115"/>
        </w:trPr>
        <w:tc>
          <w:tcPr>
            <w:tcW w:w="764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5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95"/>
        </w:trPr>
        <w:tc>
          <w:tcPr>
            <w:tcW w:w="76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Construction in progress</w:t>
            </w:r>
          </w:p>
        </w:tc>
        <w:tc>
          <w:tcPr>
            <w:tcW w:w="30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4,072,291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3,574,389</w:t>
            </w:r>
          </w:p>
        </w:tc>
        <w:tc>
          <w:tcPr>
            <w:tcW w:w="0" w:type="dxa"/>
            <w:vAlign w:val="bottom"/>
          </w:tcPr>
          <w:p>
            <w:pPr>
              <w:spacing w:after="0"/>
              <w:rPr>
                <w:sz w:val="1"/>
                <w:szCs w:val="1"/>
                <w:color w:val="auto"/>
              </w:rPr>
            </w:pPr>
          </w:p>
        </w:tc>
      </w:tr>
      <w:tr>
        <w:trPr>
          <w:trHeight w:val="210"/>
        </w:trPr>
        <w:tc>
          <w:tcPr>
            <w:tcW w:w="7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Property, plant and equipment, net</w:t>
            </w:r>
          </w:p>
        </w:tc>
        <w:tc>
          <w:tcPr>
            <w:tcW w:w="30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5,539,901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5,842,807</w:t>
            </w:r>
          </w:p>
        </w:tc>
        <w:tc>
          <w:tcPr>
            <w:tcW w:w="0" w:type="dxa"/>
            <w:vAlign w:val="bottom"/>
          </w:tcPr>
          <w:p>
            <w:pPr>
              <w:spacing w:after="0"/>
              <w:rPr>
                <w:sz w:val="1"/>
                <w:szCs w:val="1"/>
                <w:color w:val="auto"/>
              </w:rPr>
            </w:pPr>
          </w:p>
        </w:tc>
      </w:tr>
      <w:tr>
        <w:trPr>
          <w:trHeight w:val="195"/>
        </w:trPr>
        <w:tc>
          <w:tcPr>
            <w:tcW w:w="76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Right-of-use assets</w:t>
            </w:r>
          </w:p>
        </w:tc>
        <w:tc>
          <w:tcPr>
            <w:tcW w:w="30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437,548</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618,733</w:t>
            </w:r>
          </w:p>
        </w:tc>
        <w:tc>
          <w:tcPr>
            <w:tcW w:w="0" w:type="dxa"/>
            <w:vAlign w:val="bottom"/>
          </w:tcPr>
          <w:p>
            <w:pPr>
              <w:spacing w:after="0"/>
              <w:rPr>
                <w:sz w:val="1"/>
                <w:szCs w:val="1"/>
                <w:color w:val="auto"/>
              </w:rPr>
            </w:pPr>
          </w:p>
        </w:tc>
      </w:tr>
      <w:tr>
        <w:trPr>
          <w:trHeight w:val="210"/>
        </w:trPr>
        <w:tc>
          <w:tcPr>
            <w:tcW w:w="7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Intangible assets, net</w:t>
            </w:r>
          </w:p>
        </w:tc>
        <w:tc>
          <w:tcPr>
            <w:tcW w:w="30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194,752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179,510</w:t>
            </w:r>
          </w:p>
        </w:tc>
        <w:tc>
          <w:tcPr>
            <w:tcW w:w="0" w:type="dxa"/>
            <w:vAlign w:val="bottom"/>
          </w:tcPr>
          <w:p>
            <w:pPr>
              <w:spacing w:after="0"/>
              <w:rPr>
                <w:sz w:val="1"/>
                <w:szCs w:val="1"/>
                <w:color w:val="auto"/>
              </w:rPr>
            </w:pPr>
          </w:p>
        </w:tc>
      </w:tr>
      <w:tr>
        <w:trPr>
          <w:trHeight w:val="195"/>
        </w:trPr>
        <w:tc>
          <w:tcPr>
            <w:tcW w:w="76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Goodwill</w:t>
            </w:r>
          </w:p>
        </w:tc>
        <w:tc>
          <w:tcPr>
            <w:tcW w:w="30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15,938</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766,350</w:t>
            </w:r>
          </w:p>
        </w:tc>
        <w:tc>
          <w:tcPr>
            <w:tcW w:w="0" w:type="dxa"/>
            <w:vAlign w:val="bottom"/>
          </w:tcPr>
          <w:p>
            <w:pPr>
              <w:spacing w:after="0"/>
              <w:rPr>
                <w:sz w:val="1"/>
                <w:szCs w:val="1"/>
                <w:color w:val="auto"/>
              </w:rPr>
            </w:pPr>
          </w:p>
        </w:tc>
      </w:tr>
      <w:tr>
        <w:trPr>
          <w:trHeight w:val="210"/>
        </w:trPr>
        <w:tc>
          <w:tcPr>
            <w:tcW w:w="7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Deferred tax assets, net</w:t>
            </w:r>
          </w:p>
        </w:tc>
        <w:tc>
          <w:tcPr>
            <w:tcW w:w="30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2,698</w:t>
            </w:r>
          </w:p>
        </w:tc>
        <w:tc>
          <w:tcPr>
            <w:tcW w:w="0" w:type="dxa"/>
            <w:vAlign w:val="bottom"/>
          </w:tcPr>
          <w:p>
            <w:pPr>
              <w:spacing w:after="0"/>
              <w:rPr>
                <w:sz w:val="1"/>
                <w:szCs w:val="1"/>
                <w:color w:val="auto"/>
              </w:rPr>
            </w:pPr>
          </w:p>
        </w:tc>
      </w:tr>
      <w:tr>
        <w:trPr>
          <w:trHeight w:val="196"/>
        </w:trPr>
        <w:tc>
          <w:tcPr>
            <w:tcW w:w="76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Other non-current assets, net</w:t>
            </w:r>
          </w:p>
        </w:tc>
        <w:tc>
          <w:tcPr>
            <w:tcW w:w="30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214,246</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272,899</w:t>
            </w:r>
          </w:p>
        </w:tc>
        <w:tc>
          <w:tcPr>
            <w:tcW w:w="0" w:type="dxa"/>
            <w:vAlign w:val="bottom"/>
          </w:tcPr>
          <w:p>
            <w:pPr>
              <w:spacing w:after="0"/>
              <w:rPr>
                <w:sz w:val="1"/>
                <w:szCs w:val="1"/>
                <w:color w:val="auto"/>
              </w:rPr>
            </w:pPr>
          </w:p>
        </w:tc>
      </w:tr>
      <w:tr>
        <w:trPr>
          <w:trHeight w:val="228"/>
        </w:trPr>
        <w:tc>
          <w:tcPr>
            <w:tcW w:w="7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assets</w:t>
            </w: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11,957,330</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12,867,496</w:t>
            </w:r>
          </w:p>
        </w:tc>
        <w:tc>
          <w:tcPr>
            <w:tcW w:w="0" w:type="dxa"/>
            <w:vAlign w:val="bottom"/>
          </w:tcPr>
          <w:p>
            <w:pPr>
              <w:spacing w:after="0"/>
              <w:rPr>
                <w:sz w:val="1"/>
                <w:szCs w:val="1"/>
                <w:color w:val="auto"/>
              </w:rPr>
            </w:pPr>
          </w:p>
        </w:tc>
      </w:tr>
      <w:tr>
        <w:trPr>
          <w:trHeight w:val="20"/>
        </w:trPr>
        <w:tc>
          <w:tcPr>
            <w:tcW w:w="76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
        </w:trPr>
        <w:tc>
          <w:tcPr>
            <w:tcW w:w="7640" w:type="dxa"/>
            <w:vAlign w:val="bottom"/>
          </w:tcPr>
          <w:p>
            <w:pPr>
              <w:spacing w:after="0"/>
              <w:rPr>
                <w:sz w:val="4"/>
                <w:szCs w:val="4"/>
                <w:color w:val="auto"/>
              </w:rPr>
            </w:pPr>
          </w:p>
        </w:tc>
        <w:tc>
          <w:tcPr>
            <w:tcW w:w="300" w:type="dxa"/>
            <w:vAlign w:val="bottom"/>
          </w:tcPr>
          <w:p>
            <w:pPr>
              <w:spacing w:after="0"/>
              <w:rPr>
                <w:sz w:val="4"/>
                <w:szCs w:val="4"/>
                <w:color w:val="auto"/>
              </w:rPr>
            </w:pPr>
          </w:p>
        </w:tc>
        <w:tc>
          <w:tcPr>
            <w:tcW w:w="15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5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30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64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Current liabilities</w:t>
            </w:r>
          </w:p>
        </w:tc>
        <w:tc>
          <w:tcPr>
            <w:tcW w:w="3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7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Current portion of long-term debt and short-term borrowings</w:t>
            </w:r>
          </w:p>
        </w:tc>
        <w:tc>
          <w:tcPr>
            <w:tcW w:w="30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1,181,559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539,132</w:t>
            </w:r>
          </w:p>
        </w:tc>
        <w:tc>
          <w:tcPr>
            <w:tcW w:w="0" w:type="dxa"/>
            <w:vAlign w:val="bottom"/>
          </w:tcPr>
          <w:p>
            <w:pPr>
              <w:spacing w:after="0"/>
              <w:rPr>
                <w:sz w:val="1"/>
                <w:szCs w:val="1"/>
                <w:color w:val="auto"/>
              </w:rPr>
            </w:pPr>
          </w:p>
        </w:tc>
      </w:tr>
      <w:tr>
        <w:trPr>
          <w:trHeight w:val="195"/>
        </w:trPr>
        <w:tc>
          <w:tcPr>
            <w:tcW w:w="76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Accounts payable</w:t>
            </w:r>
          </w:p>
        </w:tc>
        <w:tc>
          <w:tcPr>
            <w:tcW w:w="30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578,835</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473,736</w:t>
            </w:r>
          </w:p>
        </w:tc>
        <w:tc>
          <w:tcPr>
            <w:tcW w:w="0" w:type="dxa"/>
            <w:vAlign w:val="bottom"/>
          </w:tcPr>
          <w:p>
            <w:pPr>
              <w:spacing w:after="0"/>
              <w:rPr>
                <w:sz w:val="1"/>
                <w:szCs w:val="1"/>
                <w:color w:val="auto"/>
              </w:rPr>
            </w:pPr>
          </w:p>
        </w:tc>
      </w:tr>
      <w:tr>
        <w:trPr>
          <w:trHeight w:val="210"/>
        </w:trPr>
        <w:tc>
          <w:tcPr>
            <w:tcW w:w="7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Accrued liabilities</w:t>
            </w:r>
          </w:p>
        </w:tc>
        <w:tc>
          <w:tcPr>
            <w:tcW w:w="30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253,043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391,359</w:t>
            </w:r>
          </w:p>
        </w:tc>
        <w:tc>
          <w:tcPr>
            <w:tcW w:w="0" w:type="dxa"/>
            <w:vAlign w:val="bottom"/>
          </w:tcPr>
          <w:p>
            <w:pPr>
              <w:spacing w:after="0"/>
              <w:rPr>
                <w:sz w:val="1"/>
                <w:szCs w:val="1"/>
                <w:color w:val="auto"/>
              </w:rPr>
            </w:pPr>
          </w:p>
        </w:tc>
      </w:tr>
      <w:tr>
        <w:trPr>
          <w:trHeight w:val="195"/>
        </w:trPr>
        <w:tc>
          <w:tcPr>
            <w:tcW w:w="76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Current lease liabilities</w:t>
            </w:r>
          </w:p>
        </w:tc>
        <w:tc>
          <w:tcPr>
            <w:tcW w:w="30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79,060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128,362</w:t>
            </w:r>
          </w:p>
        </w:tc>
        <w:tc>
          <w:tcPr>
            <w:tcW w:w="0" w:type="dxa"/>
            <w:vAlign w:val="bottom"/>
          </w:tcPr>
          <w:p>
            <w:pPr>
              <w:spacing w:after="0"/>
              <w:rPr>
                <w:sz w:val="1"/>
                <w:szCs w:val="1"/>
                <w:color w:val="auto"/>
              </w:rPr>
            </w:pPr>
          </w:p>
        </w:tc>
      </w:tr>
      <w:tr>
        <w:trPr>
          <w:trHeight w:val="210"/>
        </w:trPr>
        <w:tc>
          <w:tcPr>
            <w:tcW w:w="7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Other current liabilities</w:t>
            </w:r>
          </w:p>
        </w:tc>
        <w:tc>
          <w:tcPr>
            <w:tcW w:w="300" w:type="dxa"/>
            <w:vAlign w:val="bottom"/>
            <w:tcBorders>
              <w:bottom w:val="single" w:sz="8" w:color="auto"/>
            </w:tcBorders>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108,807</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174,829</w:t>
            </w:r>
          </w:p>
        </w:tc>
        <w:tc>
          <w:tcPr>
            <w:tcW w:w="0" w:type="dxa"/>
            <w:vAlign w:val="bottom"/>
          </w:tcPr>
          <w:p>
            <w:pPr>
              <w:spacing w:after="0"/>
              <w:rPr>
                <w:sz w:val="1"/>
                <w:szCs w:val="1"/>
                <w:color w:val="auto"/>
              </w:rPr>
            </w:pPr>
          </w:p>
        </w:tc>
      </w:tr>
      <w:tr>
        <w:trPr>
          <w:trHeight w:val="189"/>
        </w:trPr>
        <w:tc>
          <w:tcPr>
            <w:tcW w:w="764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Total current liabilities</w:t>
            </w:r>
          </w:p>
        </w:tc>
        <w:tc>
          <w:tcPr>
            <w:tcW w:w="30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2,201,304</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1,707,418</w:t>
            </w:r>
          </w:p>
        </w:tc>
        <w:tc>
          <w:tcPr>
            <w:tcW w:w="0" w:type="dxa"/>
            <w:vAlign w:val="bottom"/>
          </w:tcPr>
          <w:p>
            <w:pPr>
              <w:spacing w:after="0"/>
              <w:rPr>
                <w:sz w:val="1"/>
                <w:szCs w:val="1"/>
                <w:color w:val="auto"/>
              </w:rPr>
            </w:pPr>
          </w:p>
        </w:tc>
      </w:tr>
      <w:tr>
        <w:trPr>
          <w:trHeight w:val="115"/>
        </w:trPr>
        <w:tc>
          <w:tcPr>
            <w:tcW w:w="764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5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95"/>
        </w:trPr>
        <w:tc>
          <w:tcPr>
            <w:tcW w:w="76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Long-term debt</w:t>
            </w:r>
          </w:p>
        </w:tc>
        <w:tc>
          <w:tcPr>
            <w:tcW w:w="30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7,805,260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8,355,703</w:t>
            </w:r>
          </w:p>
        </w:tc>
        <w:tc>
          <w:tcPr>
            <w:tcW w:w="0" w:type="dxa"/>
            <w:vAlign w:val="bottom"/>
          </w:tcPr>
          <w:p>
            <w:pPr>
              <w:spacing w:after="0"/>
              <w:rPr>
                <w:sz w:val="1"/>
                <w:szCs w:val="1"/>
                <w:color w:val="auto"/>
              </w:rPr>
            </w:pPr>
          </w:p>
        </w:tc>
      </w:tr>
      <w:tr>
        <w:trPr>
          <w:trHeight w:val="210"/>
        </w:trPr>
        <w:tc>
          <w:tcPr>
            <w:tcW w:w="7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Non-current lease liabilities</w:t>
            </w:r>
          </w:p>
        </w:tc>
        <w:tc>
          <w:tcPr>
            <w:tcW w:w="30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341,509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475,161</w:t>
            </w:r>
          </w:p>
        </w:tc>
        <w:tc>
          <w:tcPr>
            <w:tcW w:w="0" w:type="dxa"/>
            <w:vAlign w:val="bottom"/>
          </w:tcPr>
          <w:p>
            <w:pPr>
              <w:spacing w:after="0"/>
              <w:rPr>
                <w:sz w:val="1"/>
                <w:szCs w:val="1"/>
                <w:color w:val="auto"/>
              </w:rPr>
            </w:pPr>
          </w:p>
        </w:tc>
      </w:tr>
      <w:tr>
        <w:trPr>
          <w:trHeight w:val="195"/>
        </w:trPr>
        <w:tc>
          <w:tcPr>
            <w:tcW w:w="76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Deferred tax liabilities, net</w:t>
            </w:r>
          </w:p>
        </w:tc>
        <w:tc>
          <w:tcPr>
            <w:tcW w:w="30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61,770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73,198</w:t>
            </w:r>
          </w:p>
        </w:tc>
        <w:tc>
          <w:tcPr>
            <w:tcW w:w="0" w:type="dxa"/>
            <w:vAlign w:val="bottom"/>
          </w:tcPr>
          <w:p>
            <w:pPr>
              <w:spacing w:after="0"/>
              <w:rPr>
                <w:sz w:val="1"/>
                <w:szCs w:val="1"/>
                <w:color w:val="auto"/>
              </w:rPr>
            </w:pPr>
          </w:p>
        </w:tc>
      </w:tr>
      <w:tr>
        <w:trPr>
          <w:trHeight w:val="210"/>
        </w:trPr>
        <w:tc>
          <w:tcPr>
            <w:tcW w:w="7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Other long-term liabilities</w:t>
            </w:r>
          </w:p>
        </w:tc>
        <w:tc>
          <w:tcPr>
            <w:tcW w:w="300" w:type="dxa"/>
            <w:vAlign w:val="bottom"/>
            <w:tcBorders>
              <w:bottom w:val="single" w:sz="8" w:color="auto"/>
            </w:tcBorders>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154,139</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166,358</w:t>
            </w:r>
          </w:p>
        </w:tc>
        <w:tc>
          <w:tcPr>
            <w:tcW w:w="0" w:type="dxa"/>
            <w:vAlign w:val="bottom"/>
          </w:tcPr>
          <w:p>
            <w:pPr>
              <w:spacing w:after="0"/>
              <w:rPr>
                <w:sz w:val="1"/>
                <w:szCs w:val="1"/>
                <w:color w:val="auto"/>
              </w:rPr>
            </w:pPr>
          </w:p>
        </w:tc>
      </w:tr>
      <w:tr>
        <w:trPr>
          <w:trHeight w:val="190"/>
        </w:trPr>
        <w:tc>
          <w:tcPr>
            <w:tcW w:w="7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Total liabilities</w:t>
            </w:r>
          </w:p>
        </w:tc>
        <w:tc>
          <w:tcPr>
            <w:tcW w:w="30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10,563,982</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10,777,838</w:t>
            </w:r>
          </w:p>
        </w:tc>
        <w:tc>
          <w:tcPr>
            <w:tcW w:w="0" w:type="dxa"/>
            <w:vAlign w:val="bottom"/>
          </w:tcPr>
          <w:p>
            <w:pPr>
              <w:spacing w:after="0"/>
              <w:rPr>
                <w:sz w:val="1"/>
                <w:szCs w:val="1"/>
                <w:color w:val="auto"/>
              </w:rPr>
            </w:pPr>
          </w:p>
        </w:tc>
      </w:tr>
      <w:tr>
        <w:trPr>
          <w:trHeight w:val="95"/>
        </w:trPr>
        <w:tc>
          <w:tcPr>
            <w:tcW w:w="764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15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15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76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Commitments and contingencies</w:t>
            </w:r>
          </w:p>
        </w:tc>
        <w:tc>
          <w:tcPr>
            <w:tcW w:w="3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0"/>
        </w:trPr>
        <w:tc>
          <w:tcPr>
            <w:tcW w:w="7640" w:type="dxa"/>
            <w:vAlign w:val="bottom"/>
            <w:shd w:val="clear" w:color="auto" w:fill="CCEEFF"/>
          </w:tcPr>
          <w:p>
            <w:pPr>
              <w:spacing w:after="0"/>
              <w:rPr>
                <w:sz w:val="5"/>
                <w:szCs w:val="5"/>
                <w:color w:val="auto"/>
              </w:rPr>
            </w:pPr>
          </w:p>
        </w:tc>
        <w:tc>
          <w:tcPr>
            <w:tcW w:w="300" w:type="dxa"/>
            <w:vAlign w:val="bottom"/>
            <w:shd w:val="clear" w:color="auto" w:fill="CCEEFF"/>
          </w:tcPr>
          <w:p>
            <w:pPr>
              <w:spacing w:after="0"/>
              <w:rPr>
                <w:sz w:val="5"/>
                <w:szCs w:val="5"/>
                <w:color w:val="auto"/>
              </w:rPr>
            </w:pPr>
          </w:p>
        </w:tc>
        <w:tc>
          <w:tcPr>
            <w:tcW w:w="15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150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76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Series B convertible preferred stock, $0.01 par value, 36,746 shares authorized, issued and outstanding as of June 30, 2025</w:t>
            </w:r>
          </w:p>
        </w:tc>
        <w:tc>
          <w:tcPr>
            <w:tcW w:w="30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6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(96,746 as of December 31, 2024); aggregate liquidation preference of $36,746 and $96,746 at June 30, 2025 and December 31,</w:t>
            </w:r>
          </w:p>
        </w:tc>
        <w:tc>
          <w:tcPr>
            <w:tcW w:w="30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76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2024</w:t>
            </w:r>
          </w:p>
        </w:tc>
        <w:tc>
          <w:tcPr>
            <w:tcW w:w="30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41,154</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90,570</w:t>
            </w:r>
          </w:p>
        </w:tc>
        <w:tc>
          <w:tcPr>
            <w:tcW w:w="0" w:type="dxa"/>
            <w:vAlign w:val="bottom"/>
          </w:tcPr>
          <w:p>
            <w:pPr>
              <w:spacing w:after="0"/>
              <w:rPr>
                <w:sz w:val="1"/>
                <w:szCs w:val="1"/>
                <w:color w:val="auto"/>
              </w:rPr>
            </w:pPr>
          </w:p>
        </w:tc>
      </w:tr>
      <w:tr>
        <w:trPr>
          <w:trHeight w:val="58"/>
        </w:trPr>
        <w:tc>
          <w:tcPr>
            <w:tcW w:w="7640" w:type="dxa"/>
            <w:vAlign w:val="bottom"/>
            <w:tcBorders>
              <w:bottom w:val="single" w:sz="8" w:color="CCEEFF"/>
            </w:tcBorders>
          </w:tcPr>
          <w:p>
            <w:pPr>
              <w:spacing w:after="0"/>
              <w:rPr>
                <w:sz w:val="5"/>
                <w:szCs w:val="5"/>
                <w:color w:val="auto"/>
              </w:rPr>
            </w:pPr>
          </w:p>
        </w:tc>
        <w:tc>
          <w:tcPr>
            <w:tcW w:w="300" w:type="dxa"/>
            <w:vAlign w:val="bottom"/>
            <w:tcBorders>
              <w:bottom w:val="single" w:sz="8" w:color="CCEEFF"/>
            </w:tcBorders>
          </w:tcPr>
          <w:p>
            <w:pPr>
              <w:spacing w:after="0"/>
              <w:rPr>
                <w:sz w:val="5"/>
                <w:szCs w:val="5"/>
                <w:color w:val="auto"/>
              </w:rPr>
            </w:pPr>
          </w:p>
        </w:tc>
        <w:tc>
          <w:tcPr>
            <w:tcW w:w="1540" w:type="dxa"/>
            <w:vAlign w:val="bottom"/>
            <w:tcBorders>
              <w:bottom w:val="single" w:sz="8" w:color="CCEEFF"/>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60" w:type="dxa"/>
            <w:vAlign w:val="bottom"/>
            <w:tcBorders>
              <w:bottom w:val="single" w:sz="8" w:color="CCEEFF"/>
            </w:tcBorders>
          </w:tcPr>
          <w:p>
            <w:pPr>
              <w:spacing w:after="0"/>
              <w:rPr>
                <w:sz w:val="5"/>
                <w:szCs w:val="5"/>
                <w:color w:val="auto"/>
              </w:rPr>
            </w:pPr>
          </w:p>
        </w:tc>
        <w:tc>
          <w:tcPr>
            <w:tcW w:w="1500" w:type="dxa"/>
            <w:vAlign w:val="bottom"/>
            <w:tcBorders>
              <w:bottom w:val="single" w:sz="8" w:color="CCEEFF"/>
            </w:tcBorders>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76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Stockholders’ equity</w:t>
            </w:r>
          </w:p>
        </w:tc>
        <w:tc>
          <w:tcPr>
            <w:tcW w:w="3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7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Class A common stock, $0.01 par value, 750 million shares authorized, 274.2 million issued and outstanding as of June 30, 2025;</w:t>
            </w:r>
          </w:p>
        </w:tc>
        <w:tc>
          <w:tcPr>
            <w:tcW w:w="300" w:type="dxa"/>
            <w:vAlign w:val="bottom"/>
            <w:shd w:val="clear" w:color="auto" w:fill="CCEEFF"/>
          </w:tcPr>
          <w:p>
            <w:pPr>
              <w:spacing w:after="0"/>
              <w:rPr>
                <w:sz w:val="16"/>
                <w:szCs w:val="16"/>
                <w:color w:val="auto"/>
              </w:rPr>
            </w:pPr>
          </w:p>
        </w:tc>
        <w:tc>
          <w:tcPr>
            <w:tcW w:w="15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5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76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266.5 million issued and outstanding as of December 31, 2024</w:t>
            </w:r>
          </w:p>
        </w:tc>
        <w:tc>
          <w:tcPr>
            <w:tcW w:w="300" w:type="dxa"/>
            <w:vAlign w:val="bottom"/>
            <w:tcBorders>
              <w:bottom w:val="single" w:sz="8" w:color="CCEEFF"/>
            </w:tcBorders>
            <w:shd w:val="clear" w:color="auto" w:fill="CCEEFF"/>
          </w:tcPr>
          <w:p>
            <w:pPr>
              <w:spacing w:after="0"/>
              <w:rPr>
                <w:sz w:val="17"/>
                <w:szCs w:val="17"/>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2,742</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2,664</w:t>
            </w:r>
          </w:p>
        </w:tc>
        <w:tc>
          <w:tcPr>
            <w:tcW w:w="0" w:type="dxa"/>
            <w:vAlign w:val="bottom"/>
          </w:tcPr>
          <w:p>
            <w:pPr>
              <w:spacing w:after="0"/>
              <w:rPr>
                <w:sz w:val="1"/>
                <w:szCs w:val="1"/>
                <w:color w:val="auto"/>
              </w:rPr>
            </w:pPr>
          </w:p>
        </w:tc>
      </w:tr>
      <w:tr>
        <w:trPr>
          <w:trHeight w:val="195"/>
        </w:trPr>
        <w:tc>
          <w:tcPr>
            <w:tcW w:w="76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Additional paid-in capital</w:t>
            </w:r>
          </w:p>
        </w:tc>
        <w:tc>
          <w:tcPr>
            <w:tcW w:w="30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1,725,985</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1,674,312</w:t>
            </w:r>
          </w:p>
        </w:tc>
        <w:tc>
          <w:tcPr>
            <w:tcW w:w="0" w:type="dxa"/>
            <w:vAlign w:val="bottom"/>
          </w:tcPr>
          <w:p>
            <w:pPr>
              <w:spacing w:after="0"/>
              <w:rPr>
                <w:sz w:val="1"/>
                <w:szCs w:val="1"/>
                <w:color w:val="auto"/>
              </w:rPr>
            </w:pPr>
          </w:p>
        </w:tc>
      </w:tr>
      <w:tr>
        <w:trPr>
          <w:trHeight w:val="210"/>
        </w:trPr>
        <w:tc>
          <w:tcPr>
            <w:tcW w:w="7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Retained earnings (accumulated deficit)</w:t>
            </w:r>
          </w:p>
        </w:tc>
        <w:tc>
          <w:tcPr>
            <w:tcW w:w="30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(558,397)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196,363</w:t>
            </w:r>
          </w:p>
        </w:tc>
        <w:tc>
          <w:tcPr>
            <w:tcW w:w="0" w:type="dxa"/>
            <w:vAlign w:val="bottom"/>
          </w:tcPr>
          <w:p>
            <w:pPr>
              <w:spacing w:after="0"/>
              <w:rPr>
                <w:sz w:val="1"/>
                <w:szCs w:val="1"/>
                <w:color w:val="auto"/>
              </w:rPr>
            </w:pPr>
          </w:p>
        </w:tc>
      </w:tr>
      <w:tr>
        <w:trPr>
          <w:trHeight w:val="196"/>
        </w:trPr>
        <w:tc>
          <w:tcPr>
            <w:tcW w:w="76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Accumulated other comprehensive income</w:t>
            </w:r>
          </w:p>
        </w:tc>
        <w:tc>
          <w:tcPr>
            <w:tcW w:w="30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59,426</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3,089</w:t>
            </w:r>
          </w:p>
        </w:tc>
        <w:tc>
          <w:tcPr>
            <w:tcW w:w="0" w:type="dxa"/>
            <w:vAlign w:val="bottom"/>
          </w:tcPr>
          <w:p>
            <w:pPr>
              <w:spacing w:after="0"/>
              <w:rPr>
                <w:sz w:val="1"/>
                <w:szCs w:val="1"/>
                <w:color w:val="auto"/>
              </w:rPr>
            </w:pPr>
          </w:p>
        </w:tc>
      </w:tr>
      <w:tr>
        <w:trPr>
          <w:trHeight w:val="203"/>
        </w:trPr>
        <w:tc>
          <w:tcPr>
            <w:tcW w:w="7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b w:val="1"/>
                <w:bCs w:val="1"/>
                <w:color w:val="auto"/>
              </w:rPr>
              <w:t>Total stockholders’ equity attributable to NFE</w:t>
            </w:r>
          </w:p>
        </w:tc>
        <w:tc>
          <w:tcPr>
            <w:tcW w:w="300" w:type="dxa"/>
            <w:vAlign w:val="bottom"/>
            <w:shd w:val="clear" w:color="auto" w:fill="CCEEFF"/>
          </w:tcPr>
          <w:p>
            <w:pPr>
              <w:spacing w:after="0"/>
              <w:rPr>
                <w:sz w:val="17"/>
                <w:szCs w:val="17"/>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1,229,756</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1,876,428</w:t>
            </w:r>
          </w:p>
        </w:tc>
        <w:tc>
          <w:tcPr>
            <w:tcW w:w="0" w:type="dxa"/>
            <w:vAlign w:val="bottom"/>
          </w:tcPr>
          <w:p>
            <w:pPr>
              <w:spacing w:after="0"/>
              <w:rPr>
                <w:sz w:val="1"/>
                <w:szCs w:val="1"/>
                <w:color w:val="auto"/>
              </w:rPr>
            </w:pPr>
          </w:p>
        </w:tc>
      </w:tr>
      <w:tr>
        <w:trPr>
          <w:trHeight w:val="196"/>
        </w:trPr>
        <w:tc>
          <w:tcPr>
            <w:tcW w:w="76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Non-controlling interest</w:t>
            </w:r>
          </w:p>
        </w:tc>
        <w:tc>
          <w:tcPr>
            <w:tcW w:w="30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122,438</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122,660</w:t>
            </w:r>
          </w:p>
        </w:tc>
        <w:tc>
          <w:tcPr>
            <w:tcW w:w="0" w:type="dxa"/>
            <w:vAlign w:val="bottom"/>
          </w:tcPr>
          <w:p>
            <w:pPr>
              <w:spacing w:after="0"/>
              <w:rPr>
                <w:sz w:val="1"/>
                <w:szCs w:val="1"/>
                <w:color w:val="auto"/>
              </w:rPr>
            </w:pPr>
          </w:p>
        </w:tc>
      </w:tr>
      <w:tr>
        <w:trPr>
          <w:trHeight w:val="196"/>
        </w:trPr>
        <w:tc>
          <w:tcPr>
            <w:tcW w:w="7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b w:val="1"/>
                <w:bCs w:val="1"/>
                <w:color w:val="auto"/>
              </w:rPr>
              <w:t>Total stockholders’ equity</w:t>
            </w:r>
          </w:p>
        </w:tc>
        <w:tc>
          <w:tcPr>
            <w:tcW w:w="300" w:type="dxa"/>
            <w:vAlign w:val="bottom"/>
            <w:tcBorders>
              <w:bottom w:val="single" w:sz="8" w:color="auto"/>
            </w:tcBorders>
            <w:shd w:val="clear" w:color="auto" w:fill="CCEEFF"/>
          </w:tcPr>
          <w:p>
            <w:pPr>
              <w:spacing w:after="0"/>
              <w:rPr>
                <w:sz w:val="17"/>
                <w:szCs w:val="17"/>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1,352,194</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1,999,088</w:t>
            </w:r>
          </w:p>
        </w:tc>
        <w:tc>
          <w:tcPr>
            <w:tcW w:w="0" w:type="dxa"/>
            <w:vAlign w:val="bottom"/>
          </w:tcPr>
          <w:p>
            <w:pPr>
              <w:spacing w:after="0"/>
              <w:rPr>
                <w:sz w:val="1"/>
                <w:szCs w:val="1"/>
                <w:color w:val="auto"/>
              </w:rPr>
            </w:pPr>
          </w:p>
        </w:tc>
      </w:tr>
      <w:tr>
        <w:trPr>
          <w:trHeight w:val="203"/>
        </w:trPr>
        <w:tc>
          <w:tcPr>
            <w:tcW w:w="7640" w:type="dxa"/>
            <w:vAlign w:val="bottom"/>
          </w:tcPr>
          <w:p>
            <w:pPr>
              <w:ind w:left="360"/>
              <w:spacing w:after="0"/>
              <w:rPr>
                <w:sz w:val="20"/>
                <w:szCs w:val="20"/>
                <w:color w:val="auto"/>
              </w:rPr>
            </w:pPr>
            <w:r>
              <w:rPr>
                <w:rFonts w:ascii="Times New Roman" w:cs="Times New Roman" w:eastAsia="Times New Roman" w:hAnsi="Times New Roman"/>
                <w:sz w:val="14"/>
                <w:szCs w:val="14"/>
                <w:b w:val="1"/>
                <w:bCs w:val="1"/>
                <w:color w:val="auto"/>
              </w:rPr>
              <w:t>Total liabilities and stockholders’ equity</w:t>
            </w:r>
          </w:p>
        </w:tc>
        <w:tc>
          <w:tcPr>
            <w:tcW w:w="30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11,957,330</w:t>
            </w: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12,867,496</w:t>
            </w:r>
          </w:p>
        </w:tc>
        <w:tc>
          <w:tcPr>
            <w:tcW w:w="0" w:type="dxa"/>
            <w:vAlign w:val="bottom"/>
          </w:tcPr>
          <w:p>
            <w:pPr>
              <w:spacing w:after="0"/>
              <w:rPr>
                <w:sz w:val="1"/>
                <w:szCs w:val="1"/>
                <w:color w:val="auto"/>
              </w:rPr>
            </w:pPr>
          </w:p>
        </w:tc>
      </w:tr>
      <w:tr>
        <w:trPr>
          <w:trHeight w:val="20"/>
        </w:trPr>
        <w:tc>
          <w:tcPr>
            <w:tcW w:w="76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27" w:right="339" w:bottom="1440" w:gutter="0" w:footer="0" w:header="0"/>
        </w:sectPr>
      </w:pPr>
    </w:p>
    <w:bookmarkStart w:id="13" w:name="page14"/>
    <w:bookmarkEnd w:id="1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tc>
        <w:tc>
          <w:tcPr>
            <w:tcW w:w="3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7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For the three and six months ended June 30, 2025 and 2024</w:t>
            </w: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606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(Unaudited, in thousands of U.S. dollars, except share and per share amounts)</w:t>
            </w:r>
          </w:p>
        </w:tc>
        <w:tc>
          <w:tcPr>
            <w:tcW w:w="3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4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040" w:type="dxa"/>
            <w:vAlign w:val="bottom"/>
            <w:gridSpan w:val="5"/>
          </w:tcPr>
          <w:p>
            <w:pPr>
              <w:ind w:left="14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380" w:type="dxa"/>
            <w:vAlign w:val="bottom"/>
          </w:tcPr>
          <w:p>
            <w:pPr>
              <w:spacing w:after="0"/>
              <w:rPr>
                <w:sz w:val="21"/>
                <w:szCs w:val="21"/>
                <w:color w:val="auto"/>
              </w:rPr>
            </w:pPr>
          </w:p>
        </w:tc>
        <w:tc>
          <w:tcPr>
            <w:tcW w:w="3100" w:type="dxa"/>
            <w:vAlign w:val="bottom"/>
            <w:gridSpan w:val="4"/>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0" w:type="dxa"/>
            <w:vAlign w:val="bottom"/>
          </w:tcPr>
          <w:p>
            <w:pPr>
              <w:spacing w:after="0"/>
              <w:rPr>
                <w:sz w:val="1"/>
                <w:szCs w:val="1"/>
                <w:color w:val="auto"/>
              </w:rPr>
            </w:pPr>
          </w:p>
        </w:tc>
      </w:tr>
      <w:tr>
        <w:trPr>
          <w:trHeight w:val="223"/>
        </w:trPr>
        <w:tc>
          <w:tcPr>
            <w:tcW w:w="440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32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Borders>
              <w:top w:val="single" w:sz="8" w:color="auto"/>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top w:val="single" w:sz="8" w:color="auto"/>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209"/>
        </w:trPr>
        <w:tc>
          <w:tcPr>
            <w:tcW w:w="4400" w:type="dxa"/>
            <w:vAlign w:val="bottom"/>
            <w:vMerge w:val="continue"/>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revenue</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227,204</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291,222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612,085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900,726</w:t>
            </w:r>
          </w:p>
        </w:tc>
        <w:tc>
          <w:tcPr>
            <w:tcW w:w="0" w:type="dxa"/>
            <w:vAlign w:val="bottom"/>
          </w:tcPr>
          <w:p>
            <w:pPr>
              <w:spacing w:after="0"/>
              <w:rPr>
                <w:sz w:val="1"/>
                <w:szCs w:val="1"/>
                <w:color w:val="auto"/>
              </w:rPr>
            </w:pPr>
          </w:p>
        </w:tc>
      </w:tr>
      <w:tr>
        <w:trPr>
          <w:trHeight w:val="229"/>
        </w:trPr>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Vessel charter revenue</w:t>
            </w:r>
          </w:p>
        </w:tc>
        <w:tc>
          <w:tcPr>
            <w:tcW w:w="3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46,739</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52,416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92,175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99,071</w:t>
            </w:r>
          </w:p>
        </w:tc>
        <w:tc>
          <w:tcPr>
            <w:tcW w:w="0" w:type="dxa"/>
            <w:vAlign w:val="bottom"/>
          </w:tcPr>
          <w:p>
            <w:pPr>
              <w:spacing w:after="0"/>
              <w:rPr>
                <w:sz w:val="1"/>
                <w:szCs w:val="1"/>
                <w:color w:val="auto"/>
              </w:rPr>
            </w:pPr>
          </w:p>
        </w:tc>
      </w:tr>
      <w:tr>
        <w:trPr>
          <w:trHeight w:val="229"/>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revenue</w:t>
            </w:r>
          </w:p>
        </w:tc>
        <w:tc>
          <w:tcPr>
            <w:tcW w:w="3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27,749</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84,368</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67,968</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118,530</w:t>
            </w:r>
          </w:p>
        </w:tc>
        <w:tc>
          <w:tcPr>
            <w:tcW w:w="0" w:type="dxa"/>
            <w:vAlign w:val="bottom"/>
          </w:tcPr>
          <w:p>
            <w:pPr>
              <w:spacing w:after="0"/>
              <w:rPr>
                <w:sz w:val="1"/>
                <w:szCs w:val="1"/>
                <w:color w:val="auto"/>
              </w:rPr>
            </w:pPr>
          </w:p>
        </w:tc>
      </w:tr>
      <w:tr>
        <w:trPr>
          <w:trHeight w:val="223"/>
        </w:trPr>
        <w:tc>
          <w:tcPr>
            <w:tcW w:w="44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Total revenues</w:t>
            </w:r>
          </w:p>
        </w:tc>
        <w:tc>
          <w:tcPr>
            <w:tcW w:w="3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301,692</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428,006</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772,228</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1,118,327</w:t>
            </w:r>
          </w:p>
        </w:tc>
        <w:tc>
          <w:tcPr>
            <w:tcW w:w="0" w:type="dxa"/>
            <w:vAlign w:val="bottom"/>
          </w:tcPr>
          <w:p>
            <w:pPr>
              <w:spacing w:after="0"/>
              <w:rPr>
                <w:sz w:val="1"/>
                <w:szCs w:val="1"/>
                <w:color w:val="auto"/>
              </w:rPr>
            </w:pPr>
          </w:p>
        </w:tc>
      </w:tr>
      <w:tr>
        <w:trPr>
          <w:trHeight w:val="142"/>
        </w:trPr>
        <w:tc>
          <w:tcPr>
            <w:tcW w:w="44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44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3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440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Cost of sales (exclusive of depreciation and amortization</w:t>
            </w:r>
          </w:p>
        </w:tc>
        <w:tc>
          <w:tcPr>
            <w:tcW w:w="32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shown separately below)</w:t>
            </w:r>
          </w:p>
        </w:tc>
        <w:tc>
          <w:tcPr>
            <w:tcW w:w="32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208,852</w:t>
            </w:r>
          </w:p>
        </w:tc>
        <w:tc>
          <w:tcPr>
            <w:tcW w:w="8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221,860</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511,229</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450,977</w:t>
            </w:r>
          </w:p>
        </w:tc>
        <w:tc>
          <w:tcPr>
            <w:tcW w:w="0" w:type="dxa"/>
            <w:vAlign w:val="bottom"/>
          </w:tcPr>
          <w:p>
            <w:pPr>
              <w:spacing w:after="0"/>
              <w:rPr>
                <w:sz w:val="1"/>
                <w:szCs w:val="1"/>
                <w:color w:val="auto"/>
              </w:rPr>
            </w:pPr>
          </w:p>
        </w:tc>
      </w:tr>
      <w:tr>
        <w:trPr>
          <w:trHeight w:val="229"/>
        </w:trPr>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Vessel operating expenses</w:t>
            </w:r>
          </w:p>
        </w:tc>
        <w:tc>
          <w:tcPr>
            <w:tcW w:w="3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8,056</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8,503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15,232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16,899</w:t>
            </w:r>
          </w:p>
        </w:tc>
        <w:tc>
          <w:tcPr>
            <w:tcW w:w="0" w:type="dxa"/>
            <w:vAlign w:val="bottom"/>
          </w:tcPr>
          <w:p>
            <w:pPr>
              <w:spacing w:after="0"/>
              <w:rPr>
                <w:sz w:val="1"/>
                <w:szCs w:val="1"/>
                <w:color w:val="auto"/>
              </w:rPr>
            </w:pPr>
          </w:p>
        </w:tc>
      </w:tr>
      <w:tr>
        <w:trPr>
          <w:trHeight w:val="230"/>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Operations and maintenance</w:t>
            </w: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59,817</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39,292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114,774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107,840</w:t>
            </w:r>
          </w:p>
        </w:tc>
        <w:tc>
          <w:tcPr>
            <w:tcW w:w="0" w:type="dxa"/>
            <w:vAlign w:val="bottom"/>
          </w:tcPr>
          <w:p>
            <w:pPr>
              <w:spacing w:after="0"/>
              <w:rPr>
                <w:sz w:val="1"/>
                <w:szCs w:val="1"/>
                <w:color w:val="auto"/>
              </w:rPr>
            </w:pPr>
          </w:p>
        </w:tc>
      </w:tr>
      <w:tr>
        <w:trPr>
          <w:trHeight w:val="229"/>
        </w:trPr>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3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57,256</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70,578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116,527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141,332</w:t>
            </w:r>
          </w:p>
        </w:tc>
        <w:tc>
          <w:tcPr>
            <w:tcW w:w="0" w:type="dxa"/>
            <w:vAlign w:val="bottom"/>
          </w:tcPr>
          <w:p>
            <w:pPr>
              <w:spacing w:after="0"/>
              <w:rPr>
                <w:sz w:val="1"/>
                <w:szCs w:val="1"/>
                <w:color w:val="auto"/>
              </w:rPr>
            </w:pPr>
          </w:p>
        </w:tc>
      </w:tr>
      <w:tr>
        <w:trPr>
          <w:trHeight w:val="229"/>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Transaction and integration costs</w:t>
            </w: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75,384</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87,315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3,131</w:t>
            </w:r>
          </w:p>
        </w:tc>
        <w:tc>
          <w:tcPr>
            <w:tcW w:w="0" w:type="dxa"/>
            <w:vAlign w:val="bottom"/>
          </w:tcPr>
          <w:p>
            <w:pPr>
              <w:spacing w:after="0"/>
              <w:rPr>
                <w:sz w:val="1"/>
                <w:szCs w:val="1"/>
                <w:color w:val="auto"/>
              </w:rPr>
            </w:pPr>
          </w:p>
        </w:tc>
      </w:tr>
      <w:tr>
        <w:trPr>
          <w:trHeight w:val="230"/>
        </w:trPr>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52,870</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37,413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105,927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87,904</w:t>
            </w:r>
          </w:p>
        </w:tc>
        <w:tc>
          <w:tcPr>
            <w:tcW w:w="0" w:type="dxa"/>
            <w:vAlign w:val="bottom"/>
          </w:tcPr>
          <w:p>
            <w:pPr>
              <w:spacing w:after="0"/>
              <w:rPr>
                <w:sz w:val="1"/>
                <w:szCs w:val="1"/>
                <w:color w:val="auto"/>
              </w:rPr>
            </w:pPr>
          </w:p>
        </w:tc>
      </w:tr>
      <w:tr>
        <w:trPr>
          <w:trHeight w:val="229"/>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 impairment expense</w:t>
            </w: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582,172</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582,172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Asset impairment expense</w:t>
            </w:r>
          </w:p>
        </w:tc>
        <w:tc>
          <w:tcPr>
            <w:tcW w:w="3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117,312</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117,558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4,272</w:t>
            </w:r>
          </w:p>
        </w:tc>
        <w:tc>
          <w:tcPr>
            <w:tcW w:w="0" w:type="dxa"/>
            <w:vAlign w:val="bottom"/>
          </w:tcPr>
          <w:p>
            <w:pPr>
              <w:spacing w:after="0"/>
              <w:rPr>
                <w:sz w:val="1"/>
                <w:szCs w:val="1"/>
                <w:color w:val="auto"/>
              </w:rPr>
            </w:pPr>
          </w:p>
        </w:tc>
      </w:tr>
      <w:tr>
        <w:trPr>
          <w:trHeight w:val="229"/>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 loss on sale</w:t>
            </w: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(472,699)</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(472,699)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77,140</w:t>
            </w:r>
          </w:p>
        </w:tc>
        <w:tc>
          <w:tcPr>
            <w:tcW w:w="0" w:type="dxa"/>
            <w:vAlign w:val="bottom"/>
          </w:tcPr>
          <w:p>
            <w:pPr>
              <w:spacing w:after="0"/>
              <w:rPr>
                <w:sz w:val="1"/>
                <w:szCs w:val="1"/>
                <w:color w:val="auto"/>
              </w:rPr>
            </w:pPr>
          </w:p>
        </w:tc>
      </w:tr>
      <w:tr>
        <w:trPr>
          <w:trHeight w:val="223"/>
        </w:trPr>
        <w:tc>
          <w:tcPr>
            <w:tcW w:w="44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32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689,020</w:t>
            </w:r>
          </w:p>
        </w:tc>
        <w:tc>
          <w:tcPr>
            <w:tcW w:w="80" w:type="dxa"/>
            <w:vAlign w:val="bottom"/>
            <w:tcBorders>
              <w:bottom w:val="single" w:sz="8" w:color="CCEEFF"/>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383,678</w:t>
            </w:r>
          </w:p>
        </w:tc>
        <w:tc>
          <w:tcPr>
            <w:tcW w:w="100" w:type="dxa"/>
            <w:vAlign w:val="bottom"/>
            <w:tcBorders>
              <w:bottom w:val="single" w:sz="8" w:color="CCEEFF"/>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1,178,035</w:t>
            </w:r>
          </w:p>
        </w:tc>
        <w:tc>
          <w:tcPr>
            <w:tcW w:w="100" w:type="dxa"/>
            <w:vAlign w:val="bottom"/>
            <w:tcBorders>
              <w:bottom w:val="single" w:sz="8" w:color="CCEEFF"/>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889,495</w:t>
            </w:r>
          </w:p>
        </w:tc>
        <w:tc>
          <w:tcPr>
            <w:tcW w:w="0" w:type="dxa"/>
            <w:vAlign w:val="bottom"/>
          </w:tcPr>
          <w:p>
            <w:pPr>
              <w:spacing w:after="0"/>
              <w:rPr>
                <w:sz w:val="1"/>
                <w:szCs w:val="1"/>
                <w:color w:val="auto"/>
              </w:rPr>
            </w:pPr>
          </w:p>
        </w:tc>
      </w:tr>
      <w:tr>
        <w:trPr>
          <w:trHeight w:val="223"/>
        </w:trPr>
        <w:tc>
          <w:tcPr>
            <w:tcW w:w="4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Operating (loss) income</w:t>
            </w: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(387,328)</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44,328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(405,807)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228,832</w:t>
            </w:r>
          </w:p>
        </w:tc>
        <w:tc>
          <w:tcPr>
            <w:tcW w:w="0" w:type="dxa"/>
            <w:vAlign w:val="bottom"/>
          </w:tcPr>
          <w:p>
            <w:pPr>
              <w:spacing w:after="0"/>
              <w:rPr>
                <w:sz w:val="1"/>
                <w:szCs w:val="1"/>
                <w:color w:val="auto"/>
              </w:rPr>
            </w:pPr>
          </w:p>
        </w:tc>
      </w:tr>
      <w:tr>
        <w:trPr>
          <w:trHeight w:val="229"/>
        </w:trPr>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3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206,408</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80,399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420,102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157,743</w:t>
            </w:r>
          </w:p>
        </w:tc>
        <w:tc>
          <w:tcPr>
            <w:tcW w:w="0" w:type="dxa"/>
            <w:vAlign w:val="bottom"/>
          </w:tcPr>
          <w:p>
            <w:pPr>
              <w:spacing w:after="0"/>
              <w:rPr>
                <w:sz w:val="1"/>
                <w:szCs w:val="1"/>
                <w:color w:val="auto"/>
              </w:rPr>
            </w:pPr>
          </w:p>
        </w:tc>
      </w:tr>
      <w:tr>
        <w:trPr>
          <w:trHeight w:val="230"/>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(56,262)</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47,354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(120,199)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66,466</w:t>
            </w:r>
          </w:p>
        </w:tc>
        <w:tc>
          <w:tcPr>
            <w:tcW w:w="0" w:type="dxa"/>
            <w:vAlign w:val="bottom"/>
          </w:tcPr>
          <w:p>
            <w:pPr>
              <w:spacing w:after="0"/>
              <w:rPr>
                <w:sz w:val="1"/>
                <w:szCs w:val="1"/>
                <w:color w:val="auto"/>
              </w:rPr>
            </w:pPr>
          </w:p>
        </w:tc>
      </w:tr>
      <w:tr>
        <w:trPr>
          <w:trHeight w:val="229"/>
        </w:trPr>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on extinguishment of debt, net</w:t>
            </w:r>
          </w:p>
        </w:tc>
        <w:tc>
          <w:tcPr>
            <w:tcW w:w="3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20,320</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20,787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9,754</w:t>
            </w:r>
          </w:p>
        </w:tc>
        <w:tc>
          <w:tcPr>
            <w:tcW w:w="0" w:type="dxa"/>
            <w:vAlign w:val="bottom"/>
          </w:tcPr>
          <w:p>
            <w:pPr>
              <w:spacing w:after="0"/>
              <w:rPr>
                <w:sz w:val="1"/>
                <w:szCs w:val="1"/>
                <w:color w:val="auto"/>
              </w:rPr>
            </w:pPr>
          </w:p>
        </w:tc>
      </w:tr>
      <w:tr>
        <w:trPr>
          <w:trHeight w:val="223"/>
        </w:trPr>
        <w:tc>
          <w:tcPr>
            <w:tcW w:w="4400" w:type="dxa"/>
            <w:vAlign w:val="bottom"/>
            <w:tcBorders>
              <w:top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Loss before income taxes</w:t>
            </w:r>
          </w:p>
        </w:tc>
        <w:tc>
          <w:tcPr>
            <w:tcW w:w="320" w:type="dxa"/>
            <w:vAlign w:val="bottom"/>
            <w:tcBorders>
              <w:top w:val="single" w:sz="8" w:color="auto"/>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(557,794)</w:t>
            </w:r>
          </w:p>
        </w:tc>
        <w:tc>
          <w:tcPr>
            <w:tcW w:w="8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(83,425)</w:t>
            </w: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(726,497)</w:t>
            </w: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(5,131)</w:t>
            </w:r>
          </w:p>
        </w:tc>
        <w:tc>
          <w:tcPr>
            <w:tcW w:w="0" w:type="dxa"/>
            <w:vAlign w:val="bottom"/>
          </w:tcPr>
          <w:p>
            <w:pPr>
              <w:spacing w:after="0"/>
              <w:rPr>
                <w:sz w:val="1"/>
                <w:szCs w:val="1"/>
                <w:color w:val="auto"/>
              </w:rPr>
            </w:pPr>
          </w:p>
        </w:tc>
      </w:tr>
      <w:tr>
        <w:trPr>
          <w:trHeight w:val="229"/>
        </w:trPr>
        <w:tc>
          <w:tcPr>
            <w:tcW w:w="4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Tax (benefit) provision</w:t>
            </w:r>
          </w:p>
        </w:tc>
        <w:tc>
          <w:tcPr>
            <w:tcW w:w="3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(967)</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3,435</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27,703</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25,059</w:t>
            </w:r>
          </w:p>
        </w:tc>
        <w:tc>
          <w:tcPr>
            <w:tcW w:w="0" w:type="dxa"/>
            <w:vAlign w:val="bottom"/>
          </w:tcPr>
          <w:p>
            <w:pPr>
              <w:spacing w:after="0"/>
              <w:rPr>
                <w:sz w:val="1"/>
                <w:szCs w:val="1"/>
                <w:color w:val="auto"/>
              </w:rPr>
            </w:pPr>
          </w:p>
        </w:tc>
      </w:tr>
      <w:tr>
        <w:trPr>
          <w:trHeight w:val="223"/>
        </w:trPr>
        <w:tc>
          <w:tcPr>
            <w:tcW w:w="4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(556,827)</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(86,860)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(754,200)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(30,190)</w:t>
            </w:r>
          </w:p>
        </w:tc>
        <w:tc>
          <w:tcPr>
            <w:tcW w:w="0" w:type="dxa"/>
            <w:vAlign w:val="bottom"/>
          </w:tcPr>
          <w:p>
            <w:pPr>
              <w:spacing w:after="0"/>
              <w:rPr>
                <w:sz w:val="1"/>
                <w:szCs w:val="1"/>
                <w:color w:val="auto"/>
              </w:rPr>
            </w:pPr>
          </w:p>
        </w:tc>
      </w:tr>
      <w:tr>
        <w:trPr>
          <w:trHeight w:val="162"/>
        </w:trPr>
        <w:tc>
          <w:tcPr>
            <w:tcW w:w="440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48"/>
        </w:trPr>
        <w:tc>
          <w:tcPr>
            <w:tcW w:w="44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Net loss attributable to common stockholders</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(555,077)</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(90,044)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(755,206)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(36,105)</w:t>
            </w:r>
          </w:p>
        </w:tc>
        <w:tc>
          <w:tcPr>
            <w:tcW w:w="0" w:type="dxa"/>
            <w:vAlign w:val="bottom"/>
          </w:tcPr>
          <w:p>
            <w:pPr>
              <w:spacing w:after="0"/>
              <w:rPr>
                <w:sz w:val="1"/>
                <w:szCs w:val="1"/>
                <w:color w:val="auto"/>
              </w:rPr>
            </w:pPr>
          </w:p>
        </w:tc>
      </w:tr>
      <w:tr>
        <w:trPr>
          <w:trHeight w:val="20"/>
        </w:trPr>
        <w:tc>
          <w:tcPr>
            <w:tcW w:w="44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44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5"/>
        </w:trPr>
        <w:tc>
          <w:tcPr>
            <w:tcW w:w="4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per share – basic</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(0.18)</w:t>
            </w:r>
          </w:p>
        </w:tc>
        <w:tc>
          <w:tcPr>
            <w:tcW w:w="0" w:type="dxa"/>
            <w:vAlign w:val="bottom"/>
          </w:tcPr>
          <w:p>
            <w:pPr>
              <w:spacing w:after="0"/>
              <w:rPr>
                <w:sz w:val="1"/>
                <w:szCs w:val="1"/>
                <w:color w:val="auto"/>
              </w:rPr>
            </w:pPr>
          </w:p>
        </w:tc>
      </w:tr>
      <w:tr>
        <w:trPr>
          <w:trHeight w:val="20"/>
        </w:trPr>
        <w:tc>
          <w:tcPr>
            <w:tcW w:w="44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40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color w:val="auto"/>
              </w:rPr>
              <w:t>Net loss per share – diluted</w:t>
            </w:r>
          </w:p>
        </w:tc>
        <w:tc>
          <w:tcPr>
            <w:tcW w:w="320" w:type="dxa"/>
            <w:vAlign w:val="bottom"/>
            <w:tcBorders>
              <w:bottom w:val="single" w:sz="8" w:color="auto"/>
            </w:tcBorders>
          </w:tcPr>
          <w:p>
            <w:pPr>
              <w:jc w:val="right"/>
              <w:ind w:right="13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(2.02)</w:t>
            </w:r>
          </w:p>
        </w:tc>
        <w:tc>
          <w:tcPr>
            <w:tcW w:w="80" w:type="dxa"/>
            <w:vAlign w:val="bottom"/>
          </w:tcPr>
          <w:p>
            <w:pPr>
              <w:spacing w:after="0"/>
              <w:rPr>
                <w:sz w:val="17"/>
                <w:szCs w:val="17"/>
                <w:color w:val="auto"/>
              </w:rPr>
            </w:pPr>
          </w:p>
        </w:tc>
        <w:tc>
          <w:tcPr>
            <w:tcW w:w="380" w:type="dxa"/>
            <w:vAlign w:val="bottom"/>
            <w:tcBorders>
              <w:bottom w:val="single" w:sz="8" w:color="auto"/>
            </w:tcBorders>
          </w:tcPr>
          <w:p>
            <w:pPr>
              <w:jc w:val="right"/>
              <w:ind w:right="17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(0.44)</w:t>
            </w:r>
          </w:p>
        </w:tc>
        <w:tc>
          <w:tcPr>
            <w:tcW w:w="100" w:type="dxa"/>
            <w:vAlign w:val="bottom"/>
          </w:tcPr>
          <w:p>
            <w:pPr>
              <w:spacing w:after="0"/>
              <w:rPr>
                <w:sz w:val="17"/>
                <w:szCs w:val="17"/>
                <w:color w:val="auto"/>
              </w:rPr>
            </w:pPr>
          </w:p>
        </w:tc>
        <w:tc>
          <w:tcPr>
            <w:tcW w:w="380" w:type="dxa"/>
            <w:vAlign w:val="bottom"/>
            <w:tcBorders>
              <w:bottom w:val="single" w:sz="8" w:color="auto"/>
            </w:tcBorders>
          </w:tcPr>
          <w:p>
            <w:pPr>
              <w:jc w:val="right"/>
              <w:ind w:right="19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(2.76)</w:t>
            </w:r>
          </w:p>
        </w:tc>
        <w:tc>
          <w:tcPr>
            <w:tcW w:w="100" w:type="dxa"/>
            <w:vAlign w:val="bottom"/>
          </w:tcPr>
          <w:p>
            <w:pPr>
              <w:spacing w:after="0"/>
              <w:rPr>
                <w:sz w:val="17"/>
                <w:szCs w:val="17"/>
                <w:color w:val="auto"/>
              </w:rPr>
            </w:pPr>
          </w:p>
        </w:tc>
        <w:tc>
          <w:tcPr>
            <w:tcW w:w="380" w:type="dxa"/>
            <w:vAlign w:val="bottom"/>
            <w:tcBorders>
              <w:bottom w:val="single" w:sz="8" w:color="auto"/>
            </w:tcBorders>
          </w:tcPr>
          <w:p>
            <w:pPr>
              <w:jc w:val="right"/>
              <w:ind w:right="19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(0.18)</w:t>
            </w:r>
          </w:p>
        </w:tc>
        <w:tc>
          <w:tcPr>
            <w:tcW w:w="0" w:type="dxa"/>
            <w:vAlign w:val="bottom"/>
          </w:tcPr>
          <w:p>
            <w:pPr>
              <w:spacing w:after="0"/>
              <w:rPr>
                <w:sz w:val="1"/>
                <w:szCs w:val="1"/>
                <w:color w:val="auto"/>
              </w:rPr>
            </w:pPr>
          </w:p>
        </w:tc>
      </w:tr>
      <w:tr>
        <w:trPr>
          <w:trHeight w:val="20"/>
        </w:trPr>
        <w:tc>
          <w:tcPr>
            <w:tcW w:w="44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4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3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3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29"/>
        </w:trPr>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number of shares outstanding – basic</w:t>
            </w:r>
          </w:p>
        </w:tc>
        <w:tc>
          <w:tcPr>
            <w:tcW w:w="3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274,371,636</w:t>
            </w:r>
          </w:p>
        </w:tc>
        <w:tc>
          <w:tcPr>
            <w:tcW w:w="8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205,070,756</w:t>
            </w:r>
          </w:p>
        </w:tc>
        <w:tc>
          <w:tcPr>
            <w:tcW w:w="10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273,996,219</w:t>
            </w:r>
          </w:p>
        </w:tc>
        <w:tc>
          <w:tcPr>
            <w:tcW w:w="10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205,066,362</w:t>
            </w:r>
          </w:p>
        </w:tc>
        <w:tc>
          <w:tcPr>
            <w:tcW w:w="0" w:type="dxa"/>
            <w:vAlign w:val="bottom"/>
          </w:tcPr>
          <w:p>
            <w:pPr>
              <w:spacing w:after="0"/>
              <w:rPr>
                <w:sz w:val="1"/>
                <w:szCs w:val="1"/>
                <w:color w:val="auto"/>
              </w:rPr>
            </w:pPr>
          </w:p>
        </w:tc>
      </w:tr>
      <w:tr>
        <w:trPr>
          <w:trHeight w:val="20"/>
        </w:trPr>
        <w:tc>
          <w:tcPr>
            <w:tcW w:w="44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4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number of shares outstanding – diluted</w:t>
            </w:r>
          </w:p>
        </w:tc>
        <w:tc>
          <w:tcPr>
            <w:tcW w:w="32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274,371,636</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205,851,364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273,996,219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205,846,970</w:t>
            </w:r>
          </w:p>
        </w:tc>
        <w:tc>
          <w:tcPr>
            <w:tcW w:w="0" w:type="dxa"/>
            <w:vAlign w:val="bottom"/>
          </w:tcPr>
          <w:p>
            <w:pPr>
              <w:spacing w:after="0"/>
              <w:rPr>
                <w:sz w:val="1"/>
                <w:szCs w:val="1"/>
                <w:color w:val="auto"/>
              </w:rPr>
            </w:pPr>
          </w:p>
        </w:tc>
      </w:tr>
      <w:tr>
        <w:trPr>
          <w:trHeight w:val="20"/>
        </w:trPr>
        <w:tc>
          <w:tcPr>
            <w:tcW w:w="44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 w:lineRule="exact"/>
        <w:rPr>
          <w:sz w:val="20"/>
          <w:szCs w:val="20"/>
          <w:color w:val="auto"/>
        </w:rPr>
      </w:pPr>
    </w:p>
    <w:sectPr>
      <w:pgSz w:w="11900" w:h="16838" w:orient="portrait"/>
      <w:cols w:equalWidth="0" w:num="1">
        <w:col w:w="11240"/>
      </w:cols>
      <w:pgMar w:left="320" w:top="92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
      <w:numFmt w:val="bullet"/>
      <w:start w:val="1"/>
    </w:lvl>
    <w:lvl w:ilvl="1">
      <w:lvlJc w:val="left"/>
      <w:lvlText w:val="◦"/>
      <w:numFmt w:val="bullet"/>
      <w:start w:val="1"/>
    </w:lvl>
  </w:abstractNum>
  <w:abstractNum w:abstractNumId="3">
    <w:nsid w:val="3D1B58BA"/>
    <w:multiLevelType w:val="hybridMultilevel"/>
    <w:lvl w:ilvl="0">
      <w:lvlJc w:val="left"/>
      <w:lvlText w:val="•"/>
      <w:numFmt w:val="bullet"/>
      <w:start w:val="1"/>
    </w:lvl>
  </w:abstractNum>
  <w:abstractNum w:abstractNumId="4">
    <w:nsid w:val="507ED7AB"/>
    <w:multiLevelType w:val="hybridMultilevel"/>
    <w:lvl w:ilvl="0">
      <w:lvlJc w:val="left"/>
      <w:lvlText w:val="•"/>
      <w:numFmt w:val="bullet"/>
      <w:start w:val="1"/>
    </w:lvl>
  </w:abstractNum>
  <w:abstractNum w:abstractNumId="5">
    <w:nsid w:val="2EB141F2"/>
    <w:multiLevelType w:val="hybridMultilevel"/>
    <w:lvl w:ilvl="0">
      <w:lvlJc w:val="left"/>
      <w:lvlText w:val="%1)"/>
      <w:numFmt w:val="decimal"/>
      <w:start w:val="2"/>
    </w:lvl>
  </w:abstractNum>
  <w:abstractNum w:abstractNumId="6">
    <w:nsid w:val="41B71EF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2025-09-08T05:11:10Z</dcterms:created>
  <dcterms:modified xsi:type="dcterms:W3CDTF">2025-09-08T05:11:10Z</dcterms:modified>
</cp:coreProperties>
</file>