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u w:val="single" w:color="auto"/>
          <w:color w:val="auto"/>
        </w:rPr>
        <w:t>New Fortress Energy Inc.</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Class A Common Stock</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644393100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Jonathan Rotolo</w:t>
      </w:r>
    </w:p>
    <w:p>
      <w:pPr>
        <w:ind w:left="4480"/>
        <w:spacing w:after="0" w:line="208" w:lineRule="auto"/>
        <w:rPr>
          <w:sz w:val="20"/>
          <w:szCs w:val="20"/>
          <w:color w:val="auto"/>
        </w:rPr>
      </w:pPr>
      <w:r>
        <w:rPr>
          <w:rFonts w:ascii="Times New Roman" w:cs="Times New Roman" w:eastAsia="Times New Roman" w:hAnsi="Times New Roman"/>
          <w:sz w:val="18"/>
          <w:szCs w:val="18"/>
          <w:b w:val="1"/>
          <w:bCs w:val="1"/>
          <w:color w:val="auto"/>
        </w:rPr>
        <w:t>157 Church Street, 20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 Haven, CT 06510</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(203) 907-2858</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14, 2022</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23" w:lineRule="exact"/>
        <w:rPr>
          <w:sz w:val="24"/>
          <w:szCs w:val="24"/>
          <w:color w:val="auto"/>
        </w:rPr>
      </w:pPr>
    </w:p>
    <w:p>
      <w:pPr>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7" w:lineRule="exact"/>
        <w:rPr>
          <w:sz w:val="24"/>
          <w:szCs w:val="24"/>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whom copies are to be sent.</w:t>
      </w: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 w:lineRule="exact"/>
        <w:rPr>
          <w:sz w:val="24"/>
          <w:szCs w:val="24"/>
          <w:color w:val="auto"/>
        </w:rPr>
      </w:pPr>
    </w:p>
    <w:p>
      <w:pPr>
        <w:ind w:right="200" w:firstLine="332"/>
        <w:spacing w:after="0" w:line="260" w:lineRule="auto"/>
        <w:tabs>
          <w:tab w:leader="none" w:pos="4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1" w:lineRule="exact"/>
        <w:rPr>
          <w:sz w:val="24"/>
          <w:szCs w:val="24"/>
          <w:color w:val="auto"/>
        </w:rPr>
      </w:pPr>
    </w:p>
    <w:p>
      <w:pPr>
        <w:jc w:val="both"/>
        <w:ind w:right="68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644393100</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1 of 8 pages</w:t>
            </w:r>
          </w:p>
        </w:tc>
      </w:tr>
    </w:tbl>
    <w:p>
      <w:pPr>
        <w:spacing w:after="0" w:line="211" w:lineRule="exact"/>
        <w:rPr>
          <w:sz w:val="20"/>
          <w:szCs w:val="20"/>
          <w:color w:val="auto"/>
        </w:rPr>
      </w:pPr>
    </w:p>
    <w:p>
      <w:pPr>
        <w:ind w:left="1340" w:hanging="1235"/>
        <w:spacing w:after="0"/>
        <w:tabs>
          <w:tab w:leader="none" w:pos="1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Energy Transition Holdings LLC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0" w:type="dxa"/>
            <w:vAlign w:val="bottom"/>
            <w:tcBorders>
              <w:top w:val="single" w:sz="8" w:color="auto"/>
            </w:tcBorders>
          </w:tcPr>
          <w:p>
            <w:pPr>
              <w:jc w:val="right"/>
              <w:ind w:right="490"/>
              <w:spacing w:after="0" w:line="163" w:lineRule="exact"/>
              <w:rPr>
                <w:sz w:val="20"/>
                <w:szCs w:val="20"/>
                <w:color w:val="auto"/>
              </w:rPr>
            </w:pPr>
            <w:r>
              <w:rPr>
                <w:rFonts w:ascii="Times New Roman" w:cs="Times New Roman" w:eastAsia="Times New Roman" w:hAnsi="Times New Roman"/>
                <w:sz w:val="18"/>
                <w:szCs w:val="18"/>
                <w:b w:val="1"/>
                <w:bCs w:val="1"/>
                <w:color w:val="auto"/>
              </w:rPr>
              <w:t>2</w:t>
            </w:r>
          </w:p>
        </w:tc>
        <w:tc>
          <w:tcPr>
            <w:tcW w:w="7540" w:type="dxa"/>
            <w:vAlign w:val="bottom"/>
            <w:tcBorders>
              <w:top w:val="single" w:sz="8" w:color="auto"/>
            </w:tcBorders>
          </w:tcPr>
          <w:p>
            <w:pPr>
              <w:ind w:left="5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20" w:type="dxa"/>
            <w:vAlign w:val="bottom"/>
            <w:tcBorders>
              <w:top w:val="single" w:sz="8" w:color="auto"/>
            </w:tcBorders>
          </w:tcPr>
          <w:p>
            <w:pPr>
              <w:ind w:left="194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7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920" w:type="dxa"/>
            <w:vAlign w:val="bottom"/>
          </w:tcPr>
          <w:p>
            <w:pPr>
              <w:ind w:left="19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91" w:lineRule="exact"/>
        <w:rPr>
          <w:sz w:val="20"/>
          <w:szCs w:val="20"/>
          <w:color w:val="auto"/>
        </w:rPr>
      </w:pPr>
    </w:p>
    <w:p>
      <w:pPr>
        <w:ind w:left="1340" w:hanging="1235"/>
        <w:spacing w:after="0"/>
        <w:tabs>
          <w:tab w:leader="none" w:pos="1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340" w:hanging="1235"/>
        <w:spacing w:after="0"/>
        <w:tabs>
          <w:tab w:leader="none" w:pos="1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340" w:hanging="1235"/>
        <w:spacing w:after="0" w:line="207" w:lineRule="exact"/>
        <w:tabs>
          <w:tab w:leader="none" w:pos="1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ind w:left="1340" w:hanging="1235"/>
        <w:spacing w:after="0"/>
        <w:tabs>
          <w:tab w:leader="none" w:pos="1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600" w:hanging="998"/>
        <w:spacing w:after="0"/>
        <w:tabs>
          <w:tab w:leader="none" w:pos="46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520" w:type="dxa"/>
            <w:vAlign w:val="bottom"/>
            <w:vMerge w:val="restart"/>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0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52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00" w:type="dxa"/>
            <w:vAlign w:val="bottom"/>
            <w:vMerge w:val="continue"/>
          </w:tcPr>
          <w:p>
            <w:pPr>
              <w:spacing w:after="0"/>
              <w:rPr>
                <w:sz w:val="13"/>
                <w:szCs w:val="13"/>
                <w:color w:val="auto"/>
              </w:rPr>
            </w:pPr>
          </w:p>
        </w:tc>
        <w:tc>
          <w:tcPr>
            <w:tcW w:w="7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00" w:type="dxa"/>
            <w:vAlign w:val="bottom"/>
          </w:tcPr>
          <w:p>
            <w:pPr>
              <w:spacing w:after="0"/>
              <w:rPr>
                <w:sz w:val="18"/>
                <w:szCs w:val="18"/>
                <w:color w:val="auto"/>
              </w:rPr>
            </w:pP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25,559,846</w:t>
            </w:r>
          </w:p>
        </w:tc>
        <w:tc>
          <w:tcPr>
            <w:tcW w:w="0" w:type="dxa"/>
            <w:vAlign w:val="bottom"/>
          </w:tcPr>
          <w:p>
            <w:pPr>
              <w:spacing w:after="0"/>
              <w:rPr>
                <w:sz w:val="1"/>
                <w:szCs w:val="1"/>
                <w:color w:val="auto"/>
              </w:rPr>
            </w:pPr>
          </w:p>
        </w:tc>
      </w:tr>
      <w:tr>
        <w:trPr>
          <w:trHeight w:val="130"/>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700" w:type="dxa"/>
            <w:vAlign w:val="bottom"/>
            <w:tcBorders>
              <w:bottom w:val="single" w:sz="8" w:color="auto"/>
            </w:tcBorders>
          </w:tcPr>
          <w:p>
            <w:pPr>
              <w:spacing w:after="0"/>
              <w:rPr>
                <w:sz w:val="11"/>
                <w:szCs w:val="11"/>
                <w:color w:val="auto"/>
              </w:rPr>
            </w:pPr>
          </w:p>
        </w:tc>
        <w:tc>
          <w:tcPr>
            <w:tcW w:w="70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520" w:type="dxa"/>
            <w:vAlign w:val="bottom"/>
            <w:vMerge w:val="continue"/>
          </w:tcPr>
          <w:p>
            <w:pPr>
              <w:spacing w:after="0"/>
              <w:rPr>
                <w:sz w:val="5"/>
                <w:szCs w:val="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700" w:type="dxa"/>
            <w:vAlign w:val="bottom"/>
            <w:vMerge w:val="continue"/>
          </w:tcPr>
          <w:p>
            <w:pPr>
              <w:spacing w:after="0"/>
              <w:rPr>
                <w:sz w:val="14"/>
                <w:szCs w:val="14"/>
                <w:color w:val="auto"/>
              </w:rPr>
            </w:pPr>
          </w:p>
        </w:tc>
        <w:tc>
          <w:tcPr>
            <w:tcW w:w="7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5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7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700" w:type="dxa"/>
            <w:vAlign w:val="bottom"/>
          </w:tcPr>
          <w:p>
            <w:pPr>
              <w:spacing w:after="0"/>
              <w:rPr>
                <w:sz w:val="18"/>
                <w:szCs w:val="18"/>
                <w:color w:val="auto"/>
              </w:rPr>
            </w:pP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WITH</w:t>
            </w:r>
          </w:p>
        </w:tc>
        <w:tc>
          <w:tcPr>
            <w:tcW w:w="700" w:type="dxa"/>
            <w:vAlign w:val="bottom"/>
            <w:tcBorders>
              <w:bottom w:val="single" w:sz="8" w:color="auto"/>
            </w:tcBorders>
          </w:tcPr>
          <w:p>
            <w:pPr>
              <w:spacing w:after="0"/>
              <w:rPr>
                <w:sz w:val="12"/>
                <w:szCs w:val="12"/>
                <w:color w:val="auto"/>
              </w:rPr>
            </w:pPr>
          </w:p>
        </w:tc>
        <w:tc>
          <w:tcPr>
            <w:tcW w:w="7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52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25,559,846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340" w:hanging="1235"/>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25,559,846</w:t>
      </w:r>
    </w:p>
    <w:p>
      <w:pPr>
        <w:spacing w:after="0" w:line="31" w:lineRule="exact"/>
        <w:rPr>
          <w:rFonts w:ascii="Times New Roman" w:cs="Times New Roman" w:eastAsia="Times New Roman" w:hAnsi="Times New Roman"/>
          <w:sz w:val="18"/>
          <w:szCs w:val="18"/>
          <w:b w:val="1"/>
          <w:bCs w:val="1"/>
          <w:color w:val="auto"/>
        </w:rPr>
      </w:pPr>
    </w:p>
    <w:p>
      <w:pPr>
        <w:ind w:left="1340" w:hanging="1235"/>
        <w:spacing w:after="0" w:line="207" w:lineRule="exact"/>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36" w:lineRule="exact"/>
        <w:rPr>
          <w:rFonts w:ascii="Times New Roman" w:cs="Times New Roman" w:eastAsia="Times New Roman" w:hAnsi="Times New Roman"/>
          <w:sz w:val="18"/>
          <w:szCs w:val="18"/>
          <w:b w:val="1"/>
          <w:bCs w:val="1"/>
          <w:color w:val="auto"/>
        </w:rPr>
      </w:pPr>
    </w:p>
    <w:p>
      <w:pPr>
        <w:ind w:left="1340" w:hanging="1235"/>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12.2%</w:t>
      </w:r>
    </w:p>
    <w:p>
      <w:pPr>
        <w:spacing w:after="0" w:line="31" w:lineRule="exact"/>
        <w:rPr>
          <w:rFonts w:ascii="Times New Roman" w:cs="Times New Roman" w:eastAsia="Times New Roman" w:hAnsi="Times New Roman"/>
          <w:sz w:val="18"/>
          <w:szCs w:val="18"/>
          <w:b w:val="1"/>
          <w:bCs w:val="1"/>
          <w:color w:val="auto"/>
        </w:rPr>
      </w:pPr>
    </w:p>
    <w:p>
      <w:pPr>
        <w:ind w:left="1340" w:hanging="1235"/>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-1231265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644393100</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2 of 8 pages</w:t>
            </w:r>
          </w:p>
        </w:tc>
      </w:tr>
    </w:tbl>
    <w:p>
      <w:pPr>
        <w:spacing w:after="0" w:line="211" w:lineRule="exact"/>
        <w:rPr>
          <w:sz w:val="20"/>
          <w:szCs w:val="20"/>
          <w:color w:val="auto"/>
        </w:rPr>
      </w:pPr>
    </w:p>
    <w:p>
      <w:pPr>
        <w:ind w:left="1340" w:hanging="1235"/>
        <w:spacing w:after="0"/>
        <w:tabs>
          <w:tab w:leader="none" w:pos="1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Great Mountain Partners LLC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0" w:type="dxa"/>
            <w:vAlign w:val="bottom"/>
            <w:tcBorders>
              <w:top w:val="single" w:sz="8" w:color="auto"/>
            </w:tcBorders>
          </w:tcPr>
          <w:p>
            <w:pPr>
              <w:jc w:val="right"/>
              <w:ind w:right="490"/>
              <w:spacing w:after="0" w:line="163" w:lineRule="exact"/>
              <w:rPr>
                <w:sz w:val="20"/>
                <w:szCs w:val="20"/>
                <w:color w:val="auto"/>
              </w:rPr>
            </w:pPr>
            <w:r>
              <w:rPr>
                <w:rFonts w:ascii="Times New Roman" w:cs="Times New Roman" w:eastAsia="Times New Roman" w:hAnsi="Times New Roman"/>
                <w:sz w:val="18"/>
                <w:szCs w:val="18"/>
                <w:b w:val="1"/>
                <w:bCs w:val="1"/>
                <w:color w:val="auto"/>
              </w:rPr>
              <w:t>2</w:t>
            </w:r>
          </w:p>
        </w:tc>
        <w:tc>
          <w:tcPr>
            <w:tcW w:w="7540" w:type="dxa"/>
            <w:vAlign w:val="bottom"/>
            <w:tcBorders>
              <w:top w:val="single" w:sz="8" w:color="auto"/>
            </w:tcBorders>
          </w:tcPr>
          <w:p>
            <w:pPr>
              <w:ind w:left="5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20" w:type="dxa"/>
            <w:vAlign w:val="bottom"/>
            <w:tcBorders>
              <w:top w:val="single" w:sz="8" w:color="auto"/>
            </w:tcBorders>
          </w:tcPr>
          <w:p>
            <w:pPr>
              <w:ind w:left="194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7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920" w:type="dxa"/>
            <w:vAlign w:val="bottom"/>
          </w:tcPr>
          <w:p>
            <w:pPr>
              <w:ind w:left="19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91" w:lineRule="exact"/>
        <w:rPr>
          <w:sz w:val="20"/>
          <w:szCs w:val="20"/>
          <w:color w:val="auto"/>
        </w:rPr>
      </w:pPr>
    </w:p>
    <w:p>
      <w:pPr>
        <w:ind w:left="1340" w:hanging="1235"/>
        <w:spacing w:after="0"/>
        <w:tabs>
          <w:tab w:leader="none" w:pos="1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340" w:hanging="1235"/>
        <w:spacing w:after="0"/>
        <w:tabs>
          <w:tab w:leader="none" w:pos="1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340" w:hanging="1235"/>
        <w:spacing w:after="0" w:line="207" w:lineRule="exact"/>
        <w:tabs>
          <w:tab w:leader="none" w:pos="1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ind w:left="1340" w:hanging="1235"/>
        <w:spacing w:after="0"/>
        <w:tabs>
          <w:tab w:leader="none" w:pos="1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600" w:hanging="998"/>
        <w:spacing w:after="0"/>
        <w:tabs>
          <w:tab w:leader="none" w:pos="46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520" w:type="dxa"/>
            <w:vAlign w:val="bottom"/>
            <w:vMerge w:val="restart"/>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0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52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00" w:type="dxa"/>
            <w:vAlign w:val="bottom"/>
            <w:vMerge w:val="continue"/>
          </w:tcPr>
          <w:p>
            <w:pPr>
              <w:spacing w:after="0"/>
              <w:rPr>
                <w:sz w:val="13"/>
                <w:szCs w:val="13"/>
                <w:color w:val="auto"/>
              </w:rPr>
            </w:pPr>
          </w:p>
        </w:tc>
        <w:tc>
          <w:tcPr>
            <w:tcW w:w="7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00" w:type="dxa"/>
            <w:vAlign w:val="bottom"/>
          </w:tcPr>
          <w:p>
            <w:pPr>
              <w:spacing w:after="0"/>
              <w:rPr>
                <w:sz w:val="18"/>
                <w:szCs w:val="18"/>
                <w:color w:val="auto"/>
              </w:rPr>
            </w:pP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25,559,846</w:t>
            </w:r>
          </w:p>
        </w:tc>
        <w:tc>
          <w:tcPr>
            <w:tcW w:w="0" w:type="dxa"/>
            <w:vAlign w:val="bottom"/>
          </w:tcPr>
          <w:p>
            <w:pPr>
              <w:spacing w:after="0"/>
              <w:rPr>
                <w:sz w:val="1"/>
                <w:szCs w:val="1"/>
                <w:color w:val="auto"/>
              </w:rPr>
            </w:pPr>
          </w:p>
        </w:tc>
      </w:tr>
      <w:tr>
        <w:trPr>
          <w:trHeight w:val="130"/>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700" w:type="dxa"/>
            <w:vAlign w:val="bottom"/>
            <w:tcBorders>
              <w:bottom w:val="single" w:sz="8" w:color="auto"/>
            </w:tcBorders>
          </w:tcPr>
          <w:p>
            <w:pPr>
              <w:spacing w:after="0"/>
              <w:rPr>
                <w:sz w:val="11"/>
                <w:szCs w:val="11"/>
                <w:color w:val="auto"/>
              </w:rPr>
            </w:pPr>
          </w:p>
        </w:tc>
        <w:tc>
          <w:tcPr>
            <w:tcW w:w="70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520" w:type="dxa"/>
            <w:vAlign w:val="bottom"/>
            <w:vMerge w:val="continue"/>
          </w:tcPr>
          <w:p>
            <w:pPr>
              <w:spacing w:after="0"/>
              <w:rPr>
                <w:sz w:val="5"/>
                <w:szCs w:val="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700" w:type="dxa"/>
            <w:vAlign w:val="bottom"/>
            <w:vMerge w:val="continue"/>
          </w:tcPr>
          <w:p>
            <w:pPr>
              <w:spacing w:after="0"/>
              <w:rPr>
                <w:sz w:val="14"/>
                <w:szCs w:val="14"/>
                <w:color w:val="auto"/>
              </w:rPr>
            </w:pPr>
          </w:p>
        </w:tc>
        <w:tc>
          <w:tcPr>
            <w:tcW w:w="7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5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7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700" w:type="dxa"/>
            <w:vAlign w:val="bottom"/>
          </w:tcPr>
          <w:p>
            <w:pPr>
              <w:spacing w:after="0"/>
              <w:rPr>
                <w:sz w:val="18"/>
                <w:szCs w:val="18"/>
                <w:color w:val="auto"/>
              </w:rPr>
            </w:pP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WITH</w:t>
            </w:r>
          </w:p>
        </w:tc>
        <w:tc>
          <w:tcPr>
            <w:tcW w:w="700" w:type="dxa"/>
            <w:vAlign w:val="bottom"/>
            <w:tcBorders>
              <w:bottom w:val="single" w:sz="8" w:color="auto"/>
            </w:tcBorders>
          </w:tcPr>
          <w:p>
            <w:pPr>
              <w:spacing w:after="0"/>
              <w:rPr>
                <w:sz w:val="12"/>
                <w:szCs w:val="12"/>
                <w:color w:val="auto"/>
              </w:rPr>
            </w:pPr>
          </w:p>
        </w:tc>
        <w:tc>
          <w:tcPr>
            <w:tcW w:w="7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52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25,559,846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340" w:hanging="1235"/>
        <w:spacing w:after="0"/>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25,559,846</w:t>
      </w:r>
    </w:p>
    <w:p>
      <w:pPr>
        <w:spacing w:after="0" w:line="31" w:lineRule="exact"/>
        <w:rPr>
          <w:rFonts w:ascii="Times New Roman" w:cs="Times New Roman" w:eastAsia="Times New Roman" w:hAnsi="Times New Roman"/>
          <w:sz w:val="18"/>
          <w:szCs w:val="18"/>
          <w:b w:val="1"/>
          <w:bCs w:val="1"/>
          <w:color w:val="auto"/>
        </w:rPr>
      </w:pPr>
    </w:p>
    <w:p>
      <w:pPr>
        <w:ind w:left="1340" w:hanging="1235"/>
        <w:spacing w:after="0" w:line="207" w:lineRule="exact"/>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1340" w:hanging="1235"/>
        <w:spacing w:after="0"/>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12.2%</w:t>
      </w:r>
    </w:p>
    <w:p>
      <w:pPr>
        <w:spacing w:after="0" w:line="31" w:lineRule="exact"/>
        <w:rPr>
          <w:rFonts w:ascii="Times New Roman" w:cs="Times New Roman" w:eastAsia="Times New Roman" w:hAnsi="Times New Roman"/>
          <w:sz w:val="18"/>
          <w:szCs w:val="18"/>
          <w:b w:val="1"/>
          <w:bCs w:val="1"/>
          <w:color w:val="auto"/>
        </w:rPr>
      </w:pPr>
    </w:p>
    <w:p>
      <w:pPr>
        <w:ind w:left="1340" w:hanging="1235"/>
        <w:spacing w:after="0"/>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644393100</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3 of 8 pages</w:t>
            </w:r>
          </w:p>
        </w:tc>
      </w:tr>
    </w:tbl>
    <w:p>
      <w:pPr>
        <w:spacing w:after="0" w:line="211" w:lineRule="exact"/>
        <w:rPr>
          <w:sz w:val="20"/>
          <w:szCs w:val="20"/>
          <w:color w:val="auto"/>
        </w:rPr>
      </w:pPr>
    </w:p>
    <w:p>
      <w:pPr>
        <w:ind w:left="1340" w:hanging="1235"/>
        <w:spacing w:after="0"/>
        <w:tabs>
          <w:tab w:leader="none" w:pos="1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Jonathan Rotolo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0" w:type="dxa"/>
            <w:vAlign w:val="bottom"/>
            <w:tcBorders>
              <w:top w:val="single" w:sz="8" w:color="auto"/>
            </w:tcBorders>
          </w:tcPr>
          <w:p>
            <w:pPr>
              <w:jc w:val="right"/>
              <w:ind w:right="490"/>
              <w:spacing w:after="0" w:line="163" w:lineRule="exact"/>
              <w:rPr>
                <w:sz w:val="20"/>
                <w:szCs w:val="20"/>
                <w:color w:val="auto"/>
              </w:rPr>
            </w:pPr>
            <w:r>
              <w:rPr>
                <w:rFonts w:ascii="Times New Roman" w:cs="Times New Roman" w:eastAsia="Times New Roman" w:hAnsi="Times New Roman"/>
                <w:sz w:val="18"/>
                <w:szCs w:val="18"/>
                <w:b w:val="1"/>
                <w:bCs w:val="1"/>
                <w:color w:val="auto"/>
              </w:rPr>
              <w:t>2</w:t>
            </w:r>
          </w:p>
        </w:tc>
        <w:tc>
          <w:tcPr>
            <w:tcW w:w="7540" w:type="dxa"/>
            <w:vAlign w:val="bottom"/>
            <w:tcBorders>
              <w:top w:val="single" w:sz="8" w:color="auto"/>
            </w:tcBorders>
          </w:tcPr>
          <w:p>
            <w:pPr>
              <w:ind w:left="5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20" w:type="dxa"/>
            <w:vAlign w:val="bottom"/>
            <w:tcBorders>
              <w:top w:val="single" w:sz="8" w:color="auto"/>
            </w:tcBorders>
          </w:tcPr>
          <w:p>
            <w:pPr>
              <w:ind w:left="194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7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920" w:type="dxa"/>
            <w:vAlign w:val="bottom"/>
          </w:tcPr>
          <w:p>
            <w:pPr>
              <w:ind w:left="19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91" w:lineRule="exact"/>
        <w:rPr>
          <w:sz w:val="20"/>
          <w:szCs w:val="20"/>
          <w:color w:val="auto"/>
        </w:rPr>
      </w:pPr>
    </w:p>
    <w:p>
      <w:pPr>
        <w:ind w:left="1340" w:hanging="1235"/>
        <w:spacing w:after="0"/>
        <w:tabs>
          <w:tab w:leader="none" w:pos="1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340" w:hanging="1235"/>
        <w:spacing w:after="0"/>
        <w:tabs>
          <w:tab w:leader="none" w:pos="1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340" w:hanging="1235"/>
        <w:spacing w:after="0" w:line="207" w:lineRule="exact"/>
        <w:tabs>
          <w:tab w:leader="none" w:pos="1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ind w:left="1340" w:hanging="1235"/>
        <w:spacing w:after="0"/>
        <w:tabs>
          <w:tab w:leader="none" w:pos="1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600" w:hanging="998"/>
        <w:spacing w:after="0"/>
        <w:tabs>
          <w:tab w:leader="none" w:pos="46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520" w:type="dxa"/>
            <w:vAlign w:val="bottom"/>
            <w:vMerge w:val="restart"/>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0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52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00" w:type="dxa"/>
            <w:vAlign w:val="bottom"/>
            <w:vMerge w:val="continue"/>
          </w:tcPr>
          <w:p>
            <w:pPr>
              <w:spacing w:after="0"/>
              <w:rPr>
                <w:sz w:val="13"/>
                <w:szCs w:val="13"/>
                <w:color w:val="auto"/>
              </w:rPr>
            </w:pPr>
          </w:p>
        </w:tc>
        <w:tc>
          <w:tcPr>
            <w:tcW w:w="7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00" w:type="dxa"/>
            <w:vAlign w:val="bottom"/>
          </w:tcPr>
          <w:p>
            <w:pPr>
              <w:spacing w:after="0"/>
              <w:rPr>
                <w:sz w:val="18"/>
                <w:szCs w:val="18"/>
                <w:color w:val="auto"/>
              </w:rPr>
            </w:pP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25,559,846</w:t>
            </w:r>
          </w:p>
        </w:tc>
        <w:tc>
          <w:tcPr>
            <w:tcW w:w="0" w:type="dxa"/>
            <w:vAlign w:val="bottom"/>
          </w:tcPr>
          <w:p>
            <w:pPr>
              <w:spacing w:after="0"/>
              <w:rPr>
                <w:sz w:val="1"/>
                <w:szCs w:val="1"/>
                <w:color w:val="auto"/>
              </w:rPr>
            </w:pPr>
          </w:p>
        </w:tc>
      </w:tr>
      <w:tr>
        <w:trPr>
          <w:trHeight w:val="130"/>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700" w:type="dxa"/>
            <w:vAlign w:val="bottom"/>
            <w:tcBorders>
              <w:bottom w:val="single" w:sz="8" w:color="auto"/>
            </w:tcBorders>
          </w:tcPr>
          <w:p>
            <w:pPr>
              <w:spacing w:after="0"/>
              <w:rPr>
                <w:sz w:val="11"/>
                <w:szCs w:val="11"/>
                <w:color w:val="auto"/>
              </w:rPr>
            </w:pPr>
          </w:p>
        </w:tc>
        <w:tc>
          <w:tcPr>
            <w:tcW w:w="70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520" w:type="dxa"/>
            <w:vAlign w:val="bottom"/>
            <w:vMerge w:val="continue"/>
          </w:tcPr>
          <w:p>
            <w:pPr>
              <w:spacing w:after="0"/>
              <w:rPr>
                <w:sz w:val="5"/>
                <w:szCs w:val="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700" w:type="dxa"/>
            <w:vAlign w:val="bottom"/>
            <w:vMerge w:val="continue"/>
          </w:tcPr>
          <w:p>
            <w:pPr>
              <w:spacing w:after="0"/>
              <w:rPr>
                <w:sz w:val="14"/>
                <w:szCs w:val="14"/>
                <w:color w:val="auto"/>
              </w:rPr>
            </w:pPr>
          </w:p>
        </w:tc>
        <w:tc>
          <w:tcPr>
            <w:tcW w:w="7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5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7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700" w:type="dxa"/>
            <w:vAlign w:val="bottom"/>
          </w:tcPr>
          <w:p>
            <w:pPr>
              <w:spacing w:after="0"/>
              <w:rPr>
                <w:sz w:val="18"/>
                <w:szCs w:val="18"/>
                <w:color w:val="auto"/>
              </w:rPr>
            </w:pP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WITH</w:t>
            </w:r>
          </w:p>
        </w:tc>
        <w:tc>
          <w:tcPr>
            <w:tcW w:w="700" w:type="dxa"/>
            <w:vAlign w:val="bottom"/>
            <w:tcBorders>
              <w:bottom w:val="single" w:sz="8" w:color="auto"/>
            </w:tcBorders>
          </w:tcPr>
          <w:p>
            <w:pPr>
              <w:spacing w:after="0"/>
              <w:rPr>
                <w:sz w:val="12"/>
                <w:szCs w:val="12"/>
                <w:color w:val="auto"/>
              </w:rPr>
            </w:pPr>
          </w:p>
        </w:tc>
        <w:tc>
          <w:tcPr>
            <w:tcW w:w="7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52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25,559,846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340" w:hanging="1235"/>
        <w:spacing w:after="0"/>
        <w:tabs>
          <w:tab w:leader="none" w:pos="1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25,559,846</w:t>
      </w:r>
    </w:p>
    <w:p>
      <w:pPr>
        <w:spacing w:after="0" w:line="31" w:lineRule="exact"/>
        <w:rPr>
          <w:rFonts w:ascii="Times New Roman" w:cs="Times New Roman" w:eastAsia="Times New Roman" w:hAnsi="Times New Roman"/>
          <w:sz w:val="18"/>
          <w:szCs w:val="18"/>
          <w:b w:val="1"/>
          <w:bCs w:val="1"/>
          <w:color w:val="auto"/>
        </w:rPr>
      </w:pPr>
    </w:p>
    <w:p>
      <w:pPr>
        <w:ind w:left="1340" w:hanging="1235"/>
        <w:spacing w:after="0" w:line="207" w:lineRule="exact"/>
        <w:tabs>
          <w:tab w:leader="none" w:pos="1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1340" w:hanging="1235"/>
        <w:spacing w:after="0"/>
        <w:tabs>
          <w:tab w:leader="none" w:pos="1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12.2%</w:t>
      </w:r>
    </w:p>
    <w:p>
      <w:pPr>
        <w:spacing w:after="0" w:line="31" w:lineRule="exact"/>
        <w:rPr>
          <w:rFonts w:ascii="Times New Roman" w:cs="Times New Roman" w:eastAsia="Times New Roman" w:hAnsi="Times New Roman"/>
          <w:sz w:val="18"/>
          <w:szCs w:val="18"/>
          <w:b w:val="1"/>
          <w:bCs w:val="1"/>
          <w:color w:val="auto"/>
        </w:rPr>
      </w:pPr>
    </w:p>
    <w:p>
      <w:pPr>
        <w:ind w:left="1340" w:hanging="1235"/>
        <w:spacing w:after="0"/>
        <w:tabs>
          <w:tab w:leader="none" w:pos="1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644393100</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4 of 8 pages</w:t>
            </w:r>
          </w:p>
        </w:tc>
      </w:tr>
    </w:tbl>
    <w:p>
      <w:pPr>
        <w:spacing w:after="0" w:line="211" w:lineRule="exact"/>
        <w:rPr>
          <w:sz w:val="20"/>
          <w:szCs w:val="20"/>
          <w:color w:val="auto"/>
        </w:rPr>
      </w:pPr>
    </w:p>
    <w:p>
      <w:pPr>
        <w:ind w:left="1340" w:hanging="1235"/>
        <w:spacing w:after="0"/>
        <w:tabs>
          <w:tab w:leader="none" w:pos="1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Alexander Thomson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0" w:type="dxa"/>
            <w:vAlign w:val="bottom"/>
            <w:tcBorders>
              <w:top w:val="single" w:sz="8" w:color="auto"/>
            </w:tcBorders>
          </w:tcPr>
          <w:p>
            <w:pPr>
              <w:jc w:val="right"/>
              <w:ind w:right="490"/>
              <w:spacing w:after="0" w:line="163" w:lineRule="exact"/>
              <w:rPr>
                <w:sz w:val="20"/>
                <w:szCs w:val="20"/>
                <w:color w:val="auto"/>
              </w:rPr>
            </w:pPr>
            <w:r>
              <w:rPr>
                <w:rFonts w:ascii="Times New Roman" w:cs="Times New Roman" w:eastAsia="Times New Roman" w:hAnsi="Times New Roman"/>
                <w:sz w:val="18"/>
                <w:szCs w:val="18"/>
                <w:b w:val="1"/>
                <w:bCs w:val="1"/>
                <w:color w:val="auto"/>
              </w:rPr>
              <w:t>2</w:t>
            </w:r>
          </w:p>
        </w:tc>
        <w:tc>
          <w:tcPr>
            <w:tcW w:w="7540" w:type="dxa"/>
            <w:vAlign w:val="bottom"/>
            <w:tcBorders>
              <w:top w:val="single" w:sz="8" w:color="auto"/>
            </w:tcBorders>
          </w:tcPr>
          <w:p>
            <w:pPr>
              <w:ind w:left="5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20" w:type="dxa"/>
            <w:vAlign w:val="bottom"/>
            <w:tcBorders>
              <w:top w:val="single" w:sz="8" w:color="auto"/>
            </w:tcBorders>
          </w:tcPr>
          <w:p>
            <w:pPr>
              <w:ind w:left="194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7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920" w:type="dxa"/>
            <w:vAlign w:val="bottom"/>
          </w:tcPr>
          <w:p>
            <w:pPr>
              <w:ind w:left="19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91" w:lineRule="exact"/>
        <w:rPr>
          <w:sz w:val="20"/>
          <w:szCs w:val="20"/>
          <w:color w:val="auto"/>
        </w:rPr>
      </w:pPr>
    </w:p>
    <w:p>
      <w:pPr>
        <w:ind w:left="1340" w:hanging="1235"/>
        <w:spacing w:after="0"/>
        <w:tabs>
          <w:tab w:leader="none" w:pos="1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340" w:hanging="1235"/>
        <w:spacing w:after="0"/>
        <w:tabs>
          <w:tab w:leader="none" w:pos="1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340" w:hanging="1235"/>
        <w:spacing w:after="0" w:line="207" w:lineRule="exact"/>
        <w:tabs>
          <w:tab w:leader="none" w:pos="1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ind w:left="1340" w:hanging="1235"/>
        <w:spacing w:after="0"/>
        <w:tabs>
          <w:tab w:leader="none" w:pos="1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600" w:hanging="998"/>
        <w:spacing w:after="0"/>
        <w:tabs>
          <w:tab w:leader="none" w:pos="46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520" w:type="dxa"/>
            <w:vAlign w:val="bottom"/>
            <w:vMerge w:val="restart"/>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0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52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00" w:type="dxa"/>
            <w:vAlign w:val="bottom"/>
            <w:vMerge w:val="continue"/>
          </w:tcPr>
          <w:p>
            <w:pPr>
              <w:spacing w:after="0"/>
              <w:rPr>
                <w:sz w:val="13"/>
                <w:szCs w:val="13"/>
                <w:color w:val="auto"/>
              </w:rPr>
            </w:pPr>
          </w:p>
        </w:tc>
        <w:tc>
          <w:tcPr>
            <w:tcW w:w="7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00" w:type="dxa"/>
            <w:vAlign w:val="bottom"/>
          </w:tcPr>
          <w:p>
            <w:pPr>
              <w:spacing w:after="0"/>
              <w:rPr>
                <w:sz w:val="18"/>
                <w:szCs w:val="18"/>
                <w:color w:val="auto"/>
              </w:rPr>
            </w:pP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25,559,846</w:t>
            </w:r>
          </w:p>
        </w:tc>
        <w:tc>
          <w:tcPr>
            <w:tcW w:w="0" w:type="dxa"/>
            <w:vAlign w:val="bottom"/>
          </w:tcPr>
          <w:p>
            <w:pPr>
              <w:spacing w:after="0"/>
              <w:rPr>
                <w:sz w:val="1"/>
                <w:szCs w:val="1"/>
                <w:color w:val="auto"/>
              </w:rPr>
            </w:pPr>
          </w:p>
        </w:tc>
      </w:tr>
      <w:tr>
        <w:trPr>
          <w:trHeight w:val="130"/>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700" w:type="dxa"/>
            <w:vAlign w:val="bottom"/>
            <w:tcBorders>
              <w:bottom w:val="single" w:sz="8" w:color="auto"/>
            </w:tcBorders>
          </w:tcPr>
          <w:p>
            <w:pPr>
              <w:spacing w:after="0"/>
              <w:rPr>
                <w:sz w:val="11"/>
                <w:szCs w:val="11"/>
                <w:color w:val="auto"/>
              </w:rPr>
            </w:pPr>
          </w:p>
        </w:tc>
        <w:tc>
          <w:tcPr>
            <w:tcW w:w="70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520" w:type="dxa"/>
            <w:vAlign w:val="bottom"/>
            <w:vMerge w:val="continue"/>
          </w:tcPr>
          <w:p>
            <w:pPr>
              <w:spacing w:after="0"/>
              <w:rPr>
                <w:sz w:val="5"/>
                <w:szCs w:val="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700" w:type="dxa"/>
            <w:vAlign w:val="bottom"/>
            <w:vMerge w:val="continue"/>
          </w:tcPr>
          <w:p>
            <w:pPr>
              <w:spacing w:after="0"/>
              <w:rPr>
                <w:sz w:val="14"/>
                <w:szCs w:val="14"/>
                <w:color w:val="auto"/>
              </w:rPr>
            </w:pPr>
          </w:p>
        </w:tc>
        <w:tc>
          <w:tcPr>
            <w:tcW w:w="7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5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7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700" w:type="dxa"/>
            <w:vAlign w:val="bottom"/>
          </w:tcPr>
          <w:p>
            <w:pPr>
              <w:spacing w:after="0"/>
              <w:rPr>
                <w:sz w:val="18"/>
                <w:szCs w:val="18"/>
                <w:color w:val="auto"/>
              </w:rPr>
            </w:pP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52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WITH</w:t>
            </w:r>
          </w:p>
        </w:tc>
        <w:tc>
          <w:tcPr>
            <w:tcW w:w="700" w:type="dxa"/>
            <w:vAlign w:val="bottom"/>
            <w:tcBorders>
              <w:bottom w:val="single" w:sz="8" w:color="auto"/>
            </w:tcBorders>
          </w:tcPr>
          <w:p>
            <w:pPr>
              <w:spacing w:after="0"/>
              <w:rPr>
                <w:sz w:val="12"/>
                <w:szCs w:val="12"/>
                <w:color w:val="auto"/>
              </w:rPr>
            </w:pPr>
          </w:p>
        </w:tc>
        <w:tc>
          <w:tcPr>
            <w:tcW w:w="7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52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25,559,846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340" w:hanging="1235"/>
        <w:spacing w:after="0"/>
        <w:tabs>
          <w:tab w:leader="none" w:pos="1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25,559,846</w:t>
      </w:r>
    </w:p>
    <w:p>
      <w:pPr>
        <w:spacing w:after="0" w:line="31" w:lineRule="exact"/>
        <w:rPr>
          <w:rFonts w:ascii="Times New Roman" w:cs="Times New Roman" w:eastAsia="Times New Roman" w:hAnsi="Times New Roman"/>
          <w:sz w:val="18"/>
          <w:szCs w:val="18"/>
          <w:b w:val="1"/>
          <w:bCs w:val="1"/>
          <w:color w:val="auto"/>
        </w:rPr>
      </w:pPr>
    </w:p>
    <w:p>
      <w:pPr>
        <w:ind w:left="1340" w:hanging="1235"/>
        <w:spacing w:after="0" w:line="207" w:lineRule="exact"/>
        <w:tabs>
          <w:tab w:leader="none" w:pos="1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1340" w:hanging="1235"/>
        <w:spacing w:after="0"/>
        <w:tabs>
          <w:tab w:leader="none" w:pos="1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12.2%</w:t>
      </w:r>
    </w:p>
    <w:p>
      <w:pPr>
        <w:spacing w:after="0" w:line="31" w:lineRule="exact"/>
        <w:rPr>
          <w:rFonts w:ascii="Times New Roman" w:cs="Times New Roman" w:eastAsia="Times New Roman" w:hAnsi="Times New Roman"/>
          <w:sz w:val="18"/>
          <w:szCs w:val="18"/>
          <w:b w:val="1"/>
          <w:bCs w:val="1"/>
          <w:color w:val="auto"/>
        </w:rPr>
      </w:pPr>
    </w:p>
    <w:p>
      <w:pPr>
        <w:ind w:left="1340" w:hanging="1235"/>
        <w:spacing w:after="0"/>
        <w:tabs>
          <w:tab w:leader="none" w:pos="1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644393100</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5 of 8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Amendment No. 3 to Schedule 13D (“Amendment No. 3”) amends and supplements the Schedule 13D originally filed with the United States Securities and Exchange Commission on June 19, 2020 (as amended to date, the “Schedule 13D”), relating to the shares of Class A Common Stock, par value $0.01 per share (the “Class A Common Stock”), of New Fortress Energy Inc., a Delaware corporation (the “Issuer”). Capitalized terms used herein without definition shall have the meanings set forth in the Schedule 13D.</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inserting the following information:</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On December 19, 2022, Energy Transition Holdings LLC sold 6,900,000 shares of Class A Common Stock at a price of $45.56 per share (the “Offering”) to J.P. Morgan Securities LLC (the “Underwriter”) pursuant to the terms and conditions of the underwriting agreement dated as of December 14, 2022 (the “Underwriting Agreement”), by and among Energy Transition Holdings LLC, the Issuer and the Underwriter.</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Underwriting Agreement, Energy Transition Holdings LLC has agreed that it will not dispose of or hedge any of its Class A Common Stock or securities convertible into or exchangeable for Class A Common Stock during the period ending 60 days after the date of the final prospectus used in connection with the Offering, subject to certain exceptions.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Underwriting Agreement, which is filed as an exhibit to this Schedule 13D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644393100</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6 of 8 pages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in its entirety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sets forth, as of the date of this Schedule 13D, the aggregate number of shares of Class A Common Stock and percentage of Class A Common Stock beneficially owned by each of the Reporting Persons, as well as the number of shares of Class A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208,770,088 shares of Class A Common Stock outstanding as of December 13,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Borders>
              <w:top w:val="single" w:sz="8" w:color="4BACC6"/>
            </w:tcBorders>
          </w:tcPr>
          <w:p>
            <w:pPr>
              <w:spacing w:after="0"/>
              <w:rPr>
                <w:sz w:val="18"/>
                <w:szCs w:val="18"/>
                <w:color w:val="auto"/>
              </w:rPr>
            </w:pPr>
          </w:p>
        </w:tc>
        <w:tc>
          <w:tcPr>
            <w:tcW w:w="1760" w:type="dxa"/>
            <w:vAlign w:val="bottom"/>
            <w:tcBorders>
              <w:top w:val="single" w:sz="8" w:color="4BACC6"/>
            </w:tcBorders>
          </w:tcPr>
          <w:p>
            <w:pPr>
              <w:spacing w:after="0"/>
              <w:rPr>
                <w:sz w:val="18"/>
                <w:szCs w:val="18"/>
                <w:color w:val="auto"/>
              </w:rPr>
            </w:pPr>
          </w:p>
        </w:tc>
        <w:tc>
          <w:tcPr>
            <w:tcW w:w="1120" w:type="dxa"/>
            <w:vAlign w:val="bottom"/>
            <w:tcBorders>
              <w:top w:val="single" w:sz="8" w:color="4BACC6"/>
            </w:tcBorders>
          </w:tcPr>
          <w:p>
            <w:pPr>
              <w:spacing w:after="0"/>
              <w:rPr>
                <w:sz w:val="18"/>
                <w:szCs w:val="18"/>
                <w:color w:val="auto"/>
              </w:rPr>
            </w:pPr>
          </w:p>
        </w:tc>
        <w:tc>
          <w:tcPr>
            <w:tcW w:w="1300" w:type="dxa"/>
            <w:vAlign w:val="bottom"/>
            <w:tcBorders>
              <w:top w:val="single" w:sz="8" w:color="4BACC6"/>
            </w:tcBorders>
          </w:tcPr>
          <w:p>
            <w:pPr>
              <w:spacing w:after="0"/>
              <w:rPr>
                <w:sz w:val="18"/>
                <w:szCs w:val="18"/>
                <w:color w:val="auto"/>
              </w:rPr>
            </w:pPr>
          </w:p>
        </w:tc>
        <w:tc>
          <w:tcPr>
            <w:tcW w:w="1140" w:type="dxa"/>
            <w:vAlign w:val="bottom"/>
            <w:tcBorders>
              <w:top w:val="single" w:sz="8" w:color="4BACC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360" w:type="dxa"/>
            <w:vAlign w:val="bottom"/>
            <w:tcBorders>
              <w:top w:val="single" w:sz="8" w:color="4BACC6"/>
            </w:tcBorders>
          </w:tcPr>
          <w:p>
            <w:pPr>
              <w:spacing w:after="0"/>
              <w:rPr>
                <w:sz w:val="18"/>
                <w:szCs w:val="18"/>
                <w:color w:val="auto"/>
              </w:rPr>
            </w:pPr>
          </w:p>
        </w:tc>
        <w:tc>
          <w:tcPr>
            <w:tcW w:w="1460" w:type="dxa"/>
            <w:vAlign w:val="bottom"/>
            <w:tcBorders>
              <w:top w:val="single" w:sz="8" w:color="4BACC6"/>
            </w:tcBorders>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 to</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Shared power</w:t>
            </w:r>
          </w:p>
        </w:tc>
      </w:tr>
      <w:tr>
        <w:trPr>
          <w:trHeight w:val="216"/>
        </w:trPr>
        <w:tc>
          <w:tcPr>
            <w:tcW w:w="3100" w:type="dxa"/>
            <w:vAlign w:val="bottom"/>
          </w:tcPr>
          <w:p>
            <w:pPr>
              <w:spacing w:after="0"/>
              <w:rPr>
                <w:sz w:val="18"/>
                <w:szCs w:val="18"/>
                <w:color w:val="auto"/>
              </w:rPr>
            </w:pPr>
          </w:p>
        </w:tc>
        <w:tc>
          <w:tcPr>
            <w:tcW w:w="17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 or to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 or to</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dispose or to</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dispose or to</w:t>
            </w:r>
          </w:p>
        </w:tc>
      </w:tr>
      <w:tr>
        <w:trPr>
          <w:trHeight w:val="216"/>
        </w:trPr>
        <w:tc>
          <w:tcPr>
            <w:tcW w:w="3100" w:type="dxa"/>
            <w:vAlign w:val="bottom"/>
          </w:tcPr>
          <w:p>
            <w:pPr>
              <w:spacing w:after="0"/>
              <w:rPr>
                <w:sz w:val="18"/>
                <w:szCs w:val="18"/>
                <w:color w:val="auto"/>
              </w:rPr>
            </w:pP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direct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 the</w:t>
            </w:r>
          </w:p>
        </w:tc>
      </w:tr>
      <w:tr>
        <w:trPr>
          <w:trHeight w:val="238"/>
        </w:trPr>
        <w:tc>
          <w:tcPr>
            <w:tcW w:w="3100" w:type="dxa"/>
            <w:vAlign w:val="bottom"/>
            <w:tcBorders>
              <w:bottom w:val="single" w:sz="8" w:color="4BACC6"/>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760" w:type="dxa"/>
            <w:vAlign w:val="bottom"/>
            <w:tcBorders>
              <w:bottom w:val="single" w:sz="8" w:color="4BACC6"/>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120" w:type="dxa"/>
            <w:vAlign w:val="bottom"/>
            <w:tcBorders>
              <w:bottom w:val="single" w:sz="8" w:color="4BACC6"/>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1300" w:type="dxa"/>
            <w:vAlign w:val="bottom"/>
            <w:tcBorders>
              <w:bottom w:val="single" w:sz="8" w:color="4BACC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1140" w:type="dxa"/>
            <w:vAlign w:val="bottom"/>
            <w:tcBorders>
              <w:bottom w:val="single" w:sz="8" w:color="4BACC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1360" w:type="dxa"/>
            <w:vAlign w:val="bottom"/>
            <w:tcBorders>
              <w:bottom w:val="single" w:sz="8" w:color="4BACC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c>
          <w:tcPr>
            <w:tcW w:w="1460" w:type="dxa"/>
            <w:vAlign w:val="bottom"/>
            <w:tcBorders>
              <w:bottom w:val="single" w:sz="8" w:color="4BACC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r>
      <w:tr>
        <w:trPr>
          <w:trHeight w:val="209"/>
        </w:trPr>
        <w:tc>
          <w:tcPr>
            <w:tcW w:w="31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Energy Transition Holdings LLC</w:t>
            </w:r>
          </w:p>
        </w:tc>
        <w:tc>
          <w:tcPr>
            <w:tcW w:w="176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rPr>
              <w:t>25,559,846</w:t>
            </w:r>
          </w:p>
        </w:tc>
        <w:tc>
          <w:tcPr>
            <w:tcW w:w="1120" w:type="dxa"/>
            <w:vAlign w:val="bottom"/>
            <w:shd w:val="clear" w:color="auto" w:fill="DBE5F1"/>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300" w:type="dxa"/>
            <w:vAlign w:val="bottom"/>
            <w:shd w:val="clear" w:color="auto" w:fill="DBE5F1"/>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rPr>
              <w:t>25,559,846</w:t>
            </w:r>
          </w:p>
        </w:tc>
        <w:tc>
          <w:tcPr>
            <w:tcW w:w="1360" w:type="dxa"/>
            <w:vAlign w:val="bottom"/>
            <w:shd w:val="clear" w:color="auto" w:fill="DBE5F1"/>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rPr>
              <w:t>25,559,846</w:t>
            </w:r>
          </w:p>
        </w:tc>
      </w:tr>
      <w:tr>
        <w:trPr>
          <w:trHeight w:val="216"/>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Great Mountain Partners LLC</w:t>
            </w:r>
          </w:p>
        </w:tc>
        <w:tc>
          <w:tcPr>
            <w:tcW w:w="17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25,559,846</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25,559,846</w:t>
            </w: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25,559,846</w:t>
            </w:r>
          </w:p>
        </w:tc>
      </w:tr>
      <w:tr>
        <w:trPr>
          <w:trHeight w:val="304"/>
        </w:trPr>
        <w:tc>
          <w:tcPr>
            <w:tcW w:w="3100" w:type="dxa"/>
            <w:vAlign w:val="bottom"/>
            <w:tcBorders>
              <w:bottom w:val="single" w:sz="8" w:color="DBE5F1"/>
            </w:tcBorders>
            <w:shd w:val="clear" w:color="auto" w:fill="DBE5F1"/>
          </w:tcPr>
          <w:p>
            <w:pPr>
              <w:spacing w:after="0"/>
              <w:rPr>
                <w:sz w:val="20"/>
                <w:szCs w:val="20"/>
                <w:color w:val="auto"/>
              </w:rPr>
            </w:pPr>
            <w:r>
              <w:rPr>
                <w:rFonts w:ascii="Times New Roman" w:cs="Times New Roman" w:eastAsia="Times New Roman" w:hAnsi="Times New Roman"/>
                <w:sz w:val="18"/>
                <w:szCs w:val="18"/>
                <w:color w:val="auto"/>
              </w:rPr>
              <w:t>Jonathan Rotolo</w:t>
            </w:r>
          </w:p>
        </w:tc>
        <w:tc>
          <w:tcPr>
            <w:tcW w:w="1760" w:type="dxa"/>
            <w:vAlign w:val="bottom"/>
            <w:tcBorders>
              <w:bottom w:val="single" w:sz="8" w:color="DBE5F1"/>
            </w:tcBorders>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rPr>
              <w:t>25,559,846</w:t>
            </w:r>
          </w:p>
        </w:tc>
        <w:tc>
          <w:tcPr>
            <w:tcW w:w="1120" w:type="dxa"/>
            <w:vAlign w:val="bottom"/>
            <w:tcBorders>
              <w:bottom w:val="single" w:sz="8" w:color="DBE5F1"/>
            </w:tcBorders>
            <w:shd w:val="clear" w:color="auto" w:fill="DBE5F1"/>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300" w:type="dxa"/>
            <w:vAlign w:val="bottom"/>
            <w:tcBorders>
              <w:bottom w:val="single" w:sz="8" w:color="DBE5F1"/>
            </w:tcBorders>
            <w:shd w:val="clear" w:color="auto" w:fill="DBE5F1"/>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Borders>
              <w:bottom w:val="single" w:sz="8" w:color="DBE5F1"/>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rPr>
              <w:t>25,559,846</w:t>
            </w:r>
          </w:p>
        </w:tc>
        <w:tc>
          <w:tcPr>
            <w:tcW w:w="1360" w:type="dxa"/>
            <w:vAlign w:val="bottom"/>
            <w:tcBorders>
              <w:bottom w:val="single" w:sz="8" w:color="DBE5F1"/>
            </w:tcBorders>
            <w:shd w:val="clear" w:color="auto" w:fill="DBE5F1"/>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DBE5F1"/>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rPr>
              <w:t>25,559,846</w:t>
            </w: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Alexander Thomson</w:t>
            </w:r>
          </w:p>
        </w:tc>
        <w:tc>
          <w:tcPr>
            <w:tcW w:w="17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25,559,846</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25,559,846</w:t>
            </w: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25,559,846</w:t>
            </w:r>
          </w:p>
        </w:tc>
      </w:tr>
      <w:tr>
        <w:trPr>
          <w:trHeight w:val="54"/>
        </w:trPr>
        <w:tc>
          <w:tcPr>
            <w:tcW w:w="3100" w:type="dxa"/>
            <w:vAlign w:val="bottom"/>
            <w:tcBorders>
              <w:bottom w:val="single" w:sz="8" w:color="4BACC6"/>
            </w:tcBorders>
          </w:tcPr>
          <w:p>
            <w:pPr>
              <w:spacing w:after="0"/>
              <w:rPr>
                <w:sz w:val="4"/>
                <w:szCs w:val="4"/>
                <w:color w:val="auto"/>
              </w:rPr>
            </w:pPr>
          </w:p>
        </w:tc>
        <w:tc>
          <w:tcPr>
            <w:tcW w:w="1760" w:type="dxa"/>
            <w:vAlign w:val="bottom"/>
            <w:tcBorders>
              <w:bottom w:val="single" w:sz="8" w:color="4BACC6"/>
            </w:tcBorders>
          </w:tcPr>
          <w:p>
            <w:pPr>
              <w:spacing w:after="0"/>
              <w:rPr>
                <w:sz w:val="4"/>
                <w:szCs w:val="4"/>
                <w:color w:val="auto"/>
              </w:rPr>
            </w:pPr>
          </w:p>
        </w:tc>
        <w:tc>
          <w:tcPr>
            <w:tcW w:w="1120" w:type="dxa"/>
            <w:vAlign w:val="bottom"/>
            <w:tcBorders>
              <w:bottom w:val="single" w:sz="8" w:color="4BACC6"/>
            </w:tcBorders>
          </w:tcPr>
          <w:p>
            <w:pPr>
              <w:spacing w:after="0"/>
              <w:rPr>
                <w:sz w:val="4"/>
                <w:szCs w:val="4"/>
                <w:color w:val="auto"/>
              </w:rPr>
            </w:pPr>
          </w:p>
        </w:tc>
        <w:tc>
          <w:tcPr>
            <w:tcW w:w="1300" w:type="dxa"/>
            <w:vAlign w:val="bottom"/>
            <w:tcBorders>
              <w:bottom w:val="single" w:sz="8" w:color="4BACC6"/>
            </w:tcBorders>
          </w:tcPr>
          <w:p>
            <w:pPr>
              <w:spacing w:after="0"/>
              <w:rPr>
                <w:sz w:val="4"/>
                <w:szCs w:val="4"/>
                <w:color w:val="auto"/>
              </w:rPr>
            </w:pPr>
          </w:p>
        </w:tc>
        <w:tc>
          <w:tcPr>
            <w:tcW w:w="1140" w:type="dxa"/>
            <w:vAlign w:val="bottom"/>
            <w:tcBorders>
              <w:bottom w:val="single" w:sz="8" w:color="4BACC6"/>
            </w:tcBorders>
          </w:tcPr>
          <w:p>
            <w:pPr>
              <w:spacing w:after="0"/>
              <w:rPr>
                <w:sz w:val="4"/>
                <w:szCs w:val="4"/>
                <w:color w:val="auto"/>
              </w:rPr>
            </w:pPr>
          </w:p>
        </w:tc>
        <w:tc>
          <w:tcPr>
            <w:tcW w:w="1360" w:type="dxa"/>
            <w:vAlign w:val="bottom"/>
            <w:tcBorders>
              <w:bottom w:val="single" w:sz="8" w:color="4BACC6"/>
            </w:tcBorders>
          </w:tcPr>
          <w:p>
            <w:pPr>
              <w:spacing w:after="0"/>
              <w:rPr>
                <w:sz w:val="4"/>
                <w:szCs w:val="4"/>
                <w:color w:val="auto"/>
              </w:rPr>
            </w:pPr>
          </w:p>
        </w:tc>
        <w:tc>
          <w:tcPr>
            <w:tcW w:w="1460" w:type="dxa"/>
            <w:vAlign w:val="bottom"/>
            <w:tcBorders>
              <w:bottom w:val="single" w:sz="8" w:color="4BACC6"/>
            </w:tcBorders>
          </w:tcPr>
          <w:p>
            <w:pPr>
              <w:spacing w:after="0"/>
              <w:rPr>
                <w:sz w:val="4"/>
                <w:szCs w:val="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Energy Transition Holdings LLC is the record holder of the securities reported herein.</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Energy Transition Holdings LLC is managed by Great Mountain Partners LLC. Jonathan Rotolo and Alexander Thomson are the managers of Great Mountain Partners LLC and, in that capacity, have voting and dispositive power over the shares of Class A Common Stock held by Energy Transition Holdings LLC.</w:t>
      </w:r>
    </w:p>
    <w:p>
      <w:pPr>
        <w:spacing w:after="0" w:line="176" w:lineRule="exact"/>
        <w:rPr>
          <w:sz w:val="20"/>
          <w:szCs w:val="20"/>
          <w:color w:val="auto"/>
        </w:rPr>
      </w:pPr>
    </w:p>
    <w:p>
      <w:pPr>
        <w:ind w:right="40" w:firstLine="8"/>
        <w:spacing w:after="0" w:line="282" w:lineRule="auto"/>
        <w:tabs>
          <w:tab w:leader="none" w:pos="5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4 of the Schedule 13D, during the past 60 days, the Reporting Persons have not effected any transactions with respect to the Class A Common Stock.</w:t>
      </w:r>
    </w:p>
    <w:p>
      <w:pPr>
        <w:spacing w:after="0" w:line="16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644393100</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7 of 8 pages</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6 of the Schedule 13D is amended and supplemented by inserting the following information:</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Item 4 above summarizes certain provisions of the Underwriting Agreement and is incorporated herein by reference. A copy of the Underwriting Agreement is attached as an exhibit to this Schedule 13D and is incorporated herein by reference.</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Materials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the Schedule 13D is hereby amended and supplemented as follows:</w:t>
      </w:r>
    </w:p>
    <w:p>
      <w:pPr>
        <w:spacing w:after="0" w:line="221" w:lineRule="exact"/>
        <w:rPr>
          <w:sz w:val="20"/>
          <w:szCs w:val="20"/>
          <w:color w:val="auto"/>
        </w:rPr>
      </w:pPr>
    </w:p>
    <w:p>
      <w:pPr>
        <w:ind w:left="5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1680" w:right="320" w:hanging="942"/>
        <w:spacing w:after="0" w:line="255" w:lineRule="auto"/>
        <w:tabs>
          <w:tab w:leader="none" w:pos="1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Agreement, dated December 14, 2022, by and among New Fortress Energy Inc., Energy Transition Holdings LLC and J.P. Morgan Securities LLC (incorporated by reference to Exhibit 1.1 to the Issuer’s Current Report on Form 8-K filed on 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644393100</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8 of 8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December 21,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Energy Transition Holdings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Great Mountain Partners LLC,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Jonathan Rotolo</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Great Mountain Partners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Jonathan Rotolo</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Jonathan Rotolo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-125095</wp:posOffset>
            </wp:positionV>
            <wp:extent cx="35572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Alexander Thomson</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-125095</wp:posOffset>
            </wp:positionV>
            <wp:extent cx="35572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7"/>
      <w:numFmt w:val="bullet"/>
      <w:start w:val="1"/>
    </w:lvl>
  </w:abstractNum>
  <w:abstractNum w:abstractNumId="7">
    <w:nsid w:val="257130A3"/>
    <w:multiLevelType w:val="hybridMultilevel"/>
    <w:lvl w:ilvl="0">
      <w:lvlJc w:val="left"/>
      <w:lvlText w:val="%1"/>
      <w:numFmt w:val="decimal"/>
      <w:start w:val="11"/>
    </w:lvl>
  </w:abstractNum>
  <w:abstractNum w:abstractNumId="8">
    <w:nsid w:val="62BBD95A"/>
    <w:multiLevelType w:val="hybridMultilevel"/>
    <w:lvl w:ilvl="0">
      <w:lvlJc w:val="left"/>
      <w:lvlText w:val="1"/>
      <w:numFmt w:val="bullet"/>
      <w:start w:val="1"/>
    </w:lvl>
  </w:abstractNum>
  <w:abstractNum w:abstractNumId="9">
    <w:nsid w:val="436C6125"/>
    <w:multiLevelType w:val="hybridMultilevel"/>
    <w:lvl w:ilvl="0">
      <w:lvlJc w:val="left"/>
      <w:lvlText w:val="3"/>
      <w:numFmt w:val="bullet"/>
      <w:start w:val="1"/>
    </w:lvl>
  </w:abstractNum>
  <w:abstractNum w:abstractNumId="10">
    <w:nsid w:val="628C895D"/>
    <w:multiLevelType w:val="hybridMultilevel"/>
    <w:lvl w:ilvl="0">
      <w:lvlJc w:val="left"/>
      <w:lvlText w:val="4"/>
      <w:numFmt w:val="bullet"/>
      <w:start w:val="1"/>
    </w:lvl>
  </w:abstractNum>
  <w:abstractNum w:abstractNumId="11">
    <w:nsid w:val="333AB105"/>
    <w:multiLevelType w:val="hybridMultilevel"/>
    <w:lvl w:ilvl="0">
      <w:lvlJc w:val="left"/>
      <w:lvlText w:val="5"/>
      <w:numFmt w:val="bullet"/>
      <w:start w:val="1"/>
    </w:lvl>
  </w:abstractNum>
  <w:abstractNum w:abstractNumId="12">
    <w:nsid w:val="721DA317"/>
    <w:multiLevelType w:val="hybridMultilevel"/>
    <w:lvl w:ilvl="0">
      <w:lvlJc w:val="left"/>
      <w:lvlText w:val="6"/>
      <w:numFmt w:val="bullet"/>
      <w:start w:val="1"/>
    </w:lvl>
  </w:abstractNum>
  <w:abstractNum w:abstractNumId="13">
    <w:nsid w:val="2443A858"/>
    <w:multiLevelType w:val="hybridMultilevel"/>
    <w:lvl w:ilvl="0">
      <w:lvlJc w:val="left"/>
      <w:lvlText w:val="7"/>
      <w:numFmt w:val="bullet"/>
      <w:start w:val="1"/>
    </w:lvl>
  </w:abstractNum>
  <w:abstractNum w:abstractNumId="14">
    <w:nsid w:val="2D1D5AE9"/>
    <w:multiLevelType w:val="hybridMultilevel"/>
    <w:lvl w:ilvl="0">
      <w:lvlJc w:val="left"/>
      <w:lvlText w:val="%1"/>
      <w:numFmt w:val="decimal"/>
      <w:start w:val="11"/>
    </w:lvl>
  </w:abstractNum>
  <w:abstractNum w:abstractNumId="15">
    <w:nsid w:val="6763845E"/>
    <w:multiLevelType w:val="hybridMultilevel"/>
    <w:lvl w:ilvl="0">
      <w:lvlJc w:val="left"/>
      <w:lvlText w:val="1"/>
      <w:numFmt w:val="bullet"/>
      <w:start w:val="1"/>
    </w:lvl>
  </w:abstractNum>
  <w:abstractNum w:abstractNumId="16">
    <w:nsid w:val="75A2A8D4"/>
    <w:multiLevelType w:val="hybridMultilevel"/>
    <w:lvl w:ilvl="0">
      <w:lvlJc w:val="left"/>
      <w:lvlText w:val="3"/>
      <w:numFmt w:val="bullet"/>
      <w:start w:val="1"/>
    </w:lvl>
  </w:abstractNum>
  <w:abstractNum w:abstractNumId="17">
    <w:nsid w:val="8EDBDAB"/>
    <w:multiLevelType w:val="hybridMultilevel"/>
    <w:lvl w:ilvl="0">
      <w:lvlJc w:val="left"/>
      <w:lvlText w:val="4"/>
      <w:numFmt w:val="bullet"/>
      <w:start w:val="1"/>
    </w:lvl>
  </w:abstractNum>
  <w:abstractNum w:abstractNumId="18">
    <w:nsid w:val="79838CB2"/>
    <w:multiLevelType w:val="hybridMultilevel"/>
    <w:lvl w:ilvl="0">
      <w:lvlJc w:val="left"/>
      <w:lvlText w:val="5"/>
      <w:numFmt w:val="bullet"/>
      <w:start w:val="1"/>
    </w:lvl>
  </w:abstractNum>
  <w:abstractNum w:abstractNumId="19">
    <w:nsid w:val="4353D0CD"/>
    <w:multiLevelType w:val="hybridMultilevel"/>
    <w:lvl w:ilvl="0">
      <w:lvlJc w:val="left"/>
      <w:lvlText w:val="6"/>
      <w:numFmt w:val="bullet"/>
      <w:start w:val="1"/>
    </w:lvl>
  </w:abstractNum>
  <w:abstractNum w:abstractNumId="20">
    <w:nsid w:val="B03E0C6"/>
    <w:multiLevelType w:val="hybridMultilevel"/>
    <w:lvl w:ilvl="0">
      <w:lvlJc w:val="left"/>
      <w:lvlText w:val="7"/>
      <w:numFmt w:val="bullet"/>
      <w:start w:val="1"/>
    </w:lvl>
  </w:abstractNum>
  <w:abstractNum w:abstractNumId="21">
    <w:nsid w:val="189A769B"/>
    <w:multiLevelType w:val="hybridMultilevel"/>
    <w:lvl w:ilvl="0">
      <w:lvlJc w:val="left"/>
      <w:lvlText w:val="%1"/>
      <w:numFmt w:val="decimal"/>
      <w:start w:val="11"/>
    </w:lvl>
  </w:abstractNum>
  <w:abstractNum w:abstractNumId="22">
    <w:nsid w:val="54E49EB4"/>
    <w:multiLevelType w:val="hybridMultilevel"/>
    <w:lvl w:ilvl="0">
      <w:lvlJc w:val="left"/>
      <w:lvlText w:val="1"/>
      <w:numFmt w:val="bullet"/>
      <w:start w:val="1"/>
    </w:lvl>
  </w:abstractNum>
  <w:abstractNum w:abstractNumId="23">
    <w:nsid w:val="71F32454"/>
    <w:multiLevelType w:val="hybridMultilevel"/>
    <w:lvl w:ilvl="0">
      <w:lvlJc w:val="left"/>
      <w:lvlText w:val="3"/>
      <w:numFmt w:val="bullet"/>
      <w:start w:val="1"/>
    </w:lvl>
  </w:abstractNum>
  <w:abstractNum w:abstractNumId="24">
    <w:nsid w:val="2CA88611"/>
    <w:multiLevelType w:val="hybridMultilevel"/>
    <w:lvl w:ilvl="0">
      <w:lvlJc w:val="left"/>
      <w:lvlText w:val="4"/>
      <w:numFmt w:val="bullet"/>
      <w:start w:val="1"/>
    </w:lvl>
  </w:abstractNum>
  <w:abstractNum w:abstractNumId="25">
    <w:nsid w:val="836C40E"/>
    <w:multiLevelType w:val="hybridMultilevel"/>
    <w:lvl w:ilvl="0">
      <w:lvlJc w:val="left"/>
      <w:lvlText w:val="5"/>
      <w:numFmt w:val="bullet"/>
      <w:start w:val="1"/>
    </w:lvl>
  </w:abstractNum>
  <w:abstractNum w:abstractNumId="26">
    <w:nsid w:val="2901D82"/>
    <w:multiLevelType w:val="hybridMultilevel"/>
    <w:lvl w:ilvl="0">
      <w:lvlJc w:val="left"/>
      <w:lvlText w:val="6"/>
      <w:numFmt w:val="bullet"/>
      <w:start w:val="1"/>
    </w:lvl>
  </w:abstractNum>
  <w:abstractNum w:abstractNumId="27">
    <w:nsid w:val="3A95F874"/>
    <w:multiLevelType w:val="hybridMultilevel"/>
    <w:lvl w:ilvl="0">
      <w:lvlJc w:val="left"/>
      <w:lvlText w:val="7"/>
      <w:numFmt w:val="bullet"/>
      <w:start w:val="1"/>
    </w:lvl>
  </w:abstractNum>
  <w:abstractNum w:abstractNumId="28">
    <w:nsid w:val="8138641"/>
    <w:multiLevelType w:val="hybridMultilevel"/>
    <w:lvl w:ilvl="0">
      <w:lvlJc w:val="left"/>
      <w:lvlText w:val="%1"/>
      <w:numFmt w:val="decimal"/>
      <w:start w:val="11"/>
    </w:lvl>
  </w:abstractNum>
  <w:abstractNum w:abstractNumId="29">
    <w:nsid w:val="1E7FF521"/>
    <w:multiLevelType w:val="hybridMultilevel"/>
    <w:lvl w:ilvl="0">
      <w:lvlJc w:val="left"/>
      <w:lvlText w:val="(%1)"/>
      <w:numFmt w:val="lowerLetter"/>
      <w:start w:val="3"/>
    </w:lvl>
  </w:abstractNum>
  <w:abstractNum w:abstractNumId="30">
    <w:nsid w:val="7C3DBD3D"/>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2022-12-21T16:34:45Z</dcterms:created>
  <dcterms:modified xsi:type="dcterms:W3CDTF">2022-12-21T16:34:45Z</dcterms:modified>
</cp:coreProperties>
</file>