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147955</wp:posOffset>
            </wp:positionV>
            <wp:extent cx="715137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1370" cy="298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251460</wp:posOffset>
            </wp:positionV>
            <wp:extent cx="71513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1370" cy="7620"/>
                    </a:xfrm>
                    <a:prstGeom prst="rect">
                      <a:avLst/>
                    </a:prstGeom>
                    <a:noFill/>
                  </pic:spPr>
                </pic:pic>
              </a:graphicData>
            </a:graphic>
          </wp:anchor>
        </w:drawing>
        <w:t>UNITED STATES</w:t>
      </w:r>
    </w:p>
    <w:p>
      <w:pPr>
        <w:spacing w:after="0" w:line="23" w:lineRule="exact"/>
        <w:rPr>
          <w:sz w:val="24"/>
          <w:szCs w:val="24"/>
          <w:color w:val="auto"/>
        </w:rPr>
      </w:pPr>
    </w:p>
    <w:p>
      <w:pPr>
        <w:jc w:val="center"/>
        <w:ind w:right="1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
        <w:spacing w:after="0"/>
        <w:rPr>
          <w:sz w:val="20"/>
          <w:szCs w:val="20"/>
          <w:color w:val="auto"/>
        </w:rPr>
      </w:pPr>
      <w:r>
        <w:rPr>
          <w:rFonts w:ascii="Arial" w:cs="Arial" w:eastAsia="Arial" w:hAnsi="Arial"/>
          <w:sz w:val="19"/>
          <w:szCs w:val="19"/>
          <w:b w:val="1"/>
          <w:bCs w:val="1"/>
          <w:color w:val="auto"/>
        </w:rPr>
        <w:t>WASHINGTON, DC 20549</w:t>
      </w:r>
    </w:p>
    <w:p>
      <w:pPr>
        <w:spacing w:after="0" w:line="167" w:lineRule="exact"/>
        <w:rPr>
          <w:sz w:val="24"/>
          <w:szCs w:val="24"/>
          <w:color w:val="auto"/>
        </w:rPr>
      </w:pPr>
    </w:p>
    <w:p>
      <w:pPr>
        <w:jc w:val="center"/>
        <w:ind w:right="13"/>
        <w:spacing w:after="0"/>
        <w:rPr>
          <w:sz w:val="20"/>
          <w:szCs w:val="20"/>
          <w:color w:val="auto"/>
        </w:rPr>
      </w:pPr>
      <w:r>
        <w:rPr>
          <w:rFonts w:ascii="Arial" w:cs="Arial" w:eastAsia="Arial" w:hAnsi="Arial"/>
          <w:sz w:val="28"/>
          <w:szCs w:val="28"/>
          <w:b w:val="1"/>
          <w:bCs w:val="1"/>
          <w:color w:val="auto"/>
        </w:rPr>
        <w:t>FORM 10-Q</w:t>
      </w:r>
    </w:p>
    <w:p>
      <w:pPr>
        <w:spacing w:after="0" w:line="221" w:lineRule="exact"/>
        <w:rPr>
          <w:sz w:val="24"/>
          <w:szCs w:val="24"/>
          <w:color w:val="auto"/>
        </w:rPr>
      </w:pPr>
    </w:p>
    <w:p>
      <w:pPr>
        <w:ind w:left="287" w:hanging="287"/>
        <w:spacing w:after="0"/>
        <w:tabs>
          <w:tab w:leader="none" w:pos="28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For the quarterly period ended March 31, 2020</w:t>
      </w:r>
    </w:p>
    <w:p>
      <w:pPr>
        <w:spacing w:after="0" w:line="200"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OR</w:t>
      </w:r>
    </w:p>
    <w:p>
      <w:pPr>
        <w:spacing w:after="0" w:line="207" w:lineRule="exact"/>
        <w:rPr>
          <w:sz w:val="24"/>
          <w:szCs w:val="24"/>
          <w:color w:val="auto"/>
        </w:rPr>
      </w:pPr>
    </w:p>
    <w:p>
      <w:pPr>
        <w:ind w:left="287" w:hanging="287"/>
        <w:spacing w:after="0"/>
        <w:tabs>
          <w:tab w:leader="none" w:pos="28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5" w:lineRule="exact"/>
        <w:rPr>
          <w:sz w:val="24"/>
          <w:szCs w:val="24"/>
          <w:color w:val="auto"/>
        </w:rPr>
      </w:pPr>
    </w:p>
    <w:p>
      <w:pPr>
        <w:ind w:left="3367"/>
        <w:spacing w:after="0"/>
        <w:rPr>
          <w:sz w:val="20"/>
          <w:szCs w:val="20"/>
          <w:color w:val="auto"/>
        </w:rPr>
      </w:pPr>
      <w:r>
        <w:rPr>
          <w:rFonts w:ascii="Arial" w:cs="Arial" w:eastAsia="Arial" w:hAnsi="Arial"/>
          <w:sz w:val="19"/>
          <w:szCs w:val="19"/>
          <w:b w:val="1"/>
          <w:bCs w:val="1"/>
          <w:color w:val="auto"/>
        </w:rPr>
        <w:t>For the transition period from __________ to__________</w:t>
      </w:r>
    </w:p>
    <w:p>
      <w:pPr>
        <w:spacing w:after="0" w:line="200"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Commission File Number: 001-38790</w:t>
      </w:r>
    </w:p>
    <w:p>
      <w:pPr>
        <w:spacing w:after="0" w:line="187" w:lineRule="exact"/>
        <w:rPr>
          <w:sz w:val="24"/>
          <w:szCs w:val="24"/>
          <w:color w:val="auto"/>
        </w:rPr>
      </w:pPr>
    </w:p>
    <w:p>
      <w:pPr>
        <w:jc w:val="center"/>
        <w:ind w:right="13"/>
        <w:spacing w:after="0"/>
        <w:rPr>
          <w:sz w:val="20"/>
          <w:szCs w:val="20"/>
          <w:color w:val="auto"/>
        </w:rPr>
      </w:pPr>
      <w:r>
        <w:rPr>
          <w:rFonts w:ascii="Arial" w:cs="Arial" w:eastAsia="Arial" w:hAnsi="Arial"/>
          <w:sz w:val="37"/>
          <w:szCs w:val="37"/>
          <w:b w:val="1"/>
          <w:bCs w:val="1"/>
          <w:color w:val="auto"/>
        </w:rPr>
        <w:t>New Fortress Energy LLC</w:t>
      </w:r>
    </w:p>
    <w:p>
      <w:pPr>
        <w:spacing w:after="0" w:line="38"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187" w:lineRule="exact"/>
        <w:rPr>
          <w:sz w:val="24"/>
          <w:szCs w:val="24"/>
          <w:color w:val="auto"/>
        </w:rPr>
      </w:pPr>
    </w:p>
    <w:tbl>
      <w:tblPr>
        <w:tblLayout w:type="fixed"/>
        <w:tblInd w:w="87"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40" w:type="dxa"/>
            <w:vAlign w:val="bottom"/>
          </w:tcPr>
          <w:p>
            <w:pPr>
              <w:jc w:val="center"/>
              <w:ind w:right="1892"/>
              <w:spacing w:after="0"/>
              <w:rPr>
                <w:sz w:val="20"/>
                <w:szCs w:val="20"/>
                <w:color w:val="auto"/>
              </w:rPr>
            </w:pPr>
            <w:r>
              <w:rPr>
                <w:rFonts w:ascii="Arial" w:cs="Arial" w:eastAsia="Arial" w:hAnsi="Arial"/>
                <w:sz w:val="16"/>
                <w:szCs w:val="16"/>
                <w:b w:val="1"/>
                <w:bCs w:val="1"/>
                <w:color w:val="auto"/>
                <w:w w:val="88"/>
              </w:rPr>
              <w:t>Delaware</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80" w:type="dxa"/>
            <w:vAlign w:val="bottom"/>
            <w:gridSpan w:val="2"/>
          </w:tcPr>
          <w:p>
            <w:pPr>
              <w:jc w:val="right"/>
              <w:ind w:right="1822"/>
              <w:spacing w:after="0"/>
              <w:rPr>
                <w:sz w:val="20"/>
                <w:szCs w:val="20"/>
                <w:color w:val="auto"/>
              </w:rPr>
            </w:pPr>
            <w:r>
              <w:rPr>
                <w:rFonts w:ascii="Arial" w:cs="Arial" w:eastAsia="Arial" w:hAnsi="Arial"/>
                <w:sz w:val="16"/>
                <w:szCs w:val="16"/>
                <w:b w:val="1"/>
                <w:bCs w:val="1"/>
                <w:color w:val="auto"/>
              </w:rPr>
              <w:t>83-1482060</w:t>
            </w:r>
          </w:p>
        </w:tc>
      </w:tr>
      <w:tr>
        <w:trPr>
          <w:trHeight w:val="196"/>
        </w:trPr>
        <w:tc>
          <w:tcPr>
            <w:tcW w:w="4980" w:type="dxa"/>
            <w:vAlign w:val="bottom"/>
            <w:gridSpan w:val="3"/>
          </w:tcPr>
          <w:p>
            <w:pPr>
              <w:jc w:val="center"/>
              <w:ind w:left="282"/>
              <w:spacing w:after="0"/>
              <w:rPr>
                <w:sz w:val="20"/>
                <w:szCs w:val="20"/>
                <w:color w:val="auto"/>
              </w:rPr>
            </w:pPr>
            <w:r>
              <w:rPr>
                <w:rFonts w:ascii="Arial" w:cs="Arial" w:eastAsia="Arial" w:hAnsi="Arial"/>
                <w:sz w:val="16"/>
                <w:szCs w:val="16"/>
                <w:color w:val="auto"/>
                <w:w w:val="89"/>
              </w:rPr>
              <w:t>(State or other jurisdiction of incorporation or organization)</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gridSpan w:val="2"/>
          </w:tcPr>
          <w:p>
            <w:pPr>
              <w:jc w:val="center"/>
              <w:ind w:right="502"/>
              <w:spacing w:after="0"/>
              <w:rPr>
                <w:sz w:val="20"/>
                <w:szCs w:val="20"/>
                <w:color w:val="auto"/>
              </w:rPr>
            </w:pPr>
            <w:r>
              <w:rPr>
                <w:rFonts w:ascii="Arial" w:cs="Arial" w:eastAsia="Arial" w:hAnsi="Arial"/>
                <w:sz w:val="16"/>
                <w:szCs w:val="16"/>
                <w:color w:val="auto"/>
                <w:w w:val="90"/>
              </w:rPr>
              <w:t>(I.R.S. Employer Identification No.)</w:t>
            </w:r>
          </w:p>
        </w:tc>
      </w:tr>
      <w:tr>
        <w:trPr>
          <w:trHeight w:val="380"/>
        </w:trPr>
        <w:tc>
          <w:tcPr>
            <w:tcW w:w="1220" w:type="dxa"/>
            <w:vAlign w:val="bottom"/>
          </w:tcPr>
          <w:p>
            <w:pPr>
              <w:spacing w:after="0"/>
              <w:rPr>
                <w:sz w:val="24"/>
                <w:szCs w:val="24"/>
                <w:color w:val="auto"/>
              </w:rPr>
            </w:pPr>
          </w:p>
        </w:tc>
        <w:tc>
          <w:tcPr>
            <w:tcW w:w="3760" w:type="dxa"/>
            <w:vAlign w:val="bottom"/>
            <w:gridSpan w:val="2"/>
          </w:tcPr>
          <w:p>
            <w:pPr>
              <w:jc w:val="center"/>
              <w:ind w:right="752"/>
              <w:spacing w:after="0"/>
              <w:rPr>
                <w:sz w:val="20"/>
                <w:szCs w:val="20"/>
                <w:color w:val="auto"/>
              </w:rPr>
            </w:pPr>
            <w:r>
              <w:rPr>
                <w:rFonts w:ascii="Arial" w:cs="Arial" w:eastAsia="Arial" w:hAnsi="Arial"/>
                <w:sz w:val="16"/>
                <w:szCs w:val="16"/>
                <w:b w:val="1"/>
                <w:bCs w:val="1"/>
                <w:color w:val="auto"/>
                <w:w w:val="84"/>
              </w:rPr>
              <w:t>111 W. 19</w:t>
            </w:r>
            <w:r>
              <w:rPr>
                <w:rFonts w:ascii="Arial" w:cs="Arial" w:eastAsia="Arial" w:hAnsi="Arial"/>
                <w:sz w:val="25"/>
                <w:szCs w:val="25"/>
                <w:b w:val="1"/>
                <w:bCs w:val="1"/>
                <w:color w:val="auto"/>
                <w:w w:val="84"/>
                <w:vertAlign w:val="superscript"/>
              </w:rPr>
              <w:t>th</w:t>
            </w:r>
            <w:r>
              <w:rPr>
                <w:rFonts w:ascii="Arial" w:cs="Arial" w:eastAsia="Arial" w:hAnsi="Arial"/>
                <w:sz w:val="16"/>
                <w:szCs w:val="16"/>
                <w:b w:val="1"/>
                <w:bCs w:val="1"/>
                <w:color w:val="auto"/>
                <w:w w:val="84"/>
              </w:rPr>
              <w:t xml:space="preserve"> Street, 8</w:t>
            </w:r>
            <w:r>
              <w:rPr>
                <w:rFonts w:ascii="Arial" w:cs="Arial" w:eastAsia="Arial" w:hAnsi="Arial"/>
                <w:sz w:val="25"/>
                <w:szCs w:val="25"/>
                <w:b w:val="1"/>
                <w:bCs w:val="1"/>
                <w:color w:val="auto"/>
                <w:w w:val="84"/>
                <w:vertAlign w:val="superscript"/>
              </w:rPr>
              <w:t>th</w:t>
            </w:r>
            <w:r>
              <w:rPr>
                <w:rFonts w:ascii="Arial" w:cs="Arial" w:eastAsia="Arial" w:hAnsi="Arial"/>
                <w:sz w:val="16"/>
                <w:szCs w:val="16"/>
                <w:b w:val="1"/>
                <w:bCs w:val="1"/>
                <w:color w:val="auto"/>
                <w:w w:val="84"/>
              </w:rPr>
              <w:t xml:space="preserve"> Floor</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3760" w:type="dxa"/>
            <w:vAlign w:val="bottom"/>
            <w:gridSpan w:val="2"/>
          </w:tcPr>
          <w:p>
            <w:pPr>
              <w:jc w:val="center"/>
              <w:ind w:right="752"/>
              <w:spacing w:after="0"/>
              <w:rPr>
                <w:sz w:val="20"/>
                <w:szCs w:val="20"/>
                <w:color w:val="auto"/>
              </w:rPr>
            </w:pPr>
            <w:r>
              <w:rPr>
                <w:rFonts w:ascii="Arial" w:cs="Arial" w:eastAsia="Arial" w:hAnsi="Arial"/>
                <w:sz w:val="16"/>
                <w:szCs w:val="16"/>
                <w:b w:val="1"/>
                <w:bCs w:val="1"/>
                <w:color w:val="auto"/>
                <w:w w:val="92"/>
              </w:rPr>
              <w:t>New York, NY</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80" w:type="dxa"/>
            <w:vAlign w:val="bottom"/>
            <w:gridSpan w:val="2"/>
          </w:tcPr>
          <w:p>
            <w:pPr>
              <w:jc w:val="right"/>
              <w:ind w:right="2022"/>
              <w:spacing w:after="0"/>
              <w:rPr>
                <w:sz w:val="20"/>
                <w:szCs w:val="20"/>
                <w:color w:val="auto"/>
              </w:rPr>
            </w:pPr>
            <w:r>
              <w:rPr>
                <w:rFonts w:ascii="Arial" w:cs="Arial" w:eastAsia="Arial" w:hAnsi="Arial"/>
                <w:sz w:val="16"/>
                <w:szCs w:val="16"/>
                <w:b w:val="1"/>
                <w:bCs w:val="1"/>
                <w:color w:val="auto"/>
              </w:rPr>
              <w:t>10011</w:t>
            </w:r>
          </w:p>
        </w:tc>
      </w:tr>
      <w:tr>
        <w:trPr>
          <w:trHeight w:val="196"/>
        </w:trPr>
        <w:tc>
          <w:tcPr>
            <w:tcW w:w="1220" w:type="dxa"/>
            <w:vAlign w:val="bottom"/>
          </w:tcPr>
          <w:p>
            <w:pPr>
              <w:spacing w:after="0"/>
              <w:rPr>
                <w:sz w:val="17"/>
                <w:szCs w:val="17"/>
                <w:color w:val="auto"/>
              </w:rPr>
            </w:pPr>
          </w:p>
        </w:tc>
        <w:tc>
          <w:tcPr>
            <w:tcW w:w="3760" w:type="dxa"/>
            <w:vAlign w:val="bottom"/>
            <w:gridSpan w:val="2"/>
          </w:tcPr>
          <w:p>
            <w:pPr>
              <w:jc w:val="center"/>
              <w:ind w:right="772"/>
              <w:spacing w:after="0"/>
              <w:rPr>
                <w:sz w:val="20"/>
                <w:szCs w:val="20"/>
                <w:color w:val="auto"/>
              </w:rPr>
            </w:pPr>
            <w:r>
              <w:rPr>
                <w:rFonts w:ascii="Arial" w:cs="Arial" w:eastAsia="Arial" w:hAnsi="Arial"/>
                <w:sz w:val="16"/>
                <w:szCs w:val="16"/>
                <w:color w:val="auto"/>
                <w:w w:val="89"/>
              </w:rPr>
              <w:t>(Address of principal executive offices)</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40" w:type="dxa"/>
            <w:vAlign w:val="bottom"/>
          </w:tcPr>
          <w:p>
            <w:pPr>
              <w:jc w:val="center"/>
              <w:ind w:right="1742"/>
              <w:spacing w:after="0"/>
              <w:rPr>
                <w:sz w:val="20"/>
                <w:szCs w:val="20"/>
                <w:color w:val="auto"/>
              </w:rPr>
            </w:pPr>
            <w:r>
              <w:rPr>
                <w:rFonts w:ascii="Arial" w:cs="Arial" w:eastAsia="Arial" w:hAnsi="Arial"/>
                <w:sz w:val="16"/>
                <w:szCs w:val="16"/>
                <w:color w:val="auto"/>
                <w:w w:val="89"/>
              </w:rPr>
              <w:t>(Zip Code)</w:t>
            </w:r>
          </w:p>
        </w:tc>
      </w:tr>
      <w:tr>
        <w:trPr>
          <w:trHeight w:val="429"/>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gridSpan w:val="5"/>
          </w:tcPr>
          <w:p>
            <w:pPr>
              <w:jc w:val="center"/>
              <w:ind w:right="1882"/>
              <w:spacing w:after="0"/>
              <w:rPr>
                <w:sz w:val="20"/>
                <w:szCs w:val="20"/>
                <w:color w:val="auto"/>
              </w:rPr>
            </w:pPr>
            <w:r>
              <w:rPr>
                <w:rFonts w:ascii="Arial" w:cs="Arial" w:eastAsia="Arial" w:hAnsi="Arial"/>
                <w:sz w:val="19"/>
                <w:szCs w:val="19"/>
                <w:b w:val="1"/>
                <w:bCs w:val="1"/>
                <w:color w:val="auto"/>
                <w:w w:val="87"/>
              </w:rPr>
              <w:t>Registrant’s telephone number, including area code: (516) 268-7400</w:t>
            </w:r>
          </w:p>
        </w:tc>
      </w:tr>
      <w:tr>
        <w:trPr>
          <w:trHeight w:val="419"/>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gridSpan w:val="5"/>
          </w:tcPr>
          <w:p>
            <w:pPr>
              <w:jc w:val="center"/>
              <w:ind w:right="1882"/>
              <w:spacing w:after="0"/>
              <w:rPr>
                <w:sz w:val="20"/>
                <w:szCs w:val="20"/>
                <w:color w:val="auto"/>
              </w:rPr>
            </w:pPr>
            <w:r>
              <w:rPr>
                <w:rFonts w:ascii="Arial" w:cs="Arial" w:eastAsia="Arial" w:hAnsi="Arial"/>
                <w:sz w:val="19"/>
                <w:szCs w:val="19"/>
                <w:b w:val="1"/>
                <w:bCs w:val="1"/>
                <w:color w:val="auto"/>
                <w:w w:val="87"/>
              </w:rPr>
              <w:t>Securities registered pursuant to Section 12(b) of the Act:</w:t>
            </w:r>
          </w:p>
        </w:tc>
      </w:tr>
      <w:tr>
        <w:trPr>
          <w:trHeight w:val="351"/>
        </w:trPr>
        <w:tc>
          <w:tcPr>
            <w:tcW w:w="1220" w:type="dxa"/>
            <w:vAlign w:val="bottom"/>
          </w:tcPr>
          <w:p>
            <w:pPr>
              <w:spacing w:after="0"/>
              <w:rPr>
                <w:sz w:val="24"/>
                <w:szCs w:val="24"/>
                <w:color w:val="auto"/>
              </w:rPr>
            </w:pPr>
          </w:p>
        </w:tc>
        <w:tc>
          <w:tcPr>
            <w:tcW w:w="3760" w:type="dxa"/>
            <w:vAlign w:val="bottom"/>
            <w:gridSpan w:val="2"/>
          </w:tcPr>
          <w:p>
            <w:pPr>
              <w:jc w:val="center"/>
              <w:ind w:right="2552"/>
              <w:spacing w:after="0"/>
              <w:rPr>
                <w:sz w:val="20"/>
                <w:szCs w:val="20"/>
                <w:color w:val="auto"/>
              </w:rPr>
            </w:pPr>
            <w:r>
              <w:rPr>
                <w:rFonts w:ascii="Arial" w:cs="Arial" w:eastAsia="Arial" w:hAnsi="Arial"/>
                <w:sz w:val="16"/>
                <w:szCs w:val="16"/>
                <w:color w:val="auto"/>
                <w:w w:val="87"/>
              </w:rPr>
              <w:t>Title of each class</w:t>
            </w:r>
          </w:p>
        </w:tc>
        <w:tc>
          <w:tcPr>
            <w:tcW w:w="1740" w:type="dxa"/>
            <w:vAlign w:val="bottom"/>
            <w:gridSpan w:val="2"/>
          </w:tcPr>
          <w:p>
            <w:pPr>
              <w:jc w:val="center"/>
              <w:ind w:right="560"/>
              <w:spacing w:after="0"/>
              <w:rPr>
                <w:sz w:val="20"/>
                <w:szCs w:val="20"/>
                <w:color w:val="auto"/>
              </w:rPr>
            </w:pPr>
            <w:r>
              <w:rPr>
                <w:rFonts w:ascii="Arial" w:cs="Arial" w:eastAsia="Arial" w:hAnsi="Arial"/>
                <w:sz w:val="16"/>
                <w:szCs w:val="16"/>
                <w:color w:val="auto"/>
                <w:w w:val="90"/>
              </w:rPr>
              <w:t>Trading Symbol(s)</w:t>
            </w:r>
          </w:p>
        </w:tc>
        <w:tc>
          <w:tcPr>
            <w:tcW w:w="124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85"/>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184"/>
        </w:trPr>
        <w:tc>
          <w:tcPr>
            <w:tcW w:w="4980" w:type="dxa"/>
            <w:vAlign w:val="bottom"/>
            <w:gridSpan w:val="3"/>
          </w:tcPr>
          <w:p>
            <w:pPr>
              <w:jc w:val="center"/>
              <w:ind w:right="1332"/>
              <w:spacing w:after="0"/>
              <w:rPr>
                <w:sz w:val="20"/>
                <w:szCs w:val="20"/>
                <w:color w:val="auto"/>
              </w:rPr>
            </w:pPr>
            <w:r>
              <w:rPr>
                <w:rFonts w:ascii="Arial" w:cs="Arial" w:eastAsia="Arial" w:hAnsi="Arial"/>
                <w:sz w:val="16"/>
                <w:szCs w:val="16"/>
                <w:b w:val="1"/>
                <w:bCs w:val="1"/>
                <w:color w:val="auto"/>
                <w:w w:val="86"/>
              </w:rPr>
              <w:t>Class A shares, representing limited liability company</w:t>
            </w:r>
          </w:p>
        </w:tc>
        <w:tc>
          <w:tcPr>
            <w:tcW w:w="17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5"/>
              </w:rPr>
              <w:t>“NFE”</w:t>
            </w:r>
          </w:p>
        </w:tc>
        <w:tc>
          <w:tcPr>
            <w:tcW w:w="1240" w:type="dxa"/>
            <w:vAlign w:val="bottom"/>
          </w:tcPr>
          <w:p>
            <w:pPr>
              <w:spacing w:after="0"/>
              <w:rPr>
                <w:sz w:val="16"/>
                <w:szCs w:val="16"/>
                <w:color w:val="auto"/>
              </w:rPr>
            </w:pPr>
          </w:p>
        </w:tc>
        <w:tc>
          <w:tcPr>
            <w:tcW w:w="2740" w:type="dxa"/>
            <w:vAlign w:val="bottom"/>
          </w:tcPr>
          <w:p>
            <w:pPr>
              <w:ind w:left="400"/>
              <w:spacing w:after="0"/>
              <w:rPr>
                <w:sz w:val="20"/>
                <w:szCs w:val="20"/>
                <w:color w:val="auto"/>
              </w:rPr>
            </w:pPr>
            <w:r>
              <w:rPr>
                <w:rFonts w:ascii="Arial" w:cs="Arial" w:eastAsia="Arial" w:hAnsi="Arial"/>
                <w:sz w:val="16"/>
                <w:szCs w:val="16"/>
                <w:b w:val="1"/>
                <w:bCs w:val="1"/>
                <w:color w:val="auto"/>
              </w:rPr>
              <w:t>NASDAQ Global Select Market</w:t>
            </w:r>
          </w:p>
        </w:tc>
      </w:tr>
      <w:tr>
        <w:trPr>
          <w:trHeight w:val="202"/>
        </w:trPr>
        <w:tc>
          <w:tcPr>
            <w:tcW w:w="1220" w:type="dxa"/>
            <w:vAlign w:val="bottom"/>
          </w:tcPr>
          <w:p>
            <w:pPr>
              <w:spacing w:after="0"/>
              <w:rPr>
                <w:sz w:val="17"/>
                <w:szCs w:val="17"/>
                <w:color w:val="auto"/>
              </w:rPr>
            </w:pPr>
          </w:p>
        </w:tc>
        <w:tc>
          <w:tcPr>
            <w:tcW w:w="3760" w:type="dxa"/>
            <w:vAlign w:val="bottom"/>
            <w:gridSpan w:val="2"/>
          </w:tcPr>
          <w:p>
            <w:pPr>
              <w:jc w:val="center"/>
              <w:ind w:right="2552"/>
              <w:spacing w:after="0"/>
              <w:rPr>
                <w:sz w:val="20"/>
                <w:szCs w:val="20"/>
                <w:color w:val="auto"/>
              </w:rPr>
            </w:pPr>
            <w:r>
              <w:rPr>
                <w:rFonts w:ascii="Arial" w:cs="Arial" w:eastAsia="Arial" w:hAnsi="Arial"/>
                <w:sz w:val="16"/>
                <w:szCs w:val="16"/>
                <w:b w:val="1"/>
                <w:bCs w:val="1"/>
                <w:color w:val="auto"/>
                <w:w w:val="83"/>
              </w:rPr>
              <w:t>interests</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191" w:lineRule="exact"/>
        <w:rPr>
          <w:sz w:val="24"/>
          <w:szCs w:val="24"/>
          <w:color w:val="auto"/>
        </w:rPr>
      </w:pPr>
    </w:p>
    <w:p>
      <w:pPr>
        <w:jc w:val="both"/>
        <w:ind w:left="7" w:right="100" w:firstLine="279"/>
        <w:spacing w:after="0" w:line="230"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61" w:lineRule="exact"/>
        <w:rPr>
          <w:sz w:val="24"/>
          <w:szCs w:val="24"/>
          <w:color w:val="auto"/>
        </w:rPr>
      </w:pPr>
    </w:p>
    <w:p>
      <w:pPr>
        <w:ind w:left="307"/>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w:t>
      </w:r>
    </w:p>
    <w:p>
      <w:pPr>
        <w:spacing w:after="0" w:line="30" w:lineRule="exact"/>
        <w:rPr>
          <w:sz w:val="24"/>
          <w:szCs w:val="24"/>
          <w:color w:val="auto"/>
        </w:rPr>
      </w:pPr>
    </w:p>
    <w:p>
      <w:pPr>
        <w:ind w:left="7" w:right="60"/>
        <w:spacing w:after="0" w:line="232" w:lineRule="exact"/>
        <w:rPr>
          <w:sz w:val="20"/>
          <w:szCs w:val="20"/>
          <w:color w:val="auto"/>
        </w:rPr>
      </w:pPr>
      <w:r>
        <w:rPr>
          <w:rFonts w:ascii="Arial" w:cs="Arial" w:eastAsia="Arial" w:hAnsi="Arial"/>
          <w:sz w:val="19"/>
          <w:szCs w:val="19"/>
          <w:color w:val="auto"/>
        </w:rPr>
        <w:t xml:space="preserve">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61" w:lineRule="exact"/>
        <w:rPr>
          <w:sz w:val="24"/>
          <w:szCs w:val="24"/>
          <w:color w:val="auto"/>
        </w:rPr>
      </w:pPr>
    </w:p>
    <w:p>
      <w:pPr>
        <w:ind w:left="7" w:right="20" w:firstLine="307"/>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7"/>
          </w:cols>
          <w:pgMar w:left="313" w:top="481" w:right="319" w:bottom="1440" w:gutter="0" w:footer="0" w:header="0"/>
        </w:sectPr>
      </w:pPr>
    </w:p>
    <w:p>
      <w:pPr>
        <w:spacing w:after="0" w:line="161" w:lineRule="exact"/>
        <w:rPr>
          <w:sz w:val="24"/>
          <w:szCs w:val="24"/>
          <w:color w:val="auto"/>
        </w:rPr>
      </w:pPr>
    </w:p>
    <w:p>
      <w:pPr>
        <w:ind w:left="7"/>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78" w:lineRule="exact"/>
        <w:rPr>
          <w:sz w:val="24"/>
          <w:szCs w:val="24"/>
          <w:color w:val="auto"/>
        </w:rPr>
      </w:pPr>
    </w:p>
    <w:p>
      <w:pPr>
        <w:ind w:left="7"/>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67" w:space="720"/>
            <w:col w:w="1880"/>
          </w:cols>
          <w:pgMar w:left="313" w:top="481" w:right="319" w:bottom="1440" w:gutter="0" w:footer="0" w:header="0"/>
          <w:type w:val="continuous"/>
        </w:sectPr>
      </w:pPr>
    </w:p>
    <w:p>
      <w:pPr>
        <w:spacing w:after="0" w:line="14" w:lineRule="exact"/>
        <w:rPr>
          <w:sz w:val="24"/>
          <w:szCs w:val="24"/>
          <w:color w:val="auto"/>
        </w:rPr>
      </w:pPr>
    </w:p>
    <w:p>
      <w:pPr>
        <w:ind w:left="7" w:right="180" w:firstLine="307"/>
        <w:spacing w:after="0" w:line="240"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38" w:lineRule="exact"/>
        <w:rPr>
          <w:sz w:val="24"/>
          <w:szCs w:val="24"/>
          <w:color w:val="auto"/>
        </w:rPr>
      </w:pPr>
    </w:p>
    <w:p>
      <w:pPr>
        <w:ind w:left="307"/>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235" w:lineRule="exact"/>
        <w:rPr>
          <w:sz w:val="24"/>
          <w:szCs w:val="24"/>
          <w:color w:val="auto"/>
        </w:rPr>
      </w:pPr>
    </w:p>
    <w:p>
      <w:pPr>
        <w:ind w:left="307"/>
        <w:spacing w:after="0"/>
        <w:rPr>
          <w:sz w:val="20"/>
          <w:szCs w:val="20"/>
          <w:color w:val="auto"/>
        </w:rPr>
      </w:pPr>
      <w:r>
        <w:rPr>
          <w:rFonts w:ascii="Arial" w:cs="Arial" w:eastAsia="Arial" w:hAnsi="Arial"/>
          <w:sz w:val="19"/>
          <w:szCs w:val="19"/>
          <w:color w:val="auto"/>
        </w:rPr>
        <w:t>As of April 30, 2020, the registrant had 24,236,495 Class A shares and 144,342,572 Class B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1513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15137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405130</wp:posOffset>
            </wp:positionV>
            <wp:extent cx="715137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81"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9"/>
          <w:szCs w:val="19"/>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80" w:type="dxa"/>
            <w:vAlign w:val="bottom"/>
            <w:gridSpan w:val="2"/>
            <w:shd w:val="clear" w:color="auto" w:fill="CCEEFF"/>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 OF TERMS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80" w:type="dxa"/>
            <w:vAlign w:val="bottom"/>
            <w:gridSpan w:val="2"/>
            <w:shd w:val="clear" w:color="auto" w:fill="CCEEFF"/>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CAUTIONARY STATEMENT ON FORWARD-LOOKING STATEMENTS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80" w:type="dxa"/>
            <w:vAlign w:val="bottom"/>
            <w:gridSpan w:val="2"/>
            <w:shd w:val="clear" w:color="auto" w:fill="CCEEFF"/>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PART I FINANCIAL INFORMATION</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1.</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Financial Statements.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2.</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Management’s Discussion and Analysis of Financial Condition and Results of Operations.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3.</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Quantitative and Qualitative Disclosures About Market Risks.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4.</w:t>
            </w:r>
          </w:p>
        </w:tc>
        <w:tc>
          <w:tcPr>
            <w:tcW w:w="7880" w:type="dxa"/>
            <w:vAlign w:val="bottom"/>
            <w:shd w:val="clear" w:color="auto" w:fill="CCEEFF"/>
          </w:tcPr>
          <w:p>
            <w:pPr>
              <w:ind w:left="280"/>
              <w:spacing w:after="0"/>
              <w:rPr>
                <w:rFonts w:ascii="Arial" w:cs="Arial" w:eastAsia="Arial" w:hAnsi="Arial"/>
                <w:sz w:val="16"/>
                <w:szCs w:val="16"/>
                <w:color w:val="0000EE"/>
              </w:rPr>
            </w:pPr>
            <w:hyperlink w:anchor="page41">
              <w:r>
                <w:rPr>
                  <w:rFonts w:ascii="Arial" w:cs="Arial" w:eastAsia="Arial" w:hAnsi="Arial"/>
                  <w:sz w:val="16"/>
                  <w:szCs w:val="16"/>
                  <w:u w:val="single" w:color="auto"/>
                  <w:color w:val="0000EE"/>
                </w:rPr>
                <w:t>Controls and Procedures</w:t>
              </w:r>
              <w:r>
                <w:rPr>
                  <w:rFonts w:ascii="Arial" w:cs="Arial" w:eastAsia="Arial" w:hAnsi="Arial"/>
                  <w:sz w:val="16"/>
                  <w:szCs w:val="16"/>
                  <w:color w:val="0000EE"/>
                </w:rPr>
                <w:t>.</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80" w:type="dxa"/>
            <w:vAlign w:val="bottom"/>
            <w:gridSpan w:val="2"/>
            <w:shd w:val="clear" w:color="auto" w:fill="CCEEFF"/>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PART II OTHER INFORMATION</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1.</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Legal Proceedings.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1A.</w:t>
            </w:r>
          </w:p>
        </w:tc>
        <w:tc>
          <w:tcPr>
            <w:tcW w:w="7880" w:type="dxa"/>
            <w:vAlign w:val="bottom"/>
            <w:shd w:val="clear" w:color="auto" w:fill="CCEEFF"/>
          </w:tcPr>
          <w:p>
            <w:pPr>
              <w:ind w:left="280"/>
              <w:spacing w:after="0"/>
              <w:rPr>
                <w:rFonts w:ascii="Arial" w:cs="Arial" w:eastAsia="Arial" w:hAnsi="Arial"/>
                <w:sz w:val="16"/>
                <w:szCs w:val="16"/>
                <w:color w:val="0000EE"/>
              </w:rPr>
            </w:pPr>
            <w:hyperlink w:anchor="page42">
              <w:r>
                <w:rPr>
                  <w:rFonts w:ascii="Arial" w:cs="Arial" w:eastAsia="Arial" w:hAnsi="Arial"/>
                  <w:sz w:val="16"/>
                  <w:szCs w:val="16"/>
                  <w:u w:val="single" w:color="auto"/>
                  <w:color w:val="0000EE"/>
                </w:rPr>
                <w:t>Risk Factors</w:t>
              </w:r>
              <w:r>
                <w:rPr>
                  <w:rFonts w:ascii="Arial" w:cs="Arial" w:eastAsia="Arial" w:hAnsi="Arial"/>
                  <w:sz w:val="16"/>
                  <w:szCs w:val="16"/>
                  <w:color w:val="0000EE"/>
                </w:rPr>
                <w:t>.</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2.</w:t>
            </w:r>
          </w:p>
        </w:tc>
        <w:tc>
          <w:tcPr>
            <w:tcW w:w="7880" w:type="dxa"/>
            <w:vAlign w:val="bottom"/>
            <w:shd w:val="clear" w:color="auto" w:fill="CCEEFF"/>
          </w:tcPr>
          <w:p>
            <w:pPr>
              <w:ind w:left="280"/>
              <w:spacing w:after="0"/>
              <w:rPr>
                <w:rFonts w:ascii="Arial" w:cs="Arial" w:eastAsia="Arial" w:hAnsi="Arial"/>
                <w:sz w:val="16"/>
                <w:szCs w:val="16"/>
                <w:color w:val="0000EE"/>
              </w:rPr>
            </w:pPr>
            <w:hyperlink w:anchor="page73">
              <w:r>
                <w:rPr>
                  <w:rFonts w:ascii="Arial" w:cs="Arial" w:eastAsia="Arial" w:hAnsi="Arial"/>
                  <w:sz w:val="16"/>
                  <w:szCs w:val="16"/>
                  <w:u w:val="single" w:color="auto"/>
                  <w:color w:val="0000EE"/>
                </w:rPr>
                <w:t>Unregistered Sales of Equity Securities and Use of Proceeds</w:t>
              </w:r>
              <w:r>
                <w:rPr>
                  <w:rFonts w:ascii="Arial" w:cs="Arial" w:eastAsia="Arial" w:hAnsi="Arial"/>
                  <w:sz w:val="16"/>
                  <w:szCs w:val="16"/>
                  <w:color w:val="0000EE"/>
                </w:rPr>
                <w:t>.</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3.</w:t>
            </w:r>
          </w:p>
        </w:tc>
        <w:tc>
          <w:tcPr>
            <w:tcW w:w="7880" w:type="dxa"/>
            <w:vAlign w:val="bottom"/>
            <w:shd w:val="clear" w:color="auto" w:fill="CCEEFF"/>
          </w:tcPr>
          <w:p>
            <w:pPr>
              <w:ind w:left="280"/>
              <w:spacing w:after="0"/>
              <w:rPr>
                <w:rFonts w:ascii="Arial" w:cs="Arial" w:eastAsia="Arial" w:hAnsi="Arial"/>
                <w:sz w:val="16"/>
                <w:szCs w:val="16"/>
                <w:color w:val="0000EE"/>
              </w:rPr>
            </w:pPr>
            <w:hyperlink w:anchor="page73">
              <w:r>
                <w:rPr>
                  <w:rFonts w:ascii="Arial" w:cs="Arial" w:eastAsia="Arial" w:hAnsi="Arial"/>
                  <w:sz w:val="16"/>
                  <w:szCs w:val="16"/>
                  <w:u w:val="single" w:color="auto"/>
                  <w:color w:val="0000EE"/>
                </w:rPr>
                <w:t>Defaults upon Senior Securities</w:t>
              </w:r>
              <w:r>
                <w:rPr>
                  <w:rFonts w:ascii="Arial" w:cs="Arial" w:eastAsia="Arial" w:hAnsi="Arial"/>
                  <w:sz w:val="16"/>
                  <w:szCs w:val="16"/>
                  <w:color w:val="0000EE"/>
                </w:rPr>
                <w:t>.</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4.</w:t>
            </w:r>
          </w:p>
        </w:tc>
        <w:tc>
          <w:tcPr>
            <w:tcW w:w="7880" w:type="dxa"/>
            <w:vAlign w:val="bottom"/>
            <w:shd w:val="clear" w:color="auto" w:fill="CCEEFF"/>
          </w:tcPr>
          <w:p>
            <w:pPr>
              <w:ind w:left="280"/>
              <w:spacing w:after="0"/>
              <w:rPr>
                <w:rFonts w:ascii="Arial" w:cs="Arial" w:eastAsia="Arial" w:hAnsi="Arial"/>
                <w:sz w:val="16"/>
                <w:szCs w:val="16"/>
                <w:color w:val="0000EE"/>
              </w:rPr>
            </w:pPr>
            <w:hyperlink w:anchor="page73">
              <w:r>
                <w:rPr>
                  <w:rFonts w:ascii="Arial" w:cs="Arial" w:eastAsia="Arial" w:hAnsi="Arial"/>
                  <w:sz w:val="16"/>
                  <w:szCs w:val="16"/>
                  <w:u w:val="single" w:color="auto"/>
                  <w:color w:val="0000EE"/>
                </w:rPr>
                <w:t>Mine Safety Disclosures</w:t>
              </w:r>
              <w:r>
                <w:rPr>
                  <w:rFonts w:ascii="Arial" w:cs="Arial" w:eastAsia="Arial" w:hAnsi="Arial"/>
                  <w:sz w:val="16"/>
                  <w:szCs w:val="16"/>
                  <w:color w:val="0000EE"/>
                </w:rPr>
                <w:t>.</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5.</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Other Information.</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Item 6.</w:t>
            </w:r>
          </w:p>
        </w:tc>
        <w:tc>
          <w:tcPr>
            <w:tcW w:w="7880" w:type="dxa"/>
            <w:vAlign w:val="bottom"/>
            <w:shd w:val="clear" w:color="auto" w:fill="CCEEFF"/>
          </w:tcPr>
          <w:p>
            <w:pPr>
              <w:ind w:left="280"/>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Exhibits.</w:t>
              </w:r>
            </w:hyperlink>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12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00" w:type="dxa"/>
            <w:vAlign w:val="bottom"/>
            <w:shd w:val="clear" w:color="auto" w:fill="CCEEFF"/>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SIGNATURES</w:t>
              </w:r>
            </w:hyperlink>
          </w:p>
        </w:tc>
        <w:tc>
          <w:tcPr>
            <w:tcW w:w="788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 w:name="page3"/>
    <w:bookmarkEnd w:id="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GLOSSARY OF TERMS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Report”), the terms listed below have the following meanings: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Btu</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w w:val="94"/>
              </w:rPr>
              <w:t>the amount of heat required to raise the temperature of one avoirdupois pound of pure water from 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w w:val="86"/>
              </w:rPr>
              <w:t>degrees Fahrenheit to 60 degrees Fahrenheit at an absolute pressure of 14.696 pounds per square inch gage</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CAA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Clean Air Act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CERCLA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Comprehensive Environmental Response, Compensation and Liability Act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CWA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Clean Water Act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DOE</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U.S. Department of Energy</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FERC</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Federal Energy Regulatory Commission</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GHG</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greenhouse gases</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GSA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gas sales agreement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Henry Hub</w:t>
            </w:r>
          </w:p>
        </w:tc>
        <w:tc>
          <w:tcPr>
            <w:tcW w:w="8420" w:type="dxa"/>
            <w:vAlign w:val="bottom"/>
            <w:shd w:val="clear" w:color="auto" w:fill="CCEEFF"/>
          </w:tcPr>
          <w:p>
            <w:pPr>
              <w:ind w:left="1660"/>
              <w:spacing w:after="0" w:line="176" w:lineRule="exact"/>
              <w:rPr>
                <w:sz w:val="20"/>
                <w:szCs w:val="20"/>
                <w:color w:val="auto"/>
              </w:rPr>
            </w:pPr>
            <w:r>
              <w:rPr>
                <w:rFonts w:ascii="Arial" w:cs="Arial" w:eastAsia="Arial" w:hAnsi="Arial"/>
                <w:sz w:val="16"/>
                <w:szCs w:val="16"/>
                <w:color w:val="auto"/>
                <w:w w:val="93"/>
              </w:rPr>
              <w:t>a natural gas pipeline located in Erath, Louisiana that serves as the official delivery location for futures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contracts on the New York Mercantile Exchange</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ISO container</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International Organization of Standardization, an intermodal container</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LNG</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natural gas in its liquid state at or below its boiling point at or near atmospheric pressure</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MMBtu</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one million Btus, which corresponds to approximately 12.1 LNG gallons</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MW</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megawatt. We estimate 2,500 LNG gallons would be required to produce one megawatt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NGA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Natural Gas Act of 1938, as amended</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non-FTA countries</w:t>
            </w:r>
          </w:p>
        </w:tc>
        <w:tc>
          <w:tcPr>
            <w:tcW w:w="8420" w:type="dxa"/>
            <w:vAlign w:val="bottom"/>
            <w:shd w:val="clear" w:color="auto" w:fill="CCEEFF"/>
          </w:tcPr>
          <w:p>
            <w:pPr>
              <w:ind w:left="1660"/>
              <w:spacing w:after="0" w:line="176" w:lineRule="exact"/>
              <w:rPr>
                <w:sz w:val="20"/>
                <w:szCs w:val="20"/>
                <w:color w:val="auto"/>
              </w:rPr>
            </w:pPr>
            <w:r>
              <w:rPr>
                <w:rFonts w:ascii="Arial" w:cs="Arial" w:eastAsia="Arial" w:hAnsi="Arial"/>
                <w:sz w:val="16"/>
                <w:szCs w:val="16"/>
                <w:color w:val="auto"/>
                <w:w w:val="89"/>
              </w:rPr>
              <w:t>countries without a free trade agreement with the United States providing for national treatment for trade in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natural gas and with which trade is permitted</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OPA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Oil Pollution Act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OUR</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Office of Utilities Regulation (Jamaica)</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PHMSA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Pipeline and Hazardous Materials Safety Administration</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PPA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power purchase agreement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SSA</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steam supply agreement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TBtu</w:t>
            </w:r>
          </w:p>
        </w:tc>
        <w:tc>
          <w:tcPr>
            <w:tcW w:w="842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one trillion Btus, which corresponds to approximately 12,100,000 LNG gallons</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420" w:type="dxa"/>
            <w:vAlign w:val="bottom"/>
          </w:tcPr>
          <w:p>
            <w:pPr>
              <w:ind w:left="2740"/>
              <w:spacing w:after="0"/>
              <w:rPr>
                <w:sz w:val="20"/>
                <w:szCs w:val="20"/>
                <w:color w:val="auto"/>
              </w:rPr>
            </w:pPr>
            <w:r>
              <w:rPr>
                <w:rFonts w:ascii="Arial" w:cs="Arial" w:eastAsia="Arial" w:hAnsi="Arial"/>
                <w:sz w:val="12"/>
                <w:szCs w:val="12"/>
                <w:color w:val="auto"/>
              </w:rPr>
              <w:t>ii</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3" w:name="page4"/>
    <w:bookmarkEnd w:id="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CAUTIONARY STATEMENT ON FORWARD-LOOKING STATEMENTS</w:t>
      </w:r>
    </w:p>
    <w:p>
      <w:pPr>
        <w:spacing w:after="0" w:line="204" w:lineRule="exact"/>
        <w:rPr>
          <w:sz w:val="20"/>
          <w:szCs w:val="20"/>
          <w:color w:val="auto"/>
        </w:rPr>
      </w:pPr>
    </w:p>
    <w:p>
      <w:pPr>
        <w:ind w:firstLine="307"/>
        <w:spacing w:after="0" w:line="264" w:lineRule="auto"/>
        <w:rPr>
          <w:sz w:val="20"/>
          <w:szCs w:val="20"/>
          <w:color w:val="auto"/>
        </w:rPr>
      </w:pPr>
      <w:r>
        <w:rPr>
          <w:rFonts w:ascii="Arial" w:cs="Arial" w:eastAsia="Arial" w:hAnsi="Arial"/>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3" w:lineRule="exact"/>
        <w:rPr>
          <w:sz w:val="20"/>
          <w:szCs w:val="20"/>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one or more of our customers;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211" w:lineRule="exact"/>
        <w:rPr>
          <w:rFonts w:ascii="Arial" w:cs="Arial" w:eastAsia="Arial" w:hAnsi="Arial"/>
          <w:sz w:val="16"/>
          <w:szCs w:val="16"/>
          <w:color w:val="auto"/>
        </w:rPr>
      </w:pPr>
    </w:p>
    <w:p>
      <w:pPr>
        <w:ind w:left="560" w:right="540" w:hanging="288"/>
        <w:spacing w:after="0" w:line="25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of construction on our LNG terminals, power plants or Liquefaction Facilities (as defined herein) and the terms of our construction contracts for the completion of these assets;</w:t>
      </w:r>
    </w:p>
    <w:p>
      <w:pPr>
        <w:spacing w:after="0" w:line="186" w:lineRule="exact"/>
        <w:rPr>
          <w:rFonts w:ascii="Arial" w:cs="Arial" w:eastAsia="Arial" w:hAnsi="Arial"/>
          <w:sz w:val="16"/>
          <w:szCs w:val="16"/>
          <w:color w:val="auto"/>
        </w:rPr>
      </w:pPr>
    </w:p>
    <w:p>
      <w:pPr>
        <w:ind w:left="560" w:right="400" w:hanging="288"/>
        <w:spacing w:after="0" w:line="25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 overruns and delays in the completion of one or more of our LNG terminals, power plants or Liquefaction Facilities, as well as difficulties in obtaining sufficient financing to pay for such costs and delays;</w:t>
      </w:r>
    </w:p>
    <w:p>
      <w:pPr>
        <w:spacing w:after="0" w:line="186"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additional financing to effect our strategy;</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hurricanes or other natural or manmade disasters;</w:t>
      </w:r>
    </w:p>
    <w:p>
      <w:pPr>
        <w:spacing w:after="0" w:line="211" w:lineRule="exact"/>
        <w:rPr>
          <w:rFonts w:ascii="Arial" w:cs="Arial" w:eastAsia="Arial" w:hAnsi="Arial"/>
          <w:sz w:val="16"/>
          <w:szCs w:val="16"/>
          <w:color w:val="auto"/>
        </w:rPr>
      </w:pPr>
    </w:p>
    <w:p>
      <w:pPr>
        <w:ind w:left="560" w:right="80" w:hanging="288"/>
        <w:spacing w:after="0" w:line="25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severity and duration of world health events, including the recent novel coronavirus (“COVID-19”) pandemic and related economic and political impacts on our or our customers’ or suppliers’ operations and financial status;</w:t>
      </w:r>
    </w:p>
    <w:p>
      <w:pPr>
        <w:spacing w:after="0" w:line="186"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obtain and maintain approvals and permits from governmental and regulatory agencies;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regulatory, environmental, political, legal and economic risks pertaining to the construction and operation of our facilities;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contract with suppliers and tankers to facilitate the delivery of LNG on their chartered LNG tankers;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volatility or cyclical or other changes in the demand for and price of LNG and natural gas and alternative fuels including oil-based fuels;</w:t>
      </w:r>
    </w:p>
    <w:p>
      <w:pPr>
        <w:spacing w:after="0" w:line="211" w:lineRule="exact"/>
        <w:rPr>
          <w:rFonts w:ascii="Arial" w:cs="Arial" w:eastAsia="Arial" w:hAnsi="Arial"/>
          <w:sz w:val="16"/>
          <w:szCs w:val="16"/>
          <w:color w:val="auto"/>
        </w:rPr>
      </w:pPr>
    </w:p>
    <w:p>
      <w:pPr>
        <w:ind w:left="560" w:right="240" w:hanging="288"/>
        <w:spacing w:after="0" w:line="25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86"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natural gas to be a competitive source of energy in the markets in which we operate, and seek to operate;</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from third parties in our business;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re-finance our outstanding indebtedness or implement our financing plans;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environmental and similar laws and governmental regulations that are adverse to our operations;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enter into favorable agreements and obtain necessary regulatory approvals;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tax treatment of us or of an investment in our Class A shares;</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of the Exchange Transactions (as defined below);</w:t>
      </w:r>
    </w:p>
    <w:p>
      <w:pPr>
        <w:spacing w:after="0" w:line="211" w:lineRule="exact"/>
        <w:rPr>
          <w:rFonts w:ascii="Arial" w:cs="Arial" w:eastAsia="Arial" w:hAnsi="Arial"/>
          <w:sz w:val="16"/>
          <w:szCs w:val="16"/>
          <w:color w:val="auto"/>
        </w:rPr>
      </w:pPr>
    </w:p>
    <w:p>
      <w:pPr>
        <w:ind w:left="560" w:hanging="28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 health and safety incident relating to our business;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 w:name="page5"/>
    <w:bookmarkEnd w:id="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560" w:hanging="28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211"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Puerto Rico, Mexico, Jamaica, Angola, Nicaragua and other jurisdictions in the Caribbean.</w:t>
      </w:r>
    </w:p>
    <w:p>
      <w:pPr>
        <w:spacing w:after="0" w:line="178" w:lineRule="exact"/>
        <w:rPr>
          <w:sz w:val="20"/>
          <w:szCs w:val="20"/>
          <w:color w:val="auto"/>
        </w:rPr>
      </w:pPr>
    </w:p>
    <w:p>
      <w:pPr>
        <w:jc w:val="both"/>
        <w:ind w:firstLine="307"/>
        <w:spacing w:after="0" w:line="234" w:lineRule="auto"/>
        <w:rPr>
          <w:sz w:val="20"/>
          <w:szCs w:val="20"/>
          <w:color w:val="auto"/>
        </w:rPr>
      </w:pPr>
      <w:r>
        <w:rPr>
          <w:rFonts w:ascii="Arial" w:cs="Arial" w:eastAsia="Arial" w:hAnsi="Arial"/>
          <w:sz w:val="19"/>
          <w:szCs w:val="19"/>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2019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 w:name="page6"/>
    <w:bookmarkEnd w:id="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INFORMATION</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Consolidated Balance Sheets</w:t>
      </w:r>
    </w:p>
    <w:p>
      <w:pPr>
        <w:spacing w:after="0" w:line="230" w:lineRule="auto"/>
        <w:rPr>
          <w:sz w:val="20"/>
          <w:szCs w:val="20"/>
          <w:color w:val="auto"/>
        </w:rPr>
      </w:pPr>
      <w:r>
        <w:rPr>
          <w:rFonts w:ascii="Arial" w:cs="Arial" w:eastAsia="Arial" w:hAnsi="Arial"/>
          <w:sz w:val="19"/>
          <w:szCs w:val="19"/>
          <w:b w:val="1"/>
          <w:bCs w:val="1"/>
          <w:color w:val="auto"/>
        </w:rPr>
        <w:t>As of March 31, 2020 and December 31, 2019</w:t>
      </w:r>
    </w:p>
    <w:p>
      <w:pPr>
        <w:spacing w:after="0"/>
        <w:rPr>
          <w:sz w:val="20"/>
          <w:szCs w:val="20"/>
          <w:color w:val="auto"/>
        </w:rPr>
      </w:pPr>
      <w:r>
        <w:rPr>
          <w:rFonts w:ascii="Arial" w:cs="Arial" w:eastAsia="Arial" w:hAnsi="Arial"/>
          <w:sz w:val="19"/>
          <w:szCs w:val="19"/>
          <w:b w:val="1"/>
          <w:bCs w:val="1"/>
          <w:color w:val="auto"/>
        </w:rPr>
        <w:t>(Unaudited, in thousands of U.S.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80" w:type="dxa"/>
            <w:vAlign w:val="bottom"/>
            <w:gridSpan w:val="2"/>
          </w:tcPr>
          <w:p>
            <w:pPr>
              <w:spacing w:after="0" w:line="170" w:lineRule="exact"/>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232,698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27,098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30,966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 net of allowances of $0 and $0, respectively</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49,890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63,432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74,826</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414,614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211,120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26,055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34,971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Construction in progress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333,646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479,089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 net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42,276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43,540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 net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91,174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Investment in equity securities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assets, net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74,027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81,626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1,489,116</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1,123,814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68,529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54,943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lease 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Due to affiliates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Borders>
              <w:top w:val="single" w:sz="8" w:color="CCEEFF"/>
            </w:tcBorders>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151,651</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102,263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945,209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619,057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 lease 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top w:val="single" w:sz="8" w:color="CCEEFF"/>
            </w:tcBorders>
          </w:tcPr>
          <w:p>
            <w:pPr>
              <w:ind w:left="1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1,174,925</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736,490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Commitments and contingences (Note 18)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w w:val="88"/>
              </w:rPr>
              <w:t>Class A shares, 24,820,003 shares issued and 24,236,495 outstanding as of March 31, 2020; 23,607,096 shares issued and outstanding</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as of December 31, 2019</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Treasury shares, 583,508 shares as of March 31, 2020, at cost; 0 shares at December 31, 2019, at cost</w:t>
            </w: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(6,132)</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B shares, 144,342,572 shares, issued and outstanding as of March 31, 2020 and December 31, 2019</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(55,427)</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(45,823)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Borders>
              <w:top w:val="single" w:sz="8" w:color="CCEEFF"/>
            </w:tcBorders>
          </w:tcPr>
          <w:p>
            <w:pPr>
              <w:ind w:left="120"/>
              <w:spacing w:after="0"/>
              <w:rPr>
                <w:sz w:val="20"/>
                <w:szCs w:val="20"/>
                <w:color w:val="auto"/>
              </w:rPr>
            </w:pPr>
            <w:r>
              <w:rPr>
                <w:rFonts w:ascii="Arial" w:cs="Arial" w:eastAsia="Arial" w:hAnsi="Arial"/>
                <w:sz w:val="16"/>
                <w:szCs w:val="16"/>
                <w:b w:val="1"/>
                <w:bCs w:val="1"/>
                <w:color w:val="auto"/>
              </w:rPr>
              <w:t>Total stockholders' equity attributable to NFE</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71,524</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84,805</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242,667</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302,519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314,191</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1,489,116</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1,123,814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 w:name="page7"/>
    <w:bookmarkEnd w:id="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1" w:lineRule="exact"/>
        <w:rPr>
          <w:sz w:val="20"/>
          <w:szCs w:val="20"/>
          <w:color w:val="auto"/>
        </w:rPr>
      </w:pPr>
    </w:p>
    <w:p>
      <w:pPr>
        <w:ind w:right="5200"/>
        <w:spacing w:after="0" w:line="257"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months ended March 31, 2020 and 2019</w:t>
      </w:r>
    </w:p>
    <w:p>
      <w:pPr>
        <w:spacing w:after="0"/>
        <w:rPr>
          <w:sz w:val="20"/>
          <w:szCs w:val="20"/>
          <w:color w:val="auto"/>
        </w:rPr>
      </w:pPr>
      <w:r>
        <w:rPr>
          <w:rFonts w:ascii="Arial" w:cs="Arial" w:eastAsia="Arial" w:hAnsi="Arial"/>
          <w:sz w:val="19"/>
          <w:szCs w:val="19"/>
          <w:b w:val="1"/>
          <w:bCs w:val="1"/>
          <w:color w:val="auto"/>
        </w:rPr>
        <w:t>(Unaudited, in thousands of U.S. dollars,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1"/>
              </w:rPr>
              <w:t>Three Months 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63,502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Other revenue</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11,028</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74,530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68,216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33,349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28,370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49,749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mitigation sales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110,531</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89,288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Operating loss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(36,001)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(59,337)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13,890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on extinguishment of debt, net</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Loss before taxes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(60,059)</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(60,046)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Tax (benefit) expense</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(60,055)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(60,292)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51,757</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Net loss attributable to stockholders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(8,298)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Net loss per share – basic and diluted</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(0.32)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26,029,492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14,094,534</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(60,055)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Unrealized loss on currency translation adjustment</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Comprehensive loss attributable to non-controlling interest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46,735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loss attributable to stockholders</w:t>
            </w: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 w:name="page8"/>
    <w:bookmarkEnd w:id="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1" w:lineRule="exact"/>
        <w:rPr>
          <w:sz w:val="20"/>
          <w:szCs w:val="20"/>
          <w:color w:val="auto"/>
        </w:rPr>
      </w:pPr>
    </w:p>
    <w:p>
      <w:pPr>
        <w:ind w:right="5600"/>
        <w:spacing w:after="0" w:line="251"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months ended March 31, 2020 and 2019 (Unaudited, in thousands of U.S. dollars, except share amounts)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Accumulated other</w:t>
            </w:r>
          </w:p>
        </w:tc>
        <w:tc>
          <w:tcPr>
            <w:tcW w:w="8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r>
      <w:tr>
        <w:trPr>
          <w:trHeight w:val="20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92"/>
              </w:rPr>
              <w:t>Members' Capital</w:t>
            </w:r>
          </w:p>
        </w:tc>
        <w:tc>
          <w:tcPr>
            <w:tcW w:w="1520" w:type="dxa"/>
            <w:vAlign w:val="bottom"/>
            <w:gridSpan w:val="5"/>
          </w:tcPr>
          <w:p>
            <w:pPr>
              <w:ind w:left="240"/>
              <w:spacing w:after="0"/>
              <w:rPr>
                <w:sz w:val="20"/>
                <w:szCs w:val="20"/>
                <w:color w:val="auto"/>
              </w:rPr>
            </w:pPr>
            <w:r>
              <w:rPr>
                <w:rFonts w:ascii="Arial" w:cs="Arial" w:eastAsia="Arial" w:hAnsi="Arial"/>
                <w:sz w:val="16"/>
                <w:szCs w:val="16"/>
                <w:b w:val="1"/>
                <w:bCs w:val="1"/>
                <w:color w:val="auto"/>
              </w:rPr>
              <w:t>Class A shares</w:t>
            </w:r>
          </w:p>
        </w:tc>
        <w:tc>
          <w:tcPr>
            <w:tcW w:w="1300" w:type="dxa"/>
            <w:vAlign w:val="bottom"/>
            <w:gridSpan w:val="3"/>
          </w:tcPr>
          <w:p>
            <w:pPr>
              <w:jc w:val="right"/>
              <w:ind w:right="6"/>
              <w:spacing w:after="0"/>
              <w:rPr>
                <w:sz w:val="20"/>
                <w:szCs w:val="20"/>
                <w:color w:val="auto"/>
              </w:rPr>
            </w:pPr>
            <w:r>
              <w:rPr>
                <w:rFonts w:ascii="Arial" w:cs="Arial" w:eastAsia="Arial" w:hAnsi="Arial"/>
                <w:sz w:val="16"/>
                <w:szCs w:val="16"/>
                <w:b w:val="1"/>
                <w:bCs w:val="1"/>
                <w:color w:val="auto"/>
              </w:rPr>
              <w:t>Class B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0"/>
              </w:rPr>
              <w:t>Treasury shares</w:t>
            </w:r>
          </w:p>
        </w:tc>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5"/>
              </w:rPr>
              <w:t>comprehensive</w:t>
            </w: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w w:val="99"/>
              </w:rPr>
              <w:t>controlling</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w w:val="88"/>
              </w:rPr>
              <w:t>stockholders'</w:t>
            </w: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Units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0"/>
              </w:rPr>
              <w:t>Amounts</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Amount</w:t>
            </w:r>
          </w:p>
        </w:tc>
        <w:tc>
          <w:tcPr>
            <w:tcW w:w="8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Amount</w:t>
            </w:r>
          </w:p>
        </w:tc>
        <w:tc>
          <w:tcPr>
            <w:tcW w:w="100" w:type="dxa"/>
            <w:vAlign w:val="bottom"/>
          </w:tcPr>
          <w:p>
            <w:pPr>
              <w:spacing w:after="0"/>
              <w:rPr>
                <w:sz w:val="16"/>
                <w:szCs w:val="16"/>
                <w:color w:val="auto"/>
              </w:rPr>
            </w:pPr>
          </w:p>
        </w:tc>
        <w:tc>
          <w:tcPr>
            <w:tcW w:w="6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3"/>
              </w:rPr>
              <w:t>Shares</w:t>
            </w:r>
          </w:p>
        </w:tc>
        <w:tc>
          <w:tcPr>
            <w:tcW w:w="5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5"/>
              </w:rPr>
              <w:t>Amount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deficit</w:t>
            </w:r>
          </w:p>
        </w:tc>
        <w:tc>
          <w:tcPr>
            <w:tcW w:w="12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1"/>
              </w:rPr>
              <w:t>(loss) income</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6"/>
              </w:rPr>
              <w:t>Interest</w:t>
            </w:r>
          </w:p>
        </w:tc>
        <w:tc>
          <w:tcPr>
            <w:tcW w:w="1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equity</w:t>
            </w:r>
          </w:p>
        </w:tc>
      </w:tr>
      <w:tr>
        <w:trPr>
          <w:trHeight w:val="170"/>
        </w:trPr>
        <w:tc>
          <w:tcPr>
            <w:tcW w:w="20" w:type="dxa"/>
            <w:vAlign w:val="bottom"/>
          </w:tcPr>
          <w:p>
            <w:pPr>
              <w:spacing w:after="0"/>
              <w:rPr>
                <w:sz w:val="14"/>
                <w:szCs w:val="14"/>
                <w:color w:val="auto"/>
              </w:rPr>
            </w:pPr>
          </w:p>
        </w:tc>
        <w:tc>
          <w:tcPr>
            <w:tcW w:w="124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Balance as of</w:t>
            </w: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23,607,096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2"/>
              </w:rPr>
              <w:t>$130,658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144,342,572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(45,823)</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302,519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387,324</w:t>
            </w:r>
          </w:p>
        </w:tc>
        <w:tc>
          <w:tcPr>
            <w:tcW w:w="80" w:type="dxa"/>
            <w:vAlign w:val="bottom"/>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120"/>
              <w:spacing w:after="0" w:line="176" w:lineRule="exact"/>
              <w:rPr>
                <w:sz w:val="20"/>
                <w:szCs w:val="20"/>
                <w:color w:val="auto"/>
              </w:rPr>
            </w:pPr>
            <w:r>
              <w:rPr>
                <w:rFonts w:ascii="Arial" w:cs="Arial" w:eastAsia="Arial" w:hAnsi="Arial"/>
                <w:sz w:val="16"/>
                <w:szCs w:val="16"/>
                <w:color w:val="auto"/>
              </w:rPr>
              <w:t>Cumulative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effect of</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accounting</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change (ASC</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260" w:type="dxa"/>
            <w:vAlign w:val="bottom"/>
            <w:gridSpan w:val="2"/>
          </w:tcPr>
          <w:p>
            <w:pPr>
              <w:ind w:left="280"/>
              <w:spacing w:after="0"/>
              <w:rPr>
                <w:sz w:val="20"/>
                <w:szCs w:val="20"/>
                <w:color w:val="auto"/>
              </w:rPr>
            </w:pPr>
            <w:r>
              <w:rPr>
                <w:rFonts w:ascii="Arial" w:cs="Arial" w:eastAsia="Arial" w:hAnsi="Arial"/>
                <w:sz w:val="16"/>
                <w:szCs w:val="16"/>
                <w:color w:val="auto"/>
              </w:rPr>
              <w:t>842)</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(7,779)</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(9,085)</w:t>
            </w: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(8,298)</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(51,757)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(60,055)</w:t>
            </w:r>
          </w:p>
        </w:tc>
      </w:tr>
      <w:tr>
        <w:trPr>
          <w:trHeight w:val="176"/>
        </w:trPr>
        <w:tc>
          <w:tcPr>
            <w:tcW w:w="20" w:type="dxa"/>
            <w:vAlign w:val="bottom"/>
          </w:tcPr>
          <w:p>
            <w:pPr>
              <w:spacing w:after="0"/>
              <w:rPr>
                <w:sz w:val="15"/>
                <w:szCs w:val="15"/>
                <w:color w:val="auto"/>
              </w:rPr>
            </w:pPr>
          </w:p>
        </w:tc>
        <w:tc>
          <w:tcPr>
            <w:tcW w:w="1240" w:type="dxa"/>
            <w:vAlign w:val="bottom"/>
          </w:tcPr>
          <w:p>
            <w:pPr>
              <w:ind w:left="120"/>
              <w:spacing w:after="0" w:line="176" w:lineRule="exact"/>
              <w:rPr>
                <w:sz w:val="20"/>
                <w:szCs w:val="20"/>
                <w:color w:val="auto"/>
              </w:rPr>
            </w:pPr>
            <w:r>
              <w:rPr>
                <w:rFonts w:ascii="Arial" w:cs="Arial" w:eastAsia="Arial" w:hAnsi="Arial"/>
                <w:sz w:val="16"/>
                <w:szCs w:val="16"/>
                <w:color w:val="auto"/>
              </w:rPr>
              <w:t>Other</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w w:val="88"/>
              </w:rPr>
              <w:t>comprehensive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loss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(369)</w:t>
            </w:r>
          </w:p>
        </w:tc>
      </w:tr>
      <w:tr>
        <w:trPr>
          <w:trHeight w:val="176"/>
        </w:trPr>
        <w:tc>
          <w:tcPr>
            <w:tcW w:w="20" w:type="dxa"/>
            <w:vAlign w:val="bottom"/>
          </w:tcPr>
          <w:p>
            <w:pPr>
              <w:spacing w:after="0"/>
              <w:rPr>
                <w:sz w:val="15"/>
                <w:szCs w:val="15"/>
                <w:color w:val="auto"/>
              </w:rPr>
            </w:pPr>
          </w:p>
        </w:tc>
        <w:tc>
          <w:tcPr>
            <w:tcW w:w="124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Share-based</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compensation</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expense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2,508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80" w:type="dxa"/>
            <w:vAlign w:val="bottom"/>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120"/>
              <w:spacing w:after="0" w:line="176" w:lineRule="exact"/>
              <w:rPr>
                <w:sz w:val="20"/>
                <w:szCs w:val="20"/>
                <w:color w:val="auto"/>
              </w:rPr>
            </w:pPr>
            <w:r>
              <w:rPr>
                <w:rFonts w:ascii="Arial" w:cs="Arial" w:eastAsia="Arial" w:hAnsi="Arial"/>
                <w:sz w:val="16"/>
                <w:szCs w:val="16"/>
                <w:color w:val="auto"/>
              </w:rPr>
              <w:t>Issuance of</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shares for</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Arial" w:cs="Arial" w:eastAsia="Arial" w:hAnsi="Arial"/>
                <w:sz w:val="16"/>
                <w:szCs w:val="16"/>
                <w:color w:val="auto"/>
              </w:rPr>
              <w:t>vested RSUs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1,212,907</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4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w w:val="96"/>
              </w:rPr>
              <w:t>Shares withheld</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from</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employees</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related to</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share-based</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2"/>
              </w:rPr>
              <w:t>compensation,</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at cost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(583,508)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(6,132)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(6,132)</w:t>
            </w:r>
          </w:p>
        </w:tc>
      </w:tr>
      <w:tr>
        <w:trPr>
          <w:trHeight w:val="170"/>
        </w:trPr>
        <w:tc>
          <w:tcPr>
            <w:tcW w:w="20" w:type="dxa"/>
            <w:vAlign w:val="bottom"/>
          </w:tcPr>
          <w:p>
            <w:pPr>
              <w:spacing w:after="0"/>
              <w:rPr>
                <w:sz w:val="14"/>
                <w:szCs w:val="14"/>
                <w:color w:val="auto"/>
              </w:rPr>
            </w:pPr>
          </w:p>
        </w:tc>
        <w:tc>
          <w:tcPr>
            <w:tcW w:w="1240" w:type="dxa"/>
            <w:vAlign w:val="bottom"/>
            <w:tcBorders>
              <w:top w:val="single" w:sz="8" w:color="CCEEFF"/>
            </w:tcBorders>
          </w:tcPr>
          <w:p>
            <w:pPr>
              <w:spacing w:after="0" w:line="170" w:lineRule="exact"/>
              <w:rPr>
                <w:sz w:val="20"/>
                <w:szCs w:val="20"/>
                <w:color w:val="auto"/>
              </w:rPr>
            </w:pPr>
            <w:r>
              <w:rPr>
                <w:rFonts w:ascii="Arial" w:cs="Arial" w:eastAsia="Arial" w:hAnsi="Arial"/>
                <w:sz w:val="16"/>
                <w:szCs w:val="16"/>
                <w:b w:val="1"/>
                <w:bCs w:val="1"/>
                <w:color w:val="auto"/>
              </w:rPr>
              <w:t>Balance as of</w:t>
            </w: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w w:val="96"/>
              </w:rPr>
              <w:t>March 31, 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24,820,003</w:t>
            </w:r>
          </w:p>
        </w:tc>
        <w:tc>
          <w:tcPr>
            <w:tcW w:w="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92"/>
              </w:rPr>
              <w:t>$133,166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144,342,572</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3"/>
              </w:rPr>
              <w:t>(583,508)</w:t>
            </w: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4"/>
              </w:rPr>
              <w:t>(6,132)</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(55,427)</w:t>
            </w: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242,667</w:t>
            </w: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314,191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w w:val="92"/>
              </w:rPr>
              <w:t>Accumulated 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Members' Capital</w:t>
            </w:r>
          </w:p>
        </w:tc>
        <w:tc>
          <w:tcPr>
            <w:tcW w:w="1540" w:type="dxa"/>
            <w:vAlign w:val="bottom"/>
            <w:gridSpan w:val="5"/>
          </w:tcPr>
          <w:p>
            <w:pPr>
              <w:ind w:left="240"/>
              <w:spacing w:after="0"/>
              <w:rPr>
                <w:sz w:val="20"/>
                <w:szCs w:val="20"/>
                <w:color w:val="auto"/>
              </w:rPr>
            </w:pPr>
            <w:r>
              <w:rPr>
                <w:rFonts w:ascii="Arial" w:cs="Arial" w:eastAsia="Arial" w:hAnsi="Arial"/>
                <w:sz w:val="16"/>
                <w:szCs w:val="16"/>
                <w:b w:val="1"/>
                <w:bCs w:val="1"/>
                <w:color w:val="auto"/>
              </w:rPr>
              <w:t>Class A shares</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Class B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84"/>
              </w:rPr>
              <w:t>Treasury shares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w w:val="93"/>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5"/>
              </w:rPr>
              <w:t>comprehensive</w:t>
            </w:r>
          </w:p>
        </w:tc>
        <w:tc>
          <w:tcPr>
            <w:tcW w:w="820" w:type="dxa"/>
            <w:vAlign w:val="bottom"/>
            <w:gridSpan w:val="4"/>
          </w:tcPr>
          <w:p>
            <w:pPr>
              <w:ind w:left="20"/>
              <w:spacing w:after="0"/>
              <w:rPr>
                <w:sz w:val="20"/>
                <w:szCs w:val="20"/>
                <w:color w:val="auto"/>
              </w:rPr>
            </w:pPr>
            <w:r>
              <w:rPr>
                <w:rFonts w:ascii="Arial" w:cs="Arial" w:eastAsia="Arial" w:hAnsi="Arial"/>
                <w:sz w:val="16"/>
                <w:szCs w:val="16"/>
                <w:b w:val="1"/>
                <w:bCs w:val="1"/>
                <w:color w:val="auto"/>
                <w:w w:val="94"/>
              </w:rPr>
              <w:t>controlling</w:t>
            </w:r>
          </w:p>
        </w:tc>
        <w:tc>
          <w:tcPr>
            <w:tcW w:w="940" w:type="dxa"/>
            <w:vAlign w:val="bottom"/>
            <w:gridSpan w:val="4"/>
          </w:tcPr>
          <w:p>
            <w:pPr>
              <w:ind w:left="20"/>
              <w:spacing w:after="0"/>
              <w:rPr>
                <w:sz w:val="20"/>
                <w:szCs w:val="20"/>
                <w:color w:val="auto"/>
              </w:rPr>
            </w:pPr>
            <w:r>
              <w:rPr>
                <w:rFonts w:ascii="Arial" w:cs="Arial" w:eastAsia="Arial" w:hAnsi="Arial"/>
                <w:sz w:val="16"/>
                <w:szCs w:val="16"/>
                <w:b w:val="1"/>
                <w:bCs w:val="1"/>
                <w:color w:val="auto"/>
                <w:w w:val="86"/>
              </w:rPr>
              <w:t>stockholders'</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Units</w:t>
            </w: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6"/>
              </w:rPr>
              <w:t>Amounts</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Shares</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6"/>
                <w:szCs w:val="16"/>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7"/>
              </w:rPr>
              <w:t>Shares 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(loss)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6"/>
              </w:rPr>
              <w:t>Interest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equity</w:t>
            </w:r>
          </w:p>
        </w:tc>
      </w:tr>
      <w:tr>
        <w:trPr>
          <w:trHeight w:val="170"/>
        </w:trPr>
        <w:tc>
          <w:tcPr>
            <w:tcW w:w="20" w:type="dxa"/>
            <w:vAlign w:val="bottom"/>
          </w:tcPr>
          <w:p>
            <w:pPr>
              <w:spacing w:after="0"/>
              <w:rPr>
                <w:sz w:val="14"/>
                <w:szCs w:val="14"/>
                <w:color w:val="auto"/>
              </w:rPr>
            </w:pPr>
          </w:p>
        </w:tc>
        <w:tc>
          <w:tcPr>
            <w:tcW w:w="134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Balance as of</w:t>
            </w: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67,983,095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426,741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(158,423)</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282,647</w:t>
            </w:r>
          </w:p>
        </w:tc>
        <w:tc>
          <w:tcPr>
            <w:tcW w:w="60" w:type="dxa"/>
            <w:vAlign w:val="bottom"/>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340" w:type="dxa"/>
            <w:vAlign w:val="bottom"/>
          </w:tcPr>
          <w:p>
            <w:pPr>
              <w:ind w:left="120"/>
              <w:spacing w:after="0" w:line="176" w:lineRule="exact"/>
              <w:rPr>
                <w:sz w:val="20"/>
                <w:szCs w:val="20"/>
                <w:color w:val="auto"/>
              </w:rPr>
            </w:pPr>
            <w:r>
              <w:rPr>
                <w:rFonts w:ascii="Arial" w:cs="Arial" w:eastAsia="Arial" w:hAnsi="Arial"/>
                <w:sz w:val="16"/>
                <w:szCs w:val="16"/>
                <w:i w:val="1"/>
                <w:iCs w:val="1"/>
                <w:color w:val="auto"/>
              </w:rPr>
              <w:t>Activity prior to</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the IPO and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related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organizational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transactions: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(8,003)</w:t>
            </w:r>
          </w:p>
        </w:tc>
      </w:tr>
      <w:tr>
        <w:trPr>
          <w:trHeight w:val="176"/>
        </w:trPr>
        <w:tc>
          <w:tcPr>
            <w:tcW w:w="20" w:type="dxa"/>
            <w:vAlign w:val="bottom"/>
          </w:tcPr>
          <w:p>
            <w:pPr>
              <w:spacing w:after="0"/>
              <w:rPr>
                <w:sz w:val="15"/>
                <w:szCs w:val="15"/>
                <w:color w:val="auto"/>
              </w:rPr>
            </w:pPr>
          </w:p>
        </w:tc>
        <w:tc>
          <w:tcPr>
            <w:tcW w:w="1340" w:type="dxa"/>
            <w:vAlign w:val="bottom"/>
          </w:tcPr>
          <w:p>
            <w:pPr>
              <w:ind w:left="120"/>
              <w:spacing w:after="0" w:line="176" w:lineRule="exact"/>
              <w:rPr>
                <w:sz w:val="20"/>
                <w:szCs w:val="20"/>
                <w:color w:val="auto"/>
              </w:rPr>
            </w:pPr>
            <w:r>
              <w:rPr>
                <w:rFonts w:ascii="Arial" w:cs="Arial" w:eastAsia="Arial" w:hAnsi="Arial"/>
                <w:sz w:val="16"/>
                <w:szCs w:val="16"/>
                <w:i w:val="1"/>
                <w:iCs w:val="1"/>
                <w:color w:val="auto"/>
                <w:w w:val="95"/>
              </w:rPr>
              <w:t>Effects of the IPO</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and related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organizational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Arial" w:cs="Arial" w:eastAsia="Arial" w:hAnsi="Arial"/>
                <w:sz w:val="16"/>
                <w:szCs w:val="16"/>
                <w:i w:val="1"/>
                <w:iCs w:val="1"/>
                <w:color w:val="auto"/>
              </w:rPr>
              <w:t>transactions: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ind w:left="260"/>
              <w:spacing w:after="0" w:line="176" w:lineRule="exact"/>
              <w:rPr>
                <w:sz w:val="20"/>
                <w:szCs w:val="20"/>
                <w:color w:val="auto"/>
              </w:rPr>
            </w:pPr>
            <w:r>
              <w:rPr>
                <w:rFonts w:ascii="Arial" w:cs="Arial" w:eastAsia="Arial" w:hAnsi="Arial"/>
                <w:sz w:val="16"/>
                <w:szCs w:val="16"/>
                <w:color w:val="auto"/>
              </w:rPr>
              <w:t>Issuance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Class A</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shares in the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IPO, net of</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underwriting</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discount and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offering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20,837,272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32,136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235,874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268,010</w:t>
            </w:r>
          </w:p>
        </w:tc>
        <w:tc>
          <w:tcPr>
            <w:tcW w:w="60" w:type="dxa"/>
            <w:vAlign w:val="bottom"/>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340" w:type="dxa"/>
            <w:vAlign w:val="bottom"/>
          </w:tcPr>
          <w:p>
            <w:pPr>
              <w:ind w:left="260"/>
              <w:spacing w:after="0" w:line="176" w:lineRule="exact"/>
              <w:rPr>
                <w:sz w:val="20"/>
                <w:szCs w:val="20"/>
                <w:color w:val="auto"/>
              </w:rPr>
            </w:pPr>
            <w:r>
              <w:rPr>
                <w:rFonts w:ascii="Arial" w:cs="Arial" w:eastAsia="Arial" w:hAnsi="Arial"/>
                <w:sz w:val="16"/>
                <w:szCs w:val="16"/>
                <w:color w:val="auto"/>
              </w:rPr>
              <w:t>Effects of the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400"/>
              <w:spacing w:after="0"/>
              <w:rPr>
                <w:sz w:val="20"/>
                <w:szCs w:val="20"/>
                <w:color w:val="auto"/>
              </w:rPr>
            </w:pPr>
            <w:r>
              <w:rPr>
                <w:rFonts w:ascii="Arial" w:cs="Arial" w:eastAsia="Arial" w:hAnsi="Arial"/>
                <w:sz w:val="16"/>
                <w:szCs w:val="16"/>
                <w:color w:val="auto"/>
                <w:w w:val="90"/>
              </w:rPr>
              <w:t>reorganization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340" w:type="dxa"/>
            <w:vAlign w:val="bottom"/>
          </w:tcPr>
          <w:p>
            <w:pPr>
              <w:ind w:left="400"/>
              <w:spacing w:after="0"/>
              <w:rPr>
                <w:sz w:val="20"/>
                <w:szCs w:val="20"/>
                <w:color w:val="auto"/>
              </w:rPr>
            </w:pPr>
            <w:r>
              <w:rPr>
                <w:rFonts w:ascii="Arial" w:cs="Arial" w:eastAsia="Arial" w:hAnsi="Arial"/>
                <w:sz w:val="16"/>
                <w:szCs w:val="16"/>
                <w:color w:val="auto"/>
              </w:rPr>
              <w:t>transactions</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(67,983,095)</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(426,741)</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51,092</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147,058,824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146,420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229,229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i w:val="1"/>
                <w:iCs w:val="1"/>
                <w:color w:val="auto"/>
              </w:rPr>
              <w:t>Activity</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subsequent to</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the IPO and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related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organizational</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transactions: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(5,645)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(46,644)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(52,289)</w:t>
            </w: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ind w:left="260"/>
              <w:spacing w:after="0" w:line="176" w:lineRule="exact"/>
              <w:rPr>
                <w:sz w:val="20"/>
                <w:szCs w:val="20"/>
                <w:color w:val="auto"/>
              </w:rPr>
            </w:pPr>
            <w:r>
              <w:rPr>
                <w:rFonts w:ascii="Arial" w:cs="Arial" w:eastAsia="Arial" w:hAnsi="Arial"/>
                <w:sz w:val="16"/>
                <w:szCs w:val="16"/>
                <w:color w:val="auto"/>
              </w:rPr>
              <w:t>Share-based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2"/>
              </w:rPr>
              <w:t>compensation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1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19,037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19,037</w:t>
            </w:r>
          </w:p>
        </w:tc>
      </w:tr>
      <w:tr>
        <w:trPr>
          <w:trHeight w:val="170"/>
        </w:trPr>
        <w:tc>
          <w:tcPr>
            <w:tcW w:w="20" w:type="dxa"/>
            <w:vAlign w:val="bottom"/>
          </w:tcPr>
          <w:p>
            <w:pPr>
              <w:spacing w:after="0"/>
              <w:rPr>
                <w:sz w:val="14"/>
                <w:szCs w:val="14"/>
                <w:color w:val="auto"/>
              </w:rPr>
            </w:pPr>
          </w:p>
        </w:tc>
        <w:tc>
          <w:tcPr>
            <w:tcW w:w="1340" w:type="dxa"/>
            <w:vAlign w:val="bottom"/>
            <w:tcBorders>
              <w:top w:val="single" w:sz="8" w:color="CCEEFF"/>
            </w:tcBorders>
          </w:tcPr>
          <w:p>
            <w:pPr>
              <w:spacing w:after="0" w:line="170" w:lineRule="exact"/>
              <w:rPr>
                <w:sz w:val="20"/>
                <w:szCs w:val="20"/>
                <w:color w:val="auto"/>
              </w:rPr>
            </w:pPr>
            <w:r>
              <w:rPr>
                <w:rFonts w:ascii="Arial" w:cs="Arial" w:eastAsia="Arial" w:hAnsi="Arial"/>
                <w:sz w:val="16"/>
                <w:szCs w:val="16"/>
                <w:b w:val="1"/>
                <w:bCs w:val="1"/>
                <w:color w:val="auto"/>
              </w:rPr>
              <w:t>Balance as of</w:t>
            </w: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1340" w:type="dxa"/>
            <w:vAlign w:val="bottom"/>
          </w:tcPr>
          <w:p>
            <w:pPr>
              <w:ind w:left="120"/>
              <w:spacing w:after="0"/>
              <w:rPr>
                <w:sz w:val="20"/>
                <w:szCs w:val="20"/>
                <w:color w:val="auto"/>
              </w:rPr>
            </w:pPr>
            <w:r>
              <w:rPr>
                <w:rFonts w:ascii="Arial" w:cs="Arial" w:eastAsia="Arial" w:hAnsi="Arial"/>
                <w:sz w:val="16"/>
                <w:szCs w:val="16"/>
                <w:b w:val="1"/>
                <w:bCs w:val="1"/>
                <w:color w:val="auto"/>
              </w:rPr>
              <w:t>March 31, 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2"/>
              </w:rPr>
              <w:t>20,837,272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6"/>
              </w:rPr>
              <w:t>102,265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147,058,824</w:t>
            </w:r>
          </w:p>
        </w:tc>
        <w:tc>
          <w:tcPr>
            <w:tcW w:w="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(25,571)</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432,708</w:t>
            </w: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509,402</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ectPr>
          <w:pgSz w:w="11900" w:h="16838" w:orient="portrait"/>
          <w:cols w:equalWidth="0" w:num="1">
            <w:col w:w="11340"/>
          </w:cols>
          <w:pgMar w:left="320" w:top="124" w:right="239" w:bottom="608" w:gutter="0" w:footer="0" w:header="0"/>
        </w:sectPr>
      </w:pPr>
    </w:p>
    <w:p>
      <w:pPr>
        <w:spacing w:after="0" w:line="366"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5137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340"/>
          </w:cols>
          <w:pgMar w:left="320" w:top="124" w:right="239" w:bottom="608" w:gutter="0" w:footer="0" w:header="0"/>
          <w:type w:val="continuous"/>
        </w:sectPr>
      </w:pPr>
    </w:p>
    <w:bookmarkStart w:id="8" w:name="page9"/>
    <w:bookmarkEnd w:id="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30" w:lineRule="auto"/>
        <w:rPr>
          <w:sz w:val="20"/>
          <w:szCs w:val="20"/>
          <w:color w:val="auto"/>
        </w:rPr>
      </w:pPr>
      <w:r>
        <w:rPr>
          <w:rFonts w:ascii="Arial" w:cs="Arial" w:eastAsia="Arial" w:hAnsi="Arial"/>
          <w:sz w:val="19"/>
          <w:szCs w:val="19"/>
          <w:b w:val="1"/>
          <w:bCs w:val="1"/>
          <w:color w:val="auto"/>
        </w:rPr>
        <w:t>For the three months ended March 31, 2020 and 2019</w:t>
      </w:r>
    </w:p>
    <w:p>
      <w:pPr>
        <w:spacing w:after="0"/>
        <w:rPr>
          <w:sz w:val="20"/>
          <w:szCs w:val="20"/>
          <w:color w:val="auto"/>
        </w:rPr>
      </w:pPr>
      <w:r>
        <w:rPr>
          <w:rFonts w:ascii="Arial" w:cs="Arial" w:eastAsia="Arial" w:hAnsi="Arial"/>
          <w:sz w:val="19"/>
          <w:szCs w:val="19"/>
          <w:b w:val="1"/>
          <w:bCs w:val="1"/>
          <w:color w:val="auto"/>
        </w:rPr>
        <w:t>(Unaudited, in thousands of U.S. dollars)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1"/>
              </w:rPr>
              <w:t>Three Months 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(60,055)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(60,292)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Adjustments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5,481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extinguishment of debt, net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 in value of Investment in equity securities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19,037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Decrease (Increase) in receivables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(Increase) in inventories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(Increase) Decrease in other assets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(54,080)</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15,684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right-of-use asset, net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Increase in accounts payable/accrued liabilities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Increase in amounts due to affiliates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(2,875)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(Decrease) in lease liabilities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(9,170)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other liabilities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(477)</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(51,311)</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(31,048)</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(56,098)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(136,281)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Principal payments received on finance lease, net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(135,997)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Proceeds from borrowings of debt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832,144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deferred financing costs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(14,069)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(506,402)</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IPO</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Payments related to tax withholdings for share-based compensation</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(6,084)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offering costs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top w:val="single" w:sz="8" w:color="CCEEFF"/>
            </w:tcBorders>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305,589</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483,193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198,230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316,148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 beginning of period</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93,035</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100,853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291,265</w:t>
            </w:r>
          </w:p>
        </w:tc>
        <w:tc>
          <w:tcPr>
            <w:tcW w:w="2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w w:val="88"/>
              </w:rPr>
              <w:t>Changes in Accounts payable and accrued liabilities associated with construction in progress and property, plant and equipment additions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(32,946)</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 w:name="page10"/>
    <w:bookmarkEnd w:id="9"/>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ind w:left="287" w:hanging="287"/>
        <w:spacing w:after="0"/>
        <w:tabs>
          <w:tab w:leader="none" w:pos="28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209" w:lineRule="exact"/>
        <w:rPr>
          <w:sz w:val="20"/>
          <w:szCs w:val="20"/>
          <w:color w:val="auto"/>
        </w:rPr>
      </w:pPr>
    </w:p>
    <w:p>
      <w:pPr>
        <w:ind w:left="307" w:right="80"/>
        <w:spacing w:after="0" w:line="249" w:lineRule="auto"/>
        <w:rPr>
          <w:sz w:val="20"/>
          <w:szCs w:val="20"/>
          <w:color w:val="auto"/>
        </w:rPr>
      </w:pPr>
      <w:r>
        <w:rPr>
          <w:rFonts w:ascii="Arial" w:cs="Arial" w:eastAsia="Arial" w:hAnsi="Arial"/>
          <w:sz w:val="18"/>
          <w:szCs w:val="18"/>
          <w:color w:val="auto"/>
        </w:rPr>
        <w:t>New Fortress Energy LLC (“NFE,” together with its subsidiaries, the “Company”) is a Delaware limited liability company formed by New Fortress Energy Holdings LLC (“New Fortress Energy Holdings”) on August 6, 2018. The Company is a global integrated gas-to-power infrastructure company that seeks to use natural gas to satisfy the world’s large and growing power needs and is engaged in providing energy and logistical services to end-users worldwide seeking to convert their operating assets from diesel or heavy fuel oil to LNG. The Company currently sources LNG from a combination of its own liquefaction facility in Miami, Florida and purchases on the open market. The Company has liquefaction, regasification, and power generation operations in the United States and Jamaica.</w:t>
      </w:r>
    </w:p>
    <w:p>
      <w:pPr>
        <w:spacing w:after="0" w:line="177" w:lineRule="exact"/>
        <w:rPr>
          <w:sz w:val="20"/>
          <w:szCs w:val="20"/>
          <w:color w:val="auto"/>
        </w:rPr>
      </w:pPr>
    </w:p>
    <w:p>
      <w:pPr>
        <w:ind w:left="287" w:right="140"/>
        <w:spacing w:after="0" w:line="343" w:lineRule="auto"/>
        <w:rPr>
          <w:sz w:val="20"/>
          <w:szCs w:val="20"/>
          <w:color w:val="auto"/>
        </w:rPr>
      </w:pPr>
      <w:r>
        <w:rPr>
          <w:rFonts w:ascii="Arial" w:cs="Arial" w:eastAsia="Arial" w:hAnsi="Arial"/>
          <w:sz w:val="16"/>
          <w:szCs w:val="16"/>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105" w:lineRule="exact"/>
        <w:rPr>
          <w:sz w:val="20"/>
          <w:szCs w:val="20"/>
          <w:color w:val="auto"/>
        </w:rPr>
      </w:pPr>
    </w:p>
    <w:p>
      <w:pPr>
        <w:ind w:left="287" w:hanging="287"/>
        <w:spacing w:after="0"/>
        <w:tabs>
          <w:tab w:leader="none" w:pos="28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The principle accounting policies adopted are set out below.</w:t>
      </w:r>
    </w:p>
    <w:p>
      <w:pPr>
        <w:spacing w:after="0" w:line="209" w:lineRule="exact"/>
        <w:rPr>
          <w:sz w:val="20"/>
          <w:szCs w:val="20"/>
          <w:color w:val="auto"/>
        </w:rPr>
      </w:pPr>
    </w:p>
    <w:p>
      <w:pPr>
        <w:ind w:left="7"/>
        <w:spacing w:after="0"/>
        <w:rPr>
          <w:sz w:val="20"/>
          <w:szCs w:val="20"/>
          <w:color w:val="auto"/>
        </w:rPr>
      </w:pPr>
      <w:r>
        <w:rPr>
          <w:rFonts w:ascii="Arial" w:cs="Arial" w:eastAsia="Arial" w:hAnsi="Arial"/>
          <w:sz w:val="16"/>
          <w:szCs w:val="16"/>
          <w:color w:val="auto"/>
        </w:rPr>
        <w:t>(a)  Basis of presentation and principles of consolidation</w:t>
      </w:r>
    </w:p>
    <w:p>
      <w:pPr>
        <w:spacing w:after="0" w:line="203" w:lineRule="exact"/>
        <w:rPr>
          <w:sz w:val="20"/>
          <w:szCs w:val="20"/>
          <w:color w:val="auto"/>
        </w:rPr>
      </w:pPr>
    </w:p>
    <w:p>
      <w:pPr>
        <w:ind w:left="307" w:right="60"/>
        <w:spacing w:after="0" w:line="247" w:lineRule="auto"/>
        <w:rPr>
          <w:sz w:val="20"/>
          <w:szCs w:val="20"/>
          <w:color w:val="auto"/>
        </w:rPr>
      </w:pPr>
      <w:r>
        <w:rPr>
          <w:rFonts w:ascii="Arial" w:cs="Arial" w:eastAsia="Arial" w:hAnsi="Arial"/>
          <w:sz w:val="18"/>
          <w:szCs w:val="18"/>
          <w:color w:val="auto"/>
        </w:rPr>
        <w:t>The accompanying unaudited interim condensed consolidated financial statements contained herein were prepared in accordance with GAAP and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These condensed consolidated financial statements and accompanying notes should be read in conjunction with the Company’s annual consolidated financial statements and accompanying notes included in its Annual Report on Form 10-K for the year ended December 31, 2019.</w:t>
      </w:r>
    </w:p>
    <w:p>
      <w:pPr>
        <w:spacing w:after="0" w:line="181" w:lineRule="exact"/>
        <w:rPr>
          <w:sz w:val="20"/>
          <w:szCs w:val="20"/>
          <w:color w:val="auto"/>
        </w:rPr>
      </w:pPr>
    </w:p>
    <w:p>
      <w:pPr>
        <w:ind w:left="307"/>
        <w:spacing w:after="0" w:line="262" w:lineRule="auto"/>
        <w:rPr>
          <w:sz w:val="20"/>
          <w:szCs w:val="20"/>
          <w:color w:val="auto"/>
        </w:rPr>
      </w:pPr>
      <w:r>
        <w:rPr>
          <w:rFonts w:ascii="Arial" w:cs="Arial" w:eastAsia="Arial" w:hAnsi="Arial"/>
          <w:sz w:val="17"/>
          <w:szCs w:val="17"/>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New Fortress Energy Holdings retained a significant interest in NFE through its ownership of 147,058,824 Class B shares, representing a 88.0% voting and non-economic interest. New Fortress Energy Holdings also had an 88.0% economic interest in NFI through its ownership of 147,058,824 of NFI LLC Units. New Fortress Energy Holdings has been determined to be NFE’s predecessor for accounting purposes.</w:t>
      </w:r>
    </w:p>
    <w:p>
      <w:pPr>
        <w:spacing w:after="0" w:line="166" w:lineRule="exact"/>
        <w:rPr>
          <w:sz w:val="20"/>
          <w:szCs w:val="20"/>
          <w:color w:val="auto"/>
        </w:rPr>
      </w:pPr>
    </w:p>
    <w:p>
      <w:pPr>
        <w:ind w:left="307" w:right="60"/>
        <w:spacing w:after="0" w:line="236" w:lineRule="auto"/>
        <w:rPr>
          <w:sz w:val="20"/>
          <w:szCs w:val="20"/>
          <w:color w:val="auto"/>
        </w:rPr>
      </w:pPr>
      <w:r>
        <w:rPr>
          <w:rFonts w:ascii="Arial" w:cs="Arial" w:eastAsia="Arial" w:hAnsi="Arial"/>
          <w:sz w:val="19"/>
          <w:szCs w:val="19"/>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82" w:lineRule="exact"/>
        <w:rPr>
          <w:sz w:val="20"/>
          <w:szCs w:val="20"/>
          <w:color w:val="auto"/>
        </w:rPr>
      </w:pPr>
    </w:p>
    <w:p>
      <w:pPr>
        <w:ind w:left="307" w:right="260"/>
        <w:spacing w:after="0" w:line="309" w:lineRule="auto"/>
        <w:rPr>
          <w:sz w:val="20"/>
          <w:szCs w:val="20"/>
          <w:color w:val="auto"/>
        </w:rPr>
      </w:pPr>
      <w:r>
        <w:rPr>
          <w:rFonts w:ascii="Arial" w:cs="Arial" w:eastAsia="Arial" w:hAnsi="Arial"/>
          <w:sz w:val="17"/>
          <w:szCs w:val="17"/>
          <w:color w:val="auto"/>
        </w:rPr>
        <w:t>As of March 31, 2020, NFE has 24,236,495 Class A shares outstanding, and New Fortress Energy Holdings has an 85.6% economic interest in NFI through ownership of 144,342,572 NFI LLC Units, and New Fortress Energy Holdings holds an 85.6% voting interest in NFE.</w:t>
      </w:r>
    </w:p>
    <w:p>
      <w:pPr>
        <w:spacing w:after="0" w:line="125" w:lineRule="exact"/>
        <w:rPr>
          <w:sz w:val="20"/>
          <w:szCs w:val="20"/>
          <w:color w:val="auto"/>
        </w:rPr>
      </w:pPr>
    </w:p>
    <w:p>
      <w:pPr>
        <w:ind w:left="307" w:right="20"/>
        <w:spacing w:after="0" w:line="287" w:lineRule="auto"/>
        <w:rPr>
          <w:sz w:val="20"/>
          <w:szCs w:val="20"/>
          <w:color w:val="auto"/>
        </w:rPr>
      </w:pPr>
      <w:r>
        <w:rPr>
          <w:rFonts w:ascii="Arial" w:cs="Arial" w:eastAsia="Arial" w:hAnsi="Arial"/>
          <w:sz w:val="16"/>
          <w:szCs w:val="16"/>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balances sheets and statements of operations and comprehensive loss of New Fortress Energy Holdings for all periods prior to the IPO. The Company’s financial statements also include a non-controlling interest related to the portion of NFI LLC Units not owned by NFE. Prior to the IPO, NFE had no operations and had no assets or liabilities.</w:t>
      </w:r>
    </w:p>
    <w:p>
      <w:pPr>
        <w:spacing w:after="0" w:line="312"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4" w:right="379" w:bottom="1440" w:gutter="0" w:footer="0" w:header="0"/>
        </w:sectPr>
      </w:pPr>
    </w:p>
    <w:bookmarkStart w:id="10" w:name="page11"/>
    <w:bookmarkEnd w:id="1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  Use of estimates</w:t>
      </w:r>
    </w:p>
    <w:p>
      <w:pPr>
        <w:spacing w:after="0" w:line="203" w:lineRule="exact"/>
        <w:rPr>
          <w:sz w:val="20"/>
          <w:szCs w:val="20"/>
          <w:color w:val="auto"/>
        </w:rPr>
      </w:pPr>
    </w:p>
    <w:p>
      <w:pPr>
        <w:ind w:left="300"/>
        <w:spacing w:after="0" w:line="234"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the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  Legal and contingencies</w:t>
      </w:r>
    </w:p>
    <w:p>
      <w:pPr>
        <w:spacing w:after="0" w:line="203" w:lineRule="exact"/>
        <w:rPr>
          <w:sz w:val="20"/>
          <w:szCs w:val="20"/>
          <w:color w:val="auto"/>
        </w:rPr>
      </w:pPr>
    </w:p>
    <w:p>
      <w:pPr>
        <w:ind w:left="300" w:right="140"/>
        <w:spacing w:after="0" w:line="251" w:lineRule="auto"/>
        <w:rPr>
          <w:sz w:val="20"/>
          <w:szCs w:val="20"/>
          <w:color w:val="auto"/>
        </w:rPr>
      </w:pPr>
      <w:r>
        <w:rPr>
          <w:rFonts w:ascii="Arial" w:cs="Arial" w:eastAsia="Arial" w:hAnsi="Arial"/>
          <w:sz w:val="18"/>
          <w:szCs w:val="18"/>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  Revenue recognition</w:t>
      </w:r>
    </w:p>
    <w:p>
      <w:pPr>
        <w:spacing w:after="0" w:line="203" w:lineRule="exact"/>
        <w:rPr>
          <w:sz w:val="20"/>
          <w:szCs w:val="20"/>
          <w:color w:val="auto"/>
        </w:rPr>
      </w:pPr>
    </w:p>
    <w:p>
      <w:pPr>
        <w:ind w:left="300" w:right="120"/>
        <w:spacing w:after="0" w:line="280" w:lineRule="auto"/>
        <w:rPr>
          <w:sz w:val="20"/>
          <w:szCs w:val="20"/>
          <w:color w:val="auto"/>
        </w:rPr>
      </w:pPr>
      <w:r>
        <w:rPr>
          <w:rFonts w:ascii="Arial" w:cs="Arial" w:eastAsia="Arial" w:hAnsi="Arial"/>
          <w:sz w:val="16"/>
          <w:szCs w:val="16"/>
          <w:color w:val="auto"/>
        </w:rPr>
        <w:t>The Company’s contracts with customers may contain one or several performance obligations usually consisting of the sale of LNG, natural gas, and beginning in the three months ended March 31, 2020,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w:t>
      </w:r>
    </w:p>
    <w:p>
      <w:pPr>
        <w:spacing w:after="0" w:line="157" w:lineRule="exact"/>
        <w:rPr>
          <w:sz w:val="20"/>
          <w:szCs w:val="20"/>
          <w:color w:val="auto"/>
        </w:rPr>
      </w:pPr>
    </w:p>
    <w:p>
      <w:pPr>
        <w:ind w:left="300" w:right="100"/>
        <w:spacing w:after="0"/>
        <w:rPr>
          <w:sz w:val="20"/>
          <w:szCs w:val="20"/>
          <w:color w:val="auto"/>
        </w:rPr>
      </w:pPr>
      <w:r>
        <w:rPr>
          <w:rFonts w:ascii="Arial" w:cs="Arial" w:eastAsia="Arial" w:hAnsi="Arial"/>
          <w:sz w:val="19"/>
          <w:szCs w:val="19"/>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82"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39" w:lineRule="exact"/>
        <w:rPr>
          <w:sz w:val="20"/>
          <w:szCs w:val="20"/>
          <w:color w:val="auto"/>
        </w:rPr>
      </w:pPr>
    </w:p>
    <w:p>
      <w:pPr>
        <w:ind w:left="300" w:right="20"/>
        <w:spacing w:after="0" w:line="265" w:lineRule="auto"/>
        <w:rPr>
          <w:sz w:val="20"/>
          <w:szCs w:val="20"/>
          <w:color w:val="auto"/>
        </w:rPr>
      </w:pPr>
      <w:r>
        <w:rPr>
          <w:rFonts w:ascii="Arial" w:cs="Arial" w:eastAsia="Arial" w:hAnsi="Arial"/>
          <w:sz w:val="17"/>
          <w:szCs w:val="17"/>
          <w:color w:val="auto"/>
        </w:rPr>
        <w:t>The leases of certain facilities and equipment to customers are accounted for as financing or operating leases. The current and non-current portion of financing leases are recorded within Prepaid expenses and other current assets and Finance leases, net on the condensed consolidated balance sheets, respectively.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For the Company’s operating leases, the amount allocated to the leasing component is recognized over the lease term as Other revenue in the condensed consolidated statements of operations and comprehensive loss.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 w:name="page12"/>
    <w:bookmarkEnd w:id="11"/>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7" w:right="40"/>
        <w:spacing w:after="0" w:line="248" w:lineRule="auto"/>
        <w:rPr>
          <w:sz w:val="20"/>
          <w:szCs w:val="20"/>
          <w:color w:val="auto"/>
        </w:rPr>
      </w:pPr>
      <w:r>
        <w:rPr>
          <w:rFonts w:ascii="Arial" w:cs="Arial" w:eastAsia="Arial" w:hAnsi="Arial"/>
          <w:sz w:val="18"/>
          <w:szCs w:val="18"/>
          <w:color w:val="auto"/>
        </w:rPr>
        <w:t>In addition to the revenue recognized from the leasing components of agreements with customers, Other revenue includes revenue recognized from the construction and installation of equipment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unless the customer is not able to obtain control over the asset under construction until such services are completed, in which case,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78" w:lineRule="exact"/>
        <w:rPr>
          <w:sz w:val="20"/>
          <w:szCs w:val="20"/>
          <w:color w:val="auto"/>
        </w:rPr>
      </w:pPr>
    </w:p>
    <w:p>
      <w:pPr>
        <w:jc w:val="both"/>
        <w:ind w:left="307" w:right="40"/>
        <w:spacing w:after="0"/>
        <w:rPr>
          <w:sz w:val="20"/>
          <w:szCs w:val="20"/>
          <w:color w:val="auto"/>
        </w:rPr>
      </w:pPr>
      <w:r>
        <w:rPr>
          <w:rFonts w:ascii="Arial" w:cs="Arial" w:eastAsia="Arial" w:hAnsi="Arial"/>
          <w:sz w:val="19"/>
          <w:szCs w:val="19"/>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w:t>
      </w:r>
    </w:p>
    <w:p>
      <w:pPr>
        <w:spacing w:after="0" w:line="182" w:lineRule="exact"/>
        <w:rPr>
          <w:sz w:val="20"/>
          <w:szCs w:val="20"/>
          <w:color w:val="auto"/>
        </w:rPr>
      </w:pPr>
    </w:p>
    <w:p>
      <w:pPr>
        <w:ind w:left="307" w:right="340"/>
        <w:spacing w:after="0" w:line="260" w:lineRule="auto"/>
        <w:rPr>
          <w:sz w:val="20"/>
          <w:szCs w:val="20"/>
          <w:color w:val="auto"/>
        </w:rPr>
      </w:pPr>
      <w:r>
        <w:rPr>
          <w:rFonts w:ascii="Arial" w:cs="Arial" w:eastAsia="Arial" w:hAnsi="Arial"/>
          <w:sz w:val="18"/>
          <w:szCs w:val="18"/>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65" w:lineRule="exact"/>
        <w:rPr>
          <w:sz w:val="20"/>
          <w:szCs w:val="20"/>
          <w:color w:val="auto"/>
        </w:rPr>
      </w:pPr>
    </w:p>
    <w:p>
      <w:pPr>
        <w:jc w:val="both"/>
        <w:ind w:left="307" w:right="300"/>
        <w:spacing w:after="0"/>
        <w:rPr>
          <w:sz w:val="20"/>
          <w:szCs w:val="20"/>
          <w:color w:val="auto"/>
        </w:rPr>
      </w:pPr>
      <w:r>
        <w:rPr>
          <w:rFonts w:ascii="Arial" w:cs="Arial" w:eastAsia="Arial" w:hAnsi="Arial"/>
          <w:sz w:val="19"/>
          <w:szCs w:val="19"/>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85" w:lineRule="exact"/>
        <w:rPr>
          <w:sz w:val="20"/>
          <w:szCs w:val="20"/>
          <w:color w:val="auto"/>
        </w:rPr>
      </w:pPr>
    </w:p>
    <w:p>
      <w:pPr>
        <w:ind w:left="287" w:hanging="287"/>
        <w:spacing w:after="0"/>
        <w:tabs>
          <w:tab w:leader="none" w:pos="28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Adoption of new and revised standards</w:t>
      </w:r>
    </w:p>
    <w:p>
      <w:pPr>
        <w:spacing w:after="0" w:line="209" w:lineRule="exact"/>
        <w:rPr>
          <w:sz w:val="20"/>
          <w:szCs w:val="20"/>
          <w:color w:val="auto"/>
        </w:rPr>
      </w:pPr>
    </w:p>
    <w:p>
      <w:pPr>
        <w:ind w:left="307" w:right="360"/>
        <w:spacing w:after="0" w:line="308" w:lineRule="auto"/>
        <w:rPr>
          <w:sz w:val="20"/>
          <w:szCs w:val="20"/>
          <w:color w:val="auto"/>
        </w:rPr>
      </w:pPr>
      <w:r>
        <w:rPr>
          <w:rFonts w:ascii="Arial" w:cs="Arial" w:eastAsia="Arial" w:hAnsi="Arial"/>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38" w:lineRule="exact"/>
        <w:rPr>
          <w:sz w:val="20"/>
          <w:szCs w:val="20"/>
          <w:color w:val="auto"/>
        </w:rPr>
      </w:pPr>
    </w:p>
    <w:p>
      <w:pPr>
        <w:ind w:left="287" w:hanging="287"/>
        <w:spacing w:after="0"/>
        <w:tabs>
          <w:tab w:leader="none" w:pos="287"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standards, amendments and interpretations issued but not effective for the financial year beginning January 1, 2020:</w:t>
      </w:r>
    </w:p>
    <w:p>
      <w:pPr>
        <w:spacing w:after="0" w:line="203" w:lineRule="exact"/>
        <w:rPr>
          <w:sz w:val="20"/>
          <w:szCs w:val="20"/>
          <w:color w:val="auto"/>
        </w:rPr>
      </w:pPr>
    </w:p>
    <w:p>
      <w:pPr>
        <w:ind w:left="307"/>
        <w:spacing w:after="0" w:line="26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Disclosure Framework –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which requires financial assets measured at amortized cost basis, including trade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presented net of the amount expected to be collected. The measurement of all expected credit losses will be based on historical experience, current conditions, and reasonable and supportable forecasts. In October 2019, the FASB voted to approve a proposal to defer the effective date of ASC 2016-13 for certain entities, including emerging growth companies that take advantage of the extended transition period, to fiscal years beginning after December 15, 2022, and early adoption is permitted. This proposal would be applicable to the Company. The Company is currently evaluating the impact of adopting this new guidance on its consolidated financial statements and timing of adoption.</w:t>
      </w:r>
    </w:p>
    <w:p>
      <w:pPr>
        <w:spacing w:after="0" w:line="164" w:lineRule="exact"/>
        <w:rPr>
          <w:sz w:val="20"/>
          <w:szCs w:val="20"/>
          <w:color w:val="auto"/>
        </w:rPr>
      </w:pPr>
    </w:p>
    <w:p>
      <w:pPr>
        <w:ind w:left="307" w:right="280"/>
        <w:spacing w:after="0" w:line="25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by removing certain exceptions related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It also clarifies and simplifies other aspects of the accounting for income taxes. The new standard is effective for interim and annual periods beginning after December 15, 2021, and early adoption is permitted. The Company is currently evaluating the impact of adopting this new guidance on its consolidated financial statements and timing of adoption.</w:t>
      </w:r>
    </w:p>
    <w:p>
      <w:pPr>
        <w:spacing w:after="0" w:line="183" w:lineRule="exact"/>
        <w:rPr>
          <w:sz w:val="20"/>
          <w:szCs w:val="20"/>
          <w:color w:val="auto"/>
        </w:rPr>
      </w:pPr>
    </w:p>
    <w:p>
      <w:pPr>
        <w:ind w:left="7"/>
        <w:spacing w:after="0"/>
        <w:tabs>
          <w:tab w:leader="none" w:pos="267"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3"/>
          <w:szCs w:val="13"/>
          <w:color w:val="auto"/>
        </w:rPr>
        <w:t>New and amended standards adopted by the Company:</w:t>
      </w:r>
    </w:p>
    <w:p>
      <w:pPr>
        <w:spacing w:after="0" w:line="203" w:lineRule="exact"/>
        <w:rPr>
          <w:sz w:val="20"/>
          <w:szCs w:val="20"/>
          <w:color w:val="auto"/>
        </w:rPr>
      </w:pPr>
    </w:p>
    <w:p>
      <w:pPr>
        <w:ind w:left="307" w:right="120"/>
        <w:spacing w:after="0" w:line="270" w:lineRule="auto"/>
        <w:rPr>
          <w:sz w:val="20"/>
          <w:szCs w:val="20"/>
          <w:color w:val="auto"/>
        </w:rPr>
      </w:pPr>
      <w:r>
        <w:rPr>
          <w:rFonts w:ascii="Arial" w:cs="Arial" w:eastAsia="Arial" w:hAnsi="Arial"/>
          <w:sz w:val="17"/>
          <w:szCs w:val="17"/>
          <w:color w:val="auto"/>
        </w:rPr>
        <w:t xml:space="preserve">On February 25, 2016, the FASB issued ASU No. 2016-2,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amends the existing accounting standards for lease accounting, including requiring lessees to recognize most leases on their balance sheet and making targeted changes to lessor accounting. The recognition, measurement and presentation of expenses and cash flows arising from a lease by a lessee will depend primarily on the lease’s classification as a finance or operating lease. However, unlike ASC 840, which required only capital leases to be recognized on the balance sheet, ASC 842 requires most leases to be recognized on the balance sheet as a right-of-use (“ROU”) asset and a lease liability.</w:t>
      </w:r>
    </w:p>
    <w:p>
      <w:pPr>
        <w:spacing w:after="0" w:line="157" w:lineRule="exact"/>
        <w:rPr>
          <w:sz w:val="20"/>
          <w:szCs w:val="20"/>
          <w:color w:val="auto"/>
        </w:rPr>
      </w:pPr>
    </w:p>
    <w:p>
      <w:pPr>
        <w:ind w:left="307" w:right="20"/>
        <w:spacing w:after="0" w:line="249" w:lineRule="auto"/>
        <w:rPr>
          <w:sz w:val="20"/>
          <w:szCs w:val="20"/>
          <w:color w:val="auto"/>
        </w:rPr>
      </w:pPr>
      <w:r>
        <w:rPr>
          <w:rFonts w:ascii="Arial" w:cs="Arial" w:eastAsia="Arial" w:hAnsi="Arial"/>
          <w:sz w:val="18"/>
          <w:szCs w:val="18"/>
          <w:color w:val="auto"/>
        </w:rPr>
        <w:t>The Company has entered into lease agreements for the use of LNG vessels, marine port space, office space, land and equipment, all of which are operating leases.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 The incremental borrowing rate used to calculate the present value of lease payments is determined using existing credit rates of unsecured borrowings adjusted for collateral, which are then adjusted for the appropriate lease term and currency.</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12" w:name="page13"/>
    <w:bookmarkEnd w:id="12"/>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7" w:right="20"/>
        <w:spacing w:after="0" w:line="237" w:lineRule="auto"/>
        <w:rPr>
          <w:sz w:val="20"/>
          <w:szCs w:val="20"/>
          <w:color w:val="auto"/>
        </w:rPr>
      </w:pPr>
      <w:r>
        <w:rPr>
          <w:rFonts w:ascii="Arial" w:cs="Arial" w:eastAsia="Arial" w:hAnsi="Arial"/>
          <w:sz w:val="19"/>
          <w:szCs w:val="19"/>
          <w:color w:val="auto"/>
        </w:rPr>
        <w:t>The Company adopted the standard effective January 1, 2020 and elected to apply the modified retrospective transition method at the beginning of the period of adoption, which allowed the Company to begin recognizing and measuring leases under ASC 842 at January 1, 2020, without modifying the comparative period financial statements. Upon adoption of ASC 842, the Company recorded ROU assets and corresponding lease liabilities of $124,774 and $103,874, respectively.</w:t>
      </w:r>
    </w:p>
    <w:p>
      <w:pPr>
        <w:spacing w:after="0" w:line="184" w:lineRule="exact"/>
        <w:rPr>
          <w:sz w:val="20"/>
          <w:szCs w:val="20"/>
          <w:color w:val="auto"/>
        </w:rPr>
      </w:pPr>
    </w:p>
    <w:p>
      <w:pPr>
        <w:ind w:left="307" w:right="20"/>
        <w:spacing w:after="0" w:line="262" w:lineRule="auto"/>
        <w:rPr>
          <w:sz w:val="20"/>
          <w:szCs w:val="20"/>
          <w:color w:val="auto"/>
        </w:rPr>
      </w:pPr>
      <w:r>
        <w:rPr>
          <w:rFonts w:ascii="Arial" w:cs="Arial" w:eastAsia="Arial" w:hAnsi="Arial"/>
          <w:sz w:val="17"/>
          <w:szCs w:val="17"/>
          <w:color w:val="auto"/>
        </w:rPr>
        <w:t>The Company did not elect the package of practical expedients and therefore, as part of transition, the Company reassessed the previous conclusions made under ASC 840 related to the identification of leases, classification of leases, and initial direct costs based on the standards of ASC 842. In connection with the reassessment of previous conclusions, the Company determined that the direct financing lease recognized related to the Montego Bay Terminal is no longer a lease under ASC 842. The Company recognized a transition adjustment that removed the unamortized net investment in the direct financing lease and recognized the underlying assets as Property, plant and equipment, net of depreciation that would have been recognized since the commissioning of the Montego Bay Terminal, with the difference of approximately $9,085, net of taxes of $2,945, recorded as an adjustment to retained earnings. Beginning in 2020, the Company will recognize payments previously allocated to the leasing component of the gas sales agreement with this customer within Operating revenue in the condensed consolidated statements of operations and comprehensive loss. Under ASC 840, amounts allocated to the leasing component had been recognized on an effective interest method over the lease term with only the portion representing interest income recognized as Other revenue.</w:t>
      </w:r>
    </w:p>
    <w:p>
      <w:pPr>
        <w:spacing w:after="0" w:line="170" w:lineRule="exact"/>
        <w:rPr>
          <w:sz w:val="20"/>
          <w:szCs w:val="20"/>
          <w:color w:val="auto"/>
        </w:rPr>
      </w:pPr>
    </w:p>
    <w:p>
      <w:pPr>
        <w:ind w:left="307"/>
        <w:spacing w:after="0" w:line="264" w:lineRule="auto"/>
        <w:rPr>
          <w:sz w:val="20"/>
          <w:szCs w:val="20"/>
          <w:color w:val="auto"/>
        </w:rPr>
      </w:pPr>
      <w:r>
        <w:rPr>
          <w:rFonts w:ascii="Arial" w:cs="Arial" w:eastAsia="Arial" w:hAnsi="Arial"/>
          <w:sz w:val="17"/>
          <w:szCs w:val="17"/>
          <w:color w:val="auto"/>
        </w:rPr>
        <w:t>The Company made an accounting policy election to exclude leases with terms of 12 months or less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 The Company, as lessee, has also elected the practical expedient not to separate lease and non-lease components for marine port, office space, land and equipment leases. The Company will separate the lease and non-lease components for LNG vessel leases. The allocation of lease payments between lease and non-lease components have been determined based on the relative fair value of each component. The fair value of the lease component is estimated based on the estimated standalone price to lease a bareboat LNG vessel. The fair value of the non-lease component is estimated based on the estimated standalone price of operating the respective vessel, inclusive of the costs of the crew and other operating costs.</w:t>
      </w:r>
    </w:p>
    <w:p>
      <w:pPr>
        <w:spacing w:after="0" w:line="165" w:lineRule="exact"/>
        <w:rPr>
          <w:sz w:val="20"/>
          <w:szCs w:val="20"/>
          <w:color w:val="auto"/>
        </w:rPr>
      </w:pPr>
    </w:p>
    <w:p>
      <w:pPr>
        <w:ind w:left="307" w:right="800"/>
        <w:spacing w:after="0" w:line="251" w:lineRule="auto"/>
        <w:rPr>
          <w:sz w:val="20"/>
          <w:szCs w:val="20"/>
          <w:color w:val="auto"/>
        </w:rPr>
      </w:pPr>
      <w:r>
        <w:rPr>
          <w:rFonts w:ascii="Arial" w:cs="Arial" w:eastAsia="Arial" w:hAnsi="Arial"/>
          <w:sz w:val="19"/>
          <w:szCs w:val="19"/>
          <w:color w:val="auto"/>
        </w:rPr>
        <w:t>The Company, as lessor, will continue to separate lease and non-lease components for the equipment leases provided in connection with agreements for the sale of LNG or natural gas to customers.</w:t>
      </w:r>
    </w:p>
    <w:p>
      <w:pPr>
        <w:spacing w:after="0" w:line="171" w:lineRule="exact"/>
        <w:rPr>
          <w:sz w:val="20"/>
          <w:szCs w:val="20"/>
          <w:color w:val="auto"/>
        </w:rPr>
      </w:pPr>
    </w:p>
    <w:p>
      <w:pPr>
        <w:ind w:left="307" w:right="780"/>
        <w:spacing w:after="0" w:line="251" w:lineRule="auto"/>
        <w:rPr>
          <w:sz w:val="20"/>
          <w:szCs w:val="20"/>
          <w:color w:val="auto"/>
        </w:rPr>
      </w:pPr>
      <w:r>
        <w:rPr>
          <w:rFonts w:ascii="Arial" w:cs="Arial" w:eastAsia="Arial" w:hAnsi="Arial"/>
          <w:sz w:val="19"/>
          <w:szCs w:val="19"/>
          <w:color w:val="auto"/>
        </w:rPr>
        <w:t>The Company has elected the land easement practical expedient, which allows the Company to continue to account for pre-existing land easements as intangible assets under the accounting policy that existed before adoption of ASC 842.</w:t>
      </w:r>
    </w:p>
    <w:p>
      <w:pPr>
        <w:spacing w:after="0" w:line="171" w:lineRule="exact"/>
        <w:rPr>
          <w:sz w:val="20"/>
          <w:szCs w:val="20"/>
          <w:color w:val="auto"/>
        </w:rPr>
      </w:pPr>
    </w:p>
    <w:p>
      <w:pPr>
        <w:ind w:left="307" w:right="160"/>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which provides additional guidance to improve the effectiveness of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on fair value measurement. The Company has adopted ASU 2018-13 for the year beginning January 1, 2020. As this guidance is only related to qualitative financial disclosures, it did not have a material impact on the Company’s condensed consolidated financial statements.</w:t>
      </w:r>
    </w:p>
    <w:p>
      <w:pPr>
        <w:spacing w:after="0" w:line="139" w:lineRule="exact"/>
        <w:rPr>
          <w:sz w:val="20"/>
          <w:szCs w:val="20"/>
          <w:color w:val="auto"/>
        </w:rPr>
      </w:pPr>
    </w:p>
    <w:p>
      <w:pPr>
        <w:ind w:left="307" w:right="20"/>
        <w:spacing w:after="0" w:line="24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a customer in a</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 that is a service contract to follow the internal-use software guidance in ASC 350-40 to determine which implementation costs to capitalize as assets. A customer’s accounting for the costs of the hosting component of the arrangement is not affected by the new guidance. The Company has early adopted ASU 2018-15 for the year beginning January 1, 2020, using the prospective transition approach. This approach did not require any adjustment to comparative financial statements. The Company did not capitalize a material amount of implementation costs as a result of adopting this guidance in the first quarter of 2020, and the adoption did not result in material impact on the Company’s condensed consolidated financial statements.</w:t>
      </w:r>
    </w:p>
    <w:p>
      <w:pPr>
        <w:spacing w:after="0" w:line="183" w:lineRule="exact"/>
        <w:rPr>
          <w:sz w:val="20"/>
          <w:szCs w:val="20"/>
          <w:color w:val="auto"/>
        </w:rPr>
      </w:pPr>
    </w:p>
    <w:p>
      <w:pPr>
        <w:ind w:left="287" w:hanging="287"/>
        <w:spacing w:after="0"/>
        <w:tabs>
          <w:tab w:leader="none" w:pos="28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w:t>
      </w:r>
    </w:p>
    <w:p>
      <w:pPr>
        <w:spacing w:after="0" w:line="209" w:lineRule="exact"/>
        <w:rPr>
          <w:sz w:val="20"/>
          <w:szCs w:val="20"/>
          <w:color w:val="auto"/>
        </w:rPr>
      </w:pPr>
    </w:p>
    <w:p>
      <w:pPr>
        <w:ind w:left="307" w:right="220"/>
        <w:spacing w:after="0" w:line="270" w:lineRule="auto"/>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 unconditional. As of March 31, 2020 and December 31, 2019, receivables related to revenue from contracts with customers totaled $28,195 and $30,563, respectively, and were included in “Receivables, net” on the condensed consolidated balance sheets, net of the allowance for doubtful accounts. Other items included in Receivables, net not related to revenue from contracts with customers represent receivables associated with reimbursable costs and leases which are accounted for outside the scope of ASC 606.</w:t>
      </w:r>
    </w:p>
    <w:p>
      <w:pPr>
        <w:spacing w:after="0" w:line="323"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13" w:name="page14"/>
    <w:bookmarkEnd w:id="1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right="320"/>
        <w:spacing w:after="0" w:line="270" w:lineRule="auto"/>
        <w:rPr>
          <w:sz w:val="20"/>
          <w:szCs w:val="20"/>
          <w:color w:val="auto"/>
        </w:rPr>
      </w:pPr>
      <w:r>
        <w:rPr>
          <w:rFonts w:ascii="Arial" w:cs="Arial" w:eastAsia="Arial" w:hAnsi="Arial"/>
          <w:sz w:val="17"/>
          <w:szCs w:val="17"/>
          <w:color w:val="auto"/>
        </w:rPr>
        <w:t>The Company has recognized a contract liability, comprised of unconditional payments due under the contract with a customer prior to the Company’s satisfaction of the related performance obligations. The performance obligations are expected to be satisfied during the next 12 months, and the contract liability is classified within Other current liabilities on the condensed consolidated balance sheets. Contract assets are comprised of the transaction price allocated to completed performance obligations that will be billed to customers in subsequent periods. The contract liability and contract assets balances as of March 31, 2020 and December 31, 2019 are detailed below:</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Contract assets -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Contract assets - non-current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19,474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contract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Revenue recognized in the period from:</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Amounts included in contract liability at the beginning of the period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March 31, 2020, the Company has unbilled receivables of $7,088, of which $356 is presented within Other current assets and $6,732 is presented within Other non-current assets on the condensed consolidated balance sheet. These unbilled receivables represent unconditional right to payment subject only to the passage of time.</w:t>
      </w:r>
    </w:p>
    <w:p>
      <w:pPr>
        <w:spacing w:after="0" w:line="182" w:lineRule="exact"/>
        <w:rPr>
          <w:sz w:val="20"/>
          <w:szCs w:val="20"/>
          <w:color w:val="auto"/>
        </w:rPr>
      </w:pPr>
    </w:p>
    <w:p>
      <w:pPr>
        <w:ind w:left="300" w:right="300"/>
        <w:spacing w:after="0" w:line="251" w:lineRule="auto"/>
        <w:rPr>
          <w:sz w:val="20"/>
          <w:szCs w:val="20"/>
          <w:color w:val="auto"/>
        </w:rPr>
      </w:pPr>
      <w:r>
        <w:rPr>
          <w:rFonts w:ascii="Arial" w:cs="Arial" w:eastAsia="Arial" w:hAnsi="Arial"/>
          <w:sz w:val="18"/>
          <w:szCs w:val="18"/>
          <w:color w:val="auto"/>
        </w:rPr>
        <w:t>Operating revenue which includes revenue from sales of LNG and natural gas as well as outputs from the Company’s natural gas-fired power generation facilities, including power and steam, was $63,502 and $26,138 for the three months ended March 31, 2020 and 2019, respectively. During March 2020, the Company began to deliver power and steam for the first time recognizing $1,731 in operating revenue for the three months ended March 31, 2020. Other revenue includes revenue for development services revenue as well as lease and other revenue. The table below summarizes the balances in Other revenue:</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2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Development services revenue</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10,071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Lease and other revenue</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957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3,813</w:t>
            </w:r>
          </w:p>
        </w:tc>
      </w:tr>
      <w:tr>
        <w:trPr>
          <w:trHeight w:val="226"/>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revenue</w:t>
            </w: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11,028</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Transaction price allocated to remaining performance obligations</w:t>
      </w:r>
    </w:p>
    <w:p>
      <w:pPr>
        <w:spacing w:after="0" w:line="200" w:lineRule="exact"/>
        <w:rPr>
          <w:sz w:val="20"/>
          <w:szCs w:val="20"/>
          <w:color w:val="auto"/>
        </w:rPr>
      </w:pPr>
    </w:p>
    <w:p>
      <w:pPr>
        <w:ind w:left="300" w:right="200"/>
        <w:spacing w:after="0" w:line="251" w:lineRule="auto"/>
        <w:rPr>
          <w:sz w:val="20"/>
          <w:szCs w:val="20"/>
          <w:color w:val="auto"/>
        </w:rPr>
      </w:pPr>
      <w:r>
        <w:rPr>
          <w:rFonts w:ascii="Arial" w:cs="Arial" w:eastAsia="Arial" w:hAnsi="Arial"/>
          <w:sz w:val="19"/>
          <w:szCs w:val="19"/>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71" w:lineRule="exact"/>
        <w:rPr>
          <w:sz w:val="20"/>
          <w:szCs w:val="20"/>
          <w:color w:val="auto"/>
        </w:rPr>
      </w:pPr>
    </w:p>
    <w:p>
      <w:pPr>
        <w:ind w:left="300" w:right="120"/>
        <w:spacing w:after="0" w:line="249" w:lineRule="auto"/>
        <w:rPr>
          <w:sz w:val="20"/>
          <w:szCs w:val="20"/>
          <w:color w:val="auto"/>
        </w:rPr>
      </w:pPr>
      <w:r>
        <w:rPr>
          <w:rFonts w:ascii="Arial" w:cs="Arial" w:eastAsia="Arial" w:hAnsi="Arial"/>
          <w:sz w:val="18"/>
          <w:szCs w:val="18"/>
          <w:color w:val="auto"/>
        </w:rPr>
        <w:t>The Company has arrangements in which LNG, natural gas or outputs from the Company’s natural gas-fired power generation facilities are sold on a “take-or-pay” basis whereby the customer is obligated to pay for the minimum guaranteed volumes even if it does not take delivery of them. The price under these agreements is typically based on a market index plus a fixed margin. The fixed transaction price allocated to the remaining performance obligations under these arrangements was $4,151,764 as of March 31, 2020,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tbl>
      <w:tblPr>
        <w:tblLayout w:type="fixed"/>
        <w:tblInd w:w="7" w:type="dxa"/>
        <w:tblCellMar>
          <w:top w:w="0" w:type="dxa"/>
          <w:left w:w="0" w:type="dxa"/>
          <w:bottom w:w="0" w:type="dxa"/>
          <w:right w:w="0" w:type="dxa"/>
        </w:tblCellMar>
      </w:tblPr>
      <w:tr>
        <w:trPr>
          <w:trHeight w:val="157"/>
        </w:trPr>
        <w:tc>
          <w:tcPr>
            <w:tcW w:w="6720" w:type="dxa"/>
            <w:vAlign w:val="bottom"/>
            <w:gridSpan w:val="2"/>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8"/>
        </w:trPr>
        <w:tc>
          <w:tcPr>
            <w:tcW w:w="672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r>
      <w:tr>
        <w:trPr>
          <w:trHeight w:val="186"/>
        </w:trPr>
        <w:tc>
          <w:tcPr>
            <w:tcW w:w="28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Remainder of 2020</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180,354</w:t>
            </w:r>
          </w:p>
        </w:tc>
        <w:tc>
          <w:tcPr>
            <w:tcW w:w="120" w:type="dxa"/>
            <w:vAlign w:val="bottom"/>
            <w:shd w:val="clear" w:color="auto" w:fill="CCEEFF"/>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228,237</w:t>
            </w:r>
          </w:p>
        </w:tc>
        <w:tc>
          <w:tcPr>
            <w:tcW w:w="12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226,728</w:t>
            </w:r>
          </w:p>
        </w:tc>
        <w:tc>
          <w:tcPr>
            <w:tcW w:w="120" w:type="dxa"/>
            <w:vAlign w:val="bottom"/>
            <w:shd w:val="clear" w:color="auto" w:fill="CCEEFF"/>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226,000</w:t>
            </w:r>
          </w:p>
        </w:tc>
        <w:tc>
          <w:tcPr>
            <w:tcW w:w="12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225,283</w:t>
            </w:r>
          </w:p>
        </w:tc>
        <w:tc>
          <w:tcPr>
            <w:tcW w:w="120" w:type="dxa"/>
            <w:vAlign w:val="bottom"/>
            <w:shd w:val="clear" w:color="auto" w:fill="CCEEFF"/>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3,065,162</w:t>
            </w:r>
          </w:p>
        </w:tc>
        <w:tc>
          <w:tcPr>
            <w:tcW w:w="120" w:type="dxa"/>
            <w:vAlign w:val="bottom"/>
          </w:tcPr>
          <w:p>
            <w:pPr>
              <w:spacing w:after="0"/>
              <w:rPr>
                <w:sz w:val="16"/>
                <w:szCs w:val="16"/>
                <w:color w:val="auto"/>
              </w:rPr>
            </w:pPr>
          </w:p>
        </w:tc>
      </w:tr>
      <w:tr>
        <w:trPr>
          <w:trHeight w:val="226"/>
        </w:trPr>
        <w:tc>
          <w:tcPr>
            <w:tcW w:w="280" w:type="dxa"/>
            <w:vAlign w:val="bottom"/>
          </w:tcPr>
          <w:p>
            <w:pPr>
              <w:spacing w:after="0"/>
              <w:rPr>
                <w:sz w:val="19"/>
                <w:szCs w:val="19"/>
                <w:color w:val="auto"/>
              </w:rPr>
            </w:pPr>
          </w:p>
        </w:tc>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4,151,764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7"/>
        <w:spacing w:after="0" w:line="267" w:lineRule="auto"/>
        <w:rPr>
          <w:sz w:val="20"/>
          <w:szCs w:val="20"/>
          <w:color w:val="auto"/>
        </w:rPr>
      </w:pPr>
      <w:r>
        <w:rPr>
          <w:rFonts w:ascii="Arial" w:cs="Arial" w:eastAsia="Arial" w:hAnsi="Arial"/>
          <w:sz w:val="17"/>
          <w:szCs w:val="17"/>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61" w:lineRule="exact"/>
        <w:rPr>
          <w:sz w:val="20"/>
          <w:szCs w:val="20"/>
          <w:color w:val="auto"/>
        </w:rPr>
      </w:pPr>
    </w:p>
    <w:p>
      <w:pPr>
        <w:ind w:left="307" w:right="20"/>
        <w:spacing w:after="0" w:line="287"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March 31, 2020, the Company has capitalized $9,072, of which $442 of these costs is presented within Other current assets and $8,630 is presented within other non-current assets on the condensed consolidated balance sheets. As of December 31, 2019, the Company has capitalized $8,839, of which $331 of these costs is presented within Other current assets and $8,508 is presented within Other non-current assets on the condensed consolidated balance sheets. In the three months ended March 31, 2020, the Company began delivery under the agreement and started recognizing these costs on a straight-line basis over the expected term of the agreement.</w:t>
      </w:r>
    </w:p>
    <w:p>
      <w:pPr>
        <w:spacing w:after="0" w:line="148" w:lineRule="exact"/>
        <w:rPr>
          <w:sz w:val="20"/>
          <w:szCs w:val="20"/>
          <w:color w:val="auto"/>
        </w:rPr>
      </w:pPr>
    </w:p>
    <w:p>
      <w:pPr>
        <w:ind w:left="287" w:hanging="287"/>
        <w:spacing w:after="0"/>
        <w:tabs>
          <w:tab w:leader="none" w:pos="28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05" w:lineRule="exact"/>
        <w:rPr>
          <w:sz w:val="20"/>
          <w:szCs w:val="20"/>
          <w:color w:val="auto"/>
        </w:rPr>
      </w:pPr>
    </w:p>
    <w:p>
      <w:pPr>
        <w:ind w:left="307"/>
        <w:spacing w:after="0"/>
        <w:rPr>
          <w:sz w:val="20"/>
          <w:szCs w:val="20"/>
          <w:color w:val="auto"/>
        </w:rPr>
      </w:pPr>
      <w:r>
        <w:rPr>
          <w:rFonts w:ascii="Arial" w:cs="Arial" w:eastAsia="Arial" w:hAnsi="Arial"/>
          <w:sz w:val="19"/>
          <w:szCs w:val="19"/>
          <w:b w:val="1"/>
          <w:bCs w:val="1"/>
          <w:color w:val="auto"/>
        </w:rPr>
        <w:t>Lessee</w:t>
      </w:r>
    </w:p>
    <w:p>
      <w:pPr>
        <w:spacing w:after="0" w:line="204" w:lineRule="exact"/>
        <w:rPr>
          <w:sz w:val="20"/>
          <w:szCs w:val="20"/>
          <w:color w:val="auto"/>
        </w:rPr>
      </w:pPr>
    </w:p>
    <w:p>
      <w:pPr>
        <w:ind w:left="307" w:right="140"/>
        <w:spacing w:after="0" w:line="254"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71" w:lineRule="exact"/>
        <w:rPr>
          <w:sz w:val="20"/>
          <w:szCs w:val="20"/>
          <w:color w:val="auto"/>
        </w:rPr>
      </w:pPr>
    </w:p>
    <w:p>
      <w:pPr>
        <w:ind w:left="307"/>
        <w:spacing w:after="0" w:line="265" w:lineRule="auto"/>
        <w:rPr>
          <w:sz w:val="20"/>
          <w:szCs w:val="20"/>
          <w:color w:val="auto"/>
        </w:rPr>
      </w:pPr>
      <w:r>
        <w:rPr>
          <w:rFonts w:ascii="Arial" w:cs="Arial" w:eastAsia="Arial" w:hAnsi="Arial"/>
          <w:sz w:val="17"/>
          <w:szCs w:val="17"/>
          <w:color w:val="auto"/>
        </w:rPr>
        <w:t>The Company’s leases include fixed lease payments which may include escalation terms based on a fixed percentage or may vary based on an inflation index or other market adjustments. Escalations based on changes in inflation indexes and market adjustments and other lease costs that vary based on the use of the underlying asset are not included as lease payments in the calculation of the lease liability or ROU asset and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331"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4" w:right="379" w:bottom="1440" w:gutter="0" w:footer="0" w:header="0"/>
        </w:sectPr>
      </w:pPr>
    </w:p>
    <w:bookmarkStart w:id="15" w:name="page16"/>
    <w:bookmarkEnd w:id="1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right="540"/>
        <w:spacing w:after="0" w:line="251" w:lineRule="auto"/>
        <w:rPr>
          <w:sz w:val="20"/>
          <w:szCs w:val="20"/>
          <w:color w:val="auto"/>
        </w:rPr>
      </w:pPr>
      <w:r>
        <w:rPr>
          <w:rFonts w:ascii="Arial" w:cs="Arial" w:eastAsia="Arial" w:hAnsi="Arial"/>
          <w:sz w:val="19"/>
          <w:szCs w:val="19"/>
          <w:color w:val="auto"/>
        </w:rPr>
        <w:t>For the three months ended March 31, 2020, the Company’s operating lease cost recorded within the condensed consolidated statements of operations and comprehensive loss were as follows:</w:t>
      </w: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Three Months</w:t>
            </w:r>
          </w:p>
        </w:tc>
      </w:tr>
      <w:tr>
        <w:trPr>
          <w:trHeight w:val="186"/>
        </w:trPr>
        <w:tc>
          <w:tcPr>
            <w:tcW w:w="4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r>
      <w:tr>
        <w:trPr>
          <w:trHeight w:val="206"/>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March 31, 2020</w:t>
            </w:r>
          </w:p>
        </w:tc>
      </w:tr>
      <w:tr>
        <w:trPr>
          <w:trHeight w:val="18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lease cost</w:t>
            </w:r>
          </w:p>
        </w:tc>
        <w:tc>
          <w:tcPr>
            <w:tcW w:w="1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10,267</w:t>
            </w:r>
          </w:p>
        </w:tc>
        <w:tc>
          <w:tcPr>
            <w:tcW w:w="120" w:type="dxa"/>
            <w:vAlign w:val="bottom"/>
            <w:shd w:val="clear" w:color="auto" w:fill="CCEEFF"/>
          </w:tcPr>
          <w:p>
            <w:pPr>
              <w:spacing w:after="0"/>
              <w:rPr>
                <w:sz w:val="16"/>
                <w:szCs w:val="16"/>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6"/>
                <w:szCs w:val="16"/>
                <w:color w:val="auto"/>
              </w:rPr>
              <w:t>Variable lease cost</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639</w:t>
            </w:r>
          </w:p>
        </w:tc>
      </w:tr>
      <w:tr>
        <w:trPr>
          <w:trHeight w:val="18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lease cost</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w:t>
            </w:r>
          </w:p>
        </w:tc>
      </w:tr>
      <w:tr>
        <w:trPr>
          <w:trHeight w:val="186"/>
        </w:trPr>
        <w:tc>
          <w:tcPr>
            <w:tcW w:w="4660" w:type="dxa"/>
            <w:vAlign w:val="bottom"/>
          </w:tcPr>
          <w:p>
            <w:pPr>
              <w:spacing w:after="0"/>
              <w:rPr>
                <w:sz w:val="16"/>
                <w:szCs w:val="16"/>
                <w:color w:val="auto"/>
              </w:rPr>
            </w:pPr>
          </w:p>
        </w:tc>
        <w:tc>
          <w:tcPr>
            <w:tcW w:w="1700" w:type="dxa"/>
            <w:vAlign w:val="bottom"/>
            <w:gridSpan w:val="2"/>
          </w:tcPr>
          <w:p>
            <w:pPr>
              <w:spacing w:after="0"/>
              <w:rPr>
                <w:sz w:val="16"/>
                <w:szCs w:val="16"/>
                <w:color w:val="auto"/>
              </w:rPr>
            </w:pPr>
          </w:p>
        </w:tc>
        <w:tc>
          <w:tcPr>
            <w:tcW w:w="1320" w:type="dxa"/>
            <w:vAlign w:val="bottom"/>
            <w:gridSpan w:val="2"/>
          </w:tcPr>
          <w:p>
            <w:pPr>
              <w:spacing w:after="0"/>
              <w:rPr>
                <w:sz w:val="16"/>
                <w:szCs w:val="16"/>
                <w:color w:val="auto"/>
              </w:rPr>
            </w:pPr>
          </w:p>
        </w:tc>
      </w:tr>
      <w:tr>
        <w:trPr>
          <w:trHeight w:val="18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cost - Cost of Sales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9,351</w:t>
            </w:r>
          </w:p>
        </w:tc>
      </w:tr>
      <w:tr>
        <w:trPr>
          <w:trHeight w:val="186"/>
        </w:trPr>
        <w:tc>
          <w:tcPr>
            <w:tcW w:w="4660" w:type="dxa"/>
            <w:vAlign w:val="bottom"/>
          </w:tcPr>
          <w:p>
            <w:pPr>
              <w:ind w:left="140"/>
              <w:spacing w:after="0"/>
              <w:rPr>
                <w:sz w:val="20"/>
                <w:szCs w:val="20"/>
                <w:color w:val="auto"/>
              </w:rPr>
            </w:pPr>
            <w:r>
              <w:rPr>
                <w:rFonts w:ascii="Arial" w:cs="Arial" w:eastAsia="Arial" w:hAnsi="Arial"/>
                <w:sz w:val="16"/>
                <w:szCs w:val="16"/>
                <w:color w:val="auto"/>
              </w:rPr>
              <w:t>Lease cost - Operations and maintenance</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388</w:t>
            </w:r>
          </w:p>
        </w:tc>
      </w:tr>
      <w:tr>
        <w:trPr>
          <w:trHeight w:val="18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cost - Selling, general and administrative</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1,453</w:t>
            </w: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Lease cost of $539 has been capitalized as part of Construction in progress.</w:t>
      </w:r>
    </w:p>
    <w:p>
      <w:pPr>
        <w:spacing w:after="0" w:line="200" w:lineRule="exact"/>
        <w:rPr>
          <w:sz w:val="20"/>
          <w:szCs w:val="20"/>
          <w:color w:val="auto"/>
        </w:rPr>
      </w:pPr>
    </w:p>
    <w:p>
      <w:pPr>
        <w:ind w:left="300" w:right="120"/>
        <w:spacing w:after="0" w:line="251" w:lineRule="auto"/>
        <w:rPr>
          <w:sz w:val="20"/>
          <w:szCs w:val="20"/>
          <w:color w:val="auto"/>
        </w:rPr>
      </w:pPr>
      <w:r>
        <w:rPr>
          <w:rFonts w:ascii="Arial" w:cs="Arial" w:eastAsia="Arial" w:hAnsi="Arial"/>
          <w:sz w:val="19"/>
          <w:szCs w:val="19"/>
          <w:color w:val="auto"/>
        </w:rPr>
        <w:t>Cash paid for operating leases is reported in operating activities in the condensed consolidated statements of cash flows. Supplemental cash flow information related to leases was as follows for the three months ended March 31, 2020:</w:t>
      </w: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Three Months</w:t>
            </w:r>
          </w:p>
        </w:tc>
      </w:tr>
      <w:tr>
        <w:trPr>
          <w:trHeight w:val="186"/>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r>
      <w:tr>
        <w:trPr>
          <w:trHeight w:val="206"/>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March 31, 2020</w:t>
            </w:r>
          </w:p>
        </w:tc>
      </w:tr>
      <w:tr>
        <w:trPr>
          <w:trHeight w:val="186"/>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Operating cash outflows for operating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127,994</w:t>
            </w: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future payments due under operating leases as of March 31, 2020 is as follows:</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Leases</w:t>
            </w: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Due remainder of 2020</w:t>
            </w:r>
          </w:p>
        </w:tc>
        <w:tc>
          <w:tcPr>
            <w:tcW w:w="20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2021</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35,382</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2023</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6,986</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7,098</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Thereafter</w:t>
            </w: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33,454</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lease payments</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128,507</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Less: effects of discounting</w:t>
            </w: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33,803</w:t>
            </w:r>
          </w:p>
        </w:tc>
        <w:tc>
          <w:tcPr>
            <w:tcW w:w="1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Present value of lease liabilities</w:t>
            </w:r>
          </w:p>
        </w:tc>
        <w:tc>
          <w:tcPr>
            <w:tcW w:w="2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94,704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lease liabilities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29,944</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080" w:type="dxa"/>
            <w:vAlign w:val="bottom"/>
          </w:tcPr>
          <w:p>
            <w:pPr>
              <w:ind w:left="120"/>
              <w:spacing w:after="0"/>
              <w:rPr>
                <w:sz w:val="20"/>
                <w:szCs w:val="20"/>
                <w:color w:val="auto"/>
              </w:rPr>
            </w:pPr>
            <w:r>
              <w:rPr>
                <w:rFonts w:ascii="Arial" w:cs="Arial" w:eastAsia="Arial" w:hAnsi="Arial"/>
                <w:sz w:val="16"/>
                <w:szCs w:val="16"/>
                <w:color w:val="auto"/>
              </w:rPr>
              <w:t>Non-current lease liabilities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64,760</w:t>
            </w:r>
          </w:p>
        </w:tc>
        <w:tc>
          <w:tcPr>
            <w:tcW w:w="120" w:type="dxa"/>
            <w:vAlign w:val="bottom"/>
          </w:tcPr>
          <w:p>
            <w:pPr>
              <w:spacing w:after="0"/>
              <w:rPr>
                <w:sz w:val="17"/>
                <w:szCs w:val="17"/>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March 31, 2020, the weighted-average remaining lease term for all operating leases was 5.7 years. Because the Company generally does not have access to the rate implicit in the lease, the incremental borrowing rate is utilized as the discount rate. The weighted average discount rate associated with operating leases as of March 31, 2020 was 8.4%.</w:t>
      </w:r>
    </w:p>
    <w:p>
      <w:pPr>
        <w:spacing w:after="0" w:line="182" w:lineRule="exact"/>
        <w:rPr>
          <w:sz w:val="20"/>
          <w:szCs w:val="20"/>
          <w:color w:val="auto"/>
        </w:rPr>
      </w:pPr>
    </w:p>
    <w:p>
      <w:pPr>
        <w:ind w:left="300" w:right="460"/>
        <w:spacing w:after="0" w:line="251" w:lineRule="auto"/>
        <w:rPr>
          <w:sz w:val="20"/>
          <w:szCs w:val="20"/>
          <w:color w:val="auto"/>
        </w:rPr>
      </w:pPr>
      <w:r>
        <w:rPr>
          <w:rFonts w:ascii="Arial" w:cs="Arial" w:eastAsia="Arial" w:hAnsi="Arial"/>
          <w:sz w:val="19"/>
          <w:szCs w:val="19"/>
          <w:color w:val="auto"/>
        </w:rPr>
        <w:t>The Company has entered into an LNG vessel lease that has not commenced as of March 31, 2020 with a noncancelable term of 5 years and includes fixed payments for lease and non-lease components of $73,454.</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 w:name="page17"/>
    <w:bookmarkEnd w:id="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right="80"/>
        <w:spacing w:after="0" w:line="251" w:lineRule="auto"/>
        <w:rPr>
          <w:sz w:val="20"/>
          <w:szCs w:val="20"/>
          <w:color w:val="auto"/>
        </w:rPr>
      </w:pPr>
      <w:r>
        <w:rPr>
          <w:rFonts w:ascii="Arial" w:cs="Arial" w:eastAsia="Arial" w:hAnsi="Arial"/>
          <w:sz w:val="19"/>
          <w:szCs w:val="19"/>
          <w:color w:val="auto"/>
        </w:rPr>
        <w:t>Future annual minimum lease payments for operating leases as of December 31, 2019, prepared in accordance with accounting standards prior to the adoption of ASC 842, were as follows:</w:t>
      </w: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Leases</w:t>
            </w:r>
          </w:p>
        </w:tc>
      </w:tr>
      <w:tr>
        <w:trPr>
          <w:trHeight w:val="186"/>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37,776</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35,478</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18,387</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7,083</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w:t>
            </w:r>
          </w:p>
        </w:tc>
        <w:tc>
          <w:tcPr>
            <w:tcW w:w="1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0" w:right="240"/>
        <w:spacing w:after="0" w:line="251" w:lineRule="auto"/>
        <w:rPr>
          <w:sz w:val="20"/>
          <w:szCs w:val="20"/>
          <w:color w:val="auto"/>
        </w:rPr>
      </w:pPr>
      <w:r>
        <w:rPr>
          <w:rFonts w:ascii="Arial" w:cs="Arial" w:eastAsia="Arial" w:hAnsi="Arial"/>
          <w:sz w:val="19"/>
          <w:szCs w:val="19"/>
          <w:color w:val="auto"/>
        </w:rPr>
        <w:t>During the three months ended March 31, 2019, the Company recognized rental expense for all operating leases of $8,437, related primarily to LNG vessel time charters, office space, a land site lease and marine port berth leases.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Lessor</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In the Company’s agreements to sell LNG or natural gas to customers, the Company may also lease certain equipment to customers which are accounted for either as a finance or an operating lease. Property, plant and equipment subject to operating leases is included within ISO containers and other equipment within Note 12. Property, plant and equipment, net.</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March 31,</w:t>
            </w:r>
          </w:p>
        </w:tc>
      </w:tr>
      <w:tr>
        <w:trPr>
          <w:trHeight w:val="206"/>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8,872</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(501)</w:t>
            </w:r>
          </w:p>
        </w:tc>
      </w:tr>
      <w:tr>
        <w:trPr>
          <w:trHeight w:val="226"/>
        </w:trPr>
        <w:tc>
          <w:tcPr>
            <w:tcW w:w="20" w:type="dxa"/>
            <w:vAlign w:val="bottom"/>
          </w:tcPr>
          <w:p>
            <w:pPr>
              <w:spacing w:after="0"/>
              <w:rPr>
                <w:sz w:val="19"/>
                <w:szCs w:val="19"/>
                <w:color w:val="auto"/>
              </w:rPr>
            </w:pPr>
          </w:p>
        </w:tc>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shows the expected future lease payments as of March 31, 2020, for the remainder of 2020 through 2024 and thereafter:</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Future cash receipts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Financing leases</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85"/>
              </w:rPr>
              <w:t>Operating leases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Remainder of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Less: Imputed interest</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Present value of total lease receipts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Current finance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Non-current finance leases, net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6.</w:t>
        <w:tab/>
        <w:t>Fair value</w:t>
      </w:r>
    </w:p>
    <w:p>
      <w:pPr>
        <w:spacing w:after="0" w:line="209" w:lineRule="exact"/>
        <w:rPr>
          <w:sz w:val="20"/>
          <w:szCs w:val="20"/>
          <w:color w:val="auto"/>
        </w:rPr>
      </w:pPr>
    </w:p>
    <w:p>
      <w:pPr>
        <w:ind w:left="300" w:right="60"/>
        <w:spacing w:after="0" w:line="251" w:lineRule="auto"/>
        <w:rPr>
          <w:sz w:val="20"/>
          <w:szCs w:val="20"/>
          <w:color w:val="auto"/>
        </w:rPr>
      </w:pPr>
      <w:r>
        <w:rPr>
          <w:rFonts w:ascii="Arial" w:cs="Arial" w:eastAsia="Arial" w:hAnsi="Arial"/>
          <w:sz w:val="19"/>
          <w:szCs w:val="19"/>
          <w:color w:val="auto"/>
        </w:rPr>
        <w:t>Fair value measurements and disclosures require the use of valuation techniques to measure fair value that maximize the use of observable inputs and minimize the use of unobservable inputs. These inputs are prioritized as follows: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7" w:name="page18"/>
    <w:bookmarkEnd w:id="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560" w:hanging="288"/>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 observable inputs such as quoted prices in active markets for identical assets or liabilities.</w:t>
      </w:r>
    </w:p>
    <w:p>
      <w:pPr>
        <w:spacing w:after="0" w:line="211" w:lineRule="exact"/>
        <w:rPr>
          <w:rFonts w:ascii="Arial" w:cs="Arial" w:eastAsia="Arial" w:hAnsi="Arial"/>
          <w:sz w:val="16"/>
          <w:szCs w:val="16"/>
          <w:color w:val="auto"/>
        </w:rPr>
      </w:pPr>
    </w:p>
    <w:p>
      <w:pPr>
        <w:ind w:left="560" w:right="240" w:hanging="288"/>
        <w:spacing w:after="0" w:line="258"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either directly or indirectly, such as quoted prices for similar assets or liabilities or market corroborated inputs.</w:t>
      </w:r>
    </w:p>
    <w:p>
      <w:pPr>
        <w:spacing w:after="0" w:line="186" w:lineRule="exact"/>
        <w:rPr>
          <w:rFonts w:ascii="Arial" w:cs="Arial" w:eastAsia="Arial" w:hAnsi="Arial"/>
          <w:sz w:val="16"/>
          <w:szCs w:val="16"/>
          <w:color w:val="auto"/>
        </w:rPr>
      </w:pPr>
    </w:p>
    <w:p>
      <w:pPr>
        <w:ind w:left="560" w:right="300" w:hanging="288"/>
        <w:spacing w:after="0" w:line="258"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 unobservable inputs for which there is little or no market data and which require the Company to develop its own assumptions about how market participants price the asset or liability.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valuation techniques that may be used to measure fair value are as follows:</w:t>
      </w:r>
    </w:p>
    <w:p>
      <w:pPr>
        <w:spacing w:after="0" w:line="209" w:lineRule="exact"/>
        <w:rPr>
          <w:sz w:val="20"/>
          <w:szCs w:val="20"/>
          <w:color w:val="auto"/>
        </w:rPr>
      </w:pPr>
    </w:p>
    <w:p>
      <w:pPr>
        <w:ind w:left="560" w:hanging="28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11" w:lineRule="exact"/>
        <w:rPr>
          <w:rFonts w:ascii="Arial" w:cs="Arial" w:eastAsia="Arial" w:hAnsi="Arial"/>
          <w:sz w:val="16"/>
          <w:szCs w:val="16"/>
          <w:color w:val="auto"/>
        </w:rPr>
      </w:pPr>
    </w:p>
    <w:p>
      <w:pPr>
        <w:ind w:left="560" w:right="440" w:hanging="288"/>
        <w:spacing w:after="0" w:line="258"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approach – uses valuation techniques, such as discounted cash flow technique, to convert future amounts to a single present amount based on current market expectations about those future amounts.</w:t>
      </w:r>
    </w:p>
    <w:p>
      <w:pPr>
        <w:spacing w:after="0" w:line="186" w:lineRule="exact"/>
        <w:rPr>
          <w:rFonts w:ascii="Arial" w:cs="Arial" w:eastAsia="Arial" w:hAnsi="Arial"/>
          <w:sz w:val="16"/>
          <w:szCs w:val="16"/>
          <w:color w:val="auto"/>
        </w:rPr>
      </w:pPr>
    </w:p>
    <w:p>
      <w:pPr>
        <w:ind w:left="560" w:hanging="28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March 31, 2020 and</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December 31, 2019:</w:t>
      </w:r>
    </w:p>
    <w:p>
      <w:pPr>
        <w:spacing w:after="0" w:line="187"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6"/>
                <w:szCs w:val="16"/>
                <w:b w:val="1"/>
                <w:bCs w:val="1"/>
                <w:color w:val="auto"/>
              </w:rPr>
              <w:t>March 31, 2020</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88"/>
              </w:rPr>
              <w:t>Valuation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7"/>
                <w:szCs w:val="17"/>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4"/>
              </w:rPr>
              <w:t>technique</w:t>
            </w:r>
          </w:p>
        </w:tc>
        <w:tc>
          <w:tcPr>
            <w:tcW w:w="0" w:type="dxa"/>
            <w:vAlign w:val="bottom"/>
          </w:tcPr>
          <w:p>
            <w:pPr>
              <w:spacing w:after="0"/>
              <w:rPr>
                <w:sz w:val="1"/>
                <w:szCs w:val="1"/>
                <w:color w:val="auto"/>
              </w:rPr>
            </w:pPr>
          </w:p>
        </w:tc>
      </w:tr>
      <w:tr>
        <w:trPr>
          <w:trHeight w:val="186"/>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232,698</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232,698</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Restricted cash</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58,567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58,567</w:t>
            </w:r>
          </w:p>
        </w:tc>
        <w:tc>
          <w:tcPr>
            <w:tcW w:w="1780" w:type="dxa"/>
            <w:vAlign w:val="bottom"/>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Total</w:t>
            </w:r>
          </w:p>
        </w:tc>
        <w:tc>
          <w:tcPr>
            <w:tcW w:w="720" w:type="dxa"/>
            <w:vAlign w:val="bottom"/>
            <w:gridSpan w:val="2"/>
          </w:tcPr>
          <w:p>
            <w:pPr>
              <w:jc w:val="right"/>
              <w:ind w:right="7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291,405</w:t>
            </w:r>
          </w:p>
        </w:tc>
        <w:tc>
          <w:tcPr>
            <w:tcW w:w="100" w:type="dxa"/>
            <w:vAlign w:val="bottom"/>
          </w:tcPr>
          <w:p>
            <w:pPr>
              <w:spacing w:after="0"/>
              <w:rPr>
                <w:sz w:val="16"/>
                <w:szCs w:val="16"/>
                <w:color w:val="auto"/>
              </w:rPr>
            </w:pPr>
          </w:p>
        </w:tc>
        <w:tc>
          <w:tcPr>
            <w:tcW w:w="1020" w:type="dxa"/>
            <w:vAlign w:val="bottom"/>
            <w:gridSpan w:val="2"/>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291,405</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Derivative liability¹</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8,583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8,583</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Income approach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Equity agreement²</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15,863</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15,863</w:t>
            </w: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Income approach</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w:t>
            </w:r>
          </w:p>
        </w:tc>
        <w:tc>
          <w:tcPr>
            <w:tcW w:w="1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b w:val="1"/>
                <w:bCs w:val="1"/>
                <w:color w:val="auto"/>
                <w:w w:val="90"/>
              </w:rPr>
              <w:t>December 31, 2019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4"/>
                <w:szCs w:val="14"/>
                <w:color w:val="auto"/>
              </w:rPr>
            </w:pPr>
          </w:p>
        </w:tc>
        <w:tc>
          <w:tcPr>
            <w:tcW w:w="90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178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88"/>
              </w:rPr>
              <w:t>Valuation</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technique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27,098</w:t>
            </w: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27,098</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Restricted cash</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65,937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65,937</w:t>
            </w:r>
          </w:p>
        </w:tc>
        <w:tc>
          <w:tcPr>
            <w:tcW w:w="1780" w:type="dxa"/>
            <w:vAlign w:val="bottom"/>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2,540</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Market approach</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Total</w:t>
            </w:r>
          </w:p>
        </w:tc>
        <w:tc>
          <w:tcPr>
            <w:tcW w:w="720" w:type="dxa"/>
            <w:vAlign w:val="bottom"/>
            <w:gridSpan w:val="2"/>
          </w:tcPr>
          <w:p>
            <w:pPr>
              <w:jc w:val="right"/>
              <w:ind w:right="7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95,575</w:t>
            </w:r>
          </w:p>
        </w:tc>
        <w:tc>
          <w:tcPr>
            <w:tcW w:w="1020" w:type="dxa"/>
            <w:vAlign w:val="bottom"/>
            <w:gridSpan w:val="2"/>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95,575</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Derivative liability¹</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9,800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9,800</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Income approach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Equity agreement²</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16,800</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16,800</w:t>
            </w: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Income approach</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26,600</w:t>
            </w:r>
          </w:p>
        </w:tc>
        <w:tc>
          <w:tcPr>
            <w:tcW w:w="1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60" w:hanging="288"/>
        <w:spacing w:after="0"/>
        <w:tabs>
          <w:tab w:leader="none" w:pos="56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Consideration due to the sellers of Shannon LNG once first gas is supplied from the terminal to be built.</w:t>
      </w:r>
    </w:p>
    <w:p>
      <w:pPr>
        <w:spacing w:after="0" w:line="1" w:lineRule="exact"/>
        <w:rPr>
          <w:rFonts w:ascii="Arial" w:cs="Arial" w:eastAsia="Arial" w:hAnsi="Arial"/>
          <w:sz w:val="26"/>
          <w:szCs w:val="26"/>
          <w:color w:val="auto"/>
          <w:vertAlign w:val="superscript"/>
        </w:rPr>
      </w:pPr>
    </w:p>
    <w:p>
      <w:pPr>
        <w:ind w:left="560" w:hanging="288"/>
        <w:spacing w:after="0" w:line="183" w:lineRule="auto"/>
        <w:tabs>
          <w:tab w:leader="none" w:pos="56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To be paid in shares at the earlier of agreed-upon date or the commencement of significant construction activities specified in the Shannon LNG Agreement.</w:t>
      </w:r>
    </w:p>
    <w:p>
      <w:pPr>
        <w:spacing w:after="0" w:line="191" w:lineRule="exact"/>
        <w:rPr>
          <w:sz w:val="20"/>
          <w:szCs w:val="20"/>
          <w:color w:val="auto"/>
        </w:rPr>
      </w:pPr>
    </w:p>
    <w:p>
      <w:pPr>
        <w:ind w:left="300"/>
        <w:spacing w:after="0" w:line="248" w:lineRule="auto"/>
        <w:rPr>
          <w:sz w:val="20"/>
          <w:szCs w:val="20"/>
          <w:color w:val="auto"/>
        </w:rPr>
      </w:pPr>
      <w:r>
        <w:rPr>
          <w:rFonts w:ascii="Arial" w:cs="Arial" w:eastAsia="Arial" w:hAnsi="Arial"/>
          <w:sz w:val="18"/>
          <w:szCs w:val="18"/>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Company recorded a gain from fair value adjustments on the derivative liability and equity agreement of $1,617 and $633 within Other expense (income), net in the condensed consolidated statements of operations and $537 and $0 within unrealized gain on currency translation adjustment in the Other comprehensive loss for the three months ended March 31, 2020 and 2019, respectively. During the three months ended March 31, 2020 and 2019, the Company had no settlements of the equity agreement or derivative liability or any transfers in or out of Level 3 in the fair value hierarchy.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8" w:name="page19"/>
    <w:bookmarkEnd w:id="1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7"/>
        <w:spacing w:after="0" w:line="237" w:lineRule="auto"/>
        <w:rPr>
          <w:sz w:val="20"/>
          <w:szCs w:val="20"/>
          <w:color w:val="auto"/>
        </w:rPr>
      </w:pPr>
      <w:r>
        <w:rPr>
          <w:rFonts w:ascii="Arial" w:cs="Arial" w:eastAsia="Arial" w:hAnsi="Arial"/>
          <w:sz w:val="19"/>
          <w:szCs w:val="19"/>
          <w:color w:val="auto"/>
        </w:rPr>
        <w:t>The liability associated with the equity agreement of $15,863 and $16,800 as of March 31, 2020 and December 31, 2019, respectively, is recorded within Other current liabilities on the condensed consolidated balance sheets. The liability associated with the derivative liability of $8,583 and $9,800 as of March 31, 2020 and December 31, 2019, respectively, is recorded within Other long-term liabilities on the condensed consolidated balance sheets.</w:t>
      </w:r>
    </w:p>
    <w:p>
      <w:pPr>
        <w:spacing w:after="0" w:line="184" w:lineRule="exact"/>
        <w:rPr>
          <w:sz w:val="20"/>
          <w:szCs w:val="20"/>
          <w:color w:val="auto"/>
        </w:rPr>
      </w:pPr>
    </w:p>
    <w:p>
      <w:pPr>
        <w:ind w:left="307" w:right="40"/>
        <w:spacing w:after="0" w:line="237" w:lineRule="auto"/>
        <w:rPr>
          <w:sz w:val="20"/>
          <w:szCs w:val="20"/>
          <w:color w:val="auto"/>
        </w:rPr>
      </w:pPr>
      <w:r>
        <w:rPr>
          <w:rFonts w:ascii="Arial" w:cs="Arial" w:eastAsia="Arial" w:hAnsi="Arial"/>
          <w:sz w:val="19"/>
          <w:szCs w:val="19"/>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for each of the Credit Agreement, Senior Secured Bonds, and Senior Unsecured Bonds (all defined below in “Note 16. Debt”) approximate fair value. The fair value estimate is classified as Level 3 in the fair value hierarchy.</w:t>
      </w:r>
    </w:p>
    <w:p>
      <w:pPr>
        <w:spacing w:after="0" w:line="186" w:lineRule="exact"/>
        <w:rPr>
          <w:sz w:val="20"/>
          <w:szCs w:val="20"/>
          <w:color w:val="auto"/>
        </w:rPr>
      </w:pPr>
    </w:p>
    <w:p>
      <w:pPr>
        <w:ind w:left="287" w:hanging="287"/>
        <w:spacing w:after="0"/>
        <w:tabs>
          <w:tab w:leader="none" w:pos="287"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cash</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As of March 31, 2020 and December 31, 2019, restricted cash consisted of the following:</w:t>
      </w:r>
    </w:p>
    <w:p>
      <w:pPr>
        <w:spacing w:after="0" w:line="203" w:lineRule="exact"/>
        <w:rPr>
          <w:sz w:val="20"/>
          <w:szCs w:val="20"/>
          <w:color w:val="auto"/>
        </w:rPr>
      </w:pPr>
    </w:p>
    <w:tbl>
      <w:tblPr>
        <w:tblLayout w:type="fixed"/>
        <w:tblInd w:w="287"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Collateral for performance under customer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Collateral for LNG purchases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Collateral for letters of credit and performance bonds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Debt service reserve account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8,299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 restricted cash</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tcPr>
          <w:p>
            <w:pPr>
              <w:ind w:left="120"/>
              <w:spacing w:after="0"/>
              <w:rPr>
                <w:sz w:val="20"/>
                <w:szCs w:val="20"/>
                <w:color w:val="auto"/>
              </w:rPr>
            </w:pPr>
            <w:r>
              <w:rPr>
                <w:rFonts w:ascii="Arial" w:cs="Arial" w:eastAsia="Arial" w:hAnsi="Arial"/>
                <w:sz w:val="16"/>
                <w:szCs w:val="16"/>
                <w:color w:val="auto"/>
              </w:rPr>
              <w:t>Total restricted cash</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58,567</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65,937</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Current restricted cash</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32,512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30,966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Non-current restricted cash</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34,971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
        <w:spacing w:after="0"/>
        <w:tabs>
          <w:tab w:leader="none" w:pos="267" w:val="left"/>
        </w:tabs>
        <w:rPr>
          <w:sz w:val="20"/>
          <w:szCs w:val="20"/>
          <w:color w:val="auto"/>
        </w:rPr>
      </w:pPr>
      <w:r>
        <w:rPr>
          <w:rFonts w:ascii="Arial" w:cs="Arial" w:eastAsia="Arial" w:hAnsi="Arial"/>
          <w:sz w:val="16"/>
          <w:szCs w:val="16"/>
          <w:b w:val="1"/>
          <w:bCs w:val="1"/>
          <w:color w:val="auto"/>
        </w:rPr>
        <w:t>8.</w:t>
        <w:tab/>
        <w:t>Inventory</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As of March 31, 2020 and December 31, 2019, inventory consisted of the following:</w:t>
      </w:r>
    </w:p>
    <w:p>
      <w:pPr>
        <w:spacing w:after="0" w:line="203" w:lineRule="exact"/>
        <w:rPr>
          <w:sz w:val="20"/>
          <w:szCs w:val="20"/>
          <w:color w:val="auto"/>
        </w:rPr>
      </w:pPr>
    </w:p>
    <w:tbl>
      <w:tblPr>
        <w:tblLayout w:type="fixed"/>
        <w:tblInd w:w="287"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LNG and natural gas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57,436</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Automotive diesel oil inventory</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9,498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4,746</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Materials, supplies and other</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w:t>
            </w:r>
          </w:p>
        </w:tc>
      </w:tr>
      <w:tr>
        <w:trPr>
          <w:trHeight w:val="23"/>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5040" w:type="dxa"/>
            <w:vAlign w:val="bottom"/>
          </w:tcPr>
          <w:p>
            <w:pPr>
              <w:ind w:left="120"/>
              <w:spacing w:after="0"/>
              <w:rPr>
                <w:sz w:val="20"/>
                <w:szCs w:val="20"/>
                <w:color w:val="auto"/>
              </w:rPr>
            </w:pPr>
            <w:r>
              <w:rPr>
                <w:rFonts w:ascii="Arial" w:cs="Arial" w:eastAsia="Arial" w:hAnsi="Arial"/>
                <w:sz w:val="16"/>
                <w:szCs w:val="16"/>
                <w:color w:val="auto"/>
              </w:rPr>
              <w:t>Total inventory</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28,602</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63,432</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07" w:right="100"/>
        <w:spacing w:after="0"/>
        <w:rPr>
          <w:sz w:val="20"/>
          <w:szCs w:val="20"/>
          <w:color w:val="auto"/>
        </w:rPr>
      </w:pPr>
      <w:r>
        <w:rPr>
          <w:rFonts w:ascii="Arial" w:cs="Arial" w:eastAsia="Arial" w:hAnsi="Arial"/>
          <w:sz w:val="19"/>
          <w:szCs w:val="19"/>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months ended March 31, 2020 and 2019, respectively.</w:t>
      </w:r>
    </w:p>
    <w:p>
      <w:pPr>
        <w:spacing w:after="0" w:line="348"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4" w:right="379" w:bottom="1440" w:gutter="0" w:footer="0" w:header="0"/>
        </w:sectPr>
      </w:pPr>
    </w:p>
    <w:bookmarkStart w:id="19" w:name="page20"/>
    <w:bookmarkEnd w:id="19"/>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ind w:left="287" w:hanging="287"/>
        <w:spacing w:after="0"/>
        <w:tabs>
          <w:tab w:leader="none" w:pos="2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Prepaid expenses and other current assets</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As of March 31, 2020 and December 31, 2019, prepaid expenses and other current assets consisted of the following:</w:t>
      </w:r>
    </w:p>
    <w:p>
      <w:pPr>
        <w:spacing w:after="0" w:line="203" w:lineRule="exact"/>
        <w:rPr>
          <w:sz w:val="20"/>
          <w:szCs w:val="20"/>
          <w:color w:val="auto"/>
        </w:rPr>
      </w:pPr>
    </w:p>
    <w:tbl>
      <w:tblPr>
        <w:tblLayout w:type="fixed"/>
        <w:tblInd w:w="287"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Prepaid LNG</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7,458</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Due from affiliates (Note 21)</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1,577</w:t>
            </w: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23,602</w:t>
            </w:r>
          </w:p>
        </w:tc>
      </w:tr>
      <w:tr>
        <w:trPr>
          <w:trHeight w:val="226"/>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prepaid expenses and other current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7"/>
        <w:spacing w:after="0"/>
        <w:rPr>
          <w:sz w:val="20"/>
          <w:szCs w:val="20"/>
          <w:color w:val="auto"/>
        </w:rPr>
      </w:pPr>
      <w:r>
        <w:rPr>
          <w:rFonts w:ascii="Arial" w:cs="Arial" w:eastAsia="Arial" w:hAnsi="Arial"/>
          <w:sz w:val="19"/>
          <w:szCs w:val="19"/>
          <w:color w:val="auto"/>
        </w:rPr>
        <w:t>Other current assets as of March 31, 2020 and December 31, 2019 primarily consists of capitalized costs associated with delivering development services to a customer and receivables for recoverable taxes. The increase in prepaid LNG is primarily due to the timing of payments in relation to LNG delivery.</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10. Investment in equity securities</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The Company has invested in equity securities of an international oil and gas drilling contractor. The cost of the investment was $3,667. As of March 31, 2020 and December 31, 2019, the Company owned 295,256 shares of that contractor and the fair value of the investment was $140 and $2,540, respectively.</w:t>
      </w:r>
    </w:p>
    <w:p>
      <w:pPr>
        <w:spacing w:after="0" w:line="182" w:lineRule="exact"/>
        <w:rPr>
          <w:sz w:val="20"/>
          <w:szCs w:val="20"/>
          <w:color w:val="auto"/>
        </w:rPr>
      </w:pPr>
    </w:p>
    <w:p>
      <w:pPr>
        <w:ind w:left="307" w:right="460"/>
        <w:spacing w:after="0" w:line="278" w:lineRule="auto"/>
        <w:rPr>
          <w:sz w:val="20"/>
          <w:szCs w:val="20"/>
          <w:color w:val="auto"/>
        </w:rPr>
      </w:pPr>
      <w:r>
        <w:rPr>
          <w:rFonts w:ascii="Arial" w:cs="Arial" w:eastAsia="Arial" w:hAnsi="Arial"/>
          <w:sz w:val="18"/>
          <w:szCs w:val="18"/>
          <w:color w:val="auto"/>
        </w:rPr>
        <w:t>The unrealized (loss) gain of $(2,400) and $896 for the three months ended March 31, 2020 and 2019, respectively, is included within Other expense (income), net in the condensed consolidated statements of operations and comprehensive loss.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11. Construction in progress</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The Company’s construction in progress activity during the three months ended March 31, 2020 is detailed below:</w:t>
      </w:r>
    </w:p>
    <w:p>
      <w:pPr>
        <w:spacing w:after="0" w:line="203" w:lineRule="exact"/>
        <w:rPr>
          <w:sz w:val="20"/>
          <w:szCs w:val="20"/>
          <w:color w:val="auto"/>
        </w:rPr>
      </w:pPr>
    </w:p>
    <w:tbl>
      <w:tblPr>
        <w:tblLayout w:type="fixed"/>
        <w:tblInd w:w="287"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March 31,</w:t>
            </w:r>
          </w:p>
        </w:tc>
      </w:tr>
      <w:tr>
        <w:trPr>
          <w:trHeight w:val="206"/>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466,587</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64,300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Transferred to property, plant and equipment, net (Note 12)</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(197,241)</w:t>
            </w:r>
          </w:p>
        </w:tc>
      </w:tr>
      <w:tr>
        <w:trPr>
          <w:trHeight w:val="186"/>
        </w:trPr>
        <w:tc>
          <w:tcPr>
            <w:tcW w:w="20" w:type="dxa"/>
            <w:vAlign w:val="bottom"/>
          </w:tcPr>
          <w:p>
            <w:pPr>
              <w:spacing w:after="0"/>
              <w:rPr>
                <w:sz w:val="16"/>
                <w:szCs w:val="16"/>
                <w:color w:val="auto"/>
              </w:rPr>
            </w:pPr>
          </w:p>
        </w:tc>
        <w:tc>
          <w:tcPr>
            <w:tcW w:w="64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333,646</w:t>
            </w:r>
          </w:p>
        </w:tc>
        <w:tc>
          <w:tcPr>
            <w:tcW w:w="1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287" w:right="160"/>
        <w:spacing w:after="0" w:line="251" w:lineRule="auto"/>
        <w:rPr>
          <w:sz w:val="20"/>
          <w:szCs w:val="20"/>
          <w:color w:val="auto"/>
        </w:rPr>
      </w:pPr>
      <w:r>
        <w:rPr>
          <w:rFonts w:ascii="Arial" w:cs="Arial" w:eastAsia="Arial" w:hAnsi="Arial"/>
          <w:sz w:val="19"/>
          <w:szCs w:val="19"/>
          <w:color w:val="auto"/>
        </w:rPr>
        <w:t>Interest expense of $9,606 and $3,669 was capitalized for the three months ended March 31, 2020 and 2019, respectively, inclusive of amortized debt issuance costs disclosed in “Note 16. Debt.”</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12. Property, plant and equipment, net</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9"/>
          <w:szCs w:val="19"/>
          <w:color w:val="auto"/>
        </w:rPr>
        <w:t>As of March 31, 2020 and December 31, 2019 the Company’s property, plant and equipment, net consisted of the following:</w:t>
      </w:r>
    </w:p>
    <w:p>
      <w:pPr>
        <w:spacing w:after="0" w:line="366"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4"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57"/>
        </w:trPr>
        <w:tc>
          <w:tcPr>
            <w:tcW w:w="5340" w:type="dxa"/>
            <w:vAlign w:val="bottom"/>
            <w:gridSpan w:val="2"/>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8"/>
        </w:trPr>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CHP facilities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117,296</w:t>
            </w: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Terminal and power plant equipment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105,643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14,981</w:t>
            </w: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LNG liquefaction facilities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65,992</w:t>
            </w: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66,273</w:t>
            </w: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Gas terminals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71,673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52,781</w:t>
            </w: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Gas pipelines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58,898</w:t>
            </w: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11,692</w:t>
            </w: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ISO containers and other equipment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39,951</w:t>
            </w: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w:t>
            </w: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15,401</w:t>
            </w: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8,295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8,054</w:t>
            </w: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4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(35,936)</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(16,911)</w:t>
            </w:r>
          </w:p>
        </w:tc>
      </w:tr>
      <w:tr>
        <w:trPr>
          <w:trHeight w:val="23"/>
        </w:trPr>
        <w:tc>
          <w:tcPr>
            <w:tcW w:w="28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6"/>
        </w:trPr>
        <w:tc>
          <w:tcPr>
            <w:tcW w:w="280" w:type="dxa"/>
            <w:vAlign w:val="bottom"/>
          </w:tcPr>
          <w:p>
            <w:pPr>
              <w:spacing w:after="0"/>
              <w:rPr>
                <w:sz w:val="16"/>
                <w:szCs w:val="16"/>
                <w:color w:val="auto"/>
              </w:rPr>
            </w:pPr>
          </w:p>
        </w:tc>
        <w:tc>
          <w:tcPr>
            <w:tcW w:w="5060" w:type="dxa"/>
            <w:vAlign w:val="bottom"/>
          </w:tcPr>
          <w:p>
            <w:pPr>
              <w:ind w:left="140"/>
              <w:spacing w:after="0"/>
              <w:rPr>
                <w:sz w:val="20"/>
                <w:szCs w:val="20"/>
                <w:color w:val="auto"/>
              </w:rPr>
            </w:pPr>
            <w:r>
              <w:rPr>
                <w:rFonts w:ascii="Arial" w:cs="Arial" w:eastAsia="Arial" w:hAnsi="Arial"/>
                <w:sz w:val="16"/>
                <w:szCs w:val="16"/>
                <w:color w:val="auto"/>
              </w:rPr>
              <w:t>Total property, plant and equipment,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479,089</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192,222</w:t>
            </w:r>
          </w:p>
        </w:tc>
      </w:tr>
      <w:tr>
        <w:trPr>
          <w:trHeight w:val="20"/>
        </w:trPr>
        <w:tc>
          <w:tcPr>
            <w:tcW w:w="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In connection with the adoption of ASC 842, the Company determined that the direct financing lease recognized related to the Montego Bay Terminal is no longer a lease under ASC 842. As of January 1, 2020, the Company recognized a transition adjustment that removed the unamortized net investment in the direct financing lease of $91,005 and recognized the underlying assets as Property, plant and equipment of $92,207 net of accumulated depreciation of $13,932 that would have been recognized since the commissioning of the Montego Bay Terminal, with the difference of approximately $9,085, net of taxes of $2,945, recorded as an adjustment to retained earnings.</w:t>
      </w:r>
    </w:p>
    <w:p>
      <w:pPr>
        <w:spacing w:after="0" w:line="157" w:lineRule="exact"/>
        <w:rPr>
          <w:sz w:val="20"/>
          <w:szCs w:val="20"/>
          <w:color w:val="auto"/>
        </w:rPr>
      </w:pPr>
    </w:p>
    <w:p>
      <w:pPr>
        <w:ind w:left="300" w:right="20"/>
        <w:spacing w:after="0" w:line="278" w:lineRule="auto"/>
        <w:rPr>
          <w:sz w:val="20"/>
          <w:szCs w:val="20"/>
          <w:color w:val="auto"/>
        </w:rPr>
      </w:pPr>
      <w:r>
        <w:rPr>
          <w:rFonts w:ascii="Arial" w:cs="Arial" w:eastAsia="Arial" w:hAnsi="Arial"/>
          <w:sz w:val="18"/>
          <w:szCs w:val="18"/>
          <w:color w:val="auto"/>
        </w:rPr>
        <w:t>Depreciation for the three months ended March 31, 2020 and 2019 totaled $5,211 and $1,580, respectively, of which $227 and $158 is respectively included within Cost of sales in the condensed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Intangible assets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table summarizes the composition of intangible assets as of March 31, 2020 and December 31, 2019:</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6"/>
                <w:szCs w:val="16"/>
                <w:b w:val="1"/>
                <w:bCs w:val="1"/>
                <w:color w:val="auto"/>
              </w:rPr>
              <w:t>March 31, 2020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3"/>
          </w:tcPr>
          <w:p>
            <w:pPr>
              <w:jc w:val="center"/>
              <w:ind w:right="220"/>
              <w:spacing w:after="0" w:line="170" w:lineRule="exact"/>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4"/>
                <w:szCs w:val="14"/>
                <w:color w:val="auto"/>
              </w:rPr>
            </w:pPr>
          </w:p>
        </w:tc>
        <w:tc>
          <w:tcPr>
            <w:tcW w:w="120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220" w:type="dxa"/>
            <w:vAlign w:val="bottom"/>
            <w:gridSpan w:val="2"/>
          </w:tcPr>
          <w:p>
            <w:pPr>
              <w:jc w:val="right"/>
              <w:ind w:right="320"/>
              <w:spacing w:after="0" w:line="170" w:lineRule="exact"/>
              <w:rPr>
                <w:sz w:val="20"/>
                <w:szCs w:val="20"/>
                <w:color w:val="auto"/>
              </w:rPr>
            </w:pPr>
            <w:r>
              <w:rPr>
                <w:rFonts w:ascii="Arial" w:cs="Arial" w:eastAsia="Arial" w:hAnsi="Arial"/>
                <w:sz w:val="16"/>
                <w:szCs w:val="16"/>
                <w:b w:val="1"/>
                <w:bCs w:val="1"/>
                <w:color w:val="auto"/>
                <w:w w:val="91"/>
              </w:rPr>
              <w:t>Net Carrying</w:t>
            </w:r>
          </w:p>
        </w:tc>
        <w:tc>
          <w:tcPr>
            <w:tcW w:w="1080" w:type="dxa"/>
            <w:vAlign w:val="bottom"/>
          </w:tcPr>
          <w:p>
            <w:pPr>
              <w:jc w:val="right"/>
              <w:ind w:right="142"/>
              <w:spacing w:after="0" w:line="170"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Average Life</w:t>
            </w:r>
          </w:p>
        </w:tc>
        <w:tc>
          <w:tcPr>
            <w:tcW w:w="0" w:type="dxa"/>
            <w:vAlign w:val="bottom"/>
          </w:tcPr>
          <w:p>
            <w:pPr>
              <w:spacing w:after="0"/>
              <w:rPr>
                <w:sz w:val="1"/>
                <w:szCs w:val="1"/>
                <w:color w:val="auto"/>
              </w:rPr>
            </w:pPr>
          </w:p>
        </w:tc>
      </w:tr>
      <w:tr>
        <w:trPr>
          <w:trHeight w:val="186"/>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Definite-lived intangible assets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Shannon LNG permits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39,726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ind w:left="120"/>
              <w:spacing w:after="0"/>
              <w:rPr>
                <w:sz w:val="20"/>
                <w:szCs w:val="20"/>
                <w:color w:val="auto"/>
              </w:rPr>
            </w:pPr>
            <w:r>
              <w:rPr>
                <w:rFonts w:ascii="Arial" w:cs="Arial" w:eastAsia="Arial" w:hAnsi="Arial"/>
                <w:sz w:val="16"/>
                <w:szCs w:val="16"/>
                <w:color w:val="auto"/>
              </w:rPr>
              <w:t>Easements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1,407</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Easements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6"/>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43,842</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1,566</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42,276</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6"/>
                <w:szCs w:val="16"/>
                <w:b w:val="1"/>
                <w:bCs w:val="1"/>
                <w:color w:val="auto"/>
              </w:rPr>
              <w:t>December 31, 2019</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3"/>
          </w:tcPr>
          <w:p>
            <w:pPr>
              <w:jc w:val="center"/>
              <w:ind w:right="220"/>
              <w:spacing w:after="0" w:line="170" w:lineRule="exact"/>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4"/>
                <w:szCs w:val="14"/>
                <w:color w:val="auto"/>
              </w:rPr>
            </w:pPr>
          </w:p>
        </w:tc>
        <w:tc>
          <w:tcPr>
            <w:tcW w:w="120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220" w:type="dxa"/>
            <w:vAlign w:val="bottom"/>
            <w:gridSpan w:val="2"/>
          </w:tcPr>
          <w:p>
            <w:pPr>
              <w:jc w:val="right"/>
              <w:ind w:right="320"/>
              <w:spacing w:after="0" w:line="170" w:lineRule="exact"/>
              <w:rPr>
                <w:sz w:val="20"/>
                <w:szCs w:val="20"/>
                <w:color w:val="auto"/>
              </w:rPr>
            </w:pPr>
            <w:r>
              <w:rPr>
                <w:rFonts w:ascii="Arial" w:cs="Arial" w:eastAsia="Arial" w:hAnsi="Arial"/>
                <w:sz w:val="16"/>
                <w:szCs w:val="16"/>
                <w:b w:val="1"/>
                <w:bCs w:val="1"/>
                <w:color w:val="auto"/>
                <w:w w:val="91"/>
              </w:rPr>
              <w:t>Net Carrying</w:t>
            </w:r>
          </w:p>
        </w:tc>
        <w:tc>
          <w:tcPr>
            <w:tcW w:w="1080" w:type="dxa"/>
            <w:vAlign w:val="bottom"/>
          </w:tcPr>
          <w:p>
            <w:pPr>
              <w:jc w:val="right"/>
              <w:ind w:right="142"/>
              <w:spacing w:after="0" w:line="170"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Average Life</w:t>
            </w:r>
          </w:p>
        </w:tc>
        <w:tc>
          <w:tcPr>
            <w:tcW w:w="0" w:type="dxa"/>
            <w:vAlign w:val="bottom"/>
          </w:tcPr>
          <w:p>
            <w:pPr>
              <w:spacing w:after="0"/>
              <w:rPr>
                <w:sz w:val="1"/>
                <w:szCs w:val="1"/>
                <w:color w:val="auto"/>
              </w:rPr>
            </w:pPr>
          </w:p>
        </w:tc>
      </w:tr>
      <w:tr>
        <w:trPr>
          <w:trHeight w:val="186"/>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Definite-lived intangible assets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Shannon LNG leases and permits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40,959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ind w:left="120"/>
              <w:spacing w:after="0"/>
              <w:rPr>
                <w:sz w:val="20"/>
                <w:szCs w:val="20"/>
                <w:color w:val="auto"/>
              </w:rPr>
            </w:pPr>
            <w:r>
              <w:rPr>
                <w:rFonts w:ascii="Arial" w:cs="Arial" w:eastAsia="Arial" w:hAnsi="Arial"/>
                <w:sz w:val="16"/>
                <w:szCs w:val="16"/>
                <w:color w:val="auto"/>
              </w:rPr>
              <w:t>Easements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1,420</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Easements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6"/>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44,877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1,337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43,540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300" w:right="80"/>
        <w:spacing w:after="0"/>
        <w:rPr>
          <w:sz w:val="20"/>
          <w:szCs w:val="20"/>
          <w:color w:val="auto"/>
        </w:rPr>
      </w:pPr>
      <w:r>
        <w:rPr>
          <w:rFonts w:ascii="Arial" w:cs="Arial" w:eastAsia="Arial" w:hAnsi="Arial"/>
          <w:sz w:val="19"/>
          <w:szCs w:val="19"/>
          <w:color w:val="auto"/>
        </w:rPr>
        <w:t>As of March 31, 2020 and December 31, 2019, the weighted-average remaining amortization periods for the intangible assets was 38.2 years and 38.8 years, respectively. As of January 1, 2020, intangible assets associated with favorable lease terms in acquired leases have been reclassified as a ROU assets as a result of adoption of ASC 842.</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Amortization for the three months ended March 31, 2020 and 2019 totaled $270 and $278,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1" w:name="page22"/>
    <w:bookmarkEnd w:id="2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Other non-current assets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March 31, 2020 and December 31, 2019, Other non-current assets consisted of the following: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Nonrefundable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Contract asset (Note 4)</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19,474</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Cost to fulfill (Note 4)</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8,508</w:t>
            </w: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Unbilled receivables (Note 4)</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Upfront payments to customers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5,904</w:t>
            </w: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Port access rights and initial lease costs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17,762</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7,716</w:t>
            </w:r>
          </w:p>
        </w:tc>
      </w:tr>
      <w:tr>
        <w:trPr>
          <w:trHeight w:val="23"/>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5040" w:type="dxa"/>
            <w:vAlign w:val="bottom"/>
          </w:tcPr>
          <w:p>
            <w:pPr>
              <w:ind w:left="120"/>
              <w:spacing w:after="0"/>
              <w:rPr>
                <w:sz w:val="20"/>
                <w:szCs w:val="20"/>
                <w:color w:val="auto"/>
              </w:rPr>
            </w:pPr>
            <w:r>
              <w:rPr>
                <w:rFonts w:ascii="Arial" w:cs="Arial" w:eastAsia="Arial" w:hAnsi="Arial"/>
                <w:sz w:val="16"/>
                <w:szCs w:val="16"/>
                <w:color w:val="auto"/>
              </w:rPr>
              <w:t>Total other non-current assets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74,027</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81,626</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00" w:right="60"/>
        <w:spacing w:after="0"/>
        <w:rPr>
          <w:sz w:val="20"/>
          <w:szCs w:val="20"/>
          <w:color w:val="auto"/>
        </w:rPr>
      </w:pPr>
      <w:r>
        <w:rPr>
          <w:rFonts w:ascii="Arial" w:cs="Arial" w:eastAsia="Arial" w:hAnsi="Arial"/>
          <w:sz w:val="19"/>
          <w:szCs w:val="19"/>
          <w:color w:val="auto"/>
        </w:rPr>
        <w:t>Nonrefundable deposits are primarily related to deposits for planned land purchases in Pennsylvania and Ireland. Upfront payments to customers consist of amounts the Company has paid in relation to two natural gas sales contracts with customers to construct fuel-delivery infrastructure that the customers will own.</w:t>
      </w:r>
    </w:p>
    <w:p>
      <w:pPr>
        <w:spacing w:after="0" w:line="182" w:lineRule="exact"/>
        <w:rPr>
          <w:sz w:val="20"/>
          <w:szCs w:val="20"/>
          <w:color w:val="auto"/>
        </w:rPr>
      </w:pPr>
    </w:p>
    <w:p>
      <w:pPr>
        <w:ind w:left="300"/>
        <w:spacing w:after="0" w:line="309" w:lineRule="auto"/>
        <w:rPr>
          <w:sz w:val="20"/>
          <w:szCs w:val="20"/>
          <w:color w:val="auto"/>
        </w:rPr>
      </w:pPr>
      <w:r>
        <w:rPr>
          <w:rFonts w:ascii="Arial" w:cs="Arial" w:eastAsia="Arial" w:hAnsi="Arial"/>
          <w:sz w:val="17"/>
          <w:szCs w:val="17"/>
          <w:color w:val="auto"/>
        </w:rPr>
        <w:t>As of January 1, 2020, port access rights related to the Company’s port lease in Baja California Sur, Mexico, and payments to incumbent tenants to secure the Company’s port lease in San Juan, Puerto Rico were reclassified as ROU assets in connection with the adoption of ASC 842.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Accrued liabilities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March 31, 2020 and December 31, 2019 accrued liabilities consisted of the following: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Accrued construction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25,037</w:t>
            </w:r>
          </w:p>
        </w:tc>
        <w:tc>
          <w:tcPr>
            <w:tcW w:w="1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13,828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Accrued bonuses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14,991</w:t>
            </w: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Other accrued expenses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14,915</w:t>
            </w:r>
          </w:p>
        </w:tc>
      </w:tr>
      <w:tr>
        <w:trPr>
          <w:trHeight w:val="226"/>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accrued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68,529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54,943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Debt</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March 31, 2020 and December 31, 2019, debt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Credit Agreement, due January 15, 2023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768,940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Term Loan Facility, due January 21, 2020</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495,000</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Bonds, due September 2034</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70,960</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Senior Secured Bonds, due December 2034</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62,966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10,823</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Senior Unsecured Bonds, due September 2036</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42,274</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945,209</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619,057</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vMerge w:val="restart"/>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 w:type="dxa"/>
            <w:vAlign w:val="bottom"/>
            <w:vMerge w:val="continue"/>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Current portion of debt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debt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945,209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619,057</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664"/>
              <w:spacing w:after="0"/>
              <w:rPr>
                <w:sz w:val="20"/>
                <w:szCs w:val="20"/>
                <w:color w:val="auto"/>
              </w:rPr>
            </w:pPr>
            <w:r>
              <w:rPr>
                <w:rFonts w:ascii="Arial" w:cs="Arial" w:eastAsia="Arial" w:hAnsi="Arial"/>
                <w:sz w:val="12"/>
                <w:szCs w:val="12"/>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22" w:name="page23"/>
    <w:bookmarkEnd w:id="2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The Credit Agreement</w:t>
      </w:r>
    </w:p>
    <w:p>
      <w:pPr>
        <w:spacing w:after="0" w:line="200" w:lineRule="exact"/>
        <w:rPr>
          <w:sz w:val="20"/>
          <w:szCs w:val="20"/>
          <w:color w:val="auto"/>
        </w:rPr>
      </w:pPr>
    </w:p>
    <w:p>
      <w:pPr>
        <w:jc w:val="both"/>
        <w:ind w:left="300"/>
        <w:spacing w:after="0" w:line="236" w:lineRule="auto"/>
        <w:rPr>
          <w:sz w:val="20"/>
          <w:szCs w:val="20"/>
          <w:color w:val="auto"/>
        </w:rPr>
      </w:pPr>
      <w:r>
        <w:rPr>
          <w:rFonts w:ascii="Arial" w:cs="Arial" w:eastAsia="Arial" w:hAnsi="Arial"/>
          <w:sz w:val="19"/>
          <w:szCs w:val="19"/>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 A portion of the proceeds received were utilized to extinguish the Term Loan Facility (defined below), including outstanding principal of $495,000.</w:t>
      </w:r>
    </w:p>
    <w:p>
      <w:pPr>
        <w:spacing w:after="0" w:line="182" w:lineRule="exact"/>
        <w:rPr>
          <w:sz w:val="20"/>
          <w:szCs w:val="20"/>
          <w:color w:val="auto"/>
        </w:rPr>
      </w:pPr>
    </w:p>
    <w:p>
      <w:pPr>
        <w:jc w:val="both"/>
        <w:ind w:left="300"/>
        <w:spacing w:after="0" w:line="237" w:lineRule="auto"/>
        <w:rPr>
          <w:sz w:val="20"/>
          <w:szCs w:val="20"/>
          <w:color w:val="auto"/>
        </w:rPr>
      </w:pPr>
      <w:r>
        <w:rPr>
          <w:rFonts w:ascii="Arial" w:cs="Arial" w:eastAsia="Arial" w:hAnsi="Arial"/>
          <w:sz w:val="19"/>
          <w:szCs w:val="19"/>
          <w:color w:val="auto"/>
        </w:rPr>
        <w:t>The Credit Agreement is secured by mortgages on certain properties owned by the Company’s subsidiaries, in addition to other collateral. The Company is required to comply with certain financial covenants and other restricted covenants customary for credit agreement of this type, including restrictions on indebtedness, liens, acquisitions and investments, restricted payments, and dispositions. The Credit Agreement also provides for customary events of default, prepayment and cure provisions.</w:t>
      </w:r>
    </w:p>
    <w:p>
      <w:pPr>
        <w:spacing w:after="0" w:line="184" w:lineRule="exact"/>
        <w:rPr>
          <w:sz w:val="20"/>
          <w:szCs w:val="20"/>
          <w:color w:val="auto"/>
        </w:rPr>
      </w:pPr>
    </w:p>
    <w:p>
      <w:pPr>
        <w:jc w:val="both"/>
        <w:ind w:left="300"/>
        <w:spacing w:after="0" w:line="260" w:lineRule="auto"/>
        <w:rPr>
          <w:sz w:val="20"/>
          <w:szCs w:val="20"/>
          <w:color w:val="auto"/>
        </w:rPr>
      </w:pPr>
      <w:r>
        <w:rPr>
          <w:rFonts w:ascii="Arial" w:cs="Arial" w:eastAsia="Arial" w:hAnsi="Arial"/>
          <w:sz w:val="18"/>
          <w:szCs w:val="18"/>
          <w:color w:val="auto"/>
        </w:rPr>
        <w:t>In connection with obtaining the Credit Agreement and the extinguishment of the Term Loan Facility, the Company incurred $35,614 in origination, structuring, and other fees which were recognized as a reduction of the principal balance of the Credit Agreement on the condensed consolidated balance sheets. As of March 31, 2020, the remaining unamortized deferred financing costs were $31,060.</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Term Loan Facility</w:t>
      </w:r>
    </w:p>
    <w:p>
      <w:pPr>
        <w:spacing w:after="0" w:line="200" w:lineRule="exact"/>
        <w:rPr>
          <w:sz w:val="20"/>
          <w:szCs w:val="20"/>
          <w:color w:val="auto"/>
        </w:rPr>
      </w:pPr>
    </w:p>
    <w:p>
      <w:pPr>
        <w:ind w:left="300" w:right="140"/>
        <w:spacing w:after="0" w:line="290" w:lineRule="auto"/>
        <w:rPr>
          <w:sz w:val="20"/>
          <w:szCs w:val="20"/>
          <w:color w:val="auto"/>
        </w:rPr>
      </w:pPr>
      <w:r>
        <w:rPr>
          <w:rFonts w:ascii="Arial" w:cs="Arial" w:eastAsia="Arial" w:hAnsi="Arial"/>
          <w:sz w:val="16"/>
          <w:szCs w:val="16"/>
          <w:color w:val="auto"/>
        </w:rPr>
        <w:t>On August 16, 2018, the Company entered into a credit agreement with a syndicate of two lenders to borrow up to an aggregate principal amount of $240,000,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145" w:lineRule="exact"/>
        <w:rPr>
          <w:sz w:val="20"/>
          <w:szCs w:val="20"/>
          <w:color w:val="auto"/>
        </w:rPr>
      </w:pPr>
    </w:p>
    <w:p>
      <w:pPr>
        <w:ind w:left="300" w:right="260"/>
        <w:spacing w:after="0" w:line="237" w:lineRule="auto"/>
        <w:rPr>
          <w:sz w:val="20"/>
          <w:szCs w:val="20"/>
          <w:color w:val="auto"/>
        </w:rPr>
      </w:pPr>
      <w:r>
        <w:rPr>
          <w:rFonts w:ascii="Arial" w:cs="Arial" w:eastAsia="Arial" w:hAnsi="Arial"/>
          <w:sz w:val="19"/>
          <w:szCs w:val="19"/>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84" w:lineRule="exact"/>
        <w:rPr>
          <w:sz w:val="20"/>
          <w:szCs w:val="20"/>
          <w:color w:val="auto"/>
        </w:rPr>
      </w:pPr>
    </w:p>
    <w:p>
      <w:pPr>
        <w:jc w:val="both"/>
        <w:ind w:left="300" w:right="100"/>
        <w:spacing w:after="0"/>
        <w:rPr>
          <w:sz w:val="20"/>
          <w:szCs w:val="20"/>
          <w:color w:val="auto"/>
        </w:rPr>
      </w:pPr>
      <w:r>
        <w:rPr>
          <w:rFonts w:ascii="Arial" w:cs="Arial" w:eastAsia="Arial" w:hAnsi="Arial"/>
          <w:sz w:val="19"/>
          <w:szCs w:val="19"/>
          <w:color w:val="auto"/>
        </w:rPr>
        <w:t>The Term Loan Facility was secured by mortgages on certain properties owned by the Company’s subsidiaries, in addition to other collateral. The Term Loan Facility was amended in the third quarter of 2019 to allow certain properties of a consolidated subsidiary to secure the Senior Secured Bonds (defined below).</w:t>
      </w:r>
    </w:p>
    <w:p>
      <w:pPr>
        <w:spacing w:after="0" w:line="182" w:lineRule="exact"/>
        <w:rPr>
          <w:sz w:val="20"/>
          <w:szCs w:val="20"/>
          <w:color w:val="auto"/>
        </w:rPr>
      </w:pPr>
    </w:p>
    <w:p>
      <w:pPr>
        <w:ind w:left="300"/>
        <w:spacing w:after="0" w:line="274" w:lineRule="auto"/>
        <w:rPr>
          <w:sz w:val="20"/>
          <w:szCs w:val="20"/>
          <w:color w:val="auto"/>
        </w:rPr>
      </w:pPr>
      <w:r>
        <w:rPr>
          <w:rFonts w:ascii="Arial" w:cs="Arial" w:eastAsia="Arial" w:hAnsi="Arial"/>
          <w:sz w:val="17"/>
          <w:szCs w:val="17"/>
          <w:color w:val="auto"/>
        </w:rPr>
        <w:t>The Company incurred costs in connection with obtaining the Term Loan Facility, the extinguishment of the Company’s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54" w:lineRule="exact"/>
        <w:rPr>
          <w:sz w:val="20"/>
          <w:szCs w:val="20"/>
          <w:color w:val="auto"/>
        </w:rPr>
      </w:pPr>
    </w:p>
    <w:p>
      <w:pPr>
        <w:ind w:left="300" w:right="100"/>
        <w:spacing w:after="0" w:line="265" w:lineRule="auto"/>
        <w:rPr>
          <w:sz w:val="20"/>
          <w:szCs w:val="20"/>
          <w:color w:val="auto"/>
        </w:rPr>
      </w:pPr>
      <w:r>
        <w:rPr>
          <w:rFonts w:ascii="Arial" w:cs="Arial" w:eastAsia="Arial" w:hAnsi="Arial"/>
          <w:sz w:val="17"/>
          <w:szCs w:val="17"/>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On January 15, 2020, the Company repaid the full amount outstanding including fees due to the lenders using proceeds from the Credit Agreement to extinguish the Term Loan Facility. In conjunction with the extinguishment of the Term Loan Facility, the Company recognized a Loss on extinguishment of debt of $9,557 in the condensed consolidated statements of operations and comprehensive loss.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South Power Bonds</w:t>
      </w:r>
    </w:p>
    <w:p>
      <w:pPr>
        <w:spacing w:after="0" w:line="200" w:lineRule="exact"/>
        <w:rPr>
          <w:sz w:val="20"/>
          <w:szCs w:val="20"/>
          <w:color w:val="auto"/>
        </w:rPr>
      </w:pPr>
    </w:p>
    <w:p>
      <w:pPr>
        <w:ind w:left="300" w:right="20"/>
        <w:spacing w:after="0" w:line="248" w:lineRule="auto"/>
        <w:rPr>
          <w:sz w:val="20"/>
          <w:szCs w:val="20"/>
          <w:color w:val="auto"/>
        </w:rPr>
      </w:pPr>
      <w:r>
        <w:rPr>
          <w:rFonts w:ascii="Arial" w:cs="Arial" w:eastAsia="Arial" w:hAnsi="Arial"/>
          <w:sz w:val="18"/>
          <w:szCs w:val="18"/>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dual-fired combined heat and power facility in Clarendon, Jamaica (the “CHP Plant”) and related receivables and assets, and the proceeds were used to fund the completion of the CHP Plant and to reimburse shareholder advances. Upon completion of construction of the CHP Plant in the fourth quarter of 2019, South Power issued an additional $63,000 in Senior Secured Bonds. The Company received $10,856 of the proceeds in 2019 and received the remaining proceeds of $52,144 in January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3" w:name="page24"/>
    <w:bookmarkEnd w:id="2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right="300"/>
        <w:spacing w:after="0" w:line="237" w:lineRule="auto"/>
        <w:rPr>
          <w:sz w:val="20"/>
          <w:szCs w:val="20"/>
          <w:color w:val="auto"/>
        </w:rPr>
      </w:pPr>
      <w:r>
        <w:rPr>
          <w:rFonts w:ascii="Arial" w:cs="Arial" w:eastAsia="Arial" w:hAnsi="Arial"/>
          <w:sz w:val="19"/>
          <w:szCs w:val="19"/>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84" w:lineRule="exact"/>
        <w:rPr>
          <w:sz w:val="20"/>
          <w:szCs w:val="20"/>
          <w:color w:val="auto"/>
        </w:rPr>
      </w:pPr>
    </w:p>
    <w:p>
      <w:pPr>
        <w:ind w:left="300" w:right="220"/>
        <w:spacing w:after="0"/>
        <w:rPr>
          <w:sz w:val="20"/>
          <w:szCs w:val="20"/>
          <w:color w:val="auto"/>
        </w:rPr>
      </w:pPr>
      <w:r>
        <w:rPr>
          <w:rFonts w:ascii="Arial" w:cs="Arial" w:eastAsia="Arial" w:hAnsi="Arial"/>
          <w:sz w:val="19"/>
          <w:szCs w:val="19"/>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will be due quarterly.</w:t>
      </w:r>
    </w:p>
    <w:p>
      <w:pPr>
        <w:spacing w:after="0" w:line="182" w:lineRule="exact"/>
        <w:rPr>
          <w:sz w:val="20"/>
          <w:szCs w:val="20"/>
          <w:color w:val="auto"/>
        </w:rPr>
      </w:pPr>
    </w:p>
    <w:p>
      <w:pPr>
        <w:jc w:val="both"/>
        <w:ind w:left="300" w:right="460"/>
        <w:spacing w:after="0" w:line="309"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25" w:lineRule="exact"/>
        <w:rPr>
          <w:sz w:val="20"/>
          <w:szCs w:val="20"/>
          <w:color w:val="auto"/>
        </w:rPr>
      </w:pPr>
    </w:p>
    <w:p>
      <w:pPr>
        <w:ind w:left="300"/>
        <w:spacing w:after="0" w:line="308" w:lineRule="auto"/>
        <w:rPr>
          <w:sz w:val="20"/>
          <w:szCs w:val="20"/>
          <w:color w:val="auto"/>
        </w:rPr>
      </w:pPr>
      <w:r>
        <w:rPr>
          <w:rFonts w:ascii="Arial" w:cs="Arial" w:eastAsia="Arial" w:hAnsi="Arial"/>
          <w:sz w:val="16"/>
          <w:szCs w:val="16"/>
          <w:color w:val="auto"/>
        </w:rPr>
        <w:t>The Company paid approximately $3,892 of fees in connection with the issuance of Senior Secured Bonds and Senior Unsecured Bonds. These fees were capitalized on a pro-rata basis as a reduction of the Senior Secured Bonds and Senior Unsecured Bonds on the condensed consolidated balance sheets. The total unamortized deferred financing costs as of March 31, 2020 and December 31, 2019 was $3,731 and $3,799, respectively.</w:t>
      </w:r>
    </w:p>
    <w:p>
      <w:pPr>
        <w:spacing w:after="0" w:line="129" w:lineRule="exact"/>
        <w:rPr>
          <w:sz w:val="20"/>
          <w:szCs w:val="20"/>
          <w:color w:val="auto"/>
        </w:rPr>
      </w:pPr>
    </w:p>
    <w:p>
      <w:pPr>
        <w:ind w:left="300" w:right="180"/>
        <w:spacing w:after="0" w:line="309" w:lineRule="auto"/>
        <w:rPr>
          <w:sz w:val="20"/>
          <w:szCs w:val="20"/>
          <w:color w:val="auto"/>
        </w:rPr>
      </w:pPr>
      <w:r>
        <w:rPr>
          <w:rFonts w:ascii="Arial" w:cs="Arial" w:eastAsia="Arial" w:hAnsi="Arial"/>
          <w:sz w:val="17"/>
          <w:szCs w:val="17"/>
          <w:color w:val="auto"/>
        </w:rPr>
        <w:t>Under the terms of the facility, South Power is required to maintain a Debt Service Reserve Account (as defined in the facility) in the amount of $8,131. Such amount is included as a component of Restricted cash on the Company’s condensed consolidated balance sheets (see Note 7).</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Interest Expense</w:t>
      </w:r>
    </w:p>
    <w:p>
      <w:pPr>
        <w:spacing w:after="0" w:line="200" w:lineRule="exact"/>
        <w:rPr>
          <w:sz w:val="20"/>
          <w:szCs w:val="20"/>
          <w:color w:val="auto"/>
        </w:rPr>
      </w:pPr>
    </w:p>
    <w:p>
      <w:pPr>
        <w:ind w:left="300" w:right="140"/>
        <w:spacing w:after="0"/>
        <w:rPr>
          <w:sz w:val="20"/>
          <w:szCs w:val="20"/>
          <w:color w:val="auto"/>
        </w:rPr>
      </w:pPr>
      <w:r>
        <w:rPr>
          <w:rFonts w:ascii="Arial" w:cs="Arial" w:eastAsia="Arial" w:hAnsi="Arial"/>
          <w:sz w:val="19"/>
          <w:szCs w:val="19"/>
          <w:color w:val="auto"/>
        </w:rPr>
        <w:t>Interest and related amortization of debt issuance costs recognized during major development and construction projects are capitalized and included in the cost of the project. Interest expense, net of amounts capitalized, recognized for the three months ended March 31, 2020 and 2019 consisted of the following:</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89"/>
              </w:rPr>
              <w:t>March 31, 2020</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1"/>
              </w:rPr>
              <w:t>March 31, 2019</w:t>
            </w:r>
          </w:p>
        </w:tc>
        <w:tc>
          <w:tcPr>
            <w:tcW w:w="120" w:type="dxa"/>
            <w:vAlign w:val="bottom"/>
          </w:tcPr>
          <w:p>
            <w:pPr>
              <w:spacing w:after="0"/>
              <w:rPr>
                <w:sz w:val="16"/>
                <w:szCs w:val="16"/>
                <w:color w:val="auto"/>
              </w:rPr>
            </w:pPr>
          </w:p>
        </w:tc>
      </w:tr>
      <w:tr>
        <w:trPr>
          <w:trHeight w:val="186"/>
        </w:trPr>
        <w:tc>
          <w:tcPr>
            <w:tcW w:w="3500" w:type="dxa"/>
            <w:vAlign w:val="bottom"/>
            <w:gridSpan w:val="2"/>
          </w:tcPr>
          <w:p>
            <w:pPr>
              <w:spacing w:after="0"/>
              <w:rPr>
                <w:sz w:val="20"/>
                <w:szCs w:val="20"/>
                <w:color w:val="auto"/>
              </w:rPr>
            </w:pPr>
            <w:r>
              <w:rPr>
                <w:rFonts w:ascii="Arial" w:cs="Arial" w:eastAsia="Arial" w:hAnsi="Arial"/>
                <w:sz w:val="16"/>
                <w:szCs w:val="16"/>
                <w:color w:val="auto"/>
              </w:rPr>
              <w:t>Interest costs:</w:t>
            </w:r>
          </w:p>
        </w:tc>
        <w:tc>
          <w:tcPr>
            <w:tcW w:w="1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Interest per contractual rates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18,874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4,889</w:t>
            </w: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2,064</w:t>
            </w:r>
          </w:p>
        </w:tc>
      </w:tr>
      <w:tr>
        <w:trPr>
          <w:trHeight w:val="186"/>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Total interest costs</w:t>
            </w:r>
          </w:p>
        </w:tc>
        <w:tc>
          <w:tcPr>
            <w:tcW w:w="1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23,496</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Capitalized interest</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9,606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3,669</w:t>
            </w:r>
          </w:p>
        </w:tc>
      </w:tr>
      <w:tr>
        <w:trPr>
          <w:trHeight w:val="226"/>
        </w:trPr>
        <w:tc>
          <w:tcPr>
            <w:tcW w:w="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interest expense</w:t>
            </w: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Income taxes</w:t>
      </w:r>
    </w:p>
    <w:p>
      <w:pPr>
        <w:spacing w:after="0" w:line="209" w:lineRule="exact"/>
        <w:rPr>
          <w:sz w:val="20"/>
          <w:szCs w:val="20"/>
          <w:color w:val="auto"/>
        </w:rPr>
      </w:pPr>
    </w:p>
    <w:p>
      <w:pPr>
        <w:ind w:left="300" w:right="20"/>
        <w:spacing w:after="0" w:line="248" w:lineRule="auto"/>
        <w:rPr>
          <w:sz w:val="20"/>
          <w:szCs w:val="20"/>
          <w:color w:val="auto"/>
        </w:rPr>
      </w:pPr>
      <w:r>
        <w:rPr>
          <w:rFonts w:ascii="Arial" w:cs="Arial" w:eastAsia="Arial" w:hAnsi="Arial"/>
          <w:sz w:val="18"/>
          <w:szCs w:val="18"/>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non-U.S. jurisdictions in which they operate.</w:t>
      </w:r>
    </w:p>
    <w:p>
      <w:pPr>
        <w:spacing w:after="0" w:line="178" w:lineRule="exact"/>
        <w:rPr>
          <w:sz w:val="20"/>
          <w:szCs w:val="20"/>
          <w:color w:val="auto"/>
        </w:rPr>
      </w:pPr>
    </w:p>
    <w:p>
      <w:pPr>
        <w:ind w:left="300" w:right="200"/>
        <w:spacing w:after="0" w:line="251" w:lineRule="auto"/>
        <w:rPr>
          <w:sz w:val="20"/>
          <w:szCs w:val="20"/>
          <w:color w:val="auto"/>
        </w:rPr>
      </w:pPr>
      <w:r>
        <w:rPr>
          <w:rFonts w:ascii="Arial" w:cs="Arial" w:eastAsia="Arial" w:hAnsi="Arial"/>
          <w:sz w:val="18"/>
          <w:szCs w:val="18"/>
          <w:color w:val="auto"/>
        </w:rPr>
        <w:t>In connection with the IPO, NFE recorded a deferred tax asset of $42,783 related to the difference between its tax basis in its investment in NFI and NFE’s share of the financial statement carrying amount of the net assets of NFI. The deferred tax asset was recorded to equity and is fully offset by a valuation allowance also recorded to equity. The effective tax rate for the three months ended March 31, 2020 was 0.01%, compared to (0.41)% for the three months ended March 31, 2019. The total tax expense / (benefit) for the three months ended March 31, 2020 was $(4), compared to $246 for the three months ended March 31, 2019.</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4" w:name="page25"/>
    <w:bookmarkEnd w:id="2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primary items which decreased the Company’s effective tax rate for the quarter ended March 31, 2020 and March 31, 2019 from the U.S.</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federal statutory rate of 21% were valuation allowances recorded against the Company’s current period losses and earnings generated in non-U.S.</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tax jurisdictions with preferential tax rates.</w:t>
      </w:r>
    </w:p>
    <w:p>
      <w:pPr>
        <w:spacing w:after="0" w:line="184" w:lineRule="exact"/>
        <w:rPr>
          <w:sz w:val="20"/>
          <w:szCs w:val="20"/>
          <w:color w:val="auto"/>
        </w:rPr>
      </w:pPr>
    </w:p>
    <w:p>
      <w:pPr>
        <w:ind w:left="300" w:right="160"/>
        <w:spacing w:after="0" w:line="251" w:lineRule="auto"/>
        <w:rPr>
          <w:sz w:val="20"/>
          <w:szCs w:val="20"/>
          <w:color w:val="auto"/>
        </w:rPr>
      </w:pPr>
      <w:r>
        <w:rPr>
          <w:rFonts w:ascii="Arial" w:cs="Arial" w:eastAsia="Arial" w:hAnsi="Arial"/>
          <w:sz w:val="19"/>
          <w:szCs w:val="19"/>
          <w:color w:val="auto"/>
        </w:rPr>
        <w:t>The Company has not recorded a liability for uncertain tax positions as of March 31, 2020. The Company remains subject to periodic audits and reviews by the taxing authorities, and NFE’s tax returns since its formation remain open for examination.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and contingencies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Contingencies</w:t>
      </w:r>
    </w:p>
    <w:p>
      <w:pPr>
        <w:spacing w:after="0" w:line="200" w:lineRule="exact"/>
        <w:rPr>
          <w:sz w:val="20"/>
          <w:szCs w:val="20"/>
          <w:color w:val="auto"/>
        </w:rPr>
      </w:pPr>
    </w:p>
    <w:p>
      <w:pPr>
        <w:ind w:left="300" w:right="20"/>
        <w:spacing w:after="0" w:line="265" w:lineRule="auto"/>
        <w:rPr>
          <w:sz w:val="20"/>
          <w:szCs w:val="20"/>
          <w:color w:val="auto"/>
        </w:rPr>
      </w:pPr>
      <w:r>
        <w:rPr>
          <w:rFonts w:ascii="Arial" w:cs="Arial" w:eastAsia="Arial" w:hAnsi="Arial"/>
          <w:sz w:val="17"/>
          <w:szCs w:val="17"/>
          <w:color w:val="auto"/>
        </w:rPr>
        <w:t>During 2017, the Company paid $1,204 of tangible personal property tax levied in the State of Florida with respect to the Company’s LNG Plant in Hialeah, Florida and subsequently initiated legal proceedings to challenge the tax amount for a full or partial rebate. The Company successfully challenged the tax amount and received a full rebate. The State of Florida appealed the determination, and the Company repaid the rebate amount to avoid penalties and charges while the appeal was under consideration. Additionally, in 2018, the Company paid $1,033 of tangible personal property taxes to the State of Florida with respect to the same LNG plant. The Company initiated legal proceedings to challenge the tax amount for a partial rebate and received a rebate of approximately $140. The State of Florida appealed the determination, and the Company repaid the rebate amount to avoid penalties and charges while the appeal is under consideration.</w:t>
      </w:r>
    </w:p>
    <w:p>
      <w:pPr>
        <w:spacing w:after="0" w:line="164" w:lineRule="exact"/>
        <w:rPr>
          <w:sz w:val="20"/>
          <w:szCs w:val="20"/>
          <w:color w:val="auto"/>
        </w:rPr>
      </w:pPr>
    </w:p>
    <w:p>
      <w:pPr>
        <w:jc w:val="both"/>
        <w:ind w:left="300" w:right="80"/>
        <w:spacing w:after="0"/>
        <w:rPr>
          <w:sz w:val="20"/>
          <w:szCs w:val="20"/>
          <w:color w:val="auto"/>
        </w:rPr>
      </w:pPr>
      <w:r>
        <w:rPr>
          <w:rFonts w:ascii="Arial" w:cs="Arial" w:eastAsia="Arial" w:hAnsi="Arial"/>
          <w:sz w:val="19"/>
          <w:szCs w:val="19"/>
          <w:color w:val="auto"/>
        </w:rPr>
        <w:t>The Company settled both cases with the State of Florida during 2019 and received a total refund of $651 in March 2020. The cash received, net of legal fees, was recognized within Operations and maintenance in the condensed consolidated statements of operations and comprehensive loss during the three months ended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19. Earnings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Three Months</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Three Months</w:t>
            </w:r>
          </w:p>
        </w:tc>
      </w:tr>
      <w:tr>
        <w:trPr>
          <w:trHeight w:val="186"/>
        </w:trPr>
        <w:tc>
          <w:tcPr>
            <w:tcW w:w="2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Ended</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r>
      <w:tr>
        <w:trPr>
          <w:trHeight w:val="206"/>
        </w:trPr>
        <w:tc>
          <w:tcPr>
            <w:tcW w:w="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March 31, 2020</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March 31, 2019</w:t>
            </w:r>
          </w:p>
        </w:tc>
      </w:tr>
      <w:tr>
        <w:trPr>
          <w:trHeight w:val="186"/>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Numerator:</w:t>
            </w:r>
          </w:p>
        </w:tc>
        <w:tc>
          <w:tcPr>
            <w:tcW w:w="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(60,292)</w:t>
            </w:r>
          </w:p>
        </w:tc>
      </w:tr>
      <w:tr>
        <w:trPr>
          <w:trHeight w:val="189"/>
        </w:trPr>
        <w:tc>
          <w:tcPr>
            <w:tcW w:w="280" w:type="dxa"/>
            <w:vAlign w:val="bottom"/>
          </w:tcPr>
          <w:p>
            <w:pPr>
              <w:spacing w:after="0"/>
              <w:rPr>
                <w:sz w:val="16"/>
                <w:szCs w:val="16"/>
                <w:color w:val="auto"/>
              </w:rPr>
            </w:pPr>
          </w:p>
        </w:tc>
        <w:tc>
          <w:tcPr>
            <w:tcW w:w="4120" w:type="dxa"/>
            <w:vAlign w:val="bottom"/>
          </w:tcPr>
          <w:p>
            <w:pPr>
              <w:ind w:left="140"/>
              <w:spacing w:after="0"/>
              <w:rPr>
                <w:sz w:val="20"/>
                <w:szCs w:val="20"/>
                <w:color w:val="auto"/>
              </w:rPr>
            </w:pPr>
            <w:r>
              <w:rPr>
                <w:rFonts w:ascii="Arial" w:cs="Arial" w:eastAsia="Arial" w:hAnsi="Arial"/>
                <w:sz w:val="16"/>
                <w:szCs w:val="16"/>
                <w:color w:val="auto"/>
              </w:rPr>
              <w:t>Less: net loss attributable to non-controlling interests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51,757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46,735</w:t>
            </w:r>
          </w:p>
        </w:tc>
      </w:tr>
      <w:tr>
        <w:trPr>
          <w:trHeight w:val="226"/>
        </w:trPr>
        <w:tc>
          <w:tcPr>
            <w:tcW w:w="28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Class A shares</w:t>
            </w:r>
          </w:p>
        </w:tc>
        <w:tc>
          <w:tcPr>
            <w:tcW w:w="6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shd w:val="clear" w:color="auto" w:fill="CCEEFF"/>
          </w:tcPr>
          <w:p>
            <w:pPr>
              <w:spacing w:after="0"/>
              <w:rPr>
                <w:sz w:val="19"/>
                <w:szCs w:val="19"/>
                <w:color w:val="auto"/>
              </w:rPr>
            </w:pPr>
          </w:p>
        </w:tc>
      </w:tr>
      <w:tr>
        <w:trPr>
          <w:trHeight w:val="173"/>
        </w:trPr>
        <w:tc>
          <w:tcPr>
            <w:tcW w:w="280" w:type="dxa"/>
            <w:vAlign w:val="bottom"/>
          </w:tcPr>
          <w:p>
            <w:pPr>
              <w:spacing w:after="0"/>
              <w:rPr>
                <w:sz w:val="15"/>
                <w:szCs w:val="15"/>
                <w:color w:val="auto"/>
              </w:rPr>
            </w:pPr>
          </w:p>
        </w:tc>
        <w:tc>
          <w:tcPr>
            <w:tcW w:w="4120" w:type="dxa"/>
            <w:vAlign w:val="bottom"/>
            <w:tcBorders>
              <w:top w:val="single" w:sz="8" w:color="CCEEFF"/>
            </w:tcBorders>
          </w:tcPr>
          <w:p>
            <w:pPr>
              <w:spacing w:after="0" w:line="173" w:lineRule="exact"/>
              <w:rPr>
                <w:sz w:val="20"/>
                <w:szCs w:val="20"/>
                <w:color w:val="auto"/>
              </w:rPr>
            </w:pPr>
            <w:r>
              <w:rPr>
                <w:rFonts w:ascii="Arial" w:cs="Arial" w:eastAsia="Arial" w:hAnsi="Arial"/>
                <w:sz w:val="16"/>
                <w:szCs w:val="16"/>
                <w:color w:val="auto"/>
              </w:rPr>
              <w:t>Denominator:</w:t>
            </w:r>
          </w:p>
        </w:tc>
        <w:tc>
          <w:tcPr>
            <w:tcW w:w="6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280" w:type="dxa"/>
            <w:vAlign w:val="bottom"/>
          </w:tcPr>
          <w:p>
            <w:pPr>
              <w:spacing w:after="0"/>
              <w:rPr>
                <w:sz w:val="16"/>
                <w:szCs w:val="16"/>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shares-basic and diluted</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26,029,492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14,094,534</w:t>
            </w:r>
          </w:p>
        </w:tc>
      </w:tr>
      <w:tr>
        <w:trPr>
          <w:trHeight w:val="189"/>
        </w:trPr>
        <w:tc>
          <w:tcPr>
            <w:tcW w:w="440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 basic and diluted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(0.96)</w:t>
            </w:r>
          </w:p>
        </w:tc>
      </w:tr>
      <w:tr>
        <w:trPr>
          <w:trHeight w:val="20"/>
        </w:trPr>
        <w:tc>
          <w:tcPr>
            <w:tcW w:w="28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300"/>
        <w:spacing w:after="0" w:line="251" w:lineRule="auto"/>
        <w:rPr>
          <w:sz w:val="20"/>
          <w:szCs w:val="20"/>
          <w:color w:val="auto"/>
        </w:rPr>
      </w:pPr>
      <w:r>
        <w:rPr>
          <w:rFonts w:ascii="Arial" w:cs="Arial" w:eastAsia="Arial" w:hAnsi="Arial"/>
          <w:sz w:val="18"/>
          <w:szCs w:val="18"/>
          <w:color w:val="auto"/>
        </w:rPr>
        <w:t>In connection with the IPO, New Fortress Energy Holdings, the Company’s predecessor, effected a one-for-2.16 stock split of its issued and outstanding common shares, resulting in 147,058,824 common shares. Upon the reorganization, New Fortress Energy Holdings obtained the same number of Class B shares in NFE. As of March 31, 2020, there were 144,342,572 Class B shares outstanding. Class B shares do not share in the earnings or losses of the Company and are therefore not participating securities. As such, separate presentation of basic and diluted net loss per share for Class B shares under the two-class method has not been presented.</w:t>
      </w:r>
    </w:p>
    <w:p>
      <w:pPr>
        <w:spacing w:after="0" w:line="174" w:lineRule="exact"/>
        <w:rPr>
          <w:sz w:val="20"/>
          <w:szCs w:val="20"/>
          <w:color w:val="auto"/>
        </w:rPr>
      </w:pPr>
    </w:p>
    <w:p>
      <w:pPr>
        <w:jc w:val="both"/>
        <w:ind w:left="300" w:right="60"/>
        <w:spacing w:after="0"/>
        <w:rPr>
          <w:sz w:val="20"/>
          <w:szCs w:val="20"/>
          <w:color w:val="auto"/>
        </w:rPr>
      </w:pPr>
      <w:r>
        <w:rPr>
          <w:rFonts w:ascii="Arial" w:cs="Arial" w:eastAsia="Arial" w:hAnsi="Arial"/>
          <w:sz w:val="19"/>
          <w:szCs w:val="19"/>
          <w:color w:val="auto"/>
        </w:rPr>
        <w:t>The weighted-average Class A shares for the three months ended March 31, 2019 was 14,094,534, which was lower than the outstanding Class A shares at March 31, 2019. This was primarily due to the timing of the issuance of the 20,000,000 Class A shares in connection with the IPO and a series of other transactions on February 4, 2019.</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5" w:name="page26"/>
    <w:bookmarkEnd w:id="2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280" w:right="260"/>
        <w:spacing w:after="0" w:line="251" w:lineRule="auto"/>
        <w:rPr>
          <w:sz w:val="20"/>
          <w:szCs w:val="20"/>
          <w:color w:val="auto"/>
        </w:rPr>
      </w:pPr>
      <w:r>
        <w:rPr>
          <w:rFonts w:ascii="Arial" w:cs="Arial" w:eastAsia="Arial" w:hAnsi="Arial"/>
          <w:sz w:val="19"/>
          <w:szCs w:val="19"/>
          <w:color w:val="auto"/>
        </w:rPr>
        <w:t>The following table presents potentially dilutive securities excluded from the computation of diluted net loss per share for the periods presented because its effects would have been anti-dilutive.</w:t>
      </w:r>
    </w:p>
    <w:p>
      <w:pPr>
        <w:sectPr>
          <w:pgSz w:w="11900" w:h="16838" w:orient="portrait"/>
          <w:cols w:equalWidth="0" w:num="1">
            <w:col w:w="11240"/>
          </w:cols>
          <w:pgMar w:left="320" w:top="124" w:right="339" w:bottom="1440" w:gutter="0" w:footer="0" w:header="0"/>
        </w:sectPr>
      </w:pP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March 31, 2020</w:t>
            </w: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6"/>
                <w:szCs w:val="16"/>
                <w:color w:val="auto"/>
              </w:rPr>
              <w:t>Unvested RSUs¹</w:t>
            </w:r>
          </w:p>
        </w:tc>
        <w:tc>
          <w:tcPr>
            <w:tcW w:w="12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1,890,125</w:t>
            </w:r>
          </w:p>
        </w:tc>
        <w:tc>
          <w:tcPr>
            <w:tcW w:w="20" w:type="dxa"/>
            <w:vAlign w:val="bottom"/>
          </w:tcPr>
          <w:p>
            <w:pPr>
              <w:spacing w:after="0"/>
              <w:rPr>
                <w:sz w:val="15"/>
                <w:szCs w:val="15"/>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6"/>
                <w:szCs w:val="16"/>
                <w:color w:val="auto"/>
              </w:rPr>
              <w:t>Class B shares²</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144,342,572</w:t>
            </w:r>
          </w:p>
        </w:tc>
      </w:tr>
      <w:tr>
        <w:trPr>
          <w:trHeight w:val="210"/>
        </w:trPr>
        <w:tc>
          <w:tcPr>
            <w:tcW w:w="4800" w:type="dxa"/>
            <w:vAlign w:val="bottom"/>
          </w:tcPr>
          <w:p>
            <w:pPr>
              <w:spacing w:after="0" w:line="207" w:lineRule="exact"/>
              <w:rPr>
                <w:sz w:val="20"/>
                <w:szCs w:val="20"/>
                <w:color w:val="auto"/>
              </w:rPr>
            </w:pPr>
            <w:r>
              <w:rPr>
                <w:rFonts w:ascii="Arial" w:cs="Arial" w:eastAsia="Arial" w:hAnsi="Arial"/>
                <w:sz w:val="15"/>
                <w:szCs w:val="15"/>
                <w:color w:val="auto"/>
              </w:rPr>
              <w:t>Shannon Equity Agreement shares</w:t>
            </w:r>
            <w:r>
              <w:rPr>
                <w:rFonts w:ascii="Arial" w:cs="Arial" w:eastAsia="Arial" w:hAnsi="Arial"/>
                <w:sz w:val="23"/>
                <w:szCs w:val="23"/>
                <w:color w:val="auto"/>
                <w:vertAlign w:val="superscript"/>
              </w:rPr>
              <w:t>3</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1,635,462</w:t>
            </w:r>
          </w:p>
        </w:tc>
      </w:tr>
      <w:tr>
        <w:trPr>
          <w:trHeight w:val="186"/>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147,868,159</w:t>
            </w:r>
          </w:p>
        </w:tc>
      </w:tr>
      <w:tr>
        <w:trPr>
          <w:trHeight w:val="20"/>
        </w:trPr>
        <w:tc>
          <w:tcPr>
            <w:tcW w:w="4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-516255</wp:posOffset>
            </wp:positionV>
            <wp:extent cx="4876165" cy="118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76165" cy="118110"/>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-280035</wp:posOffset>
            </wp:positionV>
            <wp:extent cx="4876165" cy="132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76165" cy="132715"/>
                    </a:xfrm>
                    <a:prstGeom prst="rect">
                      <a:avLst/>
                    </a:prstGeom>
                    <a:noFill/>
                  </pic:spPr>
                </pic:pic>
              </a:graphicData>
            </a:graphic>
          </wp:anchor>
        </w:drawing>
      </w:r>
    </w:p>
    <w:p>
      <w:pPr>
        <w:spacing w:after="0" w:line="66" w:lineRule="exact"/>
        <w:rPr>
          <w:sz w:val="20"/>
          <w:szCs w:val="20"/>
          <w:color w:val="auto"/>
        </w:rPr>
      </w:pPr>
    </w:p>
    <w:p>
      <w:pPr>
        <w:ind w:left="560" w:hanging="288"/>
        <w:spacing w:after="0"/>
        <w:tabs>
          <w:tab w:leader="none" w:pos="56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Represents the number of instruments outstanding at the end of the period.</w:t>
      </w:r>
    </w:p>
    <w:p>
      <w:pPr>
        <w:ind w:left="560" w:hanging="288"/>
        <w:spacing w:after="0" w:line="185" w:lineRule="auto"/>
        <w:tabs>
          <w:tab w:leader="none" w:pos="56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Class B shares at the end of the period are considered potentially dilutive Class A shares.</w:t>
      </w:r>
    </w:p>
    <w:p>
      <w:pPr>
        <w:ind w:left="560" w:hanging="288"/>
        <w:spacing w:after="0" w:line="194" w:lineRule="auto"/>
        <w:tabs>
          <w:tab w:leader="none" w:pos="56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Class A shares that would be issued in relation to the Shannon LNG Equity Agreement.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12065</wp:posOffset>
            </wp:positionV>
            <wp:extent cx="81978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9785" cy="14605"/>
                    </a:xfrm>
                    <a:prstGeom prst="rect">
                      <a:avLst/>
                    </a:prstGeom>
                    <a:noFill/>
                  </pic:spPr>
                </pic:pic>
              </a:graphicData>
            </a:graphic>
          </wp:anchor>
        </w:drawing>
      </w:r>
    </w:p>
    <w:p>
      <w:pPr>
        <w:spacing w:after="0" w:line="11" w:lineRule="exact"/>
        <w:rPr>
          <w:sz w:val="20"/>
          <w:szCs w:val="20"/>
          <w:color w:val="auto"/>
        </w:rPr>
      </w:pPr>
    </w:p>
    <w:p>
      <w:pPr>
        <w:jc w:val="right"/>
        <w:ind w:right="3400"/>
        <w:spacing w:after="0"/>
        <w:rPr>
          <w:sz w:val="20"/>
          <w:szCs w:val="20"/>
          <w:color w:val="auto"/>
        </w:rPr>
      </w:pPr>
      <w:r>
        <w:rPr>
          <w:rFonts w:ascii="Arial" w:cs="Arial" w:eastAsia="Arial" w:hAnsi="Arial"/>
          <w:sz w:val="16"/>
          <w:szCs w:val="16"/>
          <w:color w:val="auto"/>
        </w:rPr>
        <w:t>4,184,183</w:t>
      </w:r>
    </w:p>
    <w:p>
      <w:pPr>
        <w:spacing w:after="0" w:line="12" w:lineRule="exact"/>
        <w:rPr>
          <w:sz w:val="20"/>
          <w:szCs w:val="20"/>
          <w:color w:val="auto"/>
        </w:rPr>
      </w:pPr>
    </w:p>
    <w:p>
      <w:pPr>
        <w:jc w:val="right"/>
        <w:ind w:right="3400"/>
        <w:spacing w:after="0"/>
        <w:rPr>
          <w:sz w:val="20"/>
          <w:szCs w:val="20"/>
          <w:color w:val="auto"/>
        </w:rPr>
      </w:pPr>
      <w:r>
        <w:rPr>
          <w:rFonts w:ascii="Arial" w:cs="Arial" w:eastAsia="Arial" w:hAnsi="Arial"/>
          <w:sz w:val="16"/>
          <w:szCs w:val="16"/>
          <w:color w:val="auto"/>
        </w:rPr>
        <w:t>147,058,824</w:t>
      </w:r>
    </w:p>
    <w:p>
      <w:pPr>
        <w:spacing w:after="0" w:line="2" w:lineRule="exact"/>
        <w:rPr>
          <w:sz w:val="20"/>
          <w:szCs w:val="20"/>
          <w:color w:val="auto"/>
        </w:rPr>
      </w:pPr>
    </w:p>
    <w:p>
      <w:pPr>
        <w:jc w:val="right"/>
        <w:ind w:right="3400"/>
        <w:spacing w:after="0"/>
        <w:rPr>
          <w:sz w:val="20"/>
          <w:szCs w:val="20"/>
          <w:color w:val="auto"/>
        </w:rPr>
      </w:pPr>
      <w:r>
        <w:rPr>
          <w:rFonts w:ascii="Arial" w:cs="Arial" w:eastAsia="Arial" w:hAnsi="Arial"/>
          <w:sz w:val="16"/>
          <w:szCs w:val="16"/>
          <w:color w:val="auto"/>
        </w:rPr>
        <w:t>1,416,554</w:t>
      </w:r>
    </w:p>
    <w:p>
      <w:pPr>
        <w:spacing w:after="0" w:line="15" w:lineRule="exact"/>
        <w:rPr>
          <w:sz w:val="20"/>
          <w:szCs w:val="20"/>
          <w:color w:val="auto"/>
        </w:rPr>
      </w:pPr>
    </w:p>
    <w:p>
      <w:pPr>
        <w:jc w:val="right"/>
        <w:ind w:right="3400"/>
        <w:spacing w:after="0"/>
        <w:rPr>
          <w:sz w:val="20"/>
          <w:szCs w:val="20"/>
          <w:color w:val="auto"/>
        </w:rPr>
      </w:pPr>
      <w:r>
        <w:rPr>
          <w:rFonts w:ascii="Arial" w:cs="Arial" w:eastAsia="Arial" w:hAnsi="Arial"/>
          <w:sz w:val="16"/>
          <w:szCs w:val="16"/>
          <w:color w:val="auto"/>
        </w:rPr>
        <w:t>152,659,561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8255</wp:posOffset>
            </wp:positionV>
            <wp:extent cx="8197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9785" cy="762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30480</wp:posOffset>
            </wp:positionV>
            <wp:extent cx="8197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9785" cy="7620"/>
                    </a:xfrm>
                    <a:prstGeom prst="rect">
                      <a:avLst/>
                    </a:prstGeom>
                    <a:noFill/>
                  </pic:spPr>
                </pic:pic>
              </a:graphicData>
            </a:graphic>
          </wp:anchor>
        </w:drawing>
      </w:r>
    </w:p>
    <w:p>
      <w:pPr>
        <w:spacing w:after="0" w:line="1019" w:lineRule="exact"/>
        <w:rPr>
          <w:sz w:val="20"/>
          <w:szCs w:val="20"/>
          <w:color w:val="auto"/>
        </w:rPr>
      </w:pPr>
    </w:p>
    <w:p>
      <w:pPr>
        <w:sectPr>
          <w:pgSz w:w="11900" w:h="16838" w:orient="portrait"/>
          <w:cols w:equalWidth="0" w:num="2">
            <w:col w:w="6360" w:space="320"/>
            <w:col w:w="4560"/>
          </w:cols>
          <w:pgMar w:left="320" w:top="12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20. Share-based compensation</w:t>
      </w:r>
    </w:p>
    <w:p>
      <w:pPr>
        <w:spacing w:after="0" w:line="209" w:lineRule="exact"/>
        <w:rPr>
          <w:sz w:val="20"/>
          <w:szCs w:val="20"/>
          <w:color w:val="auto"/>
        </w:rPr>
      </w:pPr>
    </w:p>
    <w:p>
      <w:pPr>
        <w:ind w:left="300"/>
        <w:spacing w:after="0" w:line="237" w:lineRule="auto"/>
        <w:rPr>
          <w:sz w:val="20"/>
          <w:szCs w:val="20"/>
          <w:color w:val="auto"/>
        </w:rPr>
      </w:pPr>
      <w:r>
        <w:rPr>
          <w:rFonts w:ascii="Arial" w:cs="Arial" w:eastAsia="Arial" w:hAnsi="Arial"/>
          <w:sz w:val="19"/>
          <w:szCs w:val="19"/>
          <w:color w:val="auto"/>
        </w:rPr>
        <w:t>In connection with the IPO,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w:t>
      </w:r>
    </w:p>
    <w:p>
      <w:pPr>
        <w:spacing w:after="0" w:line="184" w:lineRule="exact"/>
        <w:rPr>
          <w:sz w:val="20"/>
          <w:szCs w:val="20"/>
          <w:color w:val="auto"/>
        </w:rPr>
      </w:pPr>
    </w:p>
    <w:p>
      <w:pPr>
        <w:ind w:left="300" w:right="60"/>
        <w:spacing w:after="0" w:line="237" w:lineRule="auto"/>
        <w:rPr>
          <w:sz w:val="20"/>
          <w:szCs w:val="20"/>
          <w:color w:val="auto"/>
        </w:rPr>
      </w:pPr>
      <w:r>
        <w:rPr>
          <w:rFonts w:ascii="Arial" w:cs="Arial" w:eastAsia="Arial" w:hAnsi="Arial"/>
          <w:sz w:val="19"/>
          <w:szCs w:val="19"/>
          <w:color w:val="auto"/>
        </w:rPr>
        <w:t>The Company has granted RSUs to select officers, employees, non-employee members of the board of directors, and select non-employees under the Incentive Plan. The grant date fair market value of RSUs is estimated based on the closing price of the underlying shares on the grant date and other fair value adjustments to account for a post-vesting holding period. These fair value adjustments were estimated based on the Finnerty model.</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table summarizes the RSU activity for the three months ended March 31, 2020:</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Weighted-average</w:t>
            </w: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Restricted Share</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grant date fair</w:t>
            </w:r>
          </w:p>
        </w:tc>
      </w:tr>
      <w:tr>
        <w:trPr>
          <w:trHeight w:val="206"/>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value per share</w:t>
            </w: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Non-vested RSUs as of December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3,137,415</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109,409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14.47</w:t>
            </w: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(1,341,094)</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13.51</w:t>
            </w:r>
          </w:p>
        </w:tc>
      </w:tr>
      <w:tr>
        <w:trPr>
          <w:trHeight w:val="189"/>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Forfeited</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(15,605)</w:t>
            </w:r>
          </w:p>
        </w:tc>
        <w:tc>
          <w:tcPr>
            <w:tcW w:w="10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13.51</w:t>
            </w:r>
          </w:p>
        </w:tc>
      </w:tr>
      <w:tr>
        <w:trPr>
          <w:trHeight w:val="226"/>
        </w:trPr>
        <w:tc>
          <w:tcPr>
            <w:tcW w:w="20" w:type="dxa"/>
            <w:vAlign w:val="bottom"/>
          </w:tcPr>
          <w:p>
            <w:pPr>
              <w:spacing w:after="0"/>
              <w:rPr>
                <w:sz w:val="19"/>
                <w:szCs w:val="19"/>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RSUs as of March 31, 2020</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1,890,125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0" w:right="40"/>
        <w:spacing w:after="0" w:line="251" w:lineRule="auto"/>
        <w:rPr>
          <w:sz w:val="20"/>
          <w:szCs w:val="20"/>
          <w:color w:val="auto"/>
        </w:rPr>
      </w:pPr>
      <w:r>
        <w:rPr>
          <w:rFonts w:ascii="Arial" w:cs="Arial" w:eastAsia="Arial" w:hAnsi="Arial"/>
          <w:sz w:val="18"/>
          <w:szCs w:val="18"/>
          <w:color w:val="auto"/>
        </w:rPr>
        <w:t>During the three months ended March 31, 2020, the Company recognized a compensation expense of $2,508, of which $2,271 and $237 was recorded in Selling, general and administrative and Operations and maintenance, respectively. During the three months ended March 31, 2019, the Company recognized a compensation expense of $19,037, of which $18,968 and $69 was recorded in Selling, general and administrative and Operations and maintenance, respectively. The Company recognizes the income tax benefits resulting from vesting of RSUs in the period of vesting, to the extent the compensation expense has been recognized.</w:t>
      </w:r>
    </w:p>
    <w:p>
      <w:pPr>
        <w:spacing w:after="0" w:line="174" w:lineRule="exact"/>
        <w:rPr>
          <w:sz w:val="20"/>
          <w:szCs w:val="20"/>
          <w:color w:val="auto"/>
        </w:rPr>
      </w:pPr>
    </w:p>
    <w:p>
      <w:pPr>
        <w:ind w:left="300" w:right="380"/>
        <w:spacing w:after="0" w:line="251" w:lineRule="auto"/>
        <w:rPr>
          <w:sz w:val="20"/>
          <w:szCs w:val="20"/>
          <w:color w:val="auto"/>
        </w:rPr>
      </w:pPr>
      <w:r>
        <w:rPr>
          <w:rFonts w:ascii="Arial" w:cs="Arial" w:eastAsia="Arial" w:hAnsi="Arial"/>
          <w:sz w:val="19"/>
          <w:szCs w:val="19"/>
          <w:color w:val="auto"/>
        </w:rPr>
        <w:t>For the three months ended March 31, 2020 and 2019, cumulative compensation expense recognized for forfeited RSU awards of $61 and $0, respectively, was reversed.</w:t>
      </w:r>
    </w:p>
    <w:p>
      <w:pPr>
        <w:spacing w:after="0" w:line="171" w:lineRule="exact"/>
        <w:rPr>
          <w:sz w:val="20"/>
          <w:szCs w:val="20"/>
          <w:color w:val="auto"/>
        </w:rPr>
      </w:pPr>
    </w:p>
    <w:p>
      <w:pPr>
        <w:ind w:left="300" w:right="220"/>
        <w:spacing w:after="0" w:line="260" w:lineRule="auto"/>
        <w:rPr>
          <w:sz w:val="20"/>
          <w:szCs w:val="20"/>
          <w:color w:val="auto"/>
        </w:rPr>
      </w:pPr>
      <w:r>
        <w:rPr>
          <w:rFonts w:ascii="Arial" w:cs="Arial" w:eastAsia="Arial" w:hAnsi="Arial"/>
          <w:sz w:val="18"/>
          <w:szCs w:val="18"/>
          <w:color w:val="auto"/>
        </w:rPr>
        <w:t>As of March 31, 2020, the Company had 1,890,125 non-vested RSUs subject to service conditions and had unrecognized compensation costs of approximately $16,945. The non-vested RSUs will vest over a period from ten months to three years following the grant date. The weighted-average remaining vesting period of non-vested RSUs totaled 1.87 years as of March 31, 2020.</w:t>
      </w:r>
    </w:p>
    <w:p>
      <w:pPr>
        <w:spacing w:after="0" w:line="165" w:lineRule="exact"/>
        <w:rPr>
          <w:sz w:val="20"/>
          <w:szCs w:val="20"/>
          <w:color w:val="auto"/>
        </w:rPr>
      </w:pPr>
    </w:p>
    <w:p>
      <w:pPr>
        <w:ind w:left="300" w:right="40"/>
        <w:spacing w:after="0" w:line="267" w:lineRule="auto"/>
        <w:rPr>
          <w:sz w:val="20"/>
          <w:szCs w:val="20"/>
          <w:color w:val="auto"/>
        </w:rPr>
      </w:pPr>
      <w:r>
        <w:rPr>
          <w:rFonts w:ascii="Arial" w:cs="Arial" w:eastAsia="Arial" w:hAnsi="Arial"/>
          <w:sz w:val="17"/>
          <w:szCs w:val="17"/>
          <w:color w:val="auto"/>
        </w:rPr>
        <w:t>During the three months ended March 31, 2020, the Company granted 1,109,777 performance share units (“PSUs”) to certain employees and non-employees. The PSUs contain a performance condition, and vesting will be determined based on achievement of an adjusted operating margin for the year ended December 31, 2021. The number of shares that will vest can range from zero to 2,219,554. As of March 31, 2020, the Company determined that it was not probable that the performance condition required for any of the PSUs to vest would be achieved, and as such, no compensation expense has been recognized in the condensed consolidated statements of operations and comprehensive loss. Unrecognized compensation costs if 2,219,554 shares were to vest based on the achievement of the performance condition was $32,117.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6" w:name="page27"/>
    <w:bookmarkEnd w:id="2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Related party transactions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Management services</w:t>
      </w:r>
    </w:p>
    <w:p>
      <w:pPr>
        <w:spacing w:after="0" w:line="200" w:lineRule="exact"/>
        <w:rPr>
          <w:sz w:val="20"/>
          <w:szCs w:val="20"/>
          <w:color w:val="auto"/>
        </w:rPr>
      </w:pPr>
    </w:p>
    <w:p>
      <w:pPr>
        <w:ind w:left="300" w:right="80"/>
        <w:spacing w:after="0" w:line="264" w:lineRule="auto"/>
        <w:rPr>
          <w:sz w:val="20"/>
          <w:szCs w:val="20"/>
          <w:color w:val="auto"/>
        </w:rPr>
      </w:pPr>
      <w:r>
        <w:rPr>
          <w:rFonts w:ascii="Arial" w:cs="Arial" w:eastAsia="Arial" w:hAnsi="Arial"/>
          <w:sz w:val="17"/>
          <w:szCs w:val="17"/>
          <w:color w:val="auto"/>
        </w:rPr>
        <w:t>The Company is majority owned by a private equity fund managed by an affiliate of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$2,231 and $2,779 for the three months ended March 31, 2020 and 2019 respectively. Costs associated with the Management Agreement and Administrative Agreement are included within Selling, general and administrative in the condensed consolidated statements of operations and comprehensive loss. As of March 31, 2020 and December 31, 2019, $2,254 and $5,083 were due to Fortress, respectively.</w:t>
      </w:r>
    </w:p>
    <w:p>
      <w:pPr>
        <w:spacing w:after="0" w:line="165"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color w:val="auto"/>
        </w:rPr>
        <w:t>In addition to management and administrative services, an affiliate of Fortress owns and leases an aircraft chartered by the Company for business purposes in the course of operations. The Company incurred, at aircraft operator market rates, charter costs of $1,239 for the three months ended March 31, 2020. As of March 31, 2020 and December, 31, 2019, $3,958 and $4,286 was due to this affiliate, respectively. In prior years, such charges were incurred under the Management Agreement and amounts incurred of $976 for the three months ended March 31, 2019 were included in the activity and balance disclosed above.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Land and office lease</w:t>
      </w:r>
    </w:p>
    <w:p>
      <w:pPr>
        <w:spacing w:after="0" w:line="200" w:lineRule="exact"/>
        <w:rPr>
          <w:sz w:val="20"/>
          <w:szCs w:val="20"/>
          <w:color w:val="auto"/>
        </w:rPr>
      </w:pPr>
    </w:p>
    <w:p>
      <w:pPr>
        <w:ind w:left="300" w:right="340"/>
        <w:spacing w:after="0" w:line="264" w:lineRule="auto"/>
        <w:rPr>
          <w:sz w:val="20"/>
          <w:szCs w:val="20"/>
          <w:color w:val="auto"/>
        </w:rPr>
      </w:pPr>
      <w:r>
        <w:rPr>
          <w:rFonts w:ascii="Arial" w:cs="Arial" w:eastAsia="Arial" w:hAnsi="Arial"/>
          <w:sz w:val="17"/>
          <w:szCs w:val="17"/>
          <w:color w:val="auto"/>
        </w:rPr>
        <w:t>The Company has leased land and office space from Florida East Coast Industries, LLC (“FECI”), an affiliate of the Company. In April 2019, FECI sold the office building to a non-affiliate, and as such, the lease of the office space is no longer held with a related party. The Company recognized expense related to the land lease still held by a related party during the three months ended March 31, 2020 of $103, which was included within Operations and maintenance in the condensed consolidated statements of operations and comprehensive loss. The Company recognized expense during the three months ended March 31, 2019 for both the land and building of $647, of which $386 was capitalized to Construction in progress, $76 related to the land lease was included in Operations and maintenance, and $185 related to the office lease and ancillary services was included in Selling, general and administrative, respectively in the condensed consolidated statements of operations and comprehensive loss. As of March 31, 2020 and December 31, 2019, there was no amount due to FECI.</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DevTech Investment</w:t>
      </w:r>
    </w:p>
    <w:p>
      <w:pPr>
        <w:spacing w:after="0" w:line="200"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As of March 31, 2020 and December 31, 2019, $715 and $815 was owed to DevTech on the note payable, respectively. The outstanding note payable due to DevTech is included in Other long-term liabilities on the condensed consolidated balance sheets. For the three months ended March 31, 2020 and 2019, interest expense on the note payable due to DevTech was $19 and $22, respectively; no interest has been paid and accrued interest has been recognized within Accrued liabilities on the condensed consolidated balance sheets. As of March 31, 2020 and December 31, 2019, $343 and $443 was due from DevTech, respectively.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Fortress affiliated entities</w:t>
      </w:r>
    </w:p>
    <w:p>
      <w:pPr>
        <w:spacing w:after="0" w:line="200" w:lineRule="exact"/>
        <w:rPr>
          <w:sz w:val="20"/>
          <w:szCs w:val="20"/>
          <w:color w:val="auto"/>
        </w:rPr>
      </w:pPr>
    </w:p>
    <w:p>
      <w:pPr>
        <w:ind w:left="300" w:right="400"/>
        <w:spacing w:after="0" w:line="274" w:lineRule="auto"/>
        <w:rPr>
          <w:sz w:val="20"/>
          <w:szCs w:val="20"/>
          <w:color w:val="auto"/>
        </w:rPr>
      </w:pPr>
      <w:r>
        <w:rPr>
          <w:rFonts w:ascii="Arial" w:cs="Arial" w:eastAsia="Arial" w:hAnsi="Arial"/>
          <w:sz w:val="17"/>
          <w:szCs w:val="17"/>
          <w:color w:val="auto"/>
        </w:rPr>
        <w:t>Since 2017, the Company has provided certain administrative services to related parties including Fortress affiliated entities. As of March 31, 2020 and December 31, 2019, $1,125 and $1,134 were due from affiliates, respectively. There are no costs incurred by the Company as the Company is fully reimbursed for all costs incurred. Additionally, Fortress affiliated entities provide certain administrative services to the Company. As of March 31, 2020 and December 31, 2019, $1,165 and $883 were due to Fortress affiliates, respectively.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Due to/from Affiliates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table below summarizes the balances outstanding with affiliates at March 31, 2020 and December 31, 2019:</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Amounts due from affiliates</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1,577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Subsequent events</w:t>
      </w:r>
    </w:p>
    <w:p>
      <w:pPr>
        <w:spacing w:after="0" w:line="209" w:lineRule="exact"/>
        <w:rPr>
          <w:sz w:val="20"/>
          <w:szCs w:val="20"/>
          <w:color w:val="auto"/>
        </w:rPr>
      </w:pPr>
    </w:p>
    <w:p>
      <w:pPr>
        <w:ind w:left="300" w:right="20"/>
        <w:spacing w:after="0" w:line="265" w:lineRule="auto"/>
        <w:rPr>
          <w:sz w:val="20"/>
          <w:szCs w:val="20"/>
          <w:color w:val="auto"/>
        </w:rPr>
      </w:pPr>
      <w:r>
        <w:rPr>
          <w:rFonts w:ascii="Arial" w:cs="Arial" w:eastAsia="Arial" w:hAnsi="Arial"/>
          <w:sz w:val="17"/>
          <w:szCs w:val="17"/>
          <w:color w:val="auto"/>
        </w:rPr>
        <w:t>On May 5, 2020, the Company announced that prior to June 2, 2020 the Company expects to enter into a mutual agreement with certain members (the “Exchanging Members”) of New Fortress Energy Holdings, pursuant to which the Exchanging Members will agree to deliver a block redemption notice in accordance with Section 4.6(b)(ii)(B) of the Amended and Restated Limited Liability Company Agreement of NFI (the “NFI LLCA”) with respect to all of the NFI LLC Units, together with an equal number of Class B shares that they indirectly own as members of New Fortress Energy Holdings. NFE has agreed to exercise the Call Right (as defined in the NFI LLCA) pursuant to which NFE will acquire such NFI LLC Units and Class B shares in exchange for Class A shares (the “Exchange Transactions”), and NFE will own all of the NFI LLC Units acquired as part of the Exchange Transactions. The Exchange Transactions are expected to be completed on or about June 9, 2020.</w:t>
      </w:r>
    </w:p>
    <w:p>
      <w:pPr>
        <w:spacing w:after="0" w:line="164" w:lineRule="exact"/>
        <w:rPr>
          <w:sz w:val="20"/>
          <w:szCs w:val="20"/>
          <w:color w:val="auto"/>
        </w:rPr>
      </w:pPr>
    </w:p>
    <w:p>
      <w:pPr>
        <w:ind w:left="300"/>
        <w:spacing w:after="0" w:line="236" w:lineRule="auto"/>
        <w:rPr>
          <w:sz w:val="20"/>
          <w:szCs w:val="20"/>
          <w:color w:val="auto"/>
        </w:rPr>
      </w:pPr>
      <w:r>
        <w:rPr>
          <w:rFonts w:ascii="Arial" w:cs="Arial" w:eastAsia="Arial" w:hAnsi="Arial"/>
          <w:sz w:val="19"/>
          <w:szCs w:val="19"/>
          <w:color w:val="auto"/>
        </w:rPr>
        <w:t>The Company currently recognizes the Exchanging Members’ economic interest in NFI as non-controlling interest in the condensed consolidated financial statements. Subsequent to the Exchange Transactions, results of operations previously attributed to non-controlling interest based on these Exchanging Members’ interest in NFI will be recognized as net income or loss attributable to stockholders, and amounts attributable to these Exchanging Members' interest in NFI previously shown as non-controlling interest on the Company’s condensed consolidated balance sheets will be reclassified to Class A shares.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9" w:lineRule="exact"/>
        <w:rPr>
          <w:sz w:val="20"/>
          <w:szCs w:val="20"/>
          <w:color w:val="auto"/>
        </w:rPr>
      </w:pPr>
    </w:p>
    <w:p>
      <w:pPr>
        <w:ind w:right="40" w:firstLine="307"/>
        <w:spacing w:after="0" w:line="247"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due to a variety of factors. This discussion and analysis includes information that is intended to provide investors with an understanding of our past performance and our current financial condition and is not necessarily indicative of our future performance. Please refer to “—Factors Impacting Comparability of Our Financial Results” for further discussion. The results of operations for interim periods are not necessarily indicative of the results that may be expected for any other interim period or for a full year. Unless otherwise indicated, dollar amounts are presented in thousands.</w:t>
      </w:r>
    </w:p>
    <w:p>
      <w:pPr>
        <w:spacing w:after="0" w:line="181" w:lineRule="exact"/>
        <w:rPr>
          <w:sz w:val="20"/>
          <w:szCs w:val="20"/>
          <w:color w:val="auto"/>
        </w:rPr>
      </w:pPr>
    </w:p>
    <w:p>
      <w:pPr>
        <w:ind w:firstLine="307"/>
        <w:spacing w:after="0" w:line="254" w:lineRule="auto"/>
        <w:rPr>
          <w:sz w:val="20"/>
          <w:szCs w:val="20"/>
          <w:color w:val="auto"/>
        </w:rPr>
      </w:pPr>
      <w:r>
        <w:rPr>
          <w:rFonts w:ascii="Arial" w:cs="Arial" w:eastAsia="Arial" w:hAnsi="Arial"/>
          <w:sz w:val="18"/>
          <w:szCs w:val="18"/>
          <w:i w:val="1"/>
          <w:iCs w:val="1"/>
          <w:color w:val="auto"/>
        </w:rPr>
        <w:t>You should read “Part II, Item 1A. Risk Factors” and “Cautionary Statement on Forward-Looking Statements” elsewhere in this Quarterly Report on Form 10-Q (“Quarterly Report”) and “Part I, Item 1A. Risk Factors” in the Annual Report on Form 10-K for the year ended December 31, 2019 (our “Annual Report”) for a discussion of important factors that could cause actual results to differ materially from the results described in or implied by the forward-looking statements contained in the following discussion and analysis.</w:t>
      </w:r>
    </w:p>
    <w:p>
      <w:pPr>
        <w:spacing w:after="0" w:line="171" w:lineRule="exact"/>
        <w:rPr>
          <w:sz w:val="20"/>
          <w:szCs w:val="20"/>
          <w:color w:val="auto"/>
        </w:rPr>
      </w:pPr>
    </w:p>
    <w:p>
      <w:pPr>
        <w:ind w:firstLine="307"/>
        <w:spacing w:after="0" w:line="270"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months ended March 31, 2020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w:t>
      </w:r>
    </w:p>
    <w:p>
      <w:pPr>
        <w:spacing w:after="0" w:line="157" w:lineRule="exact"/>
        <w:rPr>
          <w:sz w:val="20"/>
          <w:szCs w:val="20"/>
          <w:color w:val="auto"/>
        </w:rPr>
      </w:pPr>
    </w:p>
    <w:p>
      <w:pPr>
        <w:ind w:right="80" w:firstLine="307"/>
        <w:spacing w:after="0" w:line="237" w:lineRule="auto"/>
        <w:rPr>
          <w:sz w:val="20"/>
          <w:szCs w:val="20"/>
          <w:color w:val="auto"/>
        </w:rPr>
      </w:pPr>
      <w:r>
        <w:rPr>
          <w:rFonts w:ascii="Arial" w:cs="Arial" w:eastAsia="Arial" w:hAnsi="Arial"/>
          <w:sz w:val="19"/>
          <w:szCs w:val="19"/>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04" w:lineRule="exact"/>
        <w:rPr>
          <w:sz w:val="20"/>
          <w:szCs w:val="20"/>
          <w:color w:val="auto"/>
        </w:rPr>
      </w:pPr>
    </w:p>
    <w:p>
      <w:pPr>
        <w:ind w:right="40" w:firstLine="307"/>
        <w:spacing w:after="0" w:line="249"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“Items 1 and 2: Business and Properties” under “Toward a Carbon-Free Future” in our Annual Report.</w:t>
      </w:r>
    </w:p>
    <w:p>
      <w:pPr>
        <w:spacing w:after="0" w:line="177" w:lineRule="exact"/>
        <w:rPr>
          <w:sz w:val="20"/>
          <w:szCs w:val="20"/>
          <w:color w:val="auto"/>
        </w:rPr>
      </w:pPr>
    </w:p>
    <w:p>
      <w:pPr>
        <w:ind w:right="20" w:firstLine="307"/>
        <w:spacing w:after="0" w:line="265" w:lineRule="auto"/>
        <w:rPr>
          <w:sz w:val="20"/>
          <w:szCs w:val="20"/>
          <w:color w:val="auto"/>
        </w:rPr>
      </w:pPr>
      <w:r>
        <w:rPr>
          <w:rFonts w:ascii="Arial" w:cs="Arial" w:eastAsia="Arial" w:hAnsi="Arial"/>
          <w:sz w:val="17"/>
          <w:szCs w:val="17"/>
          <w:color w:val="auto"/>
        </w:rPr>
        <w:t>As an integrated gas-to-power energy infrastructure company, our business model spans the entire production and delivery chain from natural gas procurement and liquefaction to logistics, shipping, terminals and conversion or development of natural gas-fired power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Current Operations</w:t>
      </w:r>
    </w:p>
    <w:p>
      <w:pPr>
        <w:spacing w:after="0" w:line="204" w:lineRule="exact"/>
        <w:rPr>
          <w:sz w:val="20"/>
          <w:szCs w:val="20"/>
          <w:color w:val="auto"/>
        </w:rPr>
      </w:pPr>
    </w:p>
    <w:p>
      <w:pPr>
        <w:ind w:right="20" w:firstLine="279"/>
        <w:spacing w:after="0" w:line="236" w:lineRule="auto"/>
        <w:rPr>
          <w:sz w:val="20"/>
          <w:szCs w:val="20"/>
          <w:color w:val="auto"/>
        </w:rPr>
      </w:pPr>
      <w:r>
        <w:rPr>
          <w:rFonts w:ascii="Arial" w:cs="Arial" w:eastAsia="Arial" w:hAnsi="Arial"/>
          <w:sz w:val="19"/>
          <w:szCs w:val="19"/>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(“JPC”), an affiliate of JPS, Jamalco, a bauxite mining and alumina production joint venture in Jamaica, and the Puerto Rico Electric Power Authority (“PREPA”), each of which is described in more detail below. Our assets built to service these significant customers have been designed with capacity to service other customers.</w:t>
      </w:r>
    </w:p>
    <w:p>
      <w:pPr>
        <w:spacing w:after="0" w:line="182" w:lineRule="exact"/>
        <w:rPr>
          <w:sz w:val="20"/>
          <w:szCs w:val="20"/>
          <w:color w:val="auto"/>
        </w:rPr>
      </w:pPr>
    </w:p>
    <w:p>
      <w:pPr>
        <w:ind w:right="80" w:firstLine="279"/>
        <w:spacing w:after="0" w:line="237" w:lineRule="auto"/>
        <w:rPr>
          <w:sz w:val="20"/>
          <w:szCs w:val="20"/>
          <w:color w:val="auto"/>
        </w:rPr>
      </w:pPr>
      <w:r>
        <w:rPr>
          <w:rFonts w:ascii="Arial" w:cs="Arial" w:eastAsia="Arial" w:hAnsi="Arial"/>
          <w:sz w:val="19"/>
          <w:szCs w:val="19"/>
          <w:color w:val="auto"/>
        </w:rPr>
        <w:t>We currently procure our LNG either by purchasing it under a contract from a supplier or by manufacturing it in our natural gas liquefaction and storage facility located in Miami-Dade County, Florida (the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line="1" w:lineRule="exact"/>
        <w:rPr>
          <w:sz w:val="20"/>
          <w:szCs w:val="20"/>
          <w:color w:val="auto"/>
        </w:rPr>
      </w:pPr>
    </w:p>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Montego Bay Terminal</w:t>
      </w:r>
    </w:p>
    <w:p>
      <w:pPr>
        <w:spacing w:after="0" w:line="200" w:lineRule="exact"/>
        <w:rPr>
          <w:sz w:val="20"/>
          <w:szCs w:val="20"/>
          <w:color w:val="auto"/>
        </w:rPr>
      </w:pPr>
    </w:p>
    <w:p>
      <w:pPr>
        <w:ind w:firstLine="279"/>
        <w:spacing w:after="0" w:line="236" w:lineRule="auto"/>
        <w:rPr>
          <w:sz w:val="20"/>
          <w:szCs w:val="20"/>
          <w:color w:val="auto"/>
        </w:rPr>
      </w:pPr>
      <w:r>
        <w:rPr>
          <w:rFonts w:ascii="Arial" w:cs="Arial" w:eastAsia="Arial" w:hAnsi="Arial"/>
          <w:sz w:val="19"/>
          <w:szCs w:val="19"/>
          <w:color w:val="auto"/>
        </w:rPr>
        <w:t>Our storage and regasification terminal in Montego Bay, Jamaica (the “Montego Bay Terminal”) serves as our supply hub for the north side of Jamaica, providing natural gas to JPS to fuel the 145MW Bogue Power Plant in Montego Bay, Jamaica. Our Montego Bay Terminal commenced commercial operations in October 2016 and is capable of processing up to 740,000 LNG gallons (61,000 MMBtu) per day and features approximately 7,000 cubic meters of onsite storage. The Montego Bay Terminal also consists of an ISO loading facility that can transport LNG to numerous on-island industrial users.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Old Harbour Terminal</w:t>
      </w:r>
    </w:p>
    <w:p>
      <w:pPr>
        <w:spacing w:after="0" w:line="200" w:lineRule="exact"/>
        <w:rPr>
          <w:sz w:val="20"/>
          <w:szCs w:val="20"/>
          <w:color w:val="auto"/>
        </w:rPr>
      </w:pPr>
    </w:p>
    <w:p>
      <w:pPr>
        <w:ind w:right="60" w:firstLine="279"/>
        <w:spacing w:after="0" w:line="248" w:lineRule="auto"/>
        <w:rPr>
          <w:sz w:val="20"/>
          <w:szCs w:val="20"/>
          <w:color w:val="auto"/>
        </w:rPr>
      </w:pPr>
      <w:r>
        <w:rPr>
          <w:rFonts w:ascii="Arial" w:cs="Arial" w:eastAsia="Arial" w:hAnsi="Arial"/>
          <w:sz w:val="18"/>
          <w:szCs w:val="18"/>
          <w:color w:val="auto"/>
        </w:rPr>
        <w:t>Our marine LNG storage and regasification terminal in Old Harbour, Jamaica (the “Old Harbour Terminal”) commenced commercial operations in June 2019 and is capable of processing approximately six million gallons of LNG (500,000 MMBtu) per day. The Old Harbour Terminal supplies natural gas to the new 190MW Old Harbour power plant (the “Old Harbour Power Plant”) operated by JPC. The Old Harbour Terminal is also supplying natural gas to our dual-fired combined heat and power facility in Clarendon, Jamaica (the “CHP Plant”). The CHP Plant supplies electricity to JPS under a long-term power purchase agreement (“PPA”). The CHP Plant also provides steam to Jamalco under a long-term take-or-pay steam supply agreement (“SSA”). On March 3, 2020, the CHP Plant commenced commercial operation under both the PPA and the SSA and began supplying power and steam to JPS and Jamalco,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Juan Facility</w:t>
      </w:r>
    </w:p>
    <w:p>
      <w:pPr>
        <w:spacing w:after="0" w:line="200" w:lineRule="exact"/>
        <w:rPr>
          <w:sz w:val="20"/>
          <w:szCs w:val="20"/>
          <w:color w:val="auto"/>
        </w:rPr>
      </w:pPr>
    </w:p>
    <w:p>
      <w:pPr>
        <w:ind w:right="80" w:firstLine="279"/>
        <w:spacing w:after="0" w:line="237" w:lineRule="auto"/>
        <w:rPr>
          <w:sz w:val="20"/>
          <w:szCs w:val="20"/>
          <w:color w:val="auto"/>
        </w:rPr>
      </w:pPr>
      <w:r>
        <w:rPr>
          <w:rFonts w:ascii="Arial" w:cs="Arial" w:eastAsia="Arial" w:hAnsi="Arial"/>
          <w:sz w:val="19"/>
          <w:szCs w:val="19"/>
          <w:color w:val="auto"/>
        </w:rPr>
        <w:t>We are finalizing the development of the micro-fuel handling facility in the Port of San Juan, Puerto Rico (the “San Juan Facility”). The San Juan Facility is currently being developed near the San Juan Power Plant and will serve as our supply hub for the San Juan Power Plant and other industrial end-user customers in Puerto Rico. We have begun delivering natural gas under the Fuel Sale and Purchase Agreement with PREPA and expect to declare full commercial operations in the second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Miami Facility</w:t>
      </w:r>
    </w:p>
    <w:p>
      <w:pPr>
        <w:spacing w:after="0" w:line="200" w:lineRule="exact"/>
        <w:rPr>
          <w:sz w:val="20"/>
          <w:szCs w:val="20"/>
          <w:color w:val="auto"/>
        </w:rPr>
      </w:pPr>
    </w:p>
    <w:p>
      <w:pPr>
        <w:ind w:right="280" w:firstLine="279"/>
        <w:spacing w:after="0"/>
        <w:rPr>
          <w:sz w:val="20"/>
          <w:szCs w:val="20"/>
          <w:color w:val="auto"/>
        </w:rPr>
      </w:pPr>
      <w:r>
        <w:rPr>
          <w:rFonts w:ascii="Arial" w:cs="Arial" w:eastAsia="Arial" w:hAnsi="Arial"/>
          <w:sz w:val="19"/>
          <w:szCs w:val="19"/>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Development Projects</w:t>
      </w:r>
    </w:p>
    <w:p>
      <w:pPr>
        <w:spacing w:after="0" w:line="200" w:lineRule="exact"/>
        <w:rPr>
          <w:sz w:val="20"/>
          <w:szCs w:val="20"/>
          <w:color w:val="auto"/>
        </w:rPr>
      </w:pPr>
    </w:p>
    <w:p>
      <w:pPr>
        <w:ind w:right="340" w:firstLine="279"/>
        <w:spacing w:after="0" w:line="260" w:lineRule="auto"/>
        <w:rPr>
          <w:sz w:val="20"/>
          <w:szCs w:val="20"/>
          <w:color w:val="auto"/>
        </w:rPr>
      </w:pPr>
      <w:r>
        <w:rPr>
          <w:rFonts w:ascii="Arial" w:cs="Arial" w:eastAsia="Arial" w:hAnsi="Arial"/>
          <w:sz w:val="18"/>
          <w:szCs w:val="18"/>
          <w:color w:val="auto"/>
        </w:rPr>
        <w:t>We are in the process of developing an LNG regasification terminal at the Port of Pichilingue in Baja California Sur, Mexico (the “La Paz Terminal”). Our La Paz Terminal is expected to supply approximately 455,000 gallons of LNG (37,565 MMBtu) per day, and we have received all necessary permits for onshore construction of the power plant that is expected to produce up to 135 MW.</w:t>
      </w:r>
    </w:p>
    <w:p>
      <w:pPr>
        <w:spacing w:after="0" w:line="165"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In February 2020, we entered into a 25-year power purchase agreement with Nicaragua’s electricity distribution companies, and we expect to construct a new approximately 300 MW natural gas-fired power plant that will consume approximately 700,000 gallons of LNG (60,000 MMBtus) per day. In 2019, we signed a memorandum of understanding to develop a terminal in Angola to supply natural gas for power generation, and we are in active discussions to secure a definitive agreement in 2020.</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COVID-19 Pandemic</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We are closely monitoring the impact of the novel coronavirus (“COVID-19”) pandemic on all aspects of our operations and development projects. While we did not incur</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 xml:space="preserve">significant disruptions during the three months ended March 31, 2020 from the COVID-19 pandemic, there are important uncertainties including the scope, severity and duration of the pandemic, the actions taken to contain the pandemic or mitigate its impact, and the direct and indirect economic effects of the pandemic and containment measures. </w:t>
      </w:r>
      <w:r>
        <w:rPr>
          <w:rFonts w:ascii="Arial" w:cs="Arial" w:eastAsia="Arial" w:hAnsi="Arial"/>
          <w:sz w:val="17"/>
          <w:szCs w:val="17"/>
          <w:color w:val="auto"/>
        </w:rPr>
        <w:t>Therefore,</w:t>
      </w:r>
      <w:r>
        <w:rPr>
          <w:rFonts w:ascii="Arial" w:cs="Arial" w:eastAsia="Arial" w:hAnsi="Arial"/>
          <w:sz w:val="15"/>
          <w:szCs w:val="15"/>
          <w:color w:val="auto"/>
        </w:rPr>
        <w:t xml:space="preserve"> </w:t>
      </w:r>
      <w:r>
        <w:rPr>
          <w:rFonts w:ascii="Arial" w:cs="Arial" w:eastAsia="Arial" w:hAnsi="Arial"/>
          <w:sz w:val="17"/>
          <w:szCs w:val="17"/>
          <w:color w:val="auto"/>
        </w:rPr>
        <w:t xml:space="preserve">the effects of COVID-19 at this time are hard to predict. </w:t>
      </w:r>
      <w:r>
        <w:rPr>
          <w:rFonts w:ascii="Arial" w:cs="Arial" w:eastAsia="Arial" w:hAnsi="Arial"/>
          <w:sz w:val="14"/>
          <w:szCs w:val="14"/>
          <w:color w:val="auto"/>
        </w:rPr>
        <w:t>We do not currently expect these factors to have a significant impact on our results of operations, liquidity or</w:t>
      </w:r>
      <w:r>
        <w:rPr>
          <w:rFonts w:ascii="Arial" w:cs="Arial" w:eastAsia="Arial" w:hAnsi="Arial"/>
          <w:sz w:val="17"/>
          <w:szCs w:val="17"/>
          <w:color w:val="auto"/>
        </w:rPr>
        <w:t xml:space="preserve"> </w:t>
      </w:r>
      <w:r>
        <w:rPr>
          <w:rFonts w:ascii="Arial" w:cs="Arial" w:eastAsia="Arial" w:hAnsi="Arial"/>
          <w:sz w:val="14"/>
          <w:szCs w:val="14"/>
          <w:color w:val="auto"/>
        </w:rPr>
        <w:t>financial position, or our development budgets or timelines. We primarily operate under long-term contracts with customers, many of which contain fixed minimum volumes that must be purchased on a “take-or-pay” basis, which has limited the impact of the COVID-19 pandemic on our current operations. Based on the essential nature of the services we provide to support power generation facilities, our development projects have not currently been significantly impacted by responses to the COVID-19 pandemic. However, we are actively monitoring the spread of the pandemic and the actions that governments and regulatory agencies are taking to fight the spread.</w:t>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Exchange Transactions</w:t>
      </w:r>
    </w:p>
    <w:p>
      <w:pPr>
        <w:spacing w:after="0" w:line="200" w:lineRule="exact"/>
        <w:rPr>
          <w:sz w:val="20"/>
          <w:szCs w:val="20"/>
          <w:color w:val="auto"/>
        </w:rPr>
      </w:pPr>
    </w:p>
    <w:p>
      <w:pPr>
        <w:ind w:right="60" w:firstLine="279"/>
        <w:spacing w:after="0" w:line="261" w:lineRule="auto"/>
        <w:rPr>
          <w:sz w:val="20"/>
          <w:szCs w:val="20"/>
          <w:color w:val="auto"/>
        </w:rPr>
      </w:pPr>
      <w:r>
        <w:rPr>
          <w:rFonts w:ascii="Arial" w:cs="Arial" w:eastAsia="Arial" w:hAnsi="Arial"/>
          <w:sz w:val="17"/>
          <w:szCs w:val="17"/>
          <w:color w:val="auto"/>
        </w:rPr>
        <w:t>On May 5, 2020, we announced that prior to June 2, 2020 we expect to enter into a mutual agreement (the “Mutual Agreement”) with certain members (the “Exchanging Members”) of New Fortress Energy Holdings, including Fortress Equity Partners (A) LP (the “Initial Shareholder,” which is owned primarily by Mr. Edens, our Chief Executive Officer and a member of our Board, and Mr. Nardone, a member of our Board) and/or its members, pursuant to which the Exchanging Members will agree to deliver a block redemption notice in accordance with Section 4.6(b)(ii)(B) of the Amended and Restated Limited Liability Company Agreement of NFI (the “NFI LLCA”) with respect to all of the common units (“NFI LLC Units”) of New Fortress Intermediate LLC (“NFI”), together with an equal number of our Class B shares that they indirectly own as members of New Fortress Energy Holdings. We have agreed to exercise our Call Right (as defined in the NFI LLCA) pursuant to which we will acquire such NFI LLC Units and Class B shares in exchange for our Class A shares (the “Exchange Transactions”). We will own all of the NFI LLC Units acquired as part of the Exchange Transactions. We expect to acquire substantially all of the other currently outstanding NFI LLC Units in the Exchange Transactions; however, there can be no assurance that we will acquire all of the NFI LLC Units in the Exchange Transactions. The Exchange Transactions are generally expected to be tax-deferred transactions for the exchanging holders of NFI LLC Units, in which case we would generally not receive a tax basis “step-up” as a result of the Exchange Transactions. The Exchanging Members have agreed pursuant to the Mutual Agreement not to transfer any of the Class A shares they receive in the Exchange Transactions for 90 days following the date of the exchange. The Exchange Transactions are expected to be completed on or about June 9, 2020.</w:t>
      </w:r>
    </w:p>
    <w:p>
      <w:pPr>
        <w:spacing w:after="0" w:line="165" w:lineRule="exact"/>
        <w:rPr>
          <w:sz w:val="20"/>
          <w:szCs w:val="20"/>
          <w:color w:val="auto"/>
        </w:rPr>
      </w:pPr>
    </w:p>
    <w:p>
      <w:pPr>
        <w:ind w:right="40" w:firstLine="279"/>
        <w:spacing w:after="0" w:line="265" w:lineRule="auto"/>
        <w:rPr>
          <w:sz w:val="20"/>
          <w:szCs w:val="20"/>
          <w:color w:val="auto"/>
        </w:rPr>
      </w:pPr>
      <w:r>
        <w:rPr>
          <w:rFonts w:ascii="Arial" w:cs="Arial" w:eastAsia="Arial" w:hAnsi="Arial"/>
          <w:sz w:val="17"/>
          <w:szCs w:val="17"/>
          <w:color w:val="auto"/>
        </w:rPr>
        <w:t>We expect the Exchange Transactions will confer several significant benefits to us. Most notably, the Exchange Transaction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 Because the Board deemed it to be in the best interest of the Company to effect the Exchange Transactions now so that the Company could begin realizing these benefits, the Board requested that the members of NFI (who have no obligation to exchange their New Fortress Energy Holdings units) agree to exchange their interests in NFI pursuant to the Exchange Transactions described above. The Exchange Transactions are generally expected to be tax-deferred transactions for the Exchanging Members, which is the tax treatment of transactions already provided for in the NFI LLCA. Because this</w:t>
      </w:r>
    </w:p>
    <w:p>
      <w:pPr>
        <w:sectPr>
          <w:pgSz w:w="11900" w:h="16840" w:orient="portrait"/>
          <w:cols w:equalWidth="0" w:num="1">
            <w:col w:w="11260"/>
          </w:cols>
          <w:pgMar w:left="320" w:top="124" w:right="319" w:bottom="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change could be viewed as a related party transaction involving the Exchanging Members and NFE, the Exchange Transactions were reviewed by a duly appointed committee of the Board consisting of Messrs. Catterall, Grain, Griffin and Mack and Ms. Wanner, who unanimously approved the Exchange Transactions prior to the full Board unanimously approving the Exchange Transactions. The committee’s approval serves as a Special Approval as defined in our First Amended and Restated Limited Liability Company Agreement. We cannot assure you that the Exchange Transactions will be completed or that these transactions will confer the potential benefits that we currently expect from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 – Three Months Ended March 31, 2020 compared to Three Months Ended 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85"/>
              </w:rPr>
              <w:t>Change</w:t>
            </w:r>
          </w:p>
        </w:tc>
        <w:tc>
          <w:tcPr>
            <w:tcW w:w="100" w:type="dxa"/>
            <w:vAlign w:val="bottom"/>
          </w:tcPr>
          <w:p>
            <w:pPr>
              <w:spacing w:after="0"/>
              <w:rPr>
                <w:sz w:val="16"/>
                <w:szCs w:val="16"/>
                <w:color w:val="auto"/>
              </w:rPr>
            </w:pPr>
          </w:p>
        </w:tc>
      </w:tr>
      <w:tr>
        <w:trPr>
          <w:trHeight w:val="186"/>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63,502</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26,138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37,364</w:t>
            </w:r>
          </w:p>
        </w:tc>
      </w:tr>
      <w:tr>
        <w:trPr>
          <w:trHeight w:val="189"/>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3,813</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29,951</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44,579</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33,349</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34,867</w:t>
            </w:r>
          </w:p>
        </w:tc>
      </w:tr>
      <w:tr>
        <w:trPr>
          <w:trHeight w:val="186"/>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4,499</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49,749</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(21,379)</w:t>
            </w:r>
          </w:p>
        </w:tc>
      </w:tr>
      <w:tr>
        <w:trPr>
          <w:trHeight w:val="186"/>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Loss on mitigation sales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1,691</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100" w:type="dxa"/>
            <w:vAlign w:val="bottom"/>
            <w:shd w:val="clear" w:color="auto" w:fill="CCEEFF"/>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110,531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89,288</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21,243</w:t>
            </w: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3,284</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10,606</w:t>
            </w: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(2,575)</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Loss on extinguishment of debt, net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9,557</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(60,046)</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Tax (benefit) expense</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246</w:t>
            </w:r>
          </w:p>
        </w:tc>
        <w:tc>
          <w:tcPr>
            <w:tcW w:w="2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r>
      <w:tr>
        <w:trPr>
          <w:trHeight w:val="226"/>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(60,055)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(60,292)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Revenues</w:t>
      </w:r>
    </w:p>
    <w:p>
      <w:pPr>
        <w:spacing w:after="0" w:line="200" w:lineRule="exact"/>
        <w:rPr>
          <w:sz w:val="20"/>
          <w:szCs w:val="20"/>
          <w:color w:val="auto"/>
        </w:rPr>
      </w:pPr>
    </w:p>
    <w:p>
      <w:pPr>
        <w:ind w:right="20" w:firstLine="307"/>
        <w:spacing w:after="0" w:line="247" w:lineRule="auto"/>
        <w:rPr>
          <w:sz w:val="20"/>
          <w:szCs w:val="20"/>
          <w:color w:val="auto"/>
        </w:rPr>
      </w:pPr>
      <w:r>
        <w:rPr>
          <w:rFonts w:ascii="Arial" w:cs="Arial" w:eastAsia="Arial" w:hAnsi="Arial"/>
          <w:sz w:val="18"/>
          <w:szCs w:val="18"/>
          <w:color w:val="auto"/>
        </w:rPr>
        <w:t>Operating revenue from the sale of LNG, natural gas sales or outputs from our natural gas-fired power generation facilities for the three months ended March 31, 2020 was $63,502 which increased by $37,364 from $26,138 for the three months ended March 31, 2019. The increase was primarily driven by volumes sold from the Old Harbour Terminal and the commencement of commercial operations at the CHP Plant during the three months ended March 31, 2020. For the three months ended March 31, 2020, we recognized $35,777 of revenue from volumes sold at the Old Harbour Terminal, including $29,945 from sales to the Old Harbour Power Plant and $5,832 from natural gas utilized in the CHP Plant. For the three months ended March 31, 2020, the volume delivered to the Old Harbour Power Plant was 32.2 million gallons (2.7 TBtu) and the volume utilized in the CHP Plant was 9.8 million gallons (0.8 TBtu). We also began to deliver power and steam under our contracts with JPS and Jamalco during March 2020 adding $1,731 in revenue.</w:t>
      </w:r>
    </w:p>
    <w:p>
      <w:pPr>
        <w:spacing w:after="0" w:line="181" w:lineRule="exact"/>
        <w:rPr>
          <w:sz w:val="20"/>
          <w:szCs w:val="20"/>
          <w:color w:val="auto"/>
        </w:rPr>
      </w:pPr>
    </w:p>
    <w:p>
      <w:pPr>
        <w:ind w:right="100" w:firstLine="326"/>
        <w:spacing w:after="0" w:line="265" w:lineRule="auto"/>
        <w:rPr>
          <w:sz w:val="20"/>
          <w:szCs w:val="20"/>
          <w:color w:val="auto"/>
        </w:rPr>
      </w:pPr>
      <w:r>
        <w:rPr>
          <w:rFonts w:ascii="Arial" w:cs="Arial" w:eastAsia="Arial" w:hAnsi="Arial"/>
          <w:sz w:val="17"/>
          <w:szCs w:val="17"/>
          <w:color w:val="auto"/>
        </w:rPr>
        <w:t>In connection with the adoption of ASC 842, we no longer identified a lease of the Montego Bay Terminal in our gas sale agreement with our customer. Accordingly, interest income associated with the direct financing lease of the Montego Bay Terminal is no longer recognized within Other revenue and all amounts recognized as revenue for activities at the Montego Bay Terminal were included in Operating revenue for the three months ended March 31, 2020, resulting in an increase of $3,900 to Operating revenue. The increase in Operating revenue was partially offset by decrease in sales at the Montego Bay Terminal of $602 due to planned maintenance at the Bogue Power Plant offset by additional industrial end user customers. The delivered volume at the Montego Bay Terminal decreased by 3.2 million gallons (0.2 TBtu) from 26.7 million gallons (2.2 TBtu) during the three months ended March 31, 2019 to 23.5 million gallons (2.0 TBtu) during the three months ended March 31, 2020.</w:t>
      </w:r>
    </w:p>
    <w:p>
      <w:pPr>
        <w:spacing w:after="0" w:line="164" w:lineRule="exact"/>
        <w:rPr>
          <w:sz w:val="20"/>
          <w:szCs w:val="20"/>
          <w:color w:val="auto"/>
        </w:rPr>
      </w:pPr>
    </w:p>
    <w:p>
      <w:pPr>
        <w:ind w:right="20" w:firstLine="307"/>
        <w:spacing w:after="0" w:line="264" w:lineRule="auto"/>
        <w:rPr>
          <w:sz w:val="20"/>
          <w:szCs w:val="20"/>
          <w:color w:val="auto"/>
        </w:rPr>
      </w:pPr>
      <w:r>
        <w:rPr>
          <w:rFonts w:ascii="Arial" w:cs="Arial" w:eastAsia="Arial" w:hAnsi="Arial"/>
          <w:sz w:val="17"/>
          <w:szCs w:val="17"/>
          <w:color w:val="auto"/>
        </w:rPr>
        <w:t>Other revenue for the three months ended March 31, 2020 was $11,028 which increased $7,215 from $3,813 for the three months ended March 31, 2019. The increase was primarily due to the recognition of development services revenue of $10,071 for the three months ended March 31, 2020, and this increase included $9,486 for the conversion of our customer’s infrastructure in Puerto Rico and $585 of revenue recognized for the completion of infrastructure projects for customers of the CHP Plant. Development services revenue is recognized from the construction and installation of equipment to transform customers’ facilities to operate utilizing natural gas or to allow customers to receive power or other outputs from our natural gas-fired power generation facilities, and such services are included within certain long-term contracts to supply these customers with natural gas or outputs from our natural gas-fired facilities. This increase is partially offset by the decrease in interest income associated with the direct financing lease of the Montego Bay Terminal which is included in Operating revenue for the three months ended March 31, 2020.</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2" w:name="page33"/>
    <w:bookmarkEnd w:id="3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Cost of sales</w:t>
      </w:r>
    </w:p>
    <w:p>
      <w:pPr>
        <w:spacing w:after="0" w:line="200" w:lineRule="exact"/>
        <w:rPr>
          <w:sz w:val="20"/>
          <w:szCs w:val="20"/>
          <w:color w:val="auto"/>
        </w:rPr>
      </w:pPr>
    </w:p>
    <w:p>
      <w:pPr>
        <w:ind w:right="20" w:firstLine="307"/>
        <w:spacing w:after="0" w:line="251" w:lineRule="auto"/>
        <w:rPr>
          <w:sz w:val="20"/>
          <w:szCs w:val="20"/>
          <w:color w:val="auto"/>
        </w:rPr>
      </w:pPr>
      <w:r>
        <w:rPr>
          <w:rFonts w:ascii="Arial" w:cs="Arial" w:eastAsia="Arial" w:hAnsi="Arial"/>
          <w:sz w:val="18"/>
          <w:szCs w:val="18"/>
          <w:color w:val="auto"/>
        </w:rPr>
        <w:t>Cost of sales includes the procurement of feedgas or LNG, as well as shipping and logistics costs to deliver LNG or natural gas to our terminals or power generation facilities or our customers. Our LNG and natural gas supply are purchased from third parties or converted in our Miami Facility. Costs to convert natural gas to LNG, including labor, depreciation, and other direct costs to operate our Miami Facility are also included in Cost of sales. For natural gas utilized by the CHP Plant, we bill our customer on a pass-through basis, and as such, NFE South Power Holdings, our consolidated subsidiary and owner of the CHP Plant, recognizes no margin on gas sales to our customer.</w:t>
      </w:r>
    </w:p>
    <w:p>
      <w:pPr>
        <w:spacing w:after="0" w:line="174" w:lineRule="exact"/>
        <w:rPr>
          <w:sz w:val="20"/>
          <w:szCs w:val="20"/>
          <w:color w:val="auto"/>
        </w:rPr>
      </w:pPr>
    </w:p>
    <w:p>
      <w:pPr>
        <w:ind w:firstLine="307"/>
        <w:spacing w:after="0" w:line="235" w:lineRule="auto"/>
        <w:rPr>
          <w:sz w:val="20"/>
          <w:szCs w:val="20"/>
          <w:color w:val="auto"/>
        </w:rPr>
      </w:pPr>
      <w:r>
        <w:rPr>
          <w:rFonts w:ascii="Arial" w:cs="Arial" w:eastAsia="Arial" w:hAnsi="Arial"/>
          <w:sz w:val="19"/>
          <w:szCs w:val="19"/>
          <w:color w:val="auto"/>
        </w:rPr>
        <w:t>Cost of sales for the three months ended March 31, 2020 was $68,216 which increased by $34,867 from $33,349 for the three months ended March 31, 2019. The increase was primarily attributable to the increase in volumes delivered of 139% compared to the three months ended March 31, 2019, partially offset by the decrease in LNG cost. The weighted-average cost of LNG purchased from third parties decreased from $0.83 per gallon ($10.06 per MMBtu) for the three months ended March 31, 2019 to $0.67 per gallon ($8.10 per MMBtu) for the three months ended March 31, 2020. The weighted-average cost of our inventory balance as of March 31, 2020 and December 31, 2019 was $0.68 per gallon ($8.24 per MMBtu) and $0.64 per gallon ($7.69 per MMBtu), respectively.</w:t>
      </w:r>
    </w:p>
    <w:p>
      <w:pPr>
        <w:spacing w:after="0" w:line="182" w:lineRule="exact"/>
        <w:rPr>
          <w:sz w:val="20"/>
          <w:szCs w:val="20"/>
          <w:color w:val="auto"/>
        </w:rPr>
      </w:pPr>
    </w:p>
    <w:p>
      <w:pPr>
        <w:ind w:right="40" w:firstLine="307"/>
        <w:spacing w:after="0" w:line="296" w:lineRule="auto"/>
        <w:rPr>
          <w:sz w:val="20"/>
          <w:szCs w:val="20"/>
          <w:color w:val="auto"/>
        </w:rPr>
      </w:pPr>
      <w:r>
        <w:rPr>
          <w:rFonts w:ascii="Arial" w:cs="Arial" w:eastAsia="Arial" w:hAnsi="Arial"/>
          <w:sz w:val="16"/>
          <w:szCs w:val="16"/>
          <w:color w:val="auto"/>
        </w:rPr>
        <w:t>The increase in Cost of sales was also attributable to costs associated with development services and increased charter costs. The costs recognized associated with development services were $9,347 for the three months ended March 31, 2020; these costs included $8,815 of costs associated with the conversion of our customer’s infrastructure in Puerto Rico and $532 of costs associated with the completion of infrastructure projects for customers of the CHP Plant. No costs associated with development services revenue were recognized during the three months ended March 31, 2019.</w:t>
      </w:r>
    </w:p>
    <w:p>
      <w:pPr>
        <w:spacing w:after="0" w:line="139" w:lineRule="exact"/>
        <w:rPr>
          <w:sz w:val="20"/>
          <w:szCs w:val="20"/>
          <w:color w:val="auto"/>
        </w:rPr>
      </w:pPr>
    </w:p>
    <w:p>
      <w:pPr>
        <w:ind w:right="180" w:firstLine="307"/>
        <w:spacing w:after="0" w:line="278" w:lineRule="auto"/>
        <w:rPr>
          <w:sz w:val="20"/>
          <w:szCs w:val="20"/>
          <w:color w:val="auto"/>
        </w:rPr>
      </w:pPr>
      <w:r>
        <w:rPr>
          <w:rFonts w:ascii="Arial" w:cs="Arial" w:eastAsia="Arial" w:hAnsi="Arial"/>
          <w:sz w:val="18"/>
          <w:szCs w:val="18"/>
          <w:color w:val="auto"/>
        </w:rPr>
        <w:t>The Company also incurred an increase in charter costs associated with our expanded charter fleet. Such charter costs increased Cost of sales by $2,920 for the three months ended March 31, 2020 as compared with the three months ended March 31, 2019.</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Operations and maintenance</w:t>
      </w:r>
    </w:p>
    <w:p>
      <w:pPr>
        <w:spacing w:after="0" w:line="200" w:lineRule="exact"/>
        <w:rPr>
          <w:sz w:val="20"/>
          <w:szCs w:val="20"/>
          <w:color w:val="auto"/>
        </w:rPr>
      </w:pPr>
    </w:p>
    <w:p>
      <w:pPr>
        <w:ind w:right="180" w:firstLine="307"/>
        <w:spacing w:after="0" w:line="249" w:lineRule="auto"/>
        <w:rPr>
          <w:sz w:val="20"/>
          <w:szCs w:val="20"/>
          <w:color w:val="auto"/>
        </w:rPr>
      </w:pPr>
      <w:r>
        <w:rPr>
          <w:rFonts w:ascii="Arial" w:cs="Arial" w:eastAsia="Arial" w:hAnsi="Arial"/>
          <w:sz w:val="18"/>
          <w:szCs w:val="18"/>
          <w:color w:val="auto"/>
        </w:rPr>
        <w:t>Operations and maintenance relates to costs of operating our Montego Bay Terminal, CHP Plant, Miami Facility and Old Harbour Terminal, exclusive of costs to convert that are reflected in Cost of sales. Operations and maintenance for the three months ended March 31, 2020 was $8,483, which increased $3,984 from $4,499 for the three months ended March 31, 2019. The increase was primarily a result of higher costs associated with the operations of charter vessels, including a storage vessel for Puerto Rico, of $2,918 in the three months ended March 31, 2020, as well as other increased operating costs, primarily payroll related expenses of $828. We also incurred operational costs for the CHP Plant for the period after commencement of commercial operations on March 3, 2020 of $344.</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Selling, general and administrative</w:t>
      </w:r>
    </w:p>
    <w:p>
      <w:pPr>
        <w:spacing w:after="0" w:line="200" w:lineRule="exact"/>
        <w:rPr>
          <w:sz w:val="20"/>
          <w:szCs w:val="20"/>
          <w:color w:val="auto"/>
        </w:rPr>
      </w:pPr>
    </w:p>
    <w:p>
      <w:pPr>
        <w:ind w:right="200" w:firstLine="307"/>
        <w:spacing w:after="0" w:line="343"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w:t>
      </w:r>
    </w:p>
    <w:p>
      <w:pPr>
        <w:spacing w:after="0" w:line="102" w:lineRule="exact"/>
        <w:rPr>
          <w:sz w:val="20"/>
          <w:szCs w:val="20"/>
          <w:color w:val="auto"/>
        </w:rPr>
      </w:pPr>
    </w:p>
    <w:p>
      <w:pPr>
        <w:jc w:val="both"/>
        <w:ind w:right="60" w:firstLine="307"/>
        <w:spacing w:after="0" w:line="237" w:lineRule="auto"/>
        <w:rPr>
          <w:sz w:val="20"/>
          <w:szCs w:val="20"/>
          <w:color w:val="auto"/>
        </w:rPr>
      </w:pPr>
      <w:r>
        <w:rPr>
          <w:rFonts w:ascii="Arial" w:cs="Arial" w:eastAsia="Arial" w:hAnsi="Arial"/>
          <w:sz w:val="19"/>
          <w:szCs w:val="19"/>
          <w:color w:val="auto"/>
        </w:rPr>
        <w:t>Selling, general and administrative for the three months ended March 31, 2020, was $28,370 which decreased $21,379 from $49,749 for the three months ended March 31, 2019. The decrease was primarily attributable to higher share-based compensation expense of $16,697 and professional fees of $7,844 recognized for the three months ended March 31, 2019. These decreases were partially offset by costs associated with increased headcount as compared to the same period in the prior year.</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Loss on mitigation sales</w:t>
      </w:r>
    </w:p>
    <w:p>
      <w:pPr>
        <w:spacing w:after="0" w:line="200" w:lineRule="exact"/>
        <w:rPr>
          <w:sz w:val="20"/>
          <w:szCs w:val="20"/>
          <w:color w:val="auto"/>
        </w:rPr>
      </w:pPr>
    </w:p>
    <w:p>
      <w:pPr>
        <w:ind w:right="180" w:firstLine="279"/>
        <w:spacing w:after="0" w:line="236" w:lineRule="auto"/>
        <w:rPr>
          <w:sz w:val="20"/>
          <w:szCs w:val="20"/>
          <w:color w:val="auto"/>
        </w:rPr>
      </w:pPr>
      <w:r>
        <w:rPr>
          <w:rFonts w:ascii="Arial" w:cs="Arial" w:eastAsia="Arial" w:hAnsi="Arial"/>
          <w:sz w:val="19"/>
          <w:szCs w:val="19"/>
          <w:color w:val="auto"/>
        </w:rPr>
        <w:t>Loss on mitigation sales for the three months ended March 31, 2020 was $208 which was attributable to losses incurred associated with undelivered quantities of LNG under firm purchase commitments due to storage capacity constraints. In these situations, our supplier will attempt to sell the undelivered quantity through a mitigation sale, and the losses incurred under the firm purchases are partially offset by this sale of the undelivered amount to third parties for amounts lower than the contracted price, which resulted in a loss of $208. We did not have such transactions during the three months ended March 31, 2019.</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Depreciation and amortization</w:t>
      </w:r>
    </w:p>
    <w:p>
      <w:pPr>
        <w:spacing w:after="0" w:line="200" w:lineRule="exact"/>
        <w:rPr>
          <w:sz w:val="20"/>
          <w:szCs w:val="20"/>
          <w:color w:val="auto"/>
        </w:rPr>
      </w:pPr>
    </w:p>
    <w:p>
      <w:pPr>
        <w:ind w:right="20" w:firstLine="307"/>
        <w:spacing w:after="0" w:line="290" w:lineRule="auto"/>
        <w:rPr>
          <w:sz w:val="20"/>
          <w:szCs w:val="20"/>
          <w:color w:val="auto"/>
        </w:rPr>
      </w:pPr>
      <w:r>
        <w:rPr>
          <w:rFonts w:ascii="Arial" w:cs="Arial" w:eastAsia="Arial" w:hAnsi="Arial"/>
          <w:sz w:val="16"/>
          <w:szCs w:val="16"/>
          <w:color w:val="auto"/>
        </w:rPr>
        <w:t>Depreciation and amortization for the three months ended March 31, 2020 was $5,254, which increased $3,563 from $1,691 for the three months ended March 31, 2019. The increase is primarily a result of depreciation of $1,894 for our Old Harbour Terminal that was not yet in service during the three months ended March 31, 2019, as well as, depreciation expense of $673 recognized for the CHP Plant that went into service in March 2020. The increase is also due to deprecation recognized on our Montego Bay Terminal during the three months ended March 31, 2020 of $1,201. These assets were presented as direct financing leases prior to the adoption of ASC 842, and no depreciation for such assets was previously recorded.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3" w:name="page34"/>
    <w:bookmarkEnd w:id="3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Loss on extinguishment of debt, net</w:t>
      </w:r>
    </w:p>
    <w:p>
      <w:pPr>
        <w:spacing w:after="0" w:line="200" w:lineRule="exact"/>
        <w:rPr>
          <w:sz w:val="20"/>
          <w:szCs w:val="20"/>
          <w:color w:val="auto"/>
        </w:rPr>
      </w:pPr>
    </w:p>
    <w:p>
      <w:pPr>
        <w:ind w:right="20" w:firstLine="307"/>
        <w:spacing w:after="0" w:line="251" w:lineRule="auto"/>
        <w:rPr>
          <w:sz w:val="20"/>
          <w:szCs w:val="20"/>
          <w:color w:val="auto"/>
        </w:rPr>
      </w:pPr>
      <w:r>
        <w:rPr>
          <w:rFonts w:ascii="Arial" w:cs="Arial" w:eastAsia="Arial" w:hAnsi="Arial"/>
          <w:sz w:val="19"/>
          <w:szCs w:val="19"/>
          <w:color w:val="auto"/>
        </w:rPr>
        <w:t>Loss on extinguishment of debt for the three months ended March 31, 2020 was $9,557 as a result of the extinguishment of the Term Loan Facility (as defined below).</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Interest expense</w:t>
      </w:r>
    </w:p>
    <w:p>
      <w:pPr>
        <w:spacing w:after="0" w:line="200" w:lineRule="exact"/>
        <w:rPr>
          <w:sz w:val="20"/>
          <w:szCs w:val="20"/>
          <w:color w:val="auto"/>
        </w:rPr>
      </w:pPr>
    </w:p>
    <w:p>
      <w:pPr>
        <w:ind w:firstLine="307"/>
        <w:spacing w:after="0" w:line="236" w:lineRule="auto"/>
        <w:rPr>
          <w:sz w:val="20"/>
          <w:szCs w:val="20"/>
          <w:color w:val="auto"/>
        </w:rPr>
      </w:pPr>
      <w:r>
        <w:rPr>
          <w:rFonts w:ascii="Arial" w:cs="Arial" w:eastAsia="Arial" w:hAnsi="Arial"/>
          <w:sz w:val="19"/>
          <w:szCs w:val="19"/>
          <w:color w:val="auto"/>
        </w:rPr>
        <w:t>Interest expense for the three months ended March 31, 2020 was $13,890, which increased $10,606 from $3,284 for the three months ended March 31, 2019, primarily as a result of the additional principal balances outstanding in the first quarter of 2020 under the Credit Agreement, Senior Secured Bonds and Senior Unsecured Bonds (all defined below), as compared to the Term Loan Facility which was extinguished in January 2020. Interest expense incurred under the Credit Agreement, net of capitalized interest, was $10,932, and interest expense incurred on the Secured Bonds and Senior Unsecured, net of capitalized interest, was $1,787.</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Other expense (income), net</w:t>
      </w:r>
    </w:p>
    <w:p>
      <w:pPr>
        <w:spacing w:after="0" w:line="200" w:lineRule="exact"/>
        <w:rPr>
          <w:sz w:val="20"/>
          <w:szCs w:val="20"/>
          <w:color w:val="auto"/>
        </w:rPr>
      </w:pPr>
    </w:p>
    <w:p>
      <w:pPr>
        <w:ind w:right="120" w:firstLine="307"/>
        <w:spacing w:after="0" w:line="283" w:lineRule="auto"/>
        <w:rPr>
          <w:sz w:val="20"/>
          <w:szCs w:val="20"/>
          <w:color w:val="auto"/>
        </w:rPr>
      </w:pPr>
      <w:r>
        <w:rPr>
          <w:rFonts w:ascii="Arial" w:cs="Arial" w:eastAsia="Arial" w:hAnsi="Arial"/>
          <w:sz w:val="17"/>
          <w:szCs w:val="17"/>
          <w:color w:val="auto"/>
        </w:rPr>
        <w:t>Other expense, net for the three months ended March 31, 2020 was $611, which decreased $3,186 from other income of $2,575 for the three months ended March 31, 2019, primarily as a result of the unrealized loss on our investment in equity securities, partially offset by the changes in fair value of the derivative liability and equity agreement associated with our acquisition of Shannon LNG in November 2018 and interest income.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Tax (benefit) expense</w:t>
      </w:r>
    </w:p>
    <w:p>
      <w:pPr>
        <w:spacing w:after="0" w:line="200" w:lineRule="exact"/>
        <w:rPr>
          <w:sz w:val="20"/>
          <w:szCs w:val="20"/>
          <w:color w:val="auto"/>
        </w:rPr>
      </w:pPr>
    </w:p>
    <w:p>
      <w:pPr>
        <w:ind w:right="380" w:firstLine="307"/>
        <w:spacing w:after="0"/>
        <w:rPr>
          <w:sz w:val="20"/>
          <w:szCs w:val="20"/>
          <w:color w:val="auto"/>
        </w:rPr>
      </w:pPr>
      <w:r>
        <w:rPr>
          <w:rFonts w:ascii="Arial" w:cs="Arial" w:eastAsia="Arial" w:hAnsi="Arial"/>
          <w:sz w:val="19"/>
          <w:szCs w:val="19"/>
          <w:color w:val="auto"/>
        </w:rPr>
        <w:t>Tax (benefit) for the three months ended March 31, 2020 was $(4), as compared to tax expense of $246 for the three months ended March 31, 2019. We continue to have valuation allowances in many non-U.S. jurisdictions, and as such, our tax benefit for current period losses in such jurisdictions has been limited.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Factors Impacting Comparability of Our Financial Results</w:t>
      </w:r>
    </w:p>
    <w:p>
      <w:pPr>
        <w:spacing w:after="0" w:line="204" w:lineRule="exact"/>
        <w:rPr>
          <w:sz w:val="20"/>
          <w:szCs w:val="20"/>
          <w:color w:val="auto"/>
        </w:rPr>
      </w:pPr>
    </w:p>
    <w:p>
      <w:pPr>
        <w:ind w:right="840" w:firstLine="307"/>
        <w:spacing w:after="0" w:line="251" w:lineRule="auto"/>
        <w:rPr>
          <w:sz w:val="20"/>
          <w:szCs w:val="20"/>
          <w:color w:val="auto"/>
        </w:rPr>
      </w:pPr>
      <w:r>
        <w:rPr>
          <w:rFonts w:ascii="Arial" w:cs="Arial" w:eastAsia="Arial" w:hAnsi="Arial"/>
          <w:sz w:val="19"/>
          <w:szCs w:val="19"/>
          <w:color w:val="auto"/>
        </w:rPr>
        <w:t>Our historical results of operations and cash flows are not indicative of results of operations and cash flows to be expected in the future, principally for the following reasons:</w:t>
      </w:r>
    </w:p>
    <w:p>
      <w:pPr>
        <w:spacing w:after="0" w:line="180" w:lineRule="exact"/>
        <w:rPr>
          <w:sz w:val="20"/>
          <w:szCs w:val="20"/>
          <w:color w:val="auto"/>
        </w:rPr>
      </w:pPr>
    </w:p>
    <w:p>
      <w:pPr>
        <w:ind w:left="560" w:right="220" w:hanging="288"/>
        <w:spacing w:after="0" w:line="287"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historical financial results do not include significant projects that are near completion. </w:t>
      </w:r>
      <w:r>
        <w:rPr>
          <w:rFonts w:ascii="Arial" w:cs="Arial" w:eastAsia="Arial" w:hAnsi="Arial"/>
          <w:sz w:val="14"/>
          <w:szCs w:val="14"/>
          <w:color w:val="auto"/>
        </w:rPr>
        <w:t>Our results of operations for the first quarter of 2020 include our Montego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Bay Terminal, Miami Facility, sales from our Old Harbour Terminal to JPC, and certain industrial end-users. The CHP Plant commenced commercial operations during March 2020, and our future results will include revenue and results operations from sales of gas, power and steam from the CHP Plant. We also expect that the San Juan Facility will become fully operational beginning in the second quarter of 2020. Our current results also do not include revenue and operating results from other projects under development including the La Paz Terminal, the LNG regasification terminal and power plant in Puerto Sandino, Nicaragua (the “Puerto Sandino Terminal”), the LNG terminal in Angola (the “Angola Terminal”), and the LNG terminal on the Shannon Estuary near Ballylongford, Ireland (the “Ireland Terminal”).</w:t>
      </w:r>
    </w:p>
    <w:p>
      <w:pPr>
        <w:spacing w:after="0" w:line="171" w:lineRule="exact"/>
        <w:rPr>
          <w:rFonts w:ascii="Arial" w:cs="Arial" w:eastAsia="Arial" w:hAnsi="Arial"/>
          <w:sz w:val="14"/>
          <w:szCs w:val="14"/>
          <w:color w:val="auto"/>
        </w:rPr>
      </w:pPr>
    </w:p>
    <w:p>
      <w:pPr>
        <w:ind w:left="560" w:right="40" w:hanging="288"/>
        <w:spacing w:after="0" w:line="313"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Our historical financial results do not reflect the long term LNG supply agreement that will lower the cost of our LNG supply from 2022 to 2030. </w:t>
      </w:r>
      <w:r>
        <w:rPr>
          <w:rFonts w:ascii="Arial" w:cs="Arial" w:eastAsia="Arial" w:hAnsi="Arial"/>
          <w:sz w:val="13"/>
          <w:szCs w:val="13"/>
          <w:color w:val="auto"/>
        </w:rPr>
        <w:t>We currently purchase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majority of our supply of LNG from third parties. For the three months ended March 31, 2020, we sourced 95% of our LNG volumes from third parties. Our cost of sales for the three months ended March 31, 2020, reflected an average cost of LNG purchased from third parties of $0.67 per gallon ($8.10 per MMBtu), predominately purchased under a firm purchase commitment entered into in December 2018. During 2019, the market price for LNG dropped significantly, and we have executed a firm commitment to purchase 27.5 TBtus annually beginning in 2022 at prices that are expected to be significantly lower than our current inventory balance. Further, we believe that we will take advantage of the current market pricing for LNG to supply our expanding operations, resulting in an overall lower average cost of LNG in future periods.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04" w:lineRule="exact"/>
        <w:rPr>
          <w:sz w:val="20"/>
          <w:szCs w:val="20"/>
          <w:color w:val="auto"/>
        </w:rPr>
      </w:pPr>
    </w:p>
    <w:p>
      <w:pPr>
        <w:ind w:right="20" w:firstLine="279"/>
        <w:spacing w:after="0" w:line="280" w:lineRule="auto"/>
        <w:rPr>
          <w:sz w:val="20"/>
          <w:szCs w:val="20"/>
          <w:color w:val="auto"/>
        </w:rPr>
      </w:pPr>
      <w:r>
        <w:rPr>
          <w:rFonts w:ascii="Arial" w:cs="Arial" w:eastAsia="Arial" w:hAnsi="Arial"/>
          <w:sz w:val="16"/>
          <w:szCs w:val="16"/>
          <w:color w:val="auto"/>
        </w:rPr>
        <w:t>We believe we will have sufficient liquidity from proceeds from recent borrowings and cash flow from operations to fund our capital expenditures and working capital needs for the next 12 months. We expect to fund our current operations and continued development of additional facilities through a combination of cash on hand and additional borrowings from the Senior Secured Bonds, Senior Unsecured Bonds, and the Credit Agreement (all defined below).Our IPO was completed on February 4, 2019, and we raised net proceeds of $268,010, inclusive of additional net proceeds raised from the exercise of the underwriters’ option to purchase additional shares and after deducting underwriting discounts and commissions and transaction costs. On March 21, 2019, we drew the remaining availability on our Term Loan Facility (defined below) and had $495,000 of outstanding principal as of December 31, 2019. On September 5, 2019, we issued approximately $117,000 in Senior Secured Bonds and Senior Unsecured Bonds, and in December 2019, we issued an additional $63,000 in Senior Secured Bonds, which was fully funded by January 2020. In January 2020, we borrowed $800,000 under the Credit Agreement, and repaid the Term Loan Facility in full. No principal payments are due under the Senior Secured and Senior Unsecured Bonds for at least seven years; no principal payments are due under the Credit Agreement until maturity in January 2023.</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4" w:name="page35"/>
    <w:bookmarkEnd w:id="3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60" w:firstLine="279"/>
        <w:spacing w:after="0" w:line="284" w:lineRule="auto"/>
        <w:rPr>
          <w:sz w:val="20"/>
          <w:szCs w:val="20"/>
          <w:color w:val="auto"/>
        </w:rPr>
      </w:pPr>
      <w:r>
        <w:rPr>
          <w:rFonts w:ascii="Arial" w:cs="Arial" w:eastAsia="Arial" w:hAnsi="Arial"/>
          <w:sz w:val="16"/>
          <w:szCs w:val="16"/>
          <w:color w:val="auto"/>
        </w:rPr>
        <w:t>We have assumed total expenditures for all completed and existing projects to be approximately $869 million, with approximately $690 million having already been spent through March 31, 2020. This estimate represents the expenditures necessary to complete the San Juan Facility and the La Paz Terminal, as well as expected expenditures to serve new industrial end-users. We expect to be able to fund all such committed projects with a combination of cash on hand, as well as the proceeds from the Credit Agreement, Senior Secured Bonds, and Senior Unsecured Bonds. Through March 31, 2020, we have spent approximately $169 million to develop the Pennsylvania Facility. Approximately $20 million of construction and development costs have been expensed as we have not issued a final notice to proceed to our engineering, procurement, and construction contractors. Cost for land, as well as engineering and equipment that could be deployed to other facilities of approximately $149 million, has been capitalized.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table summarizes the changes to our cash flows for the three months ended March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85"/>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20" w:type="dxa"/>
            <w:vAlign w:val="bottom"/>
            <w:gridSpan w:val="2"/>
          </w:tcPr>
          <w:p>
            <w:pPr>
              <w:spacing w:after="0"/>
              <w:rPr>
                <w:sz w:val="20"/>
                <w:szCs w:val="20"/>
                <w:color w:val="auto"/>
              </w:rPr>
            </w:pPr>
            <w:r>
              <w:rPr>
                <w:rFonts w:ascii="Arial" w:cs="Arial" w:eastAsia="Arial" w:hAnsi="Arial"/>
                <w:sz w:val="16"/>
                <w:szCs w:val="16"/>
                <w:color w:val="auto"/>
              </w:rPr>
              <w:t>Cash flows from:</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(51,311)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(31,048)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(20,263)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(56,048)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(135,997)</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79,949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483,193</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(177,604)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198,230</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316,148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(117,918)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Cash (used in) operating activities</w:t>
      </w:r>
    </w:p>
    <w:p>
      <w:pPr>
        <w:spacing w:after="0" w:line="200" w:lineRule="exact"/>
        <w:rPr>
          <w:sz w:val="20"/>
          <w:szCs w:val="20"/>
          <w:color w:val="auto"/>
        </w:rPr>
      </w:pPr>
    </w:p>
    <w:p>
      <w:pPr>
        <w:jc w:val="both"/>
        <w:ind w:right="60" w:firstLine="307"/>
        <w:spacing w:after="0" w:line="260" w:lineRule="auto"/>
        <w:rPr>
          <w:sz w:val="20"/>
          <w:szCs w:val="20"/>
          <w:color w:val="auto"/>
        </w:rPr>
      </w:pPr>
      <w:r>
        <w:rPr>
          <w:rFonts w:ascii="Arial" w:cs="Arial" w:eastAsia="Arial" w:hAnsi="Arial"/>
          <w:sz w:val="18"/>
          <w:szCs w:val="18"/>
          <w:color w:val="auto"/>
        </w:rPr>
        <w:t>Our cash flow used in operating activities was $51,311 for the three months ended March 31, 2020, which increased by $20,263 from $31,048 for the three months ended March 31, 2019. For both the three-month periods ended March 31, 2020 and 2019, we had losses that comprised a significant portion of cash used in operating activities due to the continued expansion of our business activities.</w:t>
      </w:r>
    </w:p>
    <w:p>
      <w:pPr>
        <w:spacing w:after="0" w:line="165" w:lineRule="exact"/>
        <w:rPr>
          <w:sz w:val="20"/>
          <w:szCs w:val="20"/>
          <w:color w:val="auto"/>
        </w:rPr>
      </w:pPr>
    </w:p>
    <w:p>
      <w:pPr>
        <w:ind w:right="180" w:firstLine="307"/>
        <w:spacing w:after="0"/>
        <w:rPr>
          <w:sz w:val="20"/>
          <w:szCs w:val="20"/>
          <w:color w:val="auto"/>
        </w:rPr>
      </w:pPr>
      <w:r>
        <w:rPr>
          <w:rFonts w:ascii="Arial" w:cs="Arial" w:eastAsia="Arial" w:hAnsi="Arial"/>
          <w:sz w:val="19"/>
          <w:szCs w:val="19"/>
          <w:color w:val="auto"/>
        </w:rPr>
        <w:t>Cash flows used in operating activities for the three months ended March 31, 2020 was also significantly impacted by prepayments for two LNG cargos that were yet to be received. The significant increase in prepaid expenses was partially offset by a decrease in non-cash share-based compensation expense.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Cash (used in) investing activities</w:t>
      </w:r>
    </w:p>
    <w:p>
      <w:pPr>
        <w:spacing w:after="0" w:line="200" w:lineRule="exact"/>
        <w:rPr>
          <w:sz w:val="20"/>
          <w:szCs w:val="20"/>
          <w:color w:val="auto"/>
        </w:rPr>
      </w:pPr>
    </w:p>
    <w:p>
      <w:pPr>
        <w:ind w:right="80" w:firstLine="307"/>
        <w:spacing w:after="0" w:line="260" w:lineRule="auto"/>
        <w:rPr>
          <w:sz w:val="20"/>
          <w:szCs w:val="20"/>
          <w:color w:val="auto"/>
        </w:rPr>
      </w:pPr>
      <w:r>
        <w:rPr>
          <w:rFonts w:ascii="Arial" w:cs="Arial" w:eastAsia="Arial" w:hAnsi="Arial"/>
          <w:sz w:val="18"/>
          <w:szCs w:val="18"/>
          <w:color w:val="auto"/>
        </w:rPr>
        <w:t>Our cash flow used in investing activities was $56,048 for the three months ended March 31, 2020, which decreased by $79,949 from $135,997 for the three months ended March 31, 2019. Cash outflows for investing activities during the three months ended March 31, 2020 were primarily used to complete the CHP Plant and the San Juan Facility, as well as construction of the La Paz Terminal.</w:t>
      </w:r>
    </w:p>
    <w:p>
      <w:pPr>
        <w:spacing w:after="0" w:line="165" w:lineRule="exact"/>
        <w:rPr>
          <w:sz w:val="20"/>
          <w:szCs w:val="20"/>
          <w:color w:val="auto"/>
        </w:rPr>
      </w:pPr>
    </w:p>
    <w:p>
      <w:pPr>
        <w:ind w:right="100" w:firstLine="307"/>
        <w:spacing w:after="0" w:line="237" w:lineRule="auto"/>
        <w:rPr>
          <w:sz w:val="20"/>
          <w:szCs w:val="20"/>
          <w:color w:val="auto"/>
        </w:rPr>
      </w:pPr>
      <w:r>
        <w:rPr>
          <w:rFonts w:ascii="Arial" w:cs="Arial" w:eastAsia="Arial" w:hAnsi="Arial"/>
          <w:sz w:val="19"/>
          <w:szCs w:val="19"/>
          <w:color w:val="auto"/>
        </w:rPr>
        <w:t>Cash flow used in investing activities during the three months ended March 31, 2019 included significant capital expenditures for development of our Old Harbour Terminal and Pennsylvania Facility, as well as payments for significant outstanding amounts to our suppliers that were accrued as of December 31, 2018. We did not have these activities during the three months ended March 31, 2020, resulting in a decrease in cash outflows for investing activities.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Cash provided by financing activities</w:t>
      </w:r>
    </w:p>
    <w:p>
      <w:pPr>
        <w:spacing w:after="0" w:line="200" w:lineRule="exact"/>
        <w:rPr>
          <w:sz w:val="20"/>
          <w:szCs w:val="20"/>
          <w:color w:val="auto"/>
        </w:rPr>
      </w:pPr>
    </w:p>
    <w:p>
      <w:pPr>
        <w:ind w:right="40" w:firstLine="307"/>
        <w:spacing w:after="0" w:line="270" w:lineRule="auto"/>
        <w:rPr>
          <w:sz w:val="20"/>
          <w:szCs w:val="20"/>
          <w:color w:val="auto"/>
        </w:rPr>
      </w:pPr>
      <w:r>
        <w:rPr>
          <w:rFonts w:ascii="Arial" w:cs="Arial" w:eastAsia="Arial" w:hAnsi="Arial"/>
          <w:sz w:val="17"/>
          <w:szCs w:val="17"/>
          <w:color w:val="auto"/>
        </w:rPr>
        <w:t>Our cash flow provided by financing activities was $305,589 for the three months ended March 31, 2020, which decreased by $177,604 from $483,193 for the three months ended March 31, 2019. Cash provided by financing activities during the three months ended March 31, 2020 was due to borrowings under the Credit Agreement of $800,000, partially offset by an original issue discount of $20,000 and transaction costs and other fees to obtain the Credit Agreement of $14,069. A portion of these proceeds was used to fund the repayment of the Term Loan Facility of $506,402. Additionally, the remaining proceeds from the Senior Secured Bonds of $52,144 were received during the first quarter of 2020.</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5" w:name="page36"/>
    <w:bookmarkEnd w:id="3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60" w:firstLine="307"/>
        <w:spacing w:after="0"/>
        <w:rPr>
          <w:sz w:val="20"/>
          <w:szCs w:val="20"/>
          <w:color w:val="auto"/>
        </w:rPr>
      </w:pPr>
      <w:r>
        <w:rPr>
          <w:rFonts w:ascii="Arial" w:cs="Arial" w:eastAsia="Arial" w:hAnsi="Arial"/>
          <w:sz w:val="19"/>
          <w:szCs w:val="19"/>
          <w:color w:val="auto"/>
        </w:rPr>
        <w:t>Cash flow provided by financing activities during the three months ended March 31, 2019 primarily consisted of IPO proceeds of $274,948 and additional borrowing under the Term Loan Facility of $220,000. These cash inflows were partially offset by payment of offering costs for our IPO and principal payments on debt.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Credit Agreement</w:t>
      </w:r>
    </w:p>
    <w:p>
      <w:pPr>
        <w:spacing w:after="0" w:line="200" w:lineRule="exact"/>
        <w:rPr>
          <w:sz w:val="20"/>
          <w:szCs w:val="20"/>
          <w:color w:val="auto"/>
        </w:rPr>
      </w:pPr>
    </w:p>
    <w:p>
      <w:pPr>
        <w:jc w:val="both"/>
        <w:ind w:firstLine="279"/>
        <w:spacing w:after="0" w:line="236" w:lineRule="auto"/>
        <w:rPr>
          <w:sz w:val="20"/>
          <w:szCs w:val="20"/>
          <w:color w:val="auto"/>
        </w:rPr>
      </w:pPr>
      <w:r>
        <w:rPr>
          <w:rFonts w:ascii="Arial" w:cs="Arial" w:eastAsia="Arial" w:hAnsi="Arial"/>
          <w:sz w:val="19"/>
          <w:szCs w:val="19"/>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 Loans may be prepaid, at the option of the Company, at any time without premium. We have used a portion of the proceeds received to extinguish the Term Loan Facility (defined below).</w:t>
      </w:r>
    </w:p>
    <w:p>
      <w:pPr>
        <w:spacing w:after="0" w:line="182" w:lineRule="exact"/>
        <w:rPr>
          <w:sz w:val="20"/>
          <w:szCs w:val="20"/>
          <w:color w:val="auto"/>
        </w:rPr>
      </w:pPr>
    </w:p>
    <w:p>
      <w:pPr>
        <w:ind w:right="800" w:firstLine="279"/>
        <w:spacing w:after="0" w:line="343" w:lineRule="auto"/>
        <w:rPr>
          <w:sz w:val="20"/>
          <w:szCs w:val="20"/>
          <w:color w:val="auto"/>
        </w:rPr>
      </w:pPr>
      <w:r>
        <w:rPr>
          <w:rFonts w:ascii="Arial" w:cs="Arial" w:eastAsia="Arial" w:hAnsi="Arial"/>
          <w:sz w:val="16"/>
          <w:szCs w:val="16"/>
          <w:color w:val="auto"/>
        </w:rPr>
        <w:t>We are required to comply with certain financial covenants as well as usual and customary affirmative and negative covenants, including limitations on liens and incurring additional indebtedness. The facility also provides for customary events of default and cure provisions.</w:t>
      </w:r>
    </w:p>
    <w:p>
      <w:pPr>
        <w:spacing w:after="0" w:line="102" w:lineRule="exact"/>
        <w:rPr>
          <w:sz w:val="20"/>
          <w:szCs w:val="20"/>
          <w:color w:val="auto"/>
        </w:rPr>
      </w:pPr>
    </w:p>
    <w:p>
      <w:pPr>
        <w:ind w:right="560" w:firstLine="279"/>
        <w:spacing w:after="0" w:line="283" w:lineRule="auto"/>
        <w:rPr>
          <w:sz w:val="20"/>
          <w:szCs w:val="20"/>
          <w:color w:val="auto"/>
        </w:rPr>
      </w:pPr>
      <w:r>
        <w:rPr>
          <w:rFonts w:ascii="Arial" w:cs="Arial" w:eastAsia="Arial" w:hAnsi="Arial"/>
          <w:sz w:val="17"/>
          <w:szCs w:val="17"/>
          <w:color w:val="auto"/>
        </w:rPr>
        <w:t>In connection with obtaining the Credit Agreement and the extinguishment of the Term Loan Facility, the Company incurred $35,614 in origination, structuring, and other fees which were recognized as a reduction of the principal balance of the Credit Agreement on the condensed consolidated balance sheets. As of March 31, 2020, the remaining unamortized deferred financing costs were $31,060.</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 Facility</w:t>
      </w:r>
    </w:p>
    <w:p>
      <w:pPr>
        <w:spacing w:after="0" w:line="200" w:lineRule="exact"/>
        <w:rPr>
          <w:sz w:val="20"/>
          <w:szCs w:val="20"/>
          <w:color w:val="auto"/>
        </w:rPr>
      </w:pPr>
    </w:p>
    <w:p>
      <w:pPr>
        <w:ind w:right="120" w:firstLine="279"/>
        <w:spacing w:after="0" w:line="235" w:lineRule="auto"/>
        <w:rPr>
          <w:sz w:val="20"/>
          <w:szCs w:val="20"/>
          <w:color w:val="auto"/>
        </w:rPr>
      </w:pPr>
      <w:r>
        <w:rPr>
          <w:rFonts w:ascii="Arial" w:cs="Arial" w:eastAsia="Arial" w:hAnsi="Arial"/>
          <w:sz w:val="19"/>
          <w:szCs w:val="19"/>
          <w:color w:val="auto"/>
        </w:rPr>
        <w:t>On August 16, 2018, the Company entered into a credit agreement with a syndicate of two lenders to borrow up to an aggregate principal amount of $240,000. On December 31, 2018, the Company amended this credit agreement (as amended, the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As of December 31, 2018, the outstanding principal balance under the Term Loan Facility was $280,000.</w:t>
      </w:r>
    </w:p>
    <w:p>
      <w:pPr>
        <w:spacing w:after="0" w:line="182" w:lineRule="exact"/>
        <w:rPr>
          <w:sz w:val="20"/>
          <w:szCs w:val="20"/>
          <w:color w:val="auto"/>
        </w:rPr>
      </w:pPr>
    </w:p>
    <w:p>
      <w:pPr>
        <w:ind w:right="520" w:firstLine="279"/>
        <w:spacing w:after="0" w:line="278" w:lineRule="auto"/>
        <w:rPr>
          <w:sz w:val="20"/>
          <w:szCs w:val="20"/>
          <w:color w:val="auto"/>
        </w:rPr>
      </w:pPr>
      <w:r>
        <w:rPr>
          <w:rFonts w:ascii="Arial" w:cs="Arial" w:eastAsia="Arial" w:hAnsi="Arial"/>
          <w:sz w:val="18"/>
          <w:szCs w:val="18"/>
          <w:color w:val="auto"/>
        </w:rPr>
        <w:t>On March 21, 2019, the Company drew an additional $220,000, bringing our total outstanding borrowings to $500,000 under the Term Loan Facility, and as of December 31, 2019, the total principal amount outstanding under the Term Loan Facility was $495,000.</w:t>
      </w:r>
    </w:p>
    <w:p>
      <w:pPr>
        <w:spacing w:after="0" w:line="149" w:lineRule="exact"/>
        <w:rPr>
          <w:sz w:val="20"/>
          <w:szCs w:val="20"/>
          <w:color w:val="auto"/>
        </w:rPr>
      </w:pPr>
    </w:p>
    <w:p>
      <w:pPr>
        <w:jc w:val="both"/>
        <w:ind w:right="80" w:firstLine="279"/>
        <w:spacing w:after="0" w:line="237" w:lineRule="auto"/>
        <w:rPr>
          <w:sz w:val="20"/>
          <w:szCs w:val="20"/>
          <w:color w:val="auto"/>
        </w:rPr>
      </w:pPr>
      <w:r>
        <w:rPr>
          <w:rFonts w:ascii="Arial" w:cs="Arial" w:eastAsia="Arial" w:hAnsi="Arial"/>
          <w:sz w:val="19"/>
          <w:szCs w:val="19"/>
          <w:color w:val="auto"/>
        </w:rPr>
        <w:t>All borrowings under the Term Loan Facility bore interest at a rate selected by us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84" w:lineRule="exact"/>
        <w:rPr>
          <w:sz w:val="20"/>
          <w:szCs w:val="20"/>
          <w:color w:val="auto"/>
        </w:rPr>
      </w:pPr>
    </w:p>
    <w:p>
      <w:pPr>
        <w:ind w:right="100" w:firstLine="279"/>
        <w:spacing w:after="0" w:line="254" w:lineRule="auto"/>
        <w:rPr>
          <w:sz w:val="20"/>
          <w:szCs w:val="20"/>
          <w:color w:val="auto"/>
        </w:rPr>
      </w:pPr>
      <w:r>
        <w:rPr>
          <w:rFonts w:ascii="Arial" w:cs="Arial" w:eastAsia="Arial" w:hAnsi="Arial"/>
          <w:sz w:val="18"/>
          <w:szCs w:val="18"/>
          <w:color w:val="auto"/>
        </w:rPr>
        <w:t>The Term Loan Facility was secured by mortgages on certain properties owned by our subsidiaries, in addition to other collateral. The Term Loan Facility was amended in the third quarter of 2019 to allow certain properties of a consolidated subsidiary to secure the Senior Secured Bonds (defined below). We were also required to comply with certain financial covenants and other restrictive covenants customary for facilities of this type, including restrictions on indebtedness, liens, acquisitions and investments, restricted payments, and dispositions.</w:t>
      </w:r>
    </w:p>
    <w:p>
      <w:pPr>
        <w:spacing w:after="0" w:line="171" w:lineRule="exact"/>
        <w:rPr>
          <w:sz w:val="20"/>
          <w:szCs w:val="20"/>
          <w:color w:val="auto"/>
        </w:rPr>
      </w:pPr>
    </w:p>
    <w:p>
      <w:pPr>
        <w:ind w:right="120" w:firstLine="279"/>
        <w:spacing w:after="0" w:line="254" w:lineRule="auto"/>
        <w:rPr>
          <w:sz w:val="20"/>
          <w:szCs w:val="20"/>
          <w:color w:val="auto"/>
        </w:rPr>
      </w:pPr>
      <w:r>
        <w:rPr>
          <w:rFonts w:ascii="Arial" w:cs="Arial" w:eastAsia="Arial" w:hAnsi="Arial"/>
          <w:sz w:val="18"/>
          <w:szCs w:val="18"/>
          <w:color w:val="auto"/>
        </w:rPr>
        <w:t>We incurred costs in connection with obtaining the Term Loan Facility, the extinguishment of our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71" w:lineRule="exact"/>
        <w:rPr>
          <w:sz w:val="20"/>
          <w:szCs w:val="20"/>
          <w:color w:val="auto"/>
        </w:rPr>
      </w:pPr>
    </w:p>
    <w:p>
      <w:pPr>
        <w:jc w:val="both"/>
        <w:ind w:right="40" w:firstLine="279"/>
        <w:spacing w:after="0" w:line="236" w:lineRule="auto"/>
        <w:rPr>
          <w:sz w:val="20"/>
          <w:szCs w:val="20"/>
          <w:color w:val="auto"/>
        </w:rPr>
      </w:pPr>
      <w:r>
        <w:rPr>
          <w:rFonts w:ascii="Arial" w:cs="Arial" w:eastAsia="Arial" w:hAnsi="Arial"/>
          <w:sz w:val="19"/>
          <w:szCs w:val="19"/>
          <w:color w:val="auto"/>
        </w:rPr>
        <w:t>The Term Loan Facility had a maturity date of December 31, 2019 with an option to extend the maturity date for two additional six-month periods. Upon the exercise of each extension option, we would pay a fee equal to 1.0% of the outstanding principal balance at the time of the exercise, and the spread on LIBOR and Base Rate would increase by 0.5%. On December 30, 2019, the Company entered into an amendment with the lenders to extend the maturity to January 21, 2020. Prior to this new maturity date, we repaid the full amount outstanding, using proceeds from the Credit Agreement to extinguish the Term Loan Facility.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6" w:name="page37"/>
    <w:bookmarkEnd w:id="3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 Power Bonds</w:t>
      </w:r>
    </w:p>
    <w:p>
      <w:pPr>
        <w:spacing w:after="0" w:line="200" w:lineRule="exact"/>
        <w:rPr>
          <w:sz w:val="20"/>
          <w:szCs w:val="20"/>
          <w:color w:val="auto"/>
        </w:rPr>
      </w:pPr>
    </w:p>
    <w:p>
      <w:pPr>
        <w:ind w:right="40" w:firstLine="279"/>
        <w:spacing w:after="0" w:line="249" w:lineRule="auto"/>
        <w:rPr>
          <w:sz w:val="20"/>
          <w:szCs w:val="20"/>
          <w:color w:val="auto"/>
        </w:rPr>
      </w:pPr>
      <w:r>
        <w:rPr>
          <w:rFonts w:ascii="Arial" w:cs="Arial" w:eastAsia="Arial" w:hAnsi="Arial"/>
          <w:sz w:val="18"/>
          <w:szCs w:val="18"/>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CHP Plant and related receivables and assets, and the proceeds were used to fund the completion of the CHP Plant and to reimburse shareholder advances. In the fourth quarter of 2019, South Power issued an additional $63,000 in Senior Secured Bonds. We received $10,856 of the proceeds in 2019 and received the remaining proceeds of $52,144 in January 2020.</w:t>
      </w:r>
    </w:p>
    <w:p>
      <w:pPr>
        <w:spacing w:after="0" w:line="177" w:lineRule="exact"/>
        <w:rPr>
          <w:sz w:val="20"/>
          <w:szCs w:val="20"/>
          <w:color w:val="auto"/>
        </w:rPr>
      </w:pPr>
    </w:p>
    <w:p>
      <w:pPr>
        <w:ind w:right="500" w:firstLine="279"/>
        <w:spacing w:after="0" w:line="237" w:lineRule="auto"/>
        <w:rPr>
          <w:sz w:val="20"/>
          <w:szCs w:val="20"/>
          <w:color w:val="auto"/>
        </w:rPr>
      </w:pPr>
      <w:r>
        <w:rPr>
          <w:rFonts w:ascii="Arial" w:cs="Arial" w:eastAsia="Arial" w:hAnsi="Arial"/>
          <w:sz w:val="19"/>
          <w:szCs w:val="19"/>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84" w:lineRule="exact"/>
        <w:rPr>
          <w:sz w:val="20"/>
          <w:szCs w:val="20"/>
          <w:color w:val="auto"/>
        </w:rPr>
      </w:pPr>
    </w:p>
    <w:p>
      <w:pPr>
        <w:jc w:val="both"/>
        <w:ind w:right="220" w:firstLine="279"/>
        <w:spacing w:after="0"/>
        <w:rPr>
          <w:sz w:val="20"/>
          <w:szCs w:val="20"/>
          <w:color w:val="auto"/>
        </w:rPr>
      </w:pPr>
      <w:r>
        <w:rPr>
          <w:rFonts w:ascii="Arial" w:cs="Arial" w:eastAsia="Arial" w:hAnsi="Arial"/>
          <w:sz w:val="19"/>
          <w:szCs w:val="19"/>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will be due quarterly.</w:t>
      </w:r>
    </w:p>
    <w:p>
      <w:pPr>
        <w:spacing w:after="0" w:line="182" w:lineRule="exact"/>
        <w:rPr>
          <w:sz w:val="20"/>
          <w:szCs w:val="20"/>
          <w:color w:val="auto"/>
        </w:rPr>
      </w:pPr>
    </w:p>
    <w:p>
      <w:pPr>
        <w:ind w:right="540" w:firstLine="279"/>
        <w:spacing w:after="0" w:line="309"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25"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7"/>
          <w:szCs w:val="17"/>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The total unamortized deferred financing costs as of March 31, 2020 and December 31, 2019 was $3,731 and $3,799,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 Balance Sheet Arrangements</w:t>
      </w:r>
    </w:p>
    <w:p>
      <w:pPr>
        <w:spacing w:after="0" w:line="200" w:lineRule="exact"/>
        <w:rPr>
          <w:sz w:val="20"/>
          <w:szCs w:val="20"/>
          <w:color w:val="auto"/>
        </w:rPr>
      </w:pPr>
    </w:p>
    <w:p>
      <w:pPr>
        <w:ind w:right="280" w:firstLine="307"/>
        <w:spacing w:after="0" w:line="251" w:lineRule="auto"/>
        <w:rPr>
          <w:sz w:val="20"/>
          <w:szCs w:val="20"/>
          <w:color w:val="auto"/>
        </w:rPr>
      </w:pPr>
      <w:r>
        <w:rPr>
          <w:rFonts w:ascii="Arial" w:cs="Arial" w:eastAsia="Arial" w:hAnsi="Arial"/>
          <w:sz w:val="19"/>
          <w:szCs w:val="19"/>
          <w:color w:val="auto"/>
        </w:rPr>
        <w:t>As of March 31, 2020, we had no off-balance sheet arrangements that may have a current or future material effect on our consolidated financial position or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Contractual Obligations</w:t>
      </w:r>
    </w:p>
    <w:p>
      <w:pPr>
        <w:spacing w:after="0" w:line="200" w:lineRule="exact"/>
        <w:rPr>
          <w:sz w:val="20"/>
          <w:szCs w:val="20"/>
          <w:color w:val="auto"/>
        </w:rPr>
      </w:pPr>
    </w:p>
    <w:p>
      <w:pPr>
        <w:ind w:right="300" w:firstLine="307"/>
        <w:spacing w:after="0" w:line="251" w:lineRule="auto"/>
        <w:rPr>
          <w:sz w:val="20"/>
          <w:szCs w:val="20"/>
          <w:color w:val="auto"/>
        </w:rPr>
      </w:pPr>
      <w:r>
        <w:rPr>
          <w:rFonts w:ascii="Arial" w:cs="Arial" w:eastAsia="Arial" w:hAnsi="Arial"/>
          <w:sz w:val="19"/>
          <w:szCs w:val="19"/>
          <w:color w:val="auto"/>
        </w:rPr>
        <w:t>We are committed to make cash payments in the future pursuant to certain of our contracts. The following table summarizes certain contractual obligations in place as of March 31,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440" w:type="dxa"/>
            <w:vAlign w:val="bottom"/>
            <w:gridSpan w:val="3"/>
          </w:tcPr>
          <w:p>
            <w:pPr>
              <w:spacing w:after="0"/>
              <w:rPr>
                <w:sz w:val="20"/>
                <w:szCs w:val="20"/>
                <w:color w:val="auto"/>
              </w:rPr>
            </w:pPr>
            <w:r>
              <w:rPr>
                <w:rFonts w:ascii="Arial" w:cs="Arial" w:eastAsia="Arial" w:hAnsi="Arial"/>
                <w:sz w:val="16"/>
                <w:szCs w:val="16"/>
                <w:b w:val="1"/>
                <w:bCs w:val="1"/>
                <w:color w:val="auto"/>
                <w:w w:val="97"/>
              </w:rPr>
              <w:t>Less than 1 year</w:t>
            </w:r>
            <w:r>
              <w:rPr>
                <w:rFonts w:ascii="Arial" w:cs="Arial" w:eastAsia="Arial" w:hAnsi="Arial"/>
                <w:sz w:val="25"/>
                <w:szCs w:val="25"/>
                <w:b w:val="1"/>
                <w:bCs w:val="1"/>
                <w:color w:val="auto"/>
                <w:w w:val="97"/>
                <w:vertAlign w:val="superscript"/>
              </w:rPr>
              <w:t>[1]</w:t>
            </w: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Years 2 to 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3"/>
              </w:rPr>
              <w:t>Year 4 to 5</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w w:val="94"/>
              </w:rPr>
              <w:t>More than 5 years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1,383,025</w:t>
            </w: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50,137</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851,234</w:t>
            </w: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Purchase obligations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1,669,942</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208,464</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376,360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306,242</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778,876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128,506</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27,296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53,672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14,084</w:t>
            </w:r>
          </w:p>
        </w:tc>
        <w:tc>
          <w:tcPr>
            <w:tcW w:w="3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33,454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3,181,473</w:t>
            </w:r>
          </w:p>
        </w:tc>
        <w:tc>
          <w:tcPr>
            <w:tcW w:w="2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285,897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594,823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1,171,560</w:t>
            </w:r>
          </w:p>
        </w:tc>
        <w:tc>
          <w:tcPr>
            <w:tcW w:w="2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1,129,193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[1] Includes contractual obligations from April 1, 2020 through December 31, 2020</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Long-Term debt obligations</w:t>
      </w:r>
    </w:p>
    <w:p>
      <w:pPr>
        <w:spacing w:after="0" w:line="200" w:lineRule="exact"/>
        <w:rPr>
          <w:sz w:val="20"/>
          <w:szCs w:val="20"/>
          <w:color w:val="auto"/>
        </w:rPr>
      </w:pPr>
    </w:p>
    <w:p>
      <w:pPr>
        <w:ind w:right="60" w:firstLine="279"/>
        <w:spacing w:after="0" w:line="278"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March 31, 2020.</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Purchase obligations</w:t>
      </w:r>
    </w:p>
    <w:p>
      <w:pPr>
        <w:spacing w:after="0" w:line="200" w:lineRule="exact"/>
        <w:rPr>
          <w:sz w:val="20"/>
          <w:szCs w:val="20"/>
          <w:color w:val="auto"/>
        </w:rPr>
      </w:pPr>
    </w:p>
    <w:p>
      <w:pPr>
        <w:jc w:val="both"/>
        <w:ind w:right="160" w:firstLine="279"/>
        <w:spacing w:after="0" w:line="274" w:lineRule="auto"/>
        <w:rPr>
          <w:sz w:val="20"/>
          <w:szCs w:val="20"/>
          <w:color w:val="auto"/>
        </w:rPr>
      </w:pPr>
      <w:r>
        <w:rPr>
          <w:rFonts w:ascii="Arial" w:cs="Arial" w:eastAsia="Arial" w:hAnsi="Arial"/>
          <w:sz w:val="17"/>
          <w:szCs w:val="17"/>
          <w:color w:val="auto"/>
        </w:rPr>
        <w:t>The Company is party to contractual purchase commitments. These contracts are principally take-or-pay contracts, which require the purchase of minimum quantities of LNG and natural gas, and these commitments are designed to assure sources of supply and are not expected to be in excess of normal requirements. On February 7, 2020, the Company entered into a long-term natural gas supply agreement with an established international gas supplier for the purchase of 27.5 TBtu per year of LNG at a price indexed to Henry Hub from January 2022 to January 2030.</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jc w:val="both"/>
        <w:ind w:right="220" w:firstLine="279"/>
        <w:spacing w:after="0" w:line="237" w:lineRule="auto"/>
        <w:rPr>
          <w:sz w:val="20"/>
          <w:szCs w:val="20"/>
          <w:color w:val="auto"/>
        </w:rPr>
      </w:pPr>
      <w:r>
        <w:rPr>
          <w:rFonts w:ascii="Arial" w:cs="Arial" w:eastAsia="Arial" w:hAnsi="Arial"/>
          <w:sz w:val="19"/>
          <w:szCs w:val="19"/>
          <w:color w:val="auto"/>
        </w:rPr>
        <w:t>In December 2018, the Company entered into a contract with Centrica LNG Company Limited for the purchase of 29 firm cargoes of 1.1 billion gallons of LNG (86.7 million MMBtu) scheduled for delivery between June 2019 and December 2021. Payment for each cargo is due in advance of each shipment. As of March 31, 2020, the Company is committed to purchase 24 remaining cargoes with 12 scheduled for delivery in 2020 and the remaining 12 cargoes scheduled for delivery in 2021.</w:t>
      </w:r>
    </w:p>
    <w:p>
      <w:pPr>
        <w:spacing w:after="0" w:line="184" w:lineRule="exact"/>
        <w:rPr>
          <w:sz w:val="20"/>
          <w:szCs w:val="20"/>
          <w:color w:val="auto"/>
        </w:rPr>
      </w:pPr>
    </w:p>
    <w:p>
      <w:pPr>
        <w:ind w:right="500" w:firstLine="279"/>
        <w:spacing w:after="0" w:line="260" w:lineRule="auto"/>
        <w:rPr>
          <w:sz w:val="20"/>
          <w:szCs w:val="20"/>
          <w:color w:val="auto"/>
        </w:rPr>
      </w:pPr>
      <w:r>
        <w:rPr>
          <w:rFonts w:ascii="Arial" w:cs="Arial" w:eastAsia="Arial" w:hAnsi="Arial"/>
          <w:sz w:val="18"/>
          <w:szCs w:val="18"/>
          <w:color w:val="auto"/>
        </w:rPr>
        <w:t>The Company currently has two contracts in place for the purchase of feedgas under take-or-pay minimum volume obligations. These commitments are structured to assure the Miami Facility has uninterrupted supply and the minimum volumes are not expected to be in excess of normal requirements. Deliveries under these contracts are scheduled between March 2019 and November 2025.</w:t>
      </w:r>
    </w:p>
    <w:p>
      <w:pPr>
        <w:spacing w:after="0" w:line="165" w:lineRule="exact"/>
        <w:rPr>
          <w:sz w:val="20"/>
          <w:szCs w:val="20"/>
          <w:color w:val="auto"/>
        </w:rPr>
      </w:pPr>
    </w:p>
    <w:p>
      <w:pPr>
        <w:ind w:right="180" w:firstLine="279"/>
        <w:spacing w:after="0"/>
        <w:rPr>
          <w:sz w:val="20"/>
          <w:szCs w:val="20"/>
          <w:color w:val="auto"/>
        </w:rPr>
      </w:pPr>
      <w:r>
        <w:rPr>
          <w:rFonts w:ascii="Arial" w:cs="Arial" w:eastAsia="Arial" w:hAnsi="Arial"/>
          <w:sz w:val="19"/>
          <w:szCs w:val="19"/>
          <w:color w:val="auto"/>
        </w:rPr>
        <w:t>In 2018, the Company entered into a 15-year agreement with an affiliate of Chesapeake Energy Corporation for gas supply to our Pennsylvania Facility. The terms of the agreement are subject to certain conditions precedent under our control before the agreement is effective. These conditions have not yet been met, and as such, this commitment is excluded from the table above.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Operating Lease obligations</w:t>
      </w:r>
    </w:p>
    <w:p>
      <w:pPr>
        <w:spacing w:after="0" w:line="200" w:lineRule="exact"/>
        <w:rPr>
          <w:sz w:val="20"/>
          <w:szCs w:val="20"/>
          <w:color w:val="auto"/>
        </w:rPr>
      </w:pPr>
    </w:p>
    <w:p>
      <w:pPr>
        <w:ind w:right="260" w:firstLine="279"/>
        <w:spacing w:after="0" w:line="251" w:lineRule="auto"/>
        <w:rPr>
          <w:sz w:val="20"/>
          <w:szCs w:val="20"/>
          <w:color w:val="auto"/>
        </w:rPr>
      </w:pPr>
      <w:r>
        <w:rPr>
          <w:rFonts w:ascii="Arial" w:cs="Arial" w:eastAsia="Arial" w:hAnsi="Arial"/>
          <w:sz w:val="19"/>
          <w:szCs w:val="19"/>
          <w:color w:val="auto"/>
        </w:rPr>
        <w:t>Future fixed lease payments under non-cancellable operating leases are noted in the above table. The Company’s lease obligations are primarily related to LNG vessel time charters, marine port leases, office space, and a land lease.</w:t>
      </w:r>
    </w:p>
    <w:p>
      <w:pPr>
        <w:spacing w:after="0" w:line="171" w:lineRule="exact"/>
        <w:rPr>
          <w:sz w:val="20"/>
          <w:szCs w:val="20"/>
          <w:color w:val="auto"/>
        </w:rPr>
      </w:pPr>
    </w:p>
    <w:p>
      <w:pPr>
        <w:ind w:right="320" w:firstLine="279"/>
        <w:spacing w:after="0"/>
        <w:rPr>
          <w:sz w:val="20"/>
          <w:szCs w:val="20"/>
          <w:color w:val="auto"/>
        </w:rPr>
      </w:pPr>
      <w:r>
        <w:rPr>
          <w:rFonts w:ascii="Arial" w:cs="Arial" w:eastAsia="Arial" w:hAnsi="Arial"/>
          <w:sz w:val="19"/>
          <w:szCs w:val="19"/>
          <w:color w:val="auto"/>
        </w:rPr>
        <w:t>The Company currently has four vessels under time charter leases with non-cancellable terms ranging from two to seven years. The lease commitments in the table above include only the lease component of these arrangements due over the non-cancellable term and do not include any operating services.</w:t>
      </w:r>
    </w:p>
    <w:p>
      <w:pPr>
        <w:spacing w:after="0" w:line="182" w:lineRule="exact"/>
        <w:rPr>
          <w:sz w:val="20"/>
          <w:szCs w:val="20"/>
          <w:color w:val="auto"/>
        </w:rPr>
      </w:pPr>
    </w:p>
    <w:p>
      <w:pPr>
        <w:ind w:right="260" w:firstLine="279"/>
        <w:spacing w:after="0" w:line="251" w:lineRule="auto"/>
        <w:rPr>
          <w:sz w:val="20"/>
          <w:szCs w:val="20"/>
          <w:color w:val="auto"/>
        </w:rPr>
      </w:pPr>
      <w:r>
        <w:rPr>
          <w:rFonts w:ascii="Arial" w:cs="Arial" w:eastAsia="Arial" w:hAnsi="Arial"/>
          <w:sz w:val="19"/>
          <w:szCs w:val="19"/>
          <w:color w:val="auto"/>
        </w:rPr>
        <w:t>We have leases for port space and a land site for the development of our facilities. Terms for leases of port space range from 20 to 25 years. The land site lease is held with an affiliate of the Company and has a remaining term of approximately five years.</w:t>
      </w:r>
    </w:p>
    <w:p>
      <w:pPr>
        <w:spacing w:after="0" w:line="171" w:lineRule="exact"/>
        <w:rPr>
          <w:sz w:val="20"/>
          <w:szCs w:val="20"/>
          <w:color w:val="auto"/>
        </w:rPr>
      </w:pPr>
    </w:p>
    <w:p>
      <w:pPr>
        <w:ind w:right="60" w:firstLine="279"/>
        <w:spacing w:after="0" w:line="251" w:lineRule="auto"/>
        <w:rPr>
          <w:sz w:val="20"/>
          <w:szCs w:val="20"/>
          <w:color w:val="auto"/>
        </w:rPr>
      </w:pPr>
      <w:r>
        <w:rPr>
          <w:rFonts w:ascii="Arial" w:cs="Arial" w:eastAsia="Arial" w:hAnsi="Arial"/>
          <w:sz w:val="19"/>
          <w:szCs w:val="19"/>
          <w:color w:val="auto"/>
        </w:rPr>
        <w:t>Office space includes a space shared with affiliated companies in New York with a month to month lease, and an office space in downtown Miami with a lease term of 84 months.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Critical Accounting Estimates</w:t>
      </w:r>
    </w:p>
    <w:p>
      <w:pPr>
        <w:spacing w:after="0" w:line="204"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 recognition</w:t>
      </w:r>
    </w:p>
    <w:p>
      <w:pPr>
        <w:spacing w:after="0" w:line="200" w:lineRule="exact"/>
        <w:rPr>
          <w:sz w:val="20"/>
          <w:szCs w:val="20"/>
          <w:color w:val="auto"/>
        </w:rPr>
      </w:pPr>
    </w:p>
    <w:p>
      <w:pPr>
        <w:ind w:right="40" w:firstLine="279"/>
        <w:spacing w:after="0" w:line="246" w:lineRule="auto"/>
        <w:rPr>
          <w:sz w:val="20"/>
          <w:szCs w:val="20"/>
          <w:color w:val="auto"/>
        </w:rPr>
      </w:pPr>
      <w:r>
        <w:rPr>
          <w:rFonts w:ascii="Arial" w:cs="Arial" w:eastAsia="Arial" w:hAnsi="Arial"/>
          <w:sz w:val="18"/>
          <w:szCs w:val="18"/>
          <w:color w:val="auto"/>
        </w:rPr>
        <w:t>Our contracts with customers may contain one or several performance obligations usually consisting of the sale of LNG, natural gas, and beginning in the three months ended March 31, 2020,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82" w:lineRule="exact"/>
        <w:rPr>
          <w:sz w:val="20"/>
          <w:szCs w:val="20"/>
          <w:color w:val="auto"/>
        </w:rPr>
      </w:pPr>
    </w:p>
    <w:p>
      <w:pPr>
        <w:ind w:right="120" w:firstLine="279"/>
        <w:spacing w:after="0" w:line="260" w:lineRule="auto"/>
        <w:rPr>
          <w:sz w:val="20"/>
          <w:szCs w:val="20"/>
          <w:color w:val="auto"/>
        </w:rPr>
      </w:pPr>
      <w:r>
        <w:rPr>
          <w:rFonts w:ascii="Arial" w:cs="Arial" w:eastAsia="Arial" w:hAnsi="Arial"/>
          <w:sz w:val="18"/>
          <w:szCs w:val="18"/>
          <w:color w:val="auto"/>
        </w:rPr>
        <w:t>We have concluded that variable consideration included in these agreements meets the exception for allocating variable consideration to each unit sold under the contract. As such, the variable consideration for these contracts is allocated to each distinct unit of LNG, natural gas, power or steam delivered and recognized when that distinct unit of LNG or natural gas is delivered to the customer.</w:t>
      </w:r>
    </w:p>
    <w:p>
      <w:pPr>
        <w:spacing w:after="0" w:line="165" w:lineRule="exact"/>
        <w:rPr>
          <w:sz w:val="20"/>
          <w:szCs w:val="20"/>
          <w:color w:val="auto"/>
        </w:rPr>
      </w:pPr>
    </w:p>
    <w:p>
      <w:pPr>
        <w:ind w:right="80" w:firstLine="279"/>
        <w:spacing w:after="0" w:line="267" w:lineRule="auto"/>
        <w:rPr>
          <w:sz w:val="20"/>
          <w:szCs w:val="20"/>
          <w:color w:val="auto"/>
        </w:rPr>
      </w:pPr>
      <w:r>
        <w:rPr>
          <w:rFonts w:ascii="Arial" w:cs="Arial" w:eastAsia="Arial" w:hAnsi="Arial"/>
          <w:sz w:val="17"/>
          <w:szCs w:val="17"/>
          <w:color w:val="auto"/>
        </w:rPr>
        <w:t>Our contracts with customers to supply LNG or natural gas may contain a lease of equipment. We allocate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fixed lease payments and the amount to be accounted for under the revenue recognition guidance.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0" w:firstLine="279"/>
        <w:spacing w:after="0" w:line="265" w:lineRule="auto"/>
        <w:rPr>
          <w:sz w:val="20"/>
          <w:szCs w:val="20"/>
          <w:color w:val="auto"/>
        </w:rPr>
      </w:pPr>
      <w:r>
        <w:rPr>
          <w:rFonts w:ascii="Arial" w:cs="Arial" w:eastAsia="Arial" w:hAnsi="Arial"/>
          <w:sz w:val="17"/>
          <w:szCs w:val="17"/>
          <w:color w:val="auto"/>
        </w:rPr>
        <w:t>The leases of certain facilities and equipment to customers are accounted for as financing or operating leases. The current and non-current portion of financing leases are recorded within Prepaid expenses and other current assets and Finance leases, net, on the condensed consolidated balance sheets, respectively. The lease payments for finance leases are segregated into principal and interest components similar to a loan. Interest income is recognized on an effective interest method over the lease term and is included in Other revenue in the condensed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164" w:lineRule="exact"/>
        <w:rPr>
          <w:sz w:val="20"/>
          <w:szCs w:val="20"/>
          <w:color w:val="auto"/>
        </w:rPr>
      </w:pPr>
    </w:p>
    <w:p>
      <w:pPr>
        <w:ind w:right="100" w:firstLine="279"/>
        <w:spacing w:after="0" w:line="248" w:lineRule="auto"/>
        <w:rPr>
          <w:sz w:val="20"/>
          <w:szCs w:val="20"/>
          <w:color w:val="auto"/>
        </w:rPr>
      </w:pPr>
      <w:r>
        <w:rPr>
          <w:rFonts w:ascii="Arial" w:cs="Arial" w:eastAsia="Arial" w:hAnsi="Arial"/>
          <w:sz w:val="18"/>
          <w:szCs w:val="18"/>
          <w:color w:val="auto"/>
        </w:rPr>
        <w:t>In addition to the revenue recognized from the leasing components of agreements with customers, Other revenue includes development services revenue recognized from the construction and installation of equipment to transform customers’ facilities to operate utilizing natural gas or to allow customers to receive power or other outputs from our natural gas-fired power generation facilities. Revenue from these development services is recognized over time as we transfer control of the asset to the customer, unless the customer is not able to obtain control over the asset under development until such services are completed, in which case,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178" w:lineRule="exact"/>
        <w:rPr>
          <w:sz w:val="20"/>
          <w:szCs w:val="20"/>
          <w:color w:val="auto"/>
        </w:rPr>
      </w:pPr>
    </w:p>
    <w:p>
      <w:pPr>
        <w:ind w:right="140" w:firstLine="279"/>
        <w:spacing w:after="0" w:line="270" w:lineRule="auto"/>
        <w:rPr>
          <w:sz w:val="20"/>
          <w:szCs w:val="20"/>
          <w:color w:val="auto"/>
        </w:rPr>
      </w:pPr>
      <w:r>
        <w:rPr>
          <w:rFonts w:ascii="Arial" w:cs="Arial" w:eastAsia="Arial" w:hAnsi="Arial"/>
          <w:sz w:val="17"/>
          <w:szCs w:val="17"/>
          <w:color w:val="auto"/>
        </w:rPr>
        <w:t>Development services are typically included in arrangements that include other distinct performance obligations, and the Company allocates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Impairment of long-lived assets</w:t>
      </w:r>
    </w:p>
    <w:p>
      <w:pPr>
        <w:spacing w:after="0" w:line="200" w:lineRule="exact"/>
        <w:rPr>
          <w:sz w:val="20"/>
          <w:szCs w:val="20"/>
          <w:color w:val="auto"/>
        </w:rPr>
      </w:pPr>
    </w:p>
    <w:p>
      <w:pPr>
        <w:ind w:right="120" w:firstLine="279"/>
        <w:spacing w:after="0" w:line="251"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174" w:lineRule="exact"/>
        <w:rPr>
          <w:sz w:val="20"/>
          <w:szCs w:val="20"/>
          <w:color w:val="auto"/>
        </w:rPr>
      </w:pPr>
    </w:p>
    <w:p>
      <w:pPr>
        <w:jc w:val="both"/>
        <w:ind w:right="160" w:firstLine="279"/>
        <w:spacing w:after="0" w:line="280" w:lineRule="auto"/>
        <w:rPr>
          <w:sz w:val="20"/>
          <w:szCs w:val="20"/>
          <w:color w:val="auto"/>
        </w:rPr>
      </w:pPr>
      <w:r>
        <w:rPr>
          <w:rFonts w:ascii="Arial" w:cs="Arial" w:eastAsia="Arial" w:hAnsi="Arial"/>
          <w:sz w:val="16"/>
          <w:szCs w:val="16"/>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w:t>
      </w:r>
    </w:p>
    <w:p>
      <w:pPr>
        <w:ind w:right="440"/>
        <w:spacing w:after="0" w:line="236" w:lineRule="auto"/>
        <w:rPr>
          <w:sz w:val="20"/>
          <w:szCs w:val="20"/>
          <w:color w:val="auto"/>
        </w:rPr>
      </w:pPr>
      <w:r>
        <w:rPr>
          <w:rFonts w:ascii="Arial" w:cs="Arial" w:eastAsia="Arial" w:hAnsi="Arial"/>
          <w:sz w:val="19"/>
          <w:szCs w:val="19"/>
          <w:color w:val="auto"/>
        </w:rPr>
        <w:t>Additionally, our infrastructure assets are strategically located to provide critical inputs to our committed customer’s operations and our locations allow us to expand to additional opportunities within existing markets.</w:t>
      </w:r>
    </w:p>
    <w:p>
      <w:pPr>
        <w:spacing w:after="0" w:line="183" w:lineRule="exact"/>
        <w:rPr>
          <w:sz w:val="20"/>
          <w:szCs w:val="20"/>
          <w:color w:val="auto"/>
        </w:rPr>
      </w:pPr>
    </w:p>
    <w:p>
      <w:pPr>
        <w:ind w:right="20" w:firstLine="279"/>
        <w:spacing w:after="0" w:line="247" w:lineRule="auto"/>
        <w:rPr>
          <w:sz w:val="20"/>
          <w:szCs w:val="20"/>
          <w:color w:val="auto"/>
        </w:rPr>
      </w:pPr>
      <w:r>
        <w:rPr>
          <w:rFonts w:ascii="Arial" w:cs="Arial" w:eastAsia="Arial" w:hAnsi="Arial"/>
          <w:sz w:val="18"/>
          <w:szCs w:val="18"/>
          <w:color w:val="auto"/>
        </w:rPr>
        <w:t>We have considered that the market price of LNG can vary widely, including recent decreases throughout 2019 and the first quarter of 2020. Due to the decline in LNG prices, we executed a firm commitment to purchase 27.5 TBtus annually beginning in 2022 at prices that are expected to be significantly lower than inventory purchased in the prior year. Further, we believe that we will take advantage of the current market pricing for LNG to supply our expanding operations, resulting in an overall lower average cost of LNG in future periods. Our long-term, take-or-pay contracts to deliver natural gas or LNG to our customers also limit our exposure to fluctuations in natural gas and LNG as our pricing is based on the Henry Hub index plus a contractual spread. Based on the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and secure LNG to supply our expanding operations and reduce our exposure to future LNG price variations in the long term.</w:t>
      </w:r>
    </w:p>
    <w:p>
      <w:pPr>
        <w:spacing w:after="0" w:line="177" w:lineRule="exact"/>
        <w:rPr>
          <w:sz w:val="20"/>
          <w:szCs w:val="20"/>
          <w:color w:val="auto"/>
        </w:rPr>
      </w:pPr>
    </w:p>
    <w:p>
      <w:pPr>
        <w:ind w:firstLine="279"/>
        <w:spacing w:after="0" w:line="248" w:lineRule="auto"/>
        <w:rPr>
          <w:sz w:val="20"/>
          <w:szCs w:val="20"/>
          <w:color w:val="auto"/>
        </w:rPr>
      </w:pPr>
      <w:r>
        <w:rPr>
          <w:rFonts w:ascii="Arial" w:cs="Arial" w:eastAsia="Arial" w:hAnsi="Arial"/>
          <w:sz w:val="18"/>
          <w:szCs w:val="18"/>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many of which contain fixed minimum volumes that must be purchased on a “take-or-pay” basis, which has limited the impact of the COVID-19 pandemic on our current operations. Based on the essential nature of the services we provide to support power generation facilities, our development projects have not currently been significantly impacted by responses to the COVID-19 pandemic. We will continue to monitor this uncertain situation and local responses in jurisdictions where we do business to determine if there are any indicators that a recoverability assessment for our assets should be performed.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9" w:name="page40"/>
    <w:bookmarkEnd w:id="39"/>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200" w:firstLine="279"/>
        <w:spacing w:after="0" w:line="270" w:lineRule="auto"/>
        <w:rPr>
          <w:sz w:val="20"/>
          <w:szCs w:val="20"/>
          <w:color w:val="auto"/>
        </w:rPr>
      </w:pPr>
      <w:r>
        <w:rPr>
          <w:rFonts w:ascii="Arial" w:cs="Arial" w:eastAsia="Arial" w:hAnsi="Arial"/>
          <w:sz w:val="17"/>
          <w:szCs w:val="17"/>
          <w:color w:val="auto"/>
        </w:rPr>
        <w:t>The COVID-19 pandemic has also significantly impacted energy markets, and the price of oil has recently traded at historic low prices. Future expansion of our business is dependent upon LNG being a competitive source of energy and available at a lower cost than the cost to deliver other alternative energy sources, such as diesel or other distillate fuels. In addition, oil prices have been impacted recently by OPEC actions related to the supply of oil. We do not believe that oil prices will remain at their historic low levels as evidenced by recent volatility and OPEC actions to stabilize the supply of oil into the market, and we believe that LNG and natural gas will remain a competitive fuel source for customers.</w:t>
      </w:r>
    </w:p>
    <w:p>
      <w:pPr>
        <w:spacing w:after="0" w:line="157" w:lineRule="exact"/>
        <w:rPr>
          <w:sz w:val="20"/>
          <w:szCs w:val="20"/>
          <w:color w:val="auto"/>
        </w:rPr>
      </w:pPr>
    </w:p>
    <w:p>
      <w:pPr>
        <w:ind w:left="7" w:right="140" w:firstLine="279"/>
        <w:spacing w:after="0" w:line="296" w:lineRule="auto"/>
        <w:rPr>
          <w:sz w:val="20"/>
          <w:szCs w:val="20"/>
          <w:color w:val="auto"/>
        </w:rPr>
      </w:pPr>
      <w:r>
        <w:rPr>
          <w:rFonts w:ascii="Arial" w:cs="Arial" w:eastAsia="Arial" w:hAnsi="Arial"/>
          <w:sz w:val="16"/>
          <w:szCs w:val="16"/>
          <w:color w:val="auto"/>
        </w:rPr>
        <w:t>When performing a recoverability assessment, we measure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Share-based compensation</w:t>
      </w:r>
    </w:p>
    <w:p>
      <w:pPr>
        <w:spacing w:after="0" w:line="200" w:lineRule="exact"/>
        <w:rPr>
          <w:sz w:val="20"/>
          <w:szCs w:val="20"/>
          <w:color w:val="auto"/>
        </w:rPr>
      </w:pPr>
    </w:p>
    <w:p>
      <w:pPr>
        <w:ind w:left="7" w:right="180" w:firstLine="279"/>
        <w:spacing w:after="0"/>
        <w:rPr>
          <w:sz w:val="20"/>
          <w:szCs w:val="20"/>
          <w:color w:val="auto"/>
        </w:rPr>
      </w:pPr>
      <w:r>
        <w:rPr>
          <w:rFonts w:ascii="Arial" w:cs="Arial" w:eastAsia="Arial" w:hAnsi="Arial"/>
          <w:sz w:val="19"/>
          <w:szCs w:val="19"/>
          <w:color w:val="auto"/>
        </w:rPr>
        <w:t>The Company estimates the fair value of RSUs and performance stock units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JOBS Act</w:t>
      </w:r>
    </w:p>
    <w:p>
      <w:pPr>
        <w:spacing w:after="0" w:line="204" w:lineRule="exact"/>
        <w:rPr>
          <w:sz w:val="20"/>
          <w:szCs w:val="20"/>
          <w:color w:val="auto"/>
        </w:rPr>
      </w:pPr>
    </w:p>
    <w:p>
      <w:pPr>
        <w:ind w:left="7" w:right="100" w:firstLine="279"/>
        <w:spacing w:after="0" w:line="270"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157" w:lineRule="exact"/>
        <w:rPr>
          <w:sz w:val="20"/>
          <w:szCs w:val="20"/>
          <w:color w:val="auto"/>
        </w:rPr>
      </w:pPr>
    </w:p>
    <w:p>
      <w:pPr>
        <w:ind w:left="7" w:firstLine="279"/>
        <w:spacing w:after="0" w:line="260" w:lineRule="auto"/>
        <w:rPr>
          <w:sz w:val="20"/>
          <w:szCs w:val="20"/>
          <w:color w:val="auto"/>
        </w:rPr>
      </w:pPr>
      <w:r>
        <w:rPr>
          <w:rFonts w:ascii="Arial" w:cs="Arial" w:eastAsia="Arial" w:hAnsi="Arial"/>
          <w:sz w:val="17"/>
          <w:szCs w:val="17"/>
          <w:color w:val="auto"/>
        </w:rPr>
        <w:t>Subject to certain conditions, as an EGC, we have elected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w:t>
      </w:r>
    </w:p>
    <w:p>
      <w:pPr>
        <w:spacing w:after="0" w:line="2" w:lineRule="exact"/>
        <w:rPr>
          <w:sz w:val="20"/>
          <w:szCs w:val="20"/>
          <w:color w:val="auto"/>
        </w:rPr>
      </w:pPr>
    </w:p>
    <w:p>
      <w:pPr>
        <w:ind w:left="7" w:right="100" w:hanging="7"/>
        <w:spacing w:after="0" w:line="236" w:lineRule="auto"/>
        <w:tabs>
          <w:tab w:leader="none" w:pos="33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Recent Accounting Standards</w:t>
      </w:r>
    </w:p>
    <w:p>
      <w:pPr>
        <w:spacing w:after="0" w:line="204" w:lineRule="exact"/>
        <w:rPr>
          <w:sz w:val="20"/>
          <w:szCs w:val="20"/>
          <w:color w:val="auto"/>
        </w:rPr>
      </w:pPr>
    </w:p>
    <w:p>
      <w:pPr>
        <w:ind w:left="7" w:right="760" w:firstLine="307"/>
        <w:spacing w:after="0" w:line="251" w:lineRule="auto"/>
        <w:rPr>
          <w:sz w:val="20"/>
          <w:szCs w:val="20"/>
          <w:color w:val="auto"/>
        </w:rPr>
      </w:pPr>
      <w:r>
        <w:rPr>
          <w:rFonts w:ascii="Arial" w:cs="Arial" w:eastAsia="Arial" w:hAnsi="Arial"/>
          <w:sz w:val="19"/>
          <w:szCs w:val="19"/>
          <w:color w:val="auto"/>
        </w:rPr>
        <w:t>For descriptions of recently issued accounting standards, see “Note 3. Adoption of new and revised standards” to our notes to condensed consolidated financial statements included elsewhere in this Quarterly Report.</w:t>
      </w:r>
    </w:p>
    <w:p>
      <w:pPr>
        <w:spacing w:after="0" w:line="174" w:lineRule="exact"/>
        <w:rPr>
          <w:sz w:val="20"/>
          <w:szCs w:val="20"/>
          <w:color w:val="auto"/>
        </w:rPr>
      </w:pPr>
    </w:p>
    <w:p>
      <w:pPr>
        <w:ind w:left="7"/>
        <w:spacing w:after="0"/>
        <w:tabs>
          <w:tab w:leader="none" w:pos="967"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Risks.</w:t>
      </w:r>
    </w:p>
    <w:p>
      <w:pPr>
        <w:spacing w:after="0" w:line="209" w:lineRule="exact"/>
        <w:rPr>
          <w:sz w:val="20"/>
          <w:szCs w:val="20"/>
          <w:color w:val="auto"/>
        </w:rPr>
      </w:pPr>
    </w:p>
    <w:p>
      <w:pPr>
        <w:ind w:left="307"/>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23"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Commodity Price Risk</w:t>
      </w:r>
    </w:p>
    <w:p>
      <w:pPr>
        <w:spacing w:after="0" w:line="200" w:lineRule="exact"/>
        <w:rPr>
          <w:sz w:val="20"/>
          <w:szCs w:val="20"/>
          <w:color w:val="auto"/>
        </w:rPr>
      </w:pPr>
    </w:p>
    <w:p>
      <w:pPr>
        <w:ind w:left="7" w:right="120" w:firstLine="313"/>
        <w:spacing w:after="0" w:line="236" w:lineRule="auto"/>
        <w:rPr>
          <w:sz w:val="20"/>
          <w:szCs w:val="20"/>
          <w:color w:val="auto"/>
        </w:rPr>
      </w:pPr>
      <w:r>
        <w:rPr>
          <w:rFonts w:ascii="Arial" w:cs="Arial" w:eastAsia="Arial" w:hAnsi="Arial"/>
          <w:sz w:val="19"/>
          <w:szCs w:val="19"/>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40" w:name="page41"/>
    <w:bookmarkEnd w:id="4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200" w:lineRule="exact"/>
        <w:rPr>
          <w:sz w:val="20"/>
          <w:szCs w:val="20"/>
          <w:color w:val="auto"/>
        </w:rPr>
      </w:pPr>
    </w:p>
    <w:p>
      <w:pPr>
        <w:ind w:right="40" w:firstLine="279"/>
        <w:spacing w:after="0"/>
        <w:rPr>
          <w:sz w:val="20"/>
          <w:szCs w:val="20"/>
          <w:color w:val="auto"/>
        </w:rPr>
      </w:pPr>
      <w:r>
        <w:rPr>
          <w:rFonts w:ascii="Arial" w:cs="Arial" w:eastAsia="Arial" w:hAnsi="Arial"/>
          <w:sz w:val="19"/>
          <w:szCs w:val="19"/>
          <w:color w:val="auto"/>
        </w:rPr>
        <w:t>Debt that we incurred under the Credit Agreement bears interest based on a LIBOR rate plus a fixed margin and exposes us to interest rate risk. As of March 31, 2020, the impact on interest expense of a 1% increase or decrease in the interest rate of the Credit Agreement would be approximately $8,000 per year.</w:t>
      </w:r>
    </w:p>
    <w:p>
      <w:pPr>
        <w:spacing w:after="0" w:line="182" w:lineRule="exact"/>
        <w:rPr>
          <w:sz w:val="20"/>
          <w:szCs w:val="20"/>
          <w:color w:val="auto"/>
        </w:rPr>
      </w:pPr>
    </w:p>
    <w:p>
      <w:pPr>
        <w:ind w:right="160" w:firstLine="279"/>
        <w:spacing w:after="0"/>
        <w:rPr>
          <w:sz w:val="20"/>
          <w:szCs w:val="20"/>
          <w:color w:val="auto"/>
        </w:rPr>
      </w:pPr>
      <w:r>
        <w:rPr>
          <w:rFonts w:ascii="Arial" w:cs="Arial" w:eastAsia="Arial" w:hAnsi="Arial"/>
          <w:sz w:val="19"/>
          <w:szCs w:val="19"/>
          <w:color w:val="auto"/>
        </w:rPr>
        <w:t>The Senior Secured Bonds and Senior Unsecured Bonds were issued with a fixed rate of interest, and as such, a change in interest rates would impact the fair value of the Senior Secured Bonds and Senior Unsecured Bonds but such a change would have no impact on our results of operations or cash flows.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do not currently have any derivative arrangements to protect against fluctuations in interest rates applicable to our outstanding indebtedness.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Exchange Risk</w:t>
      </w:r>
    </w:p>
    <w:p>
      <w:pPr>
        <w:spacing w:after="0" w:line="200" w:lineRule="exact"/>
        <w:rPr>
          <w:sz w:val="20"/>
          <w:szCs w:val="20"/>
          <w:color w:val="auto"/>
        </w:rPr>
      </w:pPr>
    </w:p>
    <w:p>
      <w:pPr>
        <w:ind w:firstLine="313"/>
        <w:spacing w:after="0" w:line="236" w:lineRule="auto"/>
        <w:rPr>
          <w:sz w:val="20"/>
          <w:szCs w:val="20"/>
          <w:color w:val="auto"/>
        </w:rPr>
      </w:pPr>
      <w:r>
        <w:rPr>
          <w:rFonts w:ascii="Arial" w:cs="Arial" w:eastAsia="Arial" w:hAnsi="Arial"/>
          <w:sz w:val="19"/>
          <w:szCs w:val="19"/>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200" w:lineRule="exact"/>
        <w:rPr>
          <w:sz w:val="20"/>
          <w:szCs w:val="20"/>
          <w:color w:val="auto"/>
        </w:rPr>
      </w:pPr>
    </w:p>
    <w:p>
      <w:pPr>
        <w:ind w:right="40" w:firstLine="313"/>
        <w:spacing w:after="0" w:line="264"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2020.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March 31, 2020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00" w:lineRule="exact"/>
        <w:rPr>
          <w:sz w:val="20"/>
          <w:szCs w:val="20"/>
          <w:color w:val="auto"/>
        </w:rPr>
      </w:pPr>
    </w:p>
    <w:p>
      <w:pPr>
        <w:jc w:val="both"/>
        <w:ind w:right="160" w:firstLine="279"/>
        <w:spacing w:after="0"/>
        <w:rPr>
          <w:sz w:val="20"/>
          <w:szCs w:val="20"/>
          <w:color w:val="auto"/>
        </w:rPr>
      </w:pPr>
      <w:r>
        <w:rPr>
          <w:rFonts w:ascii="Arial" w:cs="Arial" w:eastAsia="Arial" w:hAnsi="Arial"/>
          <w:sz w:val="19"/>
          <w:szCs w:val="19"/>
          <w:color w:val="auto"/>
        </w:rPr>
        <w:t>There were no changes in our internal control over financial reporting (as defined in Rule 13a-15(f) and Rule 15d-15(f) under the Exchange Act) that occurred during the quarter ended March 31, 2020 that have materially affected, or are reasonably likely to materially affect, our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INFORMATION</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09" w:lineRule="exact"/>
        <w:rPr>
          <w:sz w:val="20"/>
          <w:szCs w:val="20"/>
          <w:color w:val="auto"/>
        </w:rPr>
      </w:pPr>
    </w:p>
    <w:p>
      <w:pPr>
        <w:ind w:firstLine="307"/>
        <w:spacing w:after="0"/>
        <w:rPr>
          <w:sz w:val="20"/>
          <w:szCs w:val="20"/>
          <w:color w:val="auto"/>
        </w:rPr>
      </w:pPr>
      <w:r>
        <w:rPr>
          <w:rFonts w:ascii="Arial" w:cs="Arial" w:eastAsia="Arial" w:hAnsi="Arial"/>
          <w:sz w:val="19"/>
          <w:szCs w:val="19"/>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09" w:lineRule="exact"/>
        <w:rPr>
          <w:sz w:val="20"/>
          <w:szCs w:val="20"/>
          <w:color w:val="auto"/>
        </w:rPr>
      </w:pPr>
    </w:p>
    <w:p>
      <w:pPr>
        <w:ind w:right="140" w:firstLine="279"/>
        <w:spacing w:after="0" w:line="235" w:lineRule="auto"/>
        <w:rPr>
          <w:sz w:val="20"/>
          <w:szCs w:val="20"/>
          <w:color w:val="auto"/>
        </w:rPr>
      </w:pPr>
      <w:r>
        <w:rPr>
          <w:rFonts w:ascii="Arial" w:cs="Arial" w:eastAsia="Arial" w:hAnsi="Arial"/>
          <w:sz w:val="19"/>
          <w:szCs w:val="19"/>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regarding, among other things, our plans, strategies, prospects and projections, both business and financial. As a result, you should not place undue reliance on any such statements included in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204" w:lineRule="exact"/>
        <w:rPr>
          <w:sz w:val="20"/>
          <w:szCs w:val="20"/>
          <w:color w:val="auto"/>
        </w:rPr>
      </w:pPr>
    </w:p>
    <w:p>
      <w:pPr>
        <w:ind w:right="460"/>
        <w:spacing w:after="0" w:line="251" w:lineRule="auto"/>
        <w:rPr>
          <w:sz w:val="20"/>
          <w:szCs w:val="20"/>
          <w:color w:val="auto"/>
        </w:rPr>
      </w:pPr>
      <w:r>
        <w:rPr>
          <w:rFonts w:ascii="Arial" w:cs="Arial" w:eastAsia="Arial" w:hAnsi="Arial"/>
          <w:sz w:val="19"/>
          <w:szCs w:val="19"/>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71" w:lineRule="exact"/>
        <w:rPr>
          <w:sz w:val="20"/>
          <w:szCs w:val="20"/>
          <w:color w:val="auto"/>
        </w:rPr>
      </w:pPr>
    </w:p>
    <w:p>
      <w:pPr>
        <w:ind w:right="20" w:firstLine="279"/>
        <w:spacing w:after="0" w:line="260" w:lineRule="auto"/>
        <w:rPr>
          <w:sz w:val="20"/>
          <w:szCs w:val="20"/>
          <w:color w:val="auto"/>
        </w:rPr>
      </w:pPr>
      <w:r>
        <w:rPr>
          <w:rFonts w:ascii="Arial" w:cs="Arial" w:eastAsia="Arial" w:hAnsi="Arial"/>
          <w:sz w:val="17"/>
          <w:szCs w:val="17"/>
          <w:color w:val="auto"/>
        </w:rPr>
        <w:t>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Terminals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this Quarterly Report or our other Quarterly or Annual Reports,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172" w:lineRule="exact"/>
        <w:rPr>
          <w:sz w:val="20"/>
          <w:szCs w:val="20"/>
          <w:color w:val="auto"/>
        </w:rPr>
      </w:pPr>
    </w:p>
    <w:p>
      <w:pPr>
        <w:ind w:right="240"/>
        <w:spacing w:after="0" w:line="309" w:lineRule="auto"/>
        <w:rPr>
          <w:sz w:val="20"/>
          <w:szCs w:val="20"/>
          <w:color w:val="auto"/>
        </w:rPr>
      </w:pPr>
      <w:r>
        <w:rPr>
          <w:rFonts w:ascii="Arial" w:cs="Arial" w:eastAsia="Arial" w:hAnsi="Arial"/>
          <w:sz w:val="17"/>
          <w:szCs w:val="17"/>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25" w:lineRule="exact"/>
        <w:rPr>
          <w:sz w:val="20"/>
          <w:szCs w:val="20"/>
          <w:color w:val="auto"/>
        </w:rPr>
      </w:pPr>
    </w:p>
    <w:p>
      <w:pPr>
        <w:ind w:right="120" w:firstLine="279"/>
        <w:spacing w:after="0" w:line="267" w:lineRule="auto"/>
        <w:rPr>
          <w:sz w:val="20"/>
          <w:szCs w:val="20"/>
          <w:color w:val="auto"/>
        </w:rPr>
      </w:pPr>
      <w:r>
        <w:rPr>
          <w:rFonts w:ascii="Arial" w:cs="Arial" w:eastAsia="Arial" w:hAnsi="Arial"/>
          <w:sz w:val="17"/>
          <w:szCs w:val="17"/>
          <w:color w:val="auto"/>
        </w:rPr>
        <w:t>Development projects, including our Terminals,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regulatory reviews, employment laws and diligence requirements can make it more difficult, time-consuming and expensive to develop a project.</w:t>
      </w:r>
    </w:p>
    <w:p>
      <w:pPr>
        <w:spacing w:after="0" w:line="161"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A primary focus of our business is the development of projects in foreign jurisdictions, including in locations where we have no prior development experience, and we expect to continue expanding into new jurisdictions in the future. 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40" w:firstLine="279"/>
        <w:spacing w:after="0" w:line="261" w:lineRule="auto"/>
        <w:rPr>
          <w:sz w:val="20"/>
          <w:szCs w:val="20"/>
          <w:color w:val="auto"/>
        </w:rPr>
      </w:pPr>
      <w:r>
        <w:rPr>
          <w:rFonts w:ascii="Arial" w:cs="Arial" w:eastAsia="Arial" w:hAnsi="Arial"/>
          <w:sz w:val="17"/>
          <w:szCs w:val="17"/>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Combined Cycle San Juan Power Plant in San Juan, Puerto Rico in the third quarter of 2019. However, due to construction complexity, the earthquakes which occurred near Puerto Rico in January 2020, and third party delays which impacted each project, we currently expect to commence commercial operations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12" w:lineRule="exact"/>
        <w:rPr>
          <w:sz w:val="20"/>
          <w:szCs w:val="20"/>
          <w:color w:val="auto"/>
        </w:rPr>
      </w:pPr>
    </w:p>
    <w:p>
      <w:pPr>
        <w:ind w:left="7" w:right="40" w:firstLine="279"/>
        <w:spacing w:after="0" w:line="260" w:lineRule="auto"/>
        <w:rPr>
          <w:sz w:val="20"/>
          <w:szCs w:val="20"/>
          <w:color w:val="auto"/>
        </w:rPr>
      </w:pPr>
      <w:r>
        <w:rPr>
          <w:rFonts w:ascii="Arial" w:cs="Arial" w:eastAsia="Arial" w:hAnsi="Arial"/>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Angola,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4" w:lineRule="exact"/>
        <w:rPr>
          <w:sz w:val="20"/>
          <w:szCs w:val="20"/>
          <w:color w:val="auto"/>
        </w:rPr>
      </w:pPr>
    </w:p>
    <w:p>
      <w:pPr>
        <w:ind w:left="7" w:firstLine="279"/>
        <w:spacing w:after="0" w:line="308"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38" w:lineRule="exact"/>
        <w:rPr>
          <w:sz w:val="20"/>
          <w:szCs w:val="20"/>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achieve our target costs for the purchase, liquefaction and export of natural gas and/or LNG and our target pricing for long-term contracts;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develop cost-effective logistics solutions;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manage expanding operations in the projected time frame;</w:t>
      </w:r>
    </w:p>
    <w:p>
      <w:pPr>
        <w:spacing w:after="0" w:line="211" w:lineRule="exact"/>
        <w:rPr>
          <w:rFonts w:ascii="Arial" w:cs="Arial" w:eastAsia="Arial" w:hAnsi="Arial"/>
          <w:sz w:val="16"/>
          <w:szCs w:val="16"/>
          <w:color w:val="auto"/>
        </w:rPr>
      </w:pPr>
    </w:p>
    <w:p>
      <w:pPr>
        <w:ind w:left="287" w:right="180" w:hanging="287"/>
        <w:spacing w:after="0" w:line="258" w:lineRule="auto"/>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structure innovative and profitable energy-related transactions as part of our sales and trading operations and to optimally price and manage position, performance and counterparty risks;</w:t>
      </w:r>
    </w:p>
    <w:p>
      <w:pPr>
        <w:spacing w:after="0" w:line="186" w:lineRule="exact"/>
        <w:rPr>
          <w:rFonts w:ascii="Arial" w:cs="Arial" w:eastAsia="Arial" w:hAnsi="Arial"/>
          <w:sz w:val="16"/>
          <w:szCs w:val="16"/>
          <w:color w:val="auto"/>
        </w:rPr>
      </w:pPr>
    </w:p>
    <w:p>
      <w:pPr>
        <w:ind w:left="287" w:right="20" w:hanging="287"/>
        <w:spacing w:after="0" w:line="248" w:lineRule="auto"/>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93"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develop infrastructure, including our Terminals and Liquefaction Facilities, as well as other future projects, in a timely and cost-effective manner;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attract and retain personnel in a timely and cost-effective manner;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of investments in technology and machinery, such as liquefaction technology or LNG tank truck technology, to perform as expected;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increases in competition which could increase our costs and undermine our profits;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43" w:name="page44"/>
    <w:bookmarkEnd w:id="43"/>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anticipate and adapt to new trends in the energy sector in the U.S., Jamaica, the Caribbean, Mexico, Ireland, Nicaragua, Angola and elsewhere;</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increases in operating costs, including the need for capital improvements, insurance premiums, general taxes, real estate taxes and utilities, affecting our profit margins;</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inability to raise significant additional debt and equity capital in the future to implement our strategy as well as to operate and expand our business;</w:t>
      </w:r>
    </w:p>
    <w:p>
      <w:pPr>
        <w:spacing w:after="0" w:line="211" w:lineRule="exact"/>
        <w:rPr>
          <w:rFonts w:ascii="Arial" w:cs="Arial" w:eastAsia="Arial" w:hAnsi="Arial"/>
          <w:sz w:val="16"/>
          <w:szCs w:val="16"/>
          <w:color w:val="auto"/>
        </w:rPr>
      </w:pPr>
    </w:p>
    <w:p>
      <w:pPr>
        <w:ind w:left="287" w:right="360" w:hanging="287"/>
        <w:spacing w:after="0" w:line="258" w:lineRule="auto"/>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economic, political and business conditions in the U.S., Jamaica, the Caribbean, Mexico, Ireland, Nicaragua, Angola and in the other geographic areas in which we intend to operate;</w:t>
      </w:r>
    </w:p>
    <w:p>
      <w:pPr>
        <w:spacing w:after="0" w:line="186" w:lineRule="exact"/>
        <w:rPr>
          <w:rFonts w:ascii="Arial" w:cs="Arial" w:eastAsia="Arial" w:hAnsi="Arial"/>
          <w:sz w:val="16"/>
          <w:szCs w:val="16"/>
          <w:color w:val="auto"/>
        </w:rPr>
      </w:pPr>
    </w:p>
    <w:p>
      <w:pPr>
        <w:ind w:left="287" w:right="260" w:hanging="287"/>
        <w:spacing w:after="0" w:line="258" w:lineRule="auto"/>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severity and duration of world health events, including the recent COVID-19 pandemic and related economic and political impacts on our or our customers’ or suppliers’ operations and financial status;</w:t>
      </w:r>
    </w:p>
    <w:p>
      <w:pPr>
        <w:spacing w:after="0" w:line="186" w:lineRule="exact"/>
        <w:rPr>
          <w:rFonts w:ascii="Arial" w:cs="Arial" w:eastAsia="Arial" w:hAnsi="Arial"/>
          <w:sz w:val="16"/>
          <w:szCs w:val="16"/>
          <w:color w:val="auto"/>
        </w:rPr>
      </w:pPr>
    </w:p>
    <w:p>
      <w:pPr>
        <w:ind w:left="287" w:hanging="287"/>
        <w:spacing w:after="0"/>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inflation, depreciation of the currencies of the countries in which we operate and fluctuations in interest rates;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win new bids or contracts on the terms, size and within the time frame we need to execute our business strategy;</w:t>
      </w:r>
    </w:p>
    <w:p>
      <w:pPr>
        <w:spacing w:after="0" w:line="211" w:lineRule="exact"/>
        <w:rPr>
          <w:rFonts w:ascii="Arial" w:cs="Arial" w:eastAsia="Arial" w:hAnsi="Arial"/>
          <w:sz w:val="16"/>
          <w:szCs w:val="16"/>
          <w:color w:val="auto"/>
        </w:rPr>
      </w:pPr>
    </w:p>
    <w:p>
      <w:pPr>
        <w:ind w:left="287" w:right="640" w:hanging="287"/>
        <w:spacing w:after="0" w:line="258" w:lineRule="auto"/>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obtain approvals from governmental regulators and relevant local authorities for the construction and operation of potential future projects and other relevant approvals;</w:t>
      </w:r>
    </w:p>
    <w:p>
      <w:pPr>
        <w:spacing w:after="0" w:line="186" w:lineRule="exact"/>
        <w:rPr>
          <w:rFonts w:ascii="Arial" w:cs="Arial" w:eastAsia="Arial" w:hAnsi="Arial"/>
          <w:sz w:val="16"/>
          <w:szCs w:val="16"/>
          <w:color w:val="auto"/>
        </w:rPr>
      </w:pPr>
    </w:p>
    <w:p>
      <w:pPr>
        <w:ind w:left="287" w:right="280" w:hanging="287"/>
        <w:spacing w:after="0" w:line="258" w:lineRule="auto"/>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the other jurisdictions in which we operate and elsewhere, which in turn will likely affect demand for crude oil and natural gas; or</w:t>
      </w:r>
    </w:p>
    <w:p>
      <w:pPr>
        <w:spacing w:after="0" w:line="186" w:lineRule="exact"/>
        <w:rPr>
          <w:rFonts w:ascii="Arial" w:cs="Arial" w:eastAsia="Arial" w:hAnsi="Arial"/>
          <w:sz w:val="16"/>
          <w:szCs w:val="16"/>
          <w:color w:val="auto"/>
        </w:rPr>
      </w:pPr>
    </w:p>
    <w:p>
      <w:pPr>
        <w:ind w:left="287" w:hanging="287"/>
        <w:spacing w:after="0"/>
        <w:tabs>
          <w:tab w:leader="none" w:pos="2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existing and future governmental laws and regulations.</w:t>
      </w:r>
    </w:p>
    <w:p>
      <w:pPr>
        <w:spacing w:after="0" w:line="203" w:lineRule="exact"/>
        <w:rPr>
          <w:sz w:val="20"/>
          <w:szCs w:val="20"/>
          <w:color w:val="auto"/>
        </w:rPr>
      </w:pPr>
    </w:p>
    <w:p>
      <w:pPr>
        <w:ind w:left="7" w:right="360" w:firstLine="279"/>
        <w:spacing w:after="0" w:line="251" w:lineRule="auto"/>
        <w:rPr>
          <w:sz w:val="20"/>
          <w:szCs w:val="20"/>
          <w:color w:val="auto"/>
        </w:rPr>
      </w:pPr>
      <w:r>
        <w:rPr>
          <w:rFonts w:ascii="Arial" w:cs="Arial" w:eastAsia="Arial" w:hAnsi="Arial"/>
          <w:sz w:val="19"/>
          <w:szCs w:val="19"/>
          <w:color w:val="auto"/>
        </w:rPr>
        <w:t>If we experience any of these failures, such failure may adversely affect our financial condition, results of operations and ability to execute our business strategy.</w:t>
      </w:r>
    </w:p>
    <w:p>
      <w:pPr>
        <w:spacing w:after="0" w:line="171" w:lineRule="exact"/>
        <w:rPr>
          <w:sz w:val="20"/>
          <w:szCs w:val="20"/>
          <w:color w:val="auto"/>
        </w:rPr>
      </w:pPr>
    </w:p>
    <w:p>
      <w:pPr>
        <w:ind w:left="7" w:right="680"/>
        <w:spacing w:after="0" w:line="309" w:lineRule="auto"/>
        <w:rPr>
          <w:sz w:val="20"/>
          <w:szCs w:val="20"/>
          <w:color w:val="auto"/>
        </w:rPr>
      </w:pPr>
      <w:r>
        <w:rPr>
          <w:rFonts w:ascii="Arial" w:cs="Arial" w:eastAsia="Arial" w:hAnsi="Arial"/>
          <w:sz w:val="17"/>
          <w:szCs w:val="17"/>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7"/>
          <w:szCs w:val="17"/>
          <w:b w:val="1"/>
          <w:bCs w:val="1"/>
          <w:color w:val="auto"/>
        </w:rPr>
        <w:t>.</w:t>
      </w:r>
    </w:p>
    <w:p>
      <w:pPr>
        <w:spacing w:after="0" w:line="125" w:lineRule="exact"/>
        <w:rPr>
          <w:sz w:val="20"/>
          <w:szCs w:val="20"/>
          <w:color w:val="auto"/>
        </w:rPr>
      </w:pPr>
    </w:p>
    <w:p>
      <w:pPr>
        <w:ind w:left="7" w:right="20" w:firstLine="279"/>
        <w:spacing w:after="0" w:line="262"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terminals,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terminals,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166" w:lineRule="exact"/>
        <w:rPr>
          <w:sz w:val="20"/>
          <w:szCs w:val="20"/>
          <w:color w:val="auto"/>
        </w:rPr>
      </w:pPr>
    </w:p>
    <w:p>
      <w:pPr>
        <w:jc w:val="both"/>
        <w:ind w:left="7" w:firstLine="279"/>
        <w:spacing w:after="0"/>
        <w:rPr>
          <w:sz w:val="20"/>
          <w:szCs w:val="20"/>
          <w:color w:val="auto"/>
        </w:rPr>
      </w:pPr>
      <w:r>
        <w:rPr>
          <w:rFonts w:ascii="Arial" w:cs="Arial" w:eastAsia="Arial" w:hAnsi="Arial"/>
          <w:sz w:val="19"/>
          <w:szCs w:val="19"/>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We have a limited operating history, which may not be sufficient to evaluate our business and prospects.</w:t>
      </w:r>
    </w:p>
    <w:p>
      <w:pPr>
        <w:spacing w:after="0" w:line="200" w:lineRule="exact"/>
        <w:rPr>
          <w:sz w:val="20"/>
          <w:szCs w:val="20"/>
          <w:color w:val="auto"/>
        </w:rPr>
      </w:pPr>
    </w:p>
    <w:p>
      <w:pPr>
        <w:ind w:left="7" w:right="20" w:firstLine="279"/>
        <w:spacing w:after="0" w:line="284"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44" w:name="page45"/>
    <w:bookmarkEnd w:id="4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Terminals and Liquefaction Facilities under construction, and fulfill our gas delivery obligations under our customer contracts.</w:t>
      </w:r>
    </w:p>
    <w:p>
      <w:pPr>
        <w:spacing w:after="0" w:line="182" w:lineRule="exact"/>
        <w:rPr>
          <w:sz w:val="20"/>
          <w:szCs w:val="20"/>
          <w:color w:val="auto"/>
        </w:rPr>
      </w:pPr>
    </w:p>
    <w:p>
      <w:pPr>
        <w:ind w:right="620"/>
        <w:spacing w:after="0" w:line="251" w:lineRule="auto"/>
        <w:rPr>
          <w:sz w:val="20"/>
          <w:szCs w:val="20"/>
          <w:color w:val="auto"/>
        </w:rPr>
      </w:pPr>
      <w:r>
        <w:rPr>
          <w:rFonts w:ascii="Arial" w:cs="Arial" w:eastAsia="Arial" w:hAnsi="Arial"/>
          <w:sz w:val="19"/>
          <w:szCs w:val="19"/>
          <w:b w:val="1"/>
          <w:bCs w:val="1"/>
          <w:i w:val="1"/>
          <w:iCs w:val="1"/>
          <w:color w:val="auto"/>
        </w:rPr>
        <w:t>Our business is dependent upon obtaining substantial additional funding from various sources, which may not be available or may only be available on unfavorable terms.</w:t>
      </w:r>
    </w:p>
    <w:p>
      <w:pPr>
        <w:spacing w:after="0" w:line="171"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Credit Agreement, Senior Secured Bonds and Senior Unsecured Bonds. If we are unable to obtain additional funding, approvals or amendments to our existing financings,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been negatively impacted by the COVID-19 pandemic,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72" w:lineRule="exact"/>
        <w:rPr>
          <w:sz w:val="20"/>
          <w:szCs w:val="20"/>
          <w:color w:val="auto"/>
        </w:rPr>
      </w:pPr>
    </w:p>
    <w:p>
      <w:pPr>
        <w:ind w:firstLine="279"/>
        <w:spacing w:after="0" w:line="264"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profitable for an indeterminate period of time.</w:t>
      </w:r>
    </w:p>
    <w:p>
      <w:pPr>
        <w:spacing w:after="0" w:line="200" w:lineRule="exact"/>
        <w:rPr>
          <w:sz w:val="20"/>
          <w:szCs w:val="20"/>
          <w:color w:val="auto"/>
        </w:rPr>
      </w:pPr>
    </w:p>
    <w:p>
      <w:pPr>
        <w:jc w:val="both"/>
        <w:ind w:right="140" w:firstLine="279"/>
        <w:spacing w:after="0" w:line="267"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did not achieve profitability as of March 31, 2020. We will need to make a significant initial investment to complete construction and begin operations of each of our Terminals,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may not be able to achieve profitability, and if we do, we cannot assure you that we would be able to sustain such profitability in the future.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Our failure to achieve or sustain profitability would have a material adverse effect on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520"/>
        <w:spacing w:after="0" w:line="251" w:lineRule="auto"/>
        <w:rPr>
          <w:sz w:val="20"/>
          <w:szCs w:val="20"/>
          <w:color w:val="auto"/>
        </w:rPr>
      </w:pPr>
      <w:r>
        <w:rPr>
          <w:rFonts w:ascii="Arial" w:cs="Arial" w:eastAsia="Arial" w:hAnsi="Arial"/>
          <w:sz w:val="19"/>
          <w:szCs w:val="19"/>
          <w:b w:val="1"/>
          <w:bCs w:val="1"/>
          <w:i w:val="1"/>
          <w:iCs w:val="1"/>
          <w:color w:val="auto"/>
        </w:rPr>
        <w:t>Our business is heavily dependent upon our international operations, particularly in Jamaica, and any disruption to those operations would adversely affect us.</w:t>
      </w:r>
    </w:p>
    <w:p>
      <w:pPr>
        <w:spacing w:after="0" w:line="171"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82" w:lineRule="exact"/>
        <w:rPr>
          <w:sz w:val="20"/>
          <w:szCs w:val="20"/>
          <w:color w:val="auto"/>
        </w:rPr>
      </w:pPr>
    </w:p>
    <w:p>
      <w:pPr>
        <w:ind w:right="200"/>
        <w:spacing w:after="0" w:line="251" w:lineRule="auto"/>
        <w:rPr>
          <w:sz w:val="20"/>
          <w:szCs w:val="20"/>
          <w:color w:val="auto"/>
        </w:rPr>
      </w:pPr>
      <w:r>
        <w:rPr>
          <w:rFonts w:ascii="Arial" w:cs="Arial" w:eastAsia="Arial" w:hAnsi="Arial"/>
          <w:sz w:val="19"/>
          <w:szCs w:val="19"/>
          <w:b w:val="1"/>
          <w:bCs w:val="1"/>
          <w:i w:val="1"/>
          <w:iCs w:val="1"/>
          <w:color w:val="auto"/>
        </w:rPr>
        <w:t>Because we are currently dependent upon a limited number of customers, the loss of a significant customer could adversely affect our operating results.</w:t>
      </w:r>
    </w:p>
    <w:p>
      <w:pPr>
        <w:spacing w:after="0" w:line="171" w:lineRule="exact"/>
        <w:rPr>
          <w:sz w:val="20"/>
          <w:szCs w:val="20"/>
          <w:color w:val="auto"/>
        </w:rPr>
      </w:pPr>
    </w:p>
    <w:p>
      <w:pPr>
        <w:ind w:right="100" w:firstLine="279"/>
        <w:spacing w:after="0" w:line="287"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46"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29" w:lineRule="exact"/>
        <w:rPr>
          <w:sz w:val="20"/>
          <w:szCs w:val="20"/>
          <w:color w:val="auto"/>
        </w:rPr>
      </w:pPr>
    </w:p>
    <w:p>
      <w:pPr>
        <w:ind w:right="100" w:firstLine="279"/>
        <w:spacing w:after="0" w:line="247" w:lineRule="auto"/>
        <w:rPr>
          <w:sz w:val="20"/>
          <w:szCs w:val="20"/>
          <w:color w:val="auto"/>
        </w:rPr>
      </w:pPr>
      <w:r>
        <w:rPr>
          <w:rFonts w:ascii="Arial" w:cs="Arial" w:eastAsia="Arial" w:hAnsi="Arial"/>
          <w:sz w:val="18"/>
          <w:szCs w:val="18"/>
          <w:color w:val="auto"/>
        </w:rPr>
        <w:t>Our current results of operations and liquidity are, and will continue to be in the near future, substantially dependent upon performance by JPS, JPC and PREPA,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are substantially in excess of such minimum volume commitments. Our near 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181"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165"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ectPr>
          <w:pgSz w:w="11900" w:h="16838" w:orient="portrait"/>
          <w:cols w:equalWidth="0" w:num="1">
            <w:col w:w="11220"/>
          </w:cols>
          <w:pgMar w:left="320" w:top="124" w:right="35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5137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6" w:name="page47"/>
    <w:bookmarkEnd w:id="46"/>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240" w:firstLine="279"/>
        <w:spacing w:after="0" w:line="283"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Our contracts with our customers are subject to termination under certain circumstances.</w:t>
      </w:r>
    </w:p>
    <w:p>
      <w:pPr>
        <w:spacing w:after="0" w:line="200" w:lineRule="exact"/>
        <w:rPr>
          <w:sz w:val="20"/>
          <w:szCs w:val="20"/>
          <w:color w:val="auto"/>
        </w:rPr>
      </w:pPr>
    </w:p>
    <w:p>
      <w:pPr>
        <w:ind w:left="7" w:right="80" w:firstLine="279"/>
        <w:spacing w:after="0"/>
        <w:rPr>
          <w:sz w:val="20"/>
          <w:szCs w:val="20"/>
          <w:color w:val="auto"/>
        </w:rPr>
      </w:pPr>
      <w:r>
        <w:rPr>
          <w:rFonts w:ascii="Arial" w:cs="Arial" w:eastAsia="Arial" w:hAnsi="Arial"/>
          <w:sz w:val="19"/>
          <w:szCs w:val="19"/>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191" w:lineRule="exact"/>
        <w:rPr>
          <w:sz w:val="20"/>
          <w:szCs w:val="20"/>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the occurrence of certain events of force majeure;</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make available specified scheduled cargo quantities;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occurrence of certain uncured payment defaults;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occurrence of an insolvency event;</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occurrence of certain uncured, material breaches;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commence commercial operations or achieve financial close within the agreed timeframes.</w:t>
      </w:r>
    </w:p>
    <w:p>
      <w:pPr>
        <w:spacing w:after="0" w:line="203" w:lineRule="exact"/>
        <w:rPr>
          <w:sz w:val="20"/>
          <w:szCs w:val="20"/>
          <w:color w:val="auto"/>
        </w:rPr>
      </w:pPr>
    </w:p>
    <w:p>
      <w:pPr>
        <w:ind w:left="7" w:right="300" w:firstLine="279"/>
        <w:spacing w:after="0"/>
        <w:rPr>
          <w:sz w:val="20"/>
          <w:szCs w:val="20"/>
          <w:color w:val="auto"/>
        </w:rPr>
      </w:pPr>
      <w:r>
        <w:rPr>
          <w:rFonts w:ascii="Arial" w:cs="Arial" w:eastAsia="Arial" w:hAnsi="Arial"/>
          <w:sz w:val="19"/>
          <w:szCs w:val="19"/>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2" w:lineRule="exact"/>
        <w:rPr>
          <w:sz w:val="20"/>
          <w:szCs w:val="20"/>
          <w:color w:val="auto"/>
        </w:rPr>
      </w:pPr>
    </w:p>
    <w:p>
      <w:pPr>
        <w:jc w:val="both"/>
        <w:ind w:left="7" w:right="360"/>
        <w:spacing w:after="0"/>
        <w:rPr>
          <w:sz w:val="20"/>
          <w:szCs w:val="20"/>
          <w:color w:val="auto"/>
        </w:rPr>
      </w:pPr>
      <w:r>
        <w:rPr>
          <w:rFonts w:ascii="Arial" w:cs="Arial" w:eastAsia="Arial" w:hAnsi="Arial"/>
          <w:sz w:val="19"/>
          <w:szCs w:val="19"/>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82" w:lineRule="exact"/>
        <w:rPr>
          <w:sz w:val="20"/>
          <w:szCs w:val="20"/>
          <w:color w:val="auto"/>
        </w:rPr>
      </w:pPr>
    </w:p>
    <w:p>
      <w:pPr>
        <w:jc w:val="both"/>
        <w:ind w:left="7" w:firstLine="279"/>
        <w:spacing w:after="0"/>
        <w:rPr>
          <w:sz w:val="20"/>
          <w:szCs w:val="20"/>
          <w:color w:val="auto"/>
        </w:rPr>
      </w:pPr>
      <w:r>
        <w:rPr>
          <w:rFonts w:ascii="Arial" w:cs="Arial" w:eastAsia="Arial" w:hAnsi="Arial"/>
          <w:sz w:val="19"/>
          <w:szCs w:val="19"/>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91" w:lineRule="exact"/>
        <w:rPr>
          <w:sz w:val="20"/>
          <w:szCs w:val="20"/>
          <w:color w:val="auto"/>
        </w:rPr>
      </w:pPr>
    </w:p>
    <w:p>
      <w:pPr>
        <w:ind w:left="287" w:hanging="287"/>
        <w:spacing w:after="0"/>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additions to competitive regasification capacity in North America, Europe, Asia and other markets, which could divert LNG or natural gas from our business;</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imposition of tariffs by China or any other jurisdiction on imports of LNG from the United States;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insufficient or oversupply of natural gas liquefaction or export capacity worldwide;</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insufficient LNG tanker capacity;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weather conditions and natural disasters;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demand and lower prices for natural gas;</w:t>
      </w:r>
    </w:p>
    <w:p>
      <w:pPr>
        <w:spacing w:after="0" w:line="369"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4" w:right="379" w:bottom="1440" w:gutter="0" w:footer="0" w:header="0"/>
        </w:sectPr>
      </w:pPr>
    </w:p>
    <w:bookmarkStart w:id="47" w:name="page48"/>
    <w:bookmarkEnd w:id="47"/>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natural gas production deliverable by pipelines, which could suppress demand for LNG;</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decreased oil and natural gas exploration activities, including shut-ins and possible proration, which have begun and may continue to decrease the production of natural gas;</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improvements that allow competitors to offer LNG regasification services at reduced prices;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supplies of, and prices for, alternative energy sources such as coal, oil, nuclear, hydroelectric, wind and solar energy, which may reduce the demand for natural gas;</w:t>
      </w:r>
    </w:p>
    <w:p>
      <w:pPr>
        <w:spacing w:after="0" w:line="234" w:lineRule="exact"/>
        <w:rPr>
          <w:rFonts w:ascii="Arial" w:cs="Arial" w:eastAsia="Arial" w:hAnsi="Arial"/>
          <w:sz w:val="14"/>
          <w:szCs w:val="14"/>
          <w:color w:val="auto"/>
        </w:rPr>
      </w:pPr>
    </w:p>
    <w:p>
      <w:pPr>
        <w:ind w:left="287" w:right="360" w:hanging="287"/>
        <w:spacing w:after="0" w:line="258" w:lineRule="auto"/>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regulatory, tax or other governmental policies regarding imported or exported LNG, natural gas or alternative energy sources, which may reduce the demand for imported or exported LNG and/or natural gas;</w:t>
      </w:r>
    </w:p>
    <w:p>
      <w:pPr>
        <w:spacing w:after="0" w:line="186" w:lineRule="exact"/>
        <w:rPr>
          <w:rFonts w:ascii="Arial" w:cs="Arial" w:eastAsia="Arial" w:hAnsi="Arial"/>
          <w:sz w:val="16"/>
          <w:szCs w:val="16"/>
          <w:color w:val="auto"/>
        </w:rPr>
      </w:pPr>
    </w:p>
    <w:p>
      <w:pPr>
        <w:ind w:left="287" w:hanging="287"/>
        <w:spacing w:after="0"/>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political conditions in natural gas producing regions;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relative demand for LNG compared to other markets, which may decrease LNG imports into or exports from North America;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cyclical trends in general business and economic conditions that cause changes in the demand for natural gas.</w:t>
      </w:r>
    </w:p>
    <w:p>
      <w:pPr>
        <w:spacing w:after="0" w:line="203" w:lineRule="exact"/>
        <w:rPr>
          <w:sz w:val="20"/>
          <w:szCs w:val="20"/>
          <w:color w:val="auto"/>
        </w:rPr>
      </w:pPr>
    </w:p>
    <w:p>
      <w:pPr>
        <w:ind w:left="7" w:right="20" w:firstLine="279"/>
        <w:spacing w:after="0" w:line="260" w:lineRule="auto"/>
        <w:rPr>
          <w:sz w:val="20"/>
          <w:szCs w:val="20"/>
          <w:color w:val="auto"/>
        </w:rPr>
      </w:pPr>
      <w:r>
        <w:rPr>
          <w:rFonts w:ascii="Arial" w:cs="Arial" w:eastAsia="Arial" w:hAnsi="Arial"/>
          <w:sz w:val="17"/>
          <w:szCs w:val="17"/>
          <w:color w:val="auto"/>
        </w:rPr>
        <w:t>Adverse trends or developments affecting any of these factors, including the timing of the impact of these factors in relation to our purchases and sales of natural gas and LNG – in particular prior to our Pennsylvania Facility becoming operational -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OPEC related to the supply of oil in the market have caused significant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firm purchase commitments,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4" w:lineRule="exact"/>
        <w:rPr>
          <w:sz w:val="20"/>
          <w:szCs w:val="20"/>
          <w:color w:val="auto"/>
        </w:rPr>
      </w:pPr>
    </w:p>
    <w:p>
      <w:pPr>
        <w:ind w:left="7" w:right="160"/>
        <w:spacing w:after="0" w:line="251" w:lineRule="auto"/>
        <w:rPr>
          <w:sz w:val="20"/>
          <w:szCs w:val="20"/>
          <w:color w:val="auto"/>
        </w:rPr>
      </w:pPr>
      <w:r>
        <w:rPr>
          <w:rFonts w:ascii="Arial" w:cs="Arial" w:eastAsia="Arial" w:hAnsi="Arial"/>
          <w:sz w:val="19"/>
          <w:szCs w:val="19"/>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71" w:lineRule="exact"/>
        <w:rPr>
          <w:sz w:val="20"/>
          <w:szCs w:val="20"/>
          <w:color w:val="auto"/>
        </w:rPr>
      </w:pPr>
    </w:p>
    <w:p>
      <w:pPr>
        <w:ind w:left="7" w:right="20" w:firstLine="279"/>
        <w:spacing w:after="0" w:line="263"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$280.0 million of total indebtedness outstanding, excluding deferred financing costs. On January 10, 2020, the Company entered into a Credit Agreement to borrow $800 million in term loans (the “Credit Agreement”). On January 15, 2020, all outstanding principal and interest under the Term Loan Facility was paid in full, and the remainder of the proceeds of the Credit Agreement increased the Company’s cash on hand available to invest in our development projects. See “Part I, Item 2. Management’s Discussion and Analysis of Financial Condition and Results of Operations” in this Quarterly Report for more information on our Term Loan Facility, Credit Agreement, Senior Secured Bonds and Senior Unsecured Bonds.</w:t>
      </w:r>
    </w:p>
    <w:p>
      <w:pPr>
        <w:spacing w:after="0" w:line="166" w:lineRule="exact"/>
        <w:rPr>
          <w:sz w:val="20"/>
          <w:szCs w:val="20"/>
          <w:color w:val="auto"/>
        </w:rPr>
      </w:pPr>
    </w:p>
    <w:p>
      <w:pPr>
        <w:ind w:left="7" w:firstLine="279"/>
        <w:spacing w:after="0" w:line="248" w:lineRule="auto"/>
        <w:rPr>
          <w:sz w:val="20"/>
          <w:szCs w:val="20"/>
          <w:color w:val="auto"/>
        </w:rPr>
      </w:pPr>
      <w:r>
        <w:rPr>
          <w:rFonts w:ascii="Arial" w:cs="Arial" w:eastAsia="Arial" w:hAnsi="Arial"/>
          <w:sz w:val="18"/>
          <w:szCs w:val="18"/>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implement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3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48" w:name="page49"/>
    <w:bookmarkEnd w:id="4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jc w:val="both"/>
        <w:ind w:left="7" w:right="20" w:firstLine="279"/>
        <w:spacing w:after="0" w:line="278"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49" w:lineRule="exact"/>
        <w:rPr>
          <w:sz w:val="20"/>
          <w:szCs w:val="20"/>
          <w:color w:val="auto"/>
        </w:rPr>
      </w:pPr>
    </w:p>
    <w:p>
      <w:pPr>
        <w:jc w:val="both"/>
        <w:ind w:left="7" w:firstLine="279"/>
        <w:spacing w:after="0" w:line="308"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29" w:lineRule="exact"/>
        <w:rPr>
          <w:sz w:val="20"/>
          <w:szCs w:val="20"/>
          <w:color w:val="auto"/>
        </w:rPr>
      </w:pPr>
    </w:p>
    <w:p>
      <w:pPr>
        <w:ind w:left="7" w:right="500"/>
        <w:spacing w:after="0" w:line="251" w:lineRule="auto"/>
        <w:rPr>
          <w:sz w:val="20"/>
          <w:szCs w:val="20"/>
          <w:color w:val="auto"/>
        </w:rPr>
      </w:pPr>
      <w:r>
        <w:rPr>
          <w:rFonts w:ascii="Arial" w:cs="Arial" w:eastAsia="Arial" w:hAnsi="Arial"/>
          <w:sz w:val="19"/>
          <w:szCs w:val="19"/>
          <w:b w:val="1"/>
          <w:bCs w:val="1"/>
          <w:i w:val="1"/>
          <w:iCs w:val="1"/>
          <w:color w:val="auto"/>
        </w:rPr>
        <w:t>The agreements governing our indebtedness place restrictions on us and our subsidiaries, reducing operational and financing flexibility and creating default risks.</w:t>
      </w:r>
    </w:p>
    <w:p>
      <w:pPr>
        <w:spacing w:after="0" w:line="171" w:lineRule="exact"/>
        <w:rPr>
          <w:sz w:val="20"/>
          <w:szCs w:val="20"/>
          <w:color w:val="auto"/>
        </w:rPr>
      </w:pPr>
    </w:p>
    <w:p>
      <w:pPr>
        <w:ind w:left="7" w:right="120" w:firstLine="279"/>
        <w:spacing w:after="0"/>
        <w:rPr>
          <w:sz w:val="20"/>
          <w:szCs w:val="20"/>
          <w:color w:val="auto"/>
        </w:rPr>
      </w:pPr>
      <w:r>
        <w:rPr>
          <w:rFonts w:ascii="Arial" w:cs="Arial" w:eastAsia="Arial" w:hAnsi="Arial"/>
          <w:sz w:val="19"/>
          <w:szCs w:val="19"/>
          <w:color w:val="auto"/>
        </w:rPr>
        <w:t>The agreements governing our indebtedness, including, but not limited to, the Credit Agreement, entered into on January 10, 2020, contain covenants that place restrictions on us and our subsidiaries. The terms governing the Credit Agreement restrict among other things, our and certain of our subsidiaries’ ability to:</w:t>
      </w:r>
    </w:p>
    <w:p>
      <w:pPr>
        <w:spacing w:after="0" w:line="191" w:lineRule="exact"/>
        <w:rPr>
          <w:sz w:val="20"/>
          <w:szCs w:val="20"/>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03" w:lineRule="exact"/>
        <w:rPr>
          <w:sz w:val="20"/>
          <w:szCs w:val="20"/>
          <w:color w:val="auto"/>
        </w:rPr>
      </w:pPr>
    </w:p>
    <w:p>
      <w:pPr>
        <w:ind w:left="7" w:right="20" w:firstLine="279"/>
        <w:spacing w:after="0" w:line="247" w:lineRule="auto"/>
        <w:rPr>
          <w:sz w:val="20"/>
          <w:szCs w:val="20"/>
          <w:color w:val="auto"/>
        </w:rPr>
      </w:pPr>
      <w:r>
        <w:rPr>
          <w:rFonts w:ascii="Arial" w:cs="Arial" w:eastAsia="Arial" w:hAnsi="Arial"/>
          <w:sz w:val="18"/>
          <w:szCs w:val="18"/>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 Cross-default provisions in certain of our agreements mean that an event of default under certain of our commercial agreements could trigger an event of default under one of our other agreements, including our debt agreements. Upon the occurrence of an event of default under any of our debt agreements, the lenders or holders thereof could elect to declare all outstanding debt under such agreements to be immediately due and payable, the lenders under our debt instruments could terminate their commitments to loan money, our secured lenders could foreclose against the assets securing such borrowings and we could be forced into bankruptcy or liquidation.</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23" w:lineRule="exact"/>
        <w:rPr>
          <w:sz w:val="20"/>
          <w:szCs w:val="20"/>
          <w:color w:val="auto"/>
        </w:rPr>
      </w:pPr>
    </w:p>
    <w:p>
      <w:pPr>
        <w:ind w:left="7" w:firstLine="279"/>
        <w:spacing w:after="0" w:line="270"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Operation of our LNG infrastructure and other facilities that we may construct involves significant risks.</w:t>
      </w:r>
    </w:p>
    <w:p>
      <w:pPr>
        <w:spacing w:after="0" w:line="200" w:lineRule="exact"/>
        <w:rPr>
          <w:sz w:val="20"/>
          <w:szCs w:val="20"/>
          <w:color w:val="auto"/>
        </w:rPr>
      </w:pPr>
    </w:p>
    <w:p>
      <w:pPr>
        <w:ind w:left="7" w:right="260" w:firstLine="279"/>
        <w:spacing w:after="0" w:line="274" w:lineRule="auto"/>
        <w:rPr>
          <w:sz w:val="20"/>
          <w:szCs w:val="20"/>
          <w:color w:val="auto"/>
        </w:rPr>
      </w:pPr>
      <w:r>
        <w:rPr>
          <w:rFonts w:ascii="Arial" w:cs="Arial" w:eastAsia="Arial" w:hAnsi="Arial"/>
          <w:sz w:val="17"/>
          <w:szCs w:val="17"/>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320"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49" w:name="page50"/>
    <w:bookmarkEnd w:id="4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51" w:lineRule="auto"/>
        <w:rPr>
          <w:sz w:val="20"/>
          <w:szCs w:val="20"/>
          <w:color w:val="auto"/>
        </w:rPr>
      </w:pPr>
      <w:r>
        <w:rPr>
          <w:rFonts w:ascii="Arial" w:cs="Arial" w:eastAsia="Arial" w:hAnsi="Arial"/>
          <w:sz w:val="19"/>
          <w:szCs w:val="19"/>
          <w:color w:val="auto"/>
        </w:rPr>
        <w:t>Any of these risks could disrupt our operations and increase our costs, which would adversely affect our business, operating results, cash flows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operation of the CHP Plant and other power plants will involve particular, significant risks.</w:t>
      </w:r>
    </w:p>
    <w:p>
      <w:pPr>
        <w:spacing w:after="0" w:line="200" w:lineRule="exact"/>
        <w:rPr>
          <w:sz w:val="20"/>
          <w:szCs w:val="20"/>
          <w:color w:val="auto"/>
        </w:rPr>
      </w:pPr>
    </w:p>
    <w:p>
      <w:pPr>
        <w:ind w:right="140" w:firstLine="279"/>
        <w:spacing w:after="0" w:line="279" w:lineRule="auto"/>
        <w:rPr>
          <w:sz w:val="20"/>
          <w:szCs w:val="20"/>
          <w:color w:val="auto"/>
        </w:rPr>
      </w:pPr>
      <w:r>
        <w:rPr>
          <w:rFonts w:ascii="Arial" w:cs="Arial" w:eastAsia="Arial" w:hAnsi="Arial"/>
          <w:sz w:val="16"/>
          <w:szCs w:val="16"/>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151" w:lineRule="exact"/>
        <w:rPr>
          <w:sz w:val="20"/>
          <w:szCs w:val="20"/>
          <w:color w:val="auto"/>
        </w:rPr>
      </w:pPr>
    </w:p>
    <w:p>
      <w:pPr>
        <w:ind w:right="60"/>
        <w:spacing w:after="0" w:line="343" w:lineRule="auto"/>
        <w:rPr>
          <w:sz w:val="20"/>
          <w:szCs w:val="20"/>
          <w:color w:val="auto"/>
        </w:rPr>
      </w:pPr>
      <w:r>
        <w:rPr>
          <w:rFonts w:ascii="Arial" w:cs="Arial" w:eastAsia="Arial" w:hAnsi="Arial"/>
          <w:sz w:val="16"/>
          <w:szCs w:val="16"/>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02" w:lineRule="exact"/>
        <w:rPr>
          <w:sz w:val="20"/>
          <w:szCs w:val="20"/>
          <w:color w:val="auto"/>
        </w:rPr>
      </w:pPr>
    </w:p>
    <w:p>
      <w:pPr>
        <w:ind w:right="80" w:firstLine="279"/>
        <w:spacing w:after="0" w:line="262"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66" w:lineRule="exact"/>
        <w:rPr>
          <w:sz w:val="20"/>
          <w:szCs w:val="20"/>
          <w:color w:val="auto"/>
        </w:rPr>
      </w:pPr>
    </w:p>
    <w:p>
      <w:pPr>
        <w:ind w:right="460"/>
        <w:spacing w:after="0"/>
        <w:rPr>
          <w:sz w:val="20"/>
          <w:szCs w:val="20"/>
          <w:color w:val="auto"/>
        </w:rPr>
      </w:pPr>
      <w:r>
        <w:rPr>
          <w:rFonts w:ascii="Arial" w:cs="Arial" w:eastAsia="Arial" w:hAnsi="Arial"/>
          <w:sz w:val="19"/>
          <w:szCs w:val="19"/>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82" w:lineRule="exact"/>
        <w:rPr>
          <w:sz w:val="20"/>
          <w:szCs w:val="20"/>
          <w:color w:val="auto"/>
        </w:rPr>
      </w:pPr>
    </w:p>
    <w:p>
      <w:pPr>
        <w:ind w:right="40" w:firstLine="279"/>
        <w:spacing w:after="0" w:line="263"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166" w:lineRule="exact"/>
        <w:rPr>
          <w:sz w:val="20"/>
          <w:szCs w:val="20"/>
          <w:color w:val="auto"/>
        </w:rPr>
      </w:pPr>
    </w:p>
    <w:p>
      <w:pPr>
        <w:ind w:right="20" w:firstLine="279"/>
        <w:spacing w:after="0" w:line="248"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firstLine="279"/>
        <w:spacing w:after="0" w:line="283"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Information technology failures and cyberattacks could affect us significantly.</w:t>
      </w:r>
    </w:p>
    <w:p>
      <w:pPr>
        <w:spacing w:after="0" w:line="200" w:lineRule="exact"/>
        <w:rPr>
          <w:sz w:val="20"/>
          <w:szCs w:val="20"/>
          <w:color w:val="auto"/>
        </w:rPr>
      </w:pPr>
    </w:p>
    <w:p>
      <w:pPr>
        <w:jc w:val="both"/>
        <w:ind w:right="500" w:firstLine="279"/>
        <w:spacing w:after="0"/>
        <w:rPr>
          <w:sz w:val="20"/>
          <w:szCs w:val="20"/>
          <w:color w:val="auto"/>
        </w:rPr>
      </w:pPr>
      <w:r>
        <w:rPr>
          <w:rFonts w:ascii="Arial" w:cs="Arial" w:eastAsia="Arial" w:hAnsi="Arial"/>
          <w:sz w:val="19"/>
          <w:szCs w:val="19"/>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82" w:lineRule="exact"/>
        <w:rPr>
          <w:sz w:val="20"/>
          <w:szCs w:val="20"/>
          <w:color w:val="auto"/>
        </w:rPr>
      </w:pPr>
    </w:p>
    <w:p>
      <w:pPr>
        <w:ind w:right="20" w:firstLine="279"/>
        <w:spacing w:after="0" w:line="283" w:lineRule="auto"/>
        <w:rPr>
          <w:sz w:val="20"/>
          <w:szCs w:val="20"/>
          <w:color w:val="auto"/>
        </w:rPr>
      </w:pPr>
      <w:r>
        <w:rPr>
          <w:rFonts w:ascii="Arial" w:cs="Arial" w:eastAsia="Arial" w:hAnsi="Arial"/>
          <w:sz w:val="16"/>
          <w:szCs w:val="16"/>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insurance may be insufficient to cover losses that may occur to our property or result from our operations.</w:t>
      </w:r>
    </w:p>
    <w:p>
      <w:pPr>
        <w:spacing w:after="0" w:line="200" w:lineRule="exact"/>
        <w:rPr>
          <w:sz w:val="20"/>
          <w:szCs w:val="20"/>
          <w:color w:val="auto"/>
        </w:rPr>
      </w:pPr>
    </w:p>
    <w:p>
      <w:pPr>
        <w:ind w:right="40" w:firstLine="279"/>
        <w:spacing w:after="0" w:line="263"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66" w:lineRule="exact"/>
        <w:rPr>
          <w:sz w:val="20"/>
          <w:szCs w:val="20"/>
          <w:color w:val="auto"/>
        </w:rPr>
      </w:pPr>
    </w:p>
    <w:p>
      <w:pPr>
        <w:ind w:firstLine="279"/>
        <w:spacing w:after="0" w:line="270"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57"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182" w:lineRule="exact"/>
        <w:rPr>
          <w:sz w:val="20"/>
          <w:szCs w:val="20"/>
          <w:color w:val="auto"/>
        </w:rPr>
      </w:pPr>
    </w:p>
    <w:p>
      <w:pPr>
        <w:ind w:right="60" w:firstLine="279"/>
        <w:spacing w:after="0" w:line="278"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49" w:lineRule="exact"/>
        <w:rPr>
          <w:sz w:val="20"/>
          <w:szCs w:val="20"/>
          <w:color w:val="auto"/>
        </w:rPr>
      </w:pPr>
    </w:p>
    <w:p>
      <w:pPr>
        <w:spacing w:after="0" w:line="343" w:lineRule="auto"/>
        <w:rPr>
          <w:sz w:val="20"/>
          <w:szCs w:val="20"/>
          <w:color w:val="auto"/>
        </w:rPr>
      </w:pPr>
      <w:r>
        <w:rPr>
          <w:rFonts w:ascii="Arial" w:cs="Arial" w:eastAsia="Arial" w:hAnsi="Arial"/>
          <w:sz w:val="16"/>
          <w:szCs w:val="16"/>
          <w:b w:val="1"/>
          <w:bCs w:val="1"/>
          <w:i w:val="1"/>
          <w:iCs w:val="1"/>
          <w:color w:val="auto"/>
        </w:rPr>
        <w:t>We are unable to predict the extent to which the global COVID-19 pandemic will negatively affect our operations, financial performance, ability to achieve our strategic objectives. We are also unable to predict how this global pandemic may affect our customers and suppliers.</w:t>
      </w:r>
    </w:p>
    <w:p>
      <w:pPr>
        <w:spacing w:after="0" w:line="102" w:lineRule="exact"/>
        <w:rPr>
          <w:sz w:val="20"/>
          <w:szCs w:val="20"/>
          <w:color w:val="auto"/>
        </w:rPr>
      </w:pPr>
    </w:p>
    <w:p>
      <w:pPr>
        <w:jc w:val="both"/>
        <w:ind w:right="320" w:firstLine="279"/>
        <w:spacing w:after="0"/>
        <w:rPr>
          <w:sz w:val="20"/>
          <w:szCs w:val="20"/>
          <w:color w:val="auto"/>
        </w:rPr>
      </w:pPr>
      <w:r>
        <w:rPr>
          <w:rFonts w:ascii="Arial" w:cs="Arial" w:eastAsia="Arial" w:hAnsi="Arial"/>
          <w:sz w:val="19"/>
          <w:szCs w:val="19"/>
          <w:color w:val="auto"/>
        </w:rPr>
        <w:t>The COVID-19 pandemic has caused, and is expected to continue to cause, a global economic slowdown,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1" w:name="page52"/>
    <w:bookmarkEnd w:id="51"/>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firstLine="308"/>
        <w:spacing w:after="0" w:line="264"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65" w:lineRule="exact"/>
        <w:rPr>
          <w:sz w:val="20"/>
          <w:szCs w:val="20"/>
          <w:color w:val="auto"/>
        </w:rPr>
      </w:pPr>
    </w:p>
    <w:p>
      <w:pPr>
        <w:ind w:left="7" w:right="40" w:firstLine="308"/>
        <w:spacing w:after="0" w:line="262" w:lineRule="auto"/>
        <w:rPr>
          <w:sz w:val="20"/>
          <w:szCs w:val="20"/>
          <w:color w:val="auto"/>
        </w:rPr>
      </w:pPr>
      <w:r>
        <w:rPr>
          <w:rFonts w:ascii="Arial" w:cs="Arial" w:eastAsia="Arial" w:hAnsi="Arial"/>
          <w:sz w:val="17"/>
          <w:szCs w:val="17"/>
          <w:color w:val="auto"/>
        </w:rPr>
        <w:t>The COVID-19 pandemic has subjected our operations, financial performance and financial condition to a number of risks, including, but not limited operations, customer and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and at customers and suppliers. We may also experience a lower demand for natural gas at our existing customers and a decrease in interest from potential customers as a result of the pandemic’s impact on the price of available fuel options, including oil-based fuels.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We expect that the longer this period of economic and global supply chain and disruption continues, the greater the uncertainty will be regarding the possible adverse impact on our business operations, financial performance and results of operations.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From time to time, we may be involved in legal proceedings and may experience unfavorable outcomes.</w:t>
      </w:r>
    </w:p>
    <w:p>
      <w:pPr>
        <w:spacing w:after="0" w:line="200" w:lineRule="exact"/>
        <w:rPr>
          <w:sz w:val="20"/>
          <w:szCs w:val="20"/>
          <w:color w:val="auto"/>
        </w:rPr>
      </w:pPr>
    </w:p>
    <w:p>
      <w:pPr>
        <w:ind w:left="7" w:firstLine="279"/>
        <w:spacing w:after="0" w:line="236" w:lineRule="auto"/>
        <w:rPr>
          <w:sz w:val="20"/>
          <w:szCs w:val="20"/>
          <w:color w:val="auto"/>
        </w:rPr>
      </w:pPr>
      <w:r>
        <w:rPr>
          <w:rFonts w:ascii="Arial" w:cs="Arial" w:eastAsia="Arial" w:hAnsi="Arial"/>
          <w:sz w:val="19"/>
          <w:szCs w:val="19"/>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 material adverse effect on our business, financial position and results of operations.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Our success depends on key members of our management, the loss of any of whom could disrupt our business operations.</w:t>
      </w:r>
    </w:p>
    <w:p>
      <w:pPr>
        <w:spacing w:after="0" w:line="200" w:lineRule="exact"/>
        <w:rPr>
          <w:sz w:val="20"/>
          <w:szCs w:val="20"/>
          <w:color w:val="auto"/>
        </w:rPr>
      </w:pPr>
    </w:p>
    <w:p>
      <w:pPr>
        <w:ind w:left="7" w:right="40" w:firstLine="279"/>
        <w:spacing w:after="0" w:line="274"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54" w:lineRule="exact"/>
        <w:rPr>
          <w:sz w:val="20"/>
          <w:szCs w:val="20"/>
          <w:color w:val="auto"/>
        </w:rPr>
      </w:pPr>
    </w:p>
    <w:p>
      <w:pPr>
        <w:ind w:left="7" w:right="220"/>
        <w:spacing w:after="0" w:line="251" w:lineRule="auto"/>
        <w:rPr>
          <w:sz w:val="20"/>
          <w:szCs w:val="20"/>
          <w:color w:val="auto"/>
        </w:rPr>
      </w:pPr>
      <w:r>
        <w:rPr>
          <w:rFonts w:ascii="Arial" w:cs="Arial" w:eastAsia="Arial" w:hAnsi="Arial"/>
          <w:sz w:val="19"/>
          <w:szCs w:val="19"/>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71" w:lineRule="exact"/>
        <w:rPr>
          <w:sz w:val="20"/>
          <w:szCs w:val="20"/>
          <w:color w:val="auto"/>
        </w:rPr>
      </w:pPr>
    </w:p>
    <w:p>
      <w:pPr>
        <w:ind w:left="7" w:right="20" w:firstLine="279"/>
        <w:spacing w:after="0" w:line="283" w:lineRule="auto"/>
        <w:rPr>
          <w:sz w:val="20"/>
          <w:szCs w:val="20"/>
          <w:color w:val="auto"/>
        </w:rPr>
      </w:pPr>
      <w:r>
        <w:rPr>
          <w:rFonts w:ascii="Arial" w:cs="Arial" w:eastAsia="Arial" w:hAnsi="Arial"/>
          <w:sz w:val="17"/>
          <w:szCs w:val="17"/>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55" w:lineRule="exact"/>
        <w:rPr>
          <w:sz w:val="20"/>
          <w:szCs w:val="20"/>
          <w:color w:val="auto"/>
        </w:rPr>
      </w:pPr>
    </w:p>
    <w:p>
      <w:pPr>
        <w:ind w:left="287" w:right="220" w:hanging="287"/>
        <w:spacing w:after="0" w:line="258" w:lineRule="auto"/>
        <w:tabs>
          <w:tab w:leader="none" w:pos="2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complete construction projects on schedule or at the budgeted cost due to the unavailability of required construction personnel or materials, accidents or weather conditions;</w:t>
      </w:r>
    </w:p>
    <w:p>
      <w:pPr>
        <w:spacing w:after="0" w:line="186" w:lineRule="exact"/>
        <w:rPr>
          <w:rFonts w:ascii="Arial" w:cs="Arial" w:eastAsia="Arial" w:hAnsi="Arial"/>
          <w:sz w:val="16"/>
          <w:szCs w:val="16"/>
          <w:color w:val="auto"/>
        </w:rPr>
      </w:pPr>
    </w:p>
    <w:p>
      <w:pPr>
        <w:ind w:left="287" w:right="60" w:hanging="287"/>
        <w:spacing w:after="0" w:line="329" w:lineRule="auto"/>
        <w:tabs>
          <w:tab w:leader="none" w:pos="2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40" w:lineRule="exact"/>
        <w:rPr>
          <w:rFonts w:ascii="Arial" w:cs="Arial" w:eastAsia="Arial" w:hAnsi="Arial"/>
          <w:sz w:val="14"/>
          <w:szCs w:val="14"/>
          <w:color w:val="auto"/>
        </w:rPr>
      </w:pPr>
    </w:p>
    <w:p>
      <w:pPr>
        <w:ind w:left="287" w:right="200" w:hanging="287"/>
        <w:spacing w:after="0" w:line="258" w:lineRule="auto"/>
        <w:tabs>
          <w:tab w:leader="none" w:pos="2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3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52" w:name="page53"/>
    <w:bookmarkEnd w:id="52"/>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construct facilities to capture anticipated future energy consumption growth in a region in which such growth does not materialize;</w:t>
      </w:r>
    </w:p>
    <w:p>
      <w:pPr>
        <w:spacing w:after="0" w:line="211" w:lineRule="exact"/>
        <w:rPr>
          <w:rFonts w:ascii="Arial" w:cs="Arial" w:eastAsia="Arial" w:hAnsi="Arial"/>
          <w:sz w:val="16"/>
          <w:szCs w:val="16"/>
          <w:color w:val="auto"/>
        </w:rPr>
      </w:pPr>
    </w:p>
    <w:p>
      <w:pPr>
        <w:ind w:left="287" w:right="120" w:hanging="287"/>
        <w:spacing w:after="0" w:line="258" w:lineRule="auto"/>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186" w:lineRule="exact"/>
        <w:rPr>
          <w:rFonts w:ascii="Arial" w:cs="Arial" w:eastAsia="Arial" w:hAnsi="Arial"/>
          <w:sz w:val="16"/>
          <w:szCs w:val="16"/>
          <w:color w:val="auto"/>
        </w:rPr>
      </w:pPr>
    </w:p>
    <w:p>
      <w:pPr>
        <w:ind w:left="287" w:right="400" w:hanging="287"/>
        <w:spacing w:after="0" w:line="329" w:lineRule="auto"/>
        <w:tabs>
          <w:tab w:leader="none" w:pos="2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purchase of the project company holding the rights to develop and operate the Ireland Terminal is subject to a number of contingencies, many of which are beyond our control and could cause us not to acquire the remaining interests of the project company or cause a delay in the construction of our Ireland Terminal;</w:t>
      </w:r>
    </w:p>
    <w:p>
      <w:pPr>
        <w:spacing w:after="0" w:line="140" w:lineRule="exact"/>
        <w:rPr>
          <w:rFonts w:ascii="Arial" w:cs="Arial" w:eastAsia="Arial" w:hAnsi="Arial"/>
          <w:sz w:val="14"/>
          <w:szCs w:val="14"/>
          <w:color w:val="auto"/>
        </w:rPr>
      </w:pPr>
    </w:p>
    <w:p>
      <w:pPr>
        <w:ind w:left="287" w:right="320" w:hanging="287"/>
        <w:spacing w:after="0" w:line="250" w:lineRule="auto"/>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92" w:lineRule="exact"/>
        <w:rPr>
          <w:rFonts w:ascii="Arial" w:cs="Arial" w:eastAsia="Arial" w:hAnsi="Arial"/>
          <w:sz w:val="16"/>
          <w:szCs w:val="16"/>
          <w:color w:val="auto"/>
        </w:rPr>
      </w:pPr>
    </w:p>
    <w:p>
      <w:pPr>
        <w:ind w:left="287" w:right="180" w:hanging="287"/>
        <w:spacing w:after="0" w:line="258" w:lineRule="auto"/>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(and have been in select circumstances) subject to local opposition, including the efforts by environmental groups, which may attract negative publicity or have an adverse impact on our reputation; and</w:t>
      </w:r>
    </w:p>
    <w:p>
      <w:pPr>
        <w:spacing w:after="0" w:line="186" w:lineRule="exact"/>
        <w:rPr>
          <w:rFonts w:ascii="Arial" w:cs="Arial" w:eastAsia="Arial" w:hAnsi="Arial"/>
          <w:sz w:val="16"/>
          <w:szCs w:val="16"/>
          <w:color w:val="auto"/>
        </w:rPr>
      </w:pPr>
    </w:p>
    <w:p>
      <w:pPr>
        <w:ind w:left="287" w:hanging="287"/>
        <w:spacing w:after="0"/>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obtain rights-of-way to construct additional energy-related infrastructure or the cost to do so may be uneconomical.</w:t>
      </w:r>
    </w:p>
    <w:p>
      <w:pPr>
        <w:spacing w:after="0" w:line="203" w:lineRule="exact"/>
        <w:rPr>
          <w:sz w:val="20"/>
          <w:szCs w:val="20"/>
          <w:color w:val="auto"/>
        </w:rPr>
      </w:pPr>
    </w:p>
    <w:p>
      <w:pPr>
        <w:ind w:left="7" w:right="240" w:firstLine="279"/>
        <w:spacing w:after="0" w:line="278"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49" w:lineRule="exact"/>
        <w:rPr>
          <w:sz w:val="20"/>
          <w:szCs w:val="20"/>
          <w:color w:val="auto"/>
        </w:rPr>
      </w:pPr>
    </w:p>
    <w:p>
      <w:pPr>
        <w:ind w:left="7" w:right="840"/>
        <w:spacing w:after="0" w:line="251" w:lineRule="auto"/>
        <w:rPr>
          <w:sz w:val="20"/>
          <w:szCs w:val="20"/>
          <w:color w:val="auto"/>
        </w:rPr>
      </w:pPr>
      <w:r>
        <w:rPr>
          <w:rFonts w:ascii="Arial" w:cs="Arial" w:eastAsia="Arial" w:hAnsi="Arial"/>
          <w:sz w:val="19"/>
          <w:szCs w:val="19"/>
          <w:b w:val="1"/>
          <w:bCs w:val="1"/>
          <w:i w:val="1"/>
          <w:iCs w:val="1"/>
          <w:color w:val="auto"/>
        </w:rPr>
        <w:t>We expect to be dependent on our primary building contractor and other contractors for the successful completion of our energy-related infrastructure.</w:t>
      </w:r>
    </w:p>
    <w:p>
      <w:pPr>
        <w:spacing w:after="0" w:line="171" w:lineRule="exact"/>
        <w:rPr>
          <w:sz w:val="20"/>
          <w:szCs w:val="20"/>
          <w:color w:val="auto"/>
        </w:rPr>
      </w:pPr>
    </w:p>
    <w:p>
      <w:pPr>
        <w:ind w:left="7" w:right="40" w:firstLine="279"/>
        <w:spacing w:after="0" w:line="254"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79" w:lineRule="exact"/>
        <w:rPr>
          <w:sz w:val="20"/>
          <w:szCs w:val="20"/>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 and engineer each of our facilities to operate in accordance with specifications;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engage and retain third-party subcontractors and procure equipment and supplies;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attract, develop and retain skilled personnel, including engineers;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post required construction bonds and comply with the terms thereof;</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 their own financial condition, including adequate working capital.</w:t>
      </w:r>
    </w:p>
    <w:p>
      <w:pPr>
        <w:spacing w:after="0" w:line="203" w:lineRule="exact"/>
        <w:rPr>
          <w:sz w:val="20"/>
          <w:szCs w:val="20"/>
          <w:color w:val="auto"/>
        </w:rPr>
      </w:pPr>
    </w:p>
    <w:p>
      <w:pPr>
        <w:ind w:left="7" w:firstLine="279"/>
        <w:spacing w:after="0" w:line="261" w:lineRule="auto"/>
        <w:rPr>
          <w:sz w:val="20"/>
          <w:szCs w:val="20"/>
          <w:color w:val="auto"/>
        </w:rPr>
      </w:pPr>
      <w:r>
        <w:rPr>
          <w:rFonts w:ascii="Arial" w:cs="Arial" w:eastAsia="Arial" w:hAnsi="Arial"/>
          <w:sz w:val="17"/>
          <w:szCs w:val="17"/>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53" w:name="page54"/>
    <w:bookmarkEnd w:id="5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0" w:firstLine="279"/>
        <w:spacing w:after="0" w:line="251"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71" w:lineRule="exact"/>
        <w:rPr>
          <w:sz w:val="20"/>
          <w:szCs w:val="20"/>
          <w:color w:val="auto"/>
        </w:rPr>
      </w:pPr>
    </w:p>
    <w:p>
      <w:pPr>
        <w:ind w:right="200" w:firstLine="279"/>
        <w:spacing w:after="0" w:line="235" w:lineRule="auto"/>
        <w:rPr>
          <w:sz w:val="20"/>
          <w:szCs w:val="20"/>
          <w:color w:val="auto"/>
        </w:rPr>
      </w:pPr>
      <w:r>
        <w:rPr>
          <w:rFonts w:ascii="Arial" w:cs="Arial" w:eastAsia="Arial" w:hAnsi="Arial"/>
          <w:sz w:val="19"/>
          <w:szCs w:val="19"/>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perform development or construction services from time to time, which are subject to a variety of risks unique to these activities.</w:t>
      </w:r>
    </w:p>
    <w:p>
      <w:pPr>
        <w:spacing w:after="0" w:line="223" w:lineRule="exact"/>
        <w:rPr>
          <w:sz w:val="20"/>
          <w:szCs w:val="20"/>
          <w:color w:val="auto"/>
        </w:rPr>
      </w:pPr>
    </w:p>
    <w:p>
      <w:pPr>
        <w:ind w:firstLine="279"/>
        <w:spacing w:after="0" w:line="267"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Combined Cycle Power Plant in San Juan, Puerto Rico was delayed in part due to the earthquakes that occurred near Puerto Rico in January 2020 and third party delays.</w:t>
      </w:r>
    </w:p>
    <w:p>
      <w:pPr>
        <w:spacing w:after="0" w:line="161" w:lineRule="exact"/>
        <w:rPr>
          <w:sz w:val="20"/>
          <w:szCs w:val="20"/>
          <w:color w:val="auto"/>
        </w:rPr>
      </w:pPr>
    </w:p>
    <w:p>
      <w:pPr>
        <w:ind w:right="40" w:firstLine="279"/>
        <w:spacing w:after="0" w:line="265"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If any such excess costs or project delays were to be material, such events may adversely affect our cash flow and liquidity.</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49" w:lineRule="exact"/>
        <w:rPr>
          <w:sz w:val="20"/>
          <w:szCs w:val="20"/>
          <w:color w:val="auto"/>
        </w:rPr>
      </w:pPr>
    </w:p>
    <w:p>
      <w:pPr>
        <w:ind w:right="20" w:firstLine="279"/>
        <w:spacing w:after="0" w:line="249" w:lineRule="auto"/>
        <w:rPr>
          <w:sz w:val="20"/>
          <w:szCs w:val="20"/>
          <w:color w:val="auto"/>
        </w:rPr>
      </w:pPr>
      <w:r>
        <w:rPr>
          <w:rFonts w:ascii="Arial" w:cs="Arial" w:eastAsia="Arial" w:hAnsi="Arial"/>
          <w:sz w:val="18"/>
          <w:szCs w:val="18"/>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77" w:lineRule="exact"/>
        <w:rPr>
          <w:sz w:val="20"/>
          <w:szCs w:val="20"/>
          <w:color w:val="auto"/>
        </w:rPr>
      </w:pPr>
    </w:p>
    <w:p>
      <w:pPr>
        <w:ind w:right="20" w:firstLine="279"/>
        <w:spacing w:after="0" w:line="280" w:lineRule="auto"/>
        <w:rPr>
          <w:sz w:val="20"/>
          <w:szCs w:val="20"/>
          <w:color w:val="auto"/>
        </w:rPr>
      </w:pPr>
      <w:r>
        <w:rPr>
          <w:rFonts w:ascii="Arial" w:cs="Arial" w:eastAsia="Arial" w:hAnsi="Arial"/>
          <w:sz w:val="16"/>
          <w:szCs w:val="16"/>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replace such contacts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4" w:name="page55"/>
    <w:bookmarkEnd w:id="5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100" w:firstLine="279"/>
        <w:spacing w:after="0" w:line="237" w:lineRule="auto"/>
        <w:rPr>
          <w:sz w:val="20"/>
          <w:szCs w:val="20"/>
          <w:color w:val="auto"/>
        </w:rPr>
      </w:pPr>
      <w:r>
        <w:rPr>
          <w:rFonts w:ascii="Arial" w:cs="Arial" w:eastAsia="Arial" w:hAnsi="Arial"/>
          <w:sz w:val="19"/>
          <w:szCs w:val="19"/>
          <w:color w:val="auto"/>
        </w:rPr>
        <w:t>While we have entered into contracts with a third 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84" w:lineRule="exact"/>
        <w:rPr>
          <w:sz w:val="20"/>
          <w:szCs w:val="20"/>
          <w:color w:val="auto"/>
        </w:rPr>
      </w:pPr>
    </w:p>
    <w:p>
      <w:pPr>
        <w:ind w:left="7" w:right="40" w:firstLine="279"/>
        <w:spacing w:after="0" w:line="270"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We face competition based upon the international market price for LNG or natural gas.</w:t>
      </w:r>
    </w:p>
    <w:p>
      <w:pPr>
        <w:spacing w:after="0" w:line="200" w:lineRule="exact"/>
        <w:rPr>
          <w:sz w:val="20"/>
          <w:szCs w:val="20"/>
          <w:color w:val="auto"/>
        </w:rPr>
      </w:pPr>
    </w:p>
    <w:p>
      <w:pPr>
        <w:ind w:left="7" w:right="160" w:firstLine="279"/>
        <w:spacing w:after="0" w:line="270"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65" w:lineRule="exact"/>
        <w:rPr>
          <w:sz w:val="20"/>
          <w:szCs w:val="20"/>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worldwide LNG production capacity and availability of LNG for market supply;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demand for natural gas but at levels below those required to maintain current price equilibrium with respect to supply;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the cost to supply natural gas feedstock to our liquefaction projects;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the cost to supply LNG feedstock to our facilities;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ADO;</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decreases in the price of LNG; and</w:t>
      </w:r>
    </w:p>
    <w:p>
      <w:pPr>
        <w:spacing w:after="0" w:line="211" w:lineRule="exact"/>
        <w:rPr>
          <w:rFonts w:ascii="Arial" w:cs="Arial" w:eastAsia="Arial" w:hAnsi="Arial"/>
          <w:sz w:val="16"/>
          <w:szCs w:val="16"/>
          <w:color w:val="auto"/>
        </w:rPr>
      </w:pPr>
    </w:p>
    <w:p>
      <w:pPr>
        <w:ind w:left="287" w:right="20" w:hanging="287"/>
        <w:spacing w:after="0" w:line="258" w:lineRule="auto"/>
        <w:tabs>
          <w:tab w:leader="none" w:pos="2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78" w:lineRule="exact"/>
        <w:rPr>
          <w:sz w:val="20"/>
          <w:szCs w:val="20"/>
          <w:color w:val="auto"/>
        </w:rPr>
      </w:pPr>
    </w:p>
    <w:p>
      <w:pPr>
        <w:ind w:left="7" w:right="60" w:firstLine="279"/>
        <w:spacing w:after="0" w:line="237" w:lineRule="auto"/>
        <w:rPr>
          <w:sz w:val="20"/>
          <w:szCs w:val="20"/>
          <w:color w:val="auto"/>
        </w:rPr>
      </w:pPr>
      <w:r>
        <w:rPr>
          <w:rFonts w:ascii="Arial" w:cs="Arial" w:eastAsia="Arial" w:hAnsi="Arial"/>
          <w:sz w:val="19"/>
          <w:szCs w:val="19"/>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Technological innovation may impair the economic attractiveness of our projects.</w:t>
      </w:r>
    </w:p>
    <w:p>
      <w:pPr>
        <w:spacing w:after="0" w:line="200" w:lineRule="exact"/>
        <w:rPr>
          <w:sz w:val="20"/>
          <w:szCs w:val="20"/>
          <w:color w:val="auto"/>
        </w:rPr>
      </w:pPr>
    </w:p>
    <w:p>
      <w:pPr>
        <w:ind w:left="7" w:firstLine="279"/>
        <w:spacing w:after="0" w:line="267"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55" w:name="page56"/>
    <w:bookmarkEnd w:id="5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b w:val="1"/>
          <w:bCs w:val="1"/>
          <w:i w:val="1"/>
          <w:iCs w:val="1"/>
          <w:color w:val="auto"/>
        </w:rPr>
        <w:t>Changes in legislation and regulations could have a material adverse impact on our business, results of operations, financial condition, liquidity and prospects.</w:t>
      </w:r>
    </w:p>
    <w:p>
      <w:pPr>
        <w:spacing w:after="0" w:line="171" w:lineRule="exact"/>
        <w:rPr>
          <w:sz w:val="20"/>
          <w:szCs w:val="20"/>
          <w:color w:val="auto"/>
        </w:rPr>
      </w:pPr>
    </w:p>
    <w:p>
      <w:pPr>
        <w:ind w:firstLine="279"/>
        <w:spacing w:after="0" w:line="262" w:lineRule="auto"/>
        <w:rPr>
          <w:sz w:val="20"/>
          <w:szCs w:val="20"/>
          <w:color w:val="auto"/>
        </w:rPr>
      </w:pPr>
      <w:r>
        <w:rPr>
          <w:rFonts w:ascii="Arial" w:cs="Arial" w:eastAsia="Arial" w:hAnsi="Arial"/>
          <w:sz w:val="17"/>
          <w:szCs w:val="17"/>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Increasing trucking regulations may increase our costs and negatively impact our results of operations.</w:t>
      </w:r>
    </w:p>
    <w:p>
      <w:pPr>
        <w:spacing w:after="0" w:line="200" w:lineRule="exact"/>
        <w:rPr>
          <w:sz w:val="20"/>
          <w:szCs w:val="20"/>
          <w:color w:val="auto"/>
        </w:rPr>
      </w:pPr>
    </w:p>
    <w:p>
      <w:pPr>
        <w:ind w:right="40" w:firstLine="279"/>
        <w:spacing w:after="0" w:line="284"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51"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81" w:lineRule="exact"/>
        <w:rPr>
          <w:sz w:val="20"/>
          <w:szCs w:val="20"/>
          <w:color w:val="auto"/>
        </w:rPr>
      </w:pPr>
    </w:p>
    <w:p>
      <w:pPr>
        <w:ind w:right="20" w:firstLine="279"/>
        <w:spacing w:after="0" w:line="260"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65" w:lineRule="exact"/>
        <w:rPr>
          <w:sz w:val="20"/>
          <w:szCs w:val="20"/>
          <w:color w:val="auto"/>
        </w:rPr>
      </w:pPr>
    </w:p>
    <w:p>
      <w:pPr>
        <w:ind w:right="720"/>
        <w:spacing w:after="0" w:line="251" w:lineRule="auto"/>
        <w:rPr>
          <w:sz w:val="20"/>
          <w:szCs w:val="20"/>
          <w:color w:val="auto"/>
        </w:rPr>
      </w:pPr>
      <w:r>
        <w:rPr>
          <w:rFonts w:ascii="Arial" w:cs="Arial" w:eastAsia="Arial" w:hAnsi="Arial"/>
          <w:sz w:val="19"/>
          <w:szCs w:val="19"/>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1" w:lineRule="exact"/>
        <w:rPr>
          <w:sz w:val="20"/>
          <w:szCs w:val="20"/>
          <w:color w:val="auto"/>
        </w:rPr>
      </w:pPr>
    </w:p>
    <w:p>
      <w:pPr>
        <w:ind w:right="20" w:firstLine="279"/>
        <w:spacing w:after="0" w:line="234" w:lineRule="auto"/>
        <w:rPr>
          <w:sz w:val="20"/>
          <w:szCs w:val="20"/>
          <w:color w:val="auto"/>
        </w:rPr>
      </w:pPr>
      <w:r>
        <w:rPr>
          <w:rFonts w:ascii="Arial" w:cs="Arial" w:eastAsia="Arial" w:hAnsi="Arial"/>
          <w:sz w:val="19"/>
          <w:szCs w:val="19"/>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84" w:lineRule="exact"/>
        <w:rPr>
          <w:sz w:val="20"/>
          <w:szCs w:val="20"/>
          <w:color w:val="auto"/>
        </w:rPr>
      </w:pPr>
    </w:p>
    <w:p>
      <w:pPr>
        <w:ind w:right="120" w:firstLine="279"/>
        <w:spacing w:after="0" w:line="267"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380"/>
        <w:spacing w:after="0" w:line="251" w:lineRule="auto"/>
        <w:rPr>
          <w:sz w:val="20"/>
          <w:szCs w:val="20"/>
          <w:color w:val="auto"/>
        </w:rPr>
      </w:pPr>
      <w:r>
        <w:rPr>
          <w:rFonts w:ascii="Arial" w:cs="Arial" w:eastAsia="Arial" w:hAnsi="Arial"/>
          <w:sz w:val="19"/>
          <w:szCs w:val="19"/>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71" w:lineRule="exact"/>
        <w:rPr>
          <w:sz w:val="20"/>
          <w:szCs w:val="20"/>
          <w:color w:val="auto"/>
        </w:rPr>
      </w:pPr>
    </w:p>
    <w:p>
      <w:pPr>
        <w:ind w:left="7" w:firstLine="279"/>
        <w:spacing w:after="0" w:line="235" w:lineRule="auto"/>
        <w:rPr>
          <w:sz w:val="20"/>
          <w:szCs w:val="20"/>
          <w:color w:val="auto"/>
        </w:rPr>
      </w:pPr>
      <w:r>
        <w:rPr>
          <w:rFonts w:ascii="Arial" w:cs="Arial" w:eastAsia="Arial" w:hAnsi="Arial"/>
          <w:sz w:val="19"/>
          <w:szCs w:val="19"/>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82" w:lineRule="exact"/>
        <w:rPr>
          <w:sz w:val="20"/>
          <w:szCs w:val="20"/>
          <w:color w:val="auto"/>
        </w:rPr>
      </w:pPr>
    </w:p>
    <w:p>
      <w:pPr>
        <w:ind w:left="7" w:right="340" w:firstLine="279"/>
        <w:spacing w:after="0" w:line="251" w:lineRule="auto"/>
        <w:rPr>
          <w:sz w:val="20"/>
          <w:szCs w:val="20"/>
          <w:color w:val="auto"/>
        </w:rPr>
      </w:pPr>
      <w:r>
        <w:rPr>
          <w:rFonts w:ascii="Arial" w:cs="Arial" w:eastAsia="Arial" w:hAnsi="Arial"/>
          <w:sz w:val="19"/>
          <w:szCs w:val="19"/>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80" w:lineRule="exact"/>
        <w:rPr>
          <w:sz w:val="20"/>
          <w:szCs w:val="20"/>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natural disasters;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piracy;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03" w:lineRule="exact"/>
        <w:rPr>
          <w:sz w:val="20"/>
          <w:szCs w:val="20"/>
          <w:color w:val="auto"/>
        </w:rPr>
      </w:pPr>
    </w:p>
    <w:p>
      <w:pPr>
        <w:ind w:left="7" w:right="60" w:firstLine="279"/>
        <w:spacing w:after="0" w:line="236" w:lineRule="auto"/>
        <w:rPr>
          <w:sz w:val="20"/>
          <w:szCs w:val="20"/>
          <w:color w:val="auto"/>
        </w:rPr>
      </w:pPr>
      <w:r>
        <w:rPr>
          <w:rFonts w:ascii="Arial" w:cs="Arial" w:eastAsia="Arial" w:hAnsi="Arial"/>
          <w:sz w:val="19"/>
          <w:szCs w:val="19"/>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82" w:lineRule="exact"/>
        <w:rPr>
          <w:sz w:val="20"/>
          <w:szCs w:val="20"/>
          <w:color w:val="auto"/>
        </w:rPr>
      </w:pPr>
    </w:p>
    <w:p>
      <w:pPr>
        <w:ind w:left="7" w:right="120"/>
        <w:spacing w:after="0" w:line="251" w:lineRule="auto"/>
        <w:rPr>
          <w:sz w:val="20"/>
          <w:szCs w:val="20"/>
          <w:color w:val="auto"/>
        </w:rPr>
      </w:pPr>
      <w:r>
        <w:rPr>
          <w:rFonts w:ascii="Arial" w:cs="Arial" w:eastAsia="Arial" w:hAnsi="Arial"/>
          <w:sz w:val="19"/>
          <w:szCs w:val="19"/>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71" w:lineRule="exact"/>
        <w:rPr>
          <w:sz w:val="20"/>
          <w:szCs w:val="20"/>
          <w:color w:val="auto"/>
        </w:rPr>
      </w:pPr>
    </w:p>
    <w:p>
      <w:pPr>
        <w:ind w:left="287"/>
        <w:spacing w:after="0"/>
        <w:rPr>
          <w:sz w:val="20"/>
          <w:szCs w:val="20"/>
          <w:color w:val="auto"/>
        </w:rPr>
      </w:pPr>
      <w:r>
        <w:rPr>
          <w:rFonts w:ascii="Arial" w:cs="Arial" w:eastAsia="Arial" w:hAnsi="Arial"/>
          <w:sz w:val="19"/>
          <w:szCs w:val="19"/>
          <w:color w:val="auto"/>
        </w:rPr>
        <w:t>Cargoes of LNG and our chartered vessels are at risk of being damaged or lost because of events such as:</w:t>
      </w:r>
    </w:p>
    <w:p>
      <w:pPr>
        <w:spacing w:after="0" w:line="209" w:lineRule="exact"/>
        <w:rPr>
          <w:sz w:val="20"/>
          <w:szCs w:val="20"/>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marine disasters;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piracy;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bad weather;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environmental accidents;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03" w:lineRule="exact"/>
        <w:rPr>
          <w:sz w:val="20"/>
          <w:szCs w:val="20"/>
          <w:color w:val="auto"/>
        </w:rPr>
      </w:pPr>
    </w:p>
    <w:p>
      <w:pPr>
        <w:ind w:left="287"/>
        <w:spacing w:after="0"/>
        <w:rPr>
          <w:sz w:val="20"/>
          <w:szCs w:val="20"/>
          <w:color w:val="auto"/>
        </w:rPr>
      </w:pPr>
      <w:r>
        <w:rPr>
          <w:rFonts w:ascii="Arial" w:cs="Arial" w:eastAsia="Arial" w:hAnsi="Arial"/>
          <w:sz w:val="19"/>
          <w:szCs w:val="19"/>
          <w:color w:val="auto"/>
        </w:rPr>
        <w:t>An accident involving our cargoes or any of our chartered vessels could result in any of the following:</w:t>
      </w:r>
    </w:p>
    <w:p>
      <w:pPr>
        <w:spacing w:after="0" w:line="209" w:lineRule="exact"/>
        <w:rPr>
          <w:sz w:val="20"/>
          <w:szCs w:val="20"/>
          <w:color w:val="auto"/>
        </w:rPr>
      </w:pPr>
    </w:p>
    <w:p>
      <w:pPr>
        <w:ind w:left="287" w:hanging="287"/>
        <w:spacing w:after="0"/>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death or injury to persons, loss of property or environmental damage;</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delays in the delivery of cargo;</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369"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4" w:right="359" w:bottom="1440" w:gutter="0" w:footer="0" w:header="0"/>
        </w:sectPr>
      </w:pPr>
    </w:p>
    <w:bookmarkStart w:id="57" w:name="page58"/>
    <w:bookmarkEnd w:id="57"/>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termination of charter contracts;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governmental fines, penalties or restrictions on conducting business;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higher insurance rates; and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damage to our reputation and customer relationships generally.</w:t>
      </w:r>
    </w:p>
    <w:p>
      <w:pPr>
        <w:spacing w:after="0" w:line="203" w:lineRule="exact"/>
        <w:rPr>
          <w:sz w:val="20"/>
          <w:szCs w:val="20"/>
          <w:color w:val="auto"/>
        </w:rPr>
      </w:pPr>
    </w:p>
    <w:p>
      <w:pPr>
        <w:ind w:left="287"/>
        <w:spacing w:after="0"/>
        <w:rPr>
          <w:sz w:val="20"/>
          <w:szCs w:val="20"/>
          <w:color w:val="auto"/>
        </w:rPr>
      </w:pPr>
      <w:r>
        <w:rPr>
          <w:rFonts w:ascii="Arial" w:cs="Arial" w:eastAsia="Arial" w:hAnsi="Arial"/>
          <w:sz w:val="19"/>
          <w:szCs w:val="19"/>
          <w:color w:val="auto"/>
        </w:rPr>
        <w:t>Any of these circumstances or events could increase our costs or lower our revenues.</w:t>
      </w:r>
    </w:p>
    <w:p>
      <w:pPr>
        <w:spacing w:after="0" w:line="200" w:lineRule="exact"/>
        <w:rPr>
          <w:sz w:val="20"/>
          <w:szCs w:val="20"/>
          <w:color w:val="auto"/>
        </w:rPr>
      </w:pPr>
    </w:p>
    <w:p>
      <w:pPr>
        <w:ind w:left="7" w:right="120" w:firstLine="279"/>
        <w:spacing w:after="0" w:line="237" w:lineRule="auto"/>
        <w:rPr>
          <w:sz w:val="20"/>
          <w:szCs w:val="20"/>
          <w:color w:val="auto"/>
        </w:rPr>
      </w:pPr>
      <w:r>
        <w:rPr>
          <w:rFonts w:ascii="Arial" w:cs="Arial" w:eastAsia="Arial" w:hAnsi="Arial"/>
          <w:sz w:val="19"/>
          <w:szCs w:val="19"/>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84" w:lineRule="exact"/>
        <w:rPr>
          <w:sz w:val="20"/>
          <w:szCs w:val="20"/>
          <w:color w:val="auto"/>
        </w:rPr>
      </w:pPr>
    </w:p>
    <w:p>
      <w:pPr>
        <w:ind w:left="7" w:right="840"/>
        <w:spacing w:after="0" w:line="251" w:lineRule="auto"/>
        <w:rPr>
          <w:sz w:val="20"/>
          <w:szCs w:val="20"/>
          <w:color w:val="auto"/>
        </w:rPr>
      </w:pPr>
      <w:r>
        <w:rPr>
          <w:rFonts w:ascii="Arial" w:cs="Arial" w:eastAsia="Arial" w:hAnsi="Arial"/>
          <w:sz w:val="19"/>
          <w:szCs w:val="19"/>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71" w:lineRule="exact"/>
        <w:rPr>
          <w:sz w:val="20"/>
          <w:szCs w:val="20"/>
          <w:color w:val="auto"/>
        </w:rPr>
      </w:pPr>
    </w:p>
    <w:p>
      <w:pPr>
        <w:ind w:left="7" w:right="20" w:firstLine="279"/>
        <w:spacing w:after="0" w:line="261"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68" w:lineRule="exact"/>
        <w:rPr>
          <w:sz w:val="20"/>
          <w:szCs w:val="20"/>
          <w:color w:val="auto"/>
        </w:rPr>
      </w:pPr>
    </w:p>
    <w:p>
      <w:pPr>
        <w:ind w:left="7" w:firstLine="279"/>
        <w:spacing w:after="0" w:line="267"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For example, the IMO has promulgated regulations limiting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61" w:lineRule="exact"/>
        <w:rPr>
          <w:sz w:val="20"/>
          <w:szCs w:val="20"/>
          <w:color w:val="auto"/>
        </w:rPr>
      </w:pPr>
    </w:p>
    <w:p>
      <w:pPr>
        <w:ind w:left="7" w:right="60" w:firstLine="279"/>
        <w:spacing w:after="0" w:line="287"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46" w:lineRule="exact"/>
        <w:rPr>
          <w:sz w:val="20"/>
          <w:szCs w:val="20"/>
          <w:color w:val="auto"/>
        </w:rPr>
      </w:pPr>
    </w:p>
    <w:p>
      <w:pPr>
        <w:ind w:left="7" w:right="300"/>
        <w:spacing w:after="0" w:line="251" w:lineRule="auto"/>
        <w:rPr>
          <w:sz w:val="20"/>
          <w:szCs w:val="20"/>
          <w:color w:val="auto"/>
        </w:rPr>
      </w:pPr>
      <w:r>
        <w:rPr>
          <w:rFonts w:ascii="Arial" w:cs="Arial" w:eastAsia="Arial" w:hAnsi="Arial"/>
          <w:sz w:val="19"/>
          <w:szCs w:val="19"/>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71" w:lineRule="exact"/>
        <w:rPr>
          <w:sz w:val="20"/>
          <w:szCs w:val="20"/>
          <w:color w:val="auto"/>
        </w:rPr>
      </w:pPr>
    </w:p>
    <w:p>
      <w:pPr>
        <w:ind w:left="7" w:right="100" w:firstLine="279"/>
        <w:spacing w:after="0" w:line="270"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323"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4" w:right="359" w:bottom="1440" w:gutter="0" w:footer="0" w:header="0"/>
        </w:sectPr>
      </w:pPr>
    </w:p>
    <w:bookmarkStart w:id="58" w:name="page59"/>
    <w:bookmarkEnd w:id="5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inadequate number of shipyards constructing LNG tankers and a backlog of orders at these shipyards;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political or economic disturbances in the countries where the tankers are being constructed;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governmental regulations or maritime self-regulatory organizations;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work stoppages or other labor disturbances at the shipyards, including as a result of the COIVD-19 pandemic;</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bankruptcy or other financial crisis of shipbuilders;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quality or engineering problems;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weather interference or a catastrophic event, such as a major earthquake, tsunami or fire; or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shortages of or delays in the receipt of necessary construction materials.</w:t>
      </w:r>
    </w:p>
    <w:p>
      <w:pPr>
        <w:spacing w:after="0" w:line="203" w:lineRule="exact"/>
        <w:rPr>
          <w:sz w:val="20"/>
          <w:szCs w:val="20"/>
          <w:color w:val="auto"/>
        </w:rPr>
      </w:pPr>
    </w:p>
    <w:p>
      <w:pPr>
        <w:ind w:left="7" w:right="140" w:firstLine="279"/>
        <w:spacing w:after="0" w:line="237" w:lineRule="auto"/>
        <w:rPr>
          <w:sz w:val="20"/>
          <w:szCs w:val="20"/>
          <w:color w:val="auto"/>
        </w:rPr>
      </w:pPr>
      <w:r>
        <w:rPr>
          <w:rFonts w:ascii="Arial" w:cs="Arial" w:eastAsia="Arial" w:hAnsi="Arial"/>
          <w:sz w:val="19"/>
          <w:szCs w:val="19"/>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4" w:lineRule="exact"/>
        <w:rPr>
          <w:sz w:val="20"/>
          <w:szCs w:val="20"/>
          <w:color w:val="auto"/>
        </w:rPr>
      </w:pPr>
    </w:p>
    <w:p>
      <w:pPr>
        <w:ind w:left="7" w:right="600"/>
        <w:spacing w:after="0" w:line="251" w:lineRule="auto"/>
        <w:rPr>
          <w:sz w:val="20"/>
          <w:szCs w:val="20"/>
          <w:color w:val="auto"/>
        </w:rPr>
      </w:pPr>
      <w:r>
        <w:rPr>
          <w:rFonts w:ascii="Arial" w:cs="Arial" w:eastAsia="Arial" w:hAnsi="Arial"/>
          <w:sz w:val="19"/>
          <w:szCs w:val="19"/>
          <w:b w:val="1"/>
          <w:bCs w:val="1"/>
          <w:i w:val="1"/>
          <w:iCs w:val="1"/>
          <w:color w:val="auto"/>
        </w:rPr>
        <w:t>Competition in the LNG industry is intense, and some of our competitors have greater financial, technological and other resources than we currently possess.</w:t>
      </w:r>
    </w:p>
    <w:p>
      <w:pPr>
        <w:spacing w:after="0" w:line="171" w:lineRule="exact"/>
        <w:rPr>
          <w:sz w:val="20"/>
          <w:szCs w:val="20"/>
          <w:color w:val="auto"/>
        </w:rPr>
      </w:pPr>
    </w:p>
    <w:p>
      <w:pPr>
        <w:ind w:left="7" w:right="340" w:firstLine="279"/>
        <w:spacing w:after="0" w:line="343"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02" w:lineRule="exact"/>
        <w:rPr>
          <w:sz w:val="20"/>
          <w:szCs w:val="20"/>
          <w:color w:val="auto"/>
        </w:rPr>
      </w:pPr>
    </w:p>
    <w:p>
      <w:pPr>
        <w:ind w:left="7" w:firstLine="279"/>
        <w:spacing w:after="0" w:line="233" w:lineRule="auto"/>
        <w:rPr>
          <w:sz w:val="20"/>
          <w:szCs w:val="20"/>
          <w:color w:val="auto"/>
        </w:rPr>
      </w:pPr>
      <w:r>
        <w:rPr>
          <w:rFonts w:ascii="Arial" w:cs="Arial" w:eastAsia="Arial" w:hAnsi="Arial"/>
          <w:sz w:val="19"/>
          <w:szCs w:val="19"/>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88" w:lineRule="exact"/>
        <w:rPr>
          <w:sz w:val="20"/>
          <w:szCs w:val="20"/>
          <w:color w:val="auto"/>
        </w:rPr>
      </w:pPr>
    </w:p>
    <w:p>
      <w:pPr>
        <w:ind w:left="7" w:right="80"/>
        <w:spacing w:after="0" w:line="251" w:lineRule="auto"/>
        <w:rPr>
          <w:sz w:val="20"/>
          <w:szCs w:val="20"/>
          <w:color w:val="auto"/>
        </w:rPr>
      </w:pPr>
      <w:r>
        <w:rPr>
          <w:rFonts w:ascii="Arial" w:cs="Arial" w:eastAsia="Arial" w:hAnsi="Arial"/>
          <w:sz w:val="19"/>
          <w:szCs w:val="19"/>
          <w:b w:val="1"/>
          <w:bCs w:val="1"/>
          <w:i w:val="1"/>
          <w:iCs w:val="1"/>
          <w:color w:val="auto"/>
        </w:rPr>
        <w:t>Failure of LNG to be a competitive source of energy in the markets in which we operate, and seek to operate, could adversely affect our expansion strategy.</w:t>
      </w:r>
    </w:p>
    <w:p>
      <w:pPr>
        <w:spacing w:after="0" w:line="148" w:lineRule="exact"/>
        <w:rPr>
          <w:sz w:val="20"/>
          <w:szCs w:val="20"/>
          <w:color w:val="auto"/>
        </w:rPr>
      </w:pPr>
    </w:p>
    <w:p>
      <w:pPr>
        <w:ind w:left="7" w:right="60" w:firstLine="559"/>
        <w:spacing w:after="0" w:line="214" w:lineRule="exact"/>
        <w:rPr>
          <w:sz w:val="20"/>
          <w:szCs w:val="20"/>
          <w:color w:val="auto"/>
        </w:rPr>
      </w:pPr>
      <w:r>
        <w:rPr>
          <w:rFonts w:ascii="Arial" w:cs="Arial" w:eastAsia="Arial" w:hAnsi="Arial"/>
          <w:sz w:val="18"/>
          <w:szCs w:val="18"/>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actions by OPEC have significantly impacted energy markets, and the price of oil has recently traded at historic low prices.</w:t>
      </w:r>
    </w:p>
    <w:p>
      <w:pPr>
        <w:spacing w:after="0" w:line="161" w:lineRule="exact"/>
        <w:rPr>
          <w:sz w:val="20"/>
          <w:szCs w:val="20"/>
          <w:color w:val="auto"/>
        </w:rPr>
      </w:pPr>
    </w:p>
    <w:p>
      <w:pPr>
        <w:ind w:left="7" w:right="60" w:firstLine="279"/>
        <w:spacing w:after="0" w:line="270"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57" w:lineRule="exact"/>
        <w:rPr>
          <w:sz w:val="20"/>
          <w:szCs w:val="20"/>
          <w:color w:val="auto"/>
        </w:rPr>
      </w:pPr>
    </w:p>
    <w:p>
      <w:pPr>
        <w:ind w:left="7" w:right="40" w:firstLine="279"/>
        <w:spacing w:after="0" w:line="236" w:lineRule="auto"/>
        <w:rPr>
          <w:sz w:val="20"/>
          <w:szCs w:val="20"/>
          <w:color w:val="auto"/>
        </w:rPr>
      </w:pPr>
      <w:r>
        <w:rPr>
          <w:rFonts w:ascii="Arial" w:cs="Arial" w:eastAsia="Arial" w:hAnsi="Arial"/>
          <w:sz w:val="19"/>
          <w:szCs w:val="19"/>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59" w:name="page60"/>
    <w:bookmarkEnd w:id="59"/>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firstLine="279"/>
        <w:spacing w:after="0"/>
        <w:rPr>
          <w:sz w:val="20"/>
          <w:szCs w:val="20"/>
          <w:color w:val="auto"/>
        </w:rPr>
      </w:pPr>
      <w:r>
        <w:rPr>
          <w:rFonts w:ascii="Arial" w:cs="Arial" w:eastAsia="Arial" w:hAnsi="Arial"/>
          <w:sz w:val="19"/>
          <w:szCs w:val="19"/>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Any use of hedging arrangements may adversely affect our future operating results or liquidity.</w:t>
      </w:r>
    </w:p>
    <w:p>
      <w:pPr>
        <w:spacing w:after="0" w:line="200" w:lineRule="exact"/>
        <w:rPr>
          <w:sz w:val="20"/>
          <w:szCs w:val="20"/>
          <w:color w:val="auto"/>
        </w:rPr>
      </w:pPr>
    </w:p>
    <w:p>
      <w:pPr>
        <w:ind w:left="7" w:right="60" w:firstLine="279"/>
        <w:spacing w:after="0" w:line="237" w:lineRule="auto"/>
        <w:rPr>
          <w:sz w:val="20"/>
          <w:szCs w:val="20"/>
          <w:color w:val="auto"/>
        </w:rPr>
      </w:pPr>
      <w:r>
        <w:rPr>
          <w:rFonts w:ascii="Arial" w:cs="Arial" w:eastAsia="Arial" w:hAnsi="Arial"/>
          <w:sz w:val="19"/>
          <w:szCs w:val="19"/>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92" w:lineRule="exact"/>
        <w:rPr>
          <w:sz w:val="20"/>
          <w:szCs w:val="20"/>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expected supply is less than the amount hedged;</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counterparty to the hedging contract defaults on its contractual obligations; or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is a change in the expected differential between the underlying price in the hedging agreement and actual prices received.</w:t>
      </w:r>
    </w:p>
    <w:p>
      <w:pPr>
        <w:spacing w:after="0" w:line="203" w:lineRule="exact"/>
        <w:rPr>
          <w:sz w:val="20"/>
          <w:szCs w:val="20"/>
          <w:color w:val="auto"/>
        </w:rPr>
      </w:pPr>
    </w:p>
    <w:p>
      <w:pPr>
        <w:ind w:left="7" w:right="260" w:firstLine="279"/>
        <w:spacing w:after="0" w:line="260"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65" w:lineRule="exact"/>
        <w:rPr>
          <w:sz w:val="20"/>
          <w:szCs w:val="20"/>
          <w:color w:val="auto"/>
        </w:rPr>
      </w:pPr>
    </w:p>
    <w:p>
      <w:pPr>
        <w:ind w:left="7" w:right="400"/>
        <w:spacing w:after="0" w:line="251" w:lineRule="auto"/>
        <w:rPr>
          <w:sz w:val="20"/>
          <w:szCs w:val="20"/>
          <w:color w:val="auto"/>
        </w:rPr>
      </w:pPr>
      <w:r>
        <w:rPr>
          <w:rFonts w:ascii="Arial" w:cs="Arial" w:eastAsia="Arial" w:hAnsi="Arial"/>
          <w:sz w:val="19"/>
          <w:szCs w:val="19"/>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1" w:lineRule="exact"/>
        <w:rPr>
          <w:sz w:val="20"/>
          <w:szCs w:val="20"/>
          <w:color w:val="auto"/>
        </w:rPr>
      </w:pPr>
    </w:p>
    <w:p>
      <w:pPr>
        <w:ind w:left="7" w:right="20" w:firstLine="279"/>
        <w:spacing w:after="0" w:line="261" w:lineRule="auto"/>
        <w:rPr>
          <w:sz w:val="20"/>
          <w:szCs w:val="20"/>
          <w:color w:val="auto"/>
        </w:rPr>
      </w:pPr>
      <w:r>
        <w:rPr>
          <w:rFonts w:ascii="Arial" w:cs="Arial" w:eastAsia="Arial" w:hAnsi="Arial"/>
          <w:sz w:val="17"/>
          <w:szCs w:val="17"/>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65" w:lineRule="exact"/>
        <w:rPr>
          <w:sz w:val="20"/>
          <w:szCs w:val="20"/>
          <w:color w:val="auto"/>
        </w:rPr>
      </w:pPr>
    </w:p>
    <w:p>
      <w:pPr>
        <w:ind w:left="7" w:right="280"/>
        <w:spacing w:after="0" w:line="251" w:lineRule="auto"/>
        <w:rPr>
          <w:sz w:val="20"/>
          <w:szCs w:val="20"/>
          <w:color w:val="auto"/>
        </w:rPr>
      </w:pPr>
      <w:r>
        <w:rPr>
          <w:rFonts w:ascii="Arial" w:cs="Arial" w:eastAsia="Arial" w:hAnsi="Arial"/>
          <w:sz w:val="19"/>
          <w:szCs w:val="19"/>
          <w:b w:val="1"/>
          <w:bCs w:val="1"/>
          <w:i w:val="1"/>
          <w:iCs w:val="1"/>
          <w:color w:val="auto"/>
        </w:rPr>
        <w:t>We may experience increased labor costs, and the unavailability of skilled workers or our failure to attract and retain qualified personnel could adversely affect us.</w:t>
      </w:r>
    </w:p>
    <w:p>
      <w:pPr>
        <w:spacing w:after="0" w:line="171" w:lineRule="exact"/>
        <w:rPr>
          <w:sz w:val="20"/>
          <w:szCs w:val="20"/>
          <w:color w:val="auto"/>
        </w:rPr>
      </w:pPr>
    </w:p>
    <w:p>
      <w:pPr>
        <w:ind w:left="7" w:right="20" w:firstLine="279"/>
        <w:spacing w:after="0" w:line="262"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33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60" w:name="page61"/>
    <w:bookmarkEnd w:id="6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300"/>
        <w:spacing w:after="0" w:line="251" w:lineRule="auto"/>
        <w:rPr>
          <w:sz w:val="20"/>
          <w:szCs w:val="20"/>
          <w:color w:val="auto"/>
        </w:rPr>
      </w:pPr>
      <w:r>
        <w:rPr>
          <w:rFonts w:ascii="Arial" w:cs="Arial" w:eastAsia="Arial" w:hAnsi="Arial"/>
          <w:sz w:val="19"/>
          <w:szCs w:val="19"/>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1" w:lineRule="exact"/>
        <w:rPr>
          <w:sz w:val="20"/>
          <w:szCs w:val="20"/>
          <w:color w:val="auto"/>
        </w:rPr>
      </w:pPr>
    </w:p>
    <w:p>
      <w:pPr>
        <w:ind w:right="80" w:firstLine="279"/>
        <w:spacing w:after="0" w:line="235" w:lineRule="auto"/>
        <w:rPr>
          <w:sz w:val="20"/>
          <w:szCs w:val="20"/>
          <w:color w:val="auto"/>
        </w:rPr>
      </w:pPr>
      <w:r>
        <w:rPr>
          <w:rFonts w:ascii="Arial" w:cs="Arial" w:eastAsia="Arial" w:hAnsi="Arial"/>
          <w:sz w:val="19"/>
          <w:szCs w:val="19"/>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Terminals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impairments to long-lived assets.</w:t>
      </w:r>
    </w:p>
    <w:p>
      <w:pPr>
        <w:spacing w:after="0" w:line="200" w:lineRule="exact"/>
        <w:rPr>
          <w:sz w:val="20"/>
          <w:szCs w:val="20"/>
          <w:color w:val="auto"/>
        </w:rPr>
      </w:pPr>
    </w:p>
    <w:p>
      <w:pPr>
        <w:ind w:right="140" w:firstLine="279"/>
        <w:spacing w:after="0" w:line="265"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4"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46" w:lineRule="exact"/>
        <w:rPr>
          <w:sz w:val="20"/>
          <w:szCs w:val="20"/>
          <w:color w:val="auto"/>
        </w:rPr>
      </w:pPr>
    </w:p>
    <w:p>
      <w:pPr>
        <w:ind w:firstLine="279"/>
        <w:spacing w:after="0" w:line="262"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70" w:lineRule="exact"/>
        <w:rPr>
          <w:sz w:val="20"/>
          <w:szCs w:val="20"/>
          <w:color w:val="auto"/>
        </w:rPr>
      </w:pPr>
    </w:p>
    <w:p>
      <w:pPr>
        <w:ind w:right="140" w:firstLine="47"/>
        <w:spacing w:after="0" w:line="343"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02" w:lineRule="exact"/>
        <w:rPr>
          <w:sz w:val="20"/>
          <w:szCs w:val="20"/>
          <w:color w:val="auto"/>
        </w:rPr>
      </w:pPr>
    </w:p>
    <w:p>
      <w:pPr>
        <w:ind w:right="120" w:firstLine="279"/>
        <w:spacing w:after="0" w:line="267"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61" w:lineRule="exact"/>
        <w:rPr>
          <w:sz w:val="20"/>
          <w:szCs w:val="20"/>
          <w:color w:val="auto"/>
        </w:rPr>
      </w:pPr>
    </w:p>
    <w:p>
      <w:pPr>
        <w:ind w:right="40" w:firstLine="279"/>
        <w:spacing w:after="0" w:line="263"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2022—from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60" w:firstLine="279"/>
        <w:spacing w:after="0" w:line="246"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82"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79" w:lineRule="exact"/>
        <w:rPr>
          <w:sz w:val="20"/>
          <w:szCs w:val="20"/>
          <w:color w:val="auto"/>
        </w:rPr>
      </w:pPr>
    </w:p>
    <w:p>
      <w:pPr>
        <w:ind w:right="20" w:firstLine="279"/>
        <w:spacing w:after="0" w:line="264"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65" w:lineRule="exact"/>
        <w:rPr>
          <w:sz w:val="20"/>
          <w:szCs w:val="20"/>
          <w:color w:val="auto"/>
        </w:rPr>
      </w:pPr>
    </w:p>
    <w:p>
      <w:pPr>
        <w:ind w:right="80" w:firstLine="279"/>
        <w:spacing w:after="0" w:line="265" w:lineRule="auto"/>
        <w:rPr>
          <w:sz w:val="20"/>
          <w:szCs w:val="20"/>
          <w:color w:val="auto"/>
        </w:rPr>
      </w:pPr>
      <w:r>
        <w:rPr>
          <w:rFonts w:ascii="Arial" w:cs="Arial" w:eastAsia="Arial" w:hAnsi="Arial"/>
          <w:sz w:val="17"/>
          <w:szCs w:val="17"/>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64" w:lineRule="exact"/>
        <w:rPr>
          <w:sz w:val="20"/>
          <w:szCs w:val="20"/>
          <w:color w:val="auto"/>
        </w:rPr>
      </w:pPr>
    </w:p>
    <w:p>
      <w:pPr>
        <w:ind w:right="180" w:firstLine="279"/>
        <w:spacing w:after="0" w:line="274" w:lineRule="auto"/>
        <w:rPr>
          <w:sz w:val="20"/>
          <w:szCs w:val="20"/>
          <w:color w:val="auto"/>
        </w:rPr>
      </w:pPr>
      <w:r>
        <w:rPr>
          <w:rFonts w:ascii="Arial" w:cs="Arial" w:eastAsia="Arial" w:hAnsi="Arial"/>
          <w:sz w:val="17"/>
          <w:szCs w:val="17"/>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54" w:lineRule="exact"/>
        <w:rPr>
          <w:sz w:val="20"/>
          <w:szCs w:val="20"/>
          <w:color w:val="auto"/>
        </w:rPr>
      </w:pPr>
    </w:p>
    <w:p>
      <w:pPr>
        <w:ind w:right="100"/>
        <w:spacing w:after="0"/>
        <w:rPr>
          <w:sz w:val="20"/>
          <w:szCs w:val="20"/>
          <w:color w:val="auto"/>
        </w:rPr>
      </w:pPr>
      <w:r>
        <w:rPr>
          <w:rFonts w:ascii="Arial" w:cs="Arial" w:eastAsia="Arial" w:hAnsi="Arial"/>
          <w:sz w:val="19"/>
          <w:szCs w:val="19"/>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82"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In January 2020, the White House Council on Environmental Quality issued a proposed revision to NEPA regulations; however, the final form or impacts of any such revisions are uncertain at this time and any such regulations are likely to be challenged in court. We may also be subject to additional requirements in Jamaica, Mexico, Ireland, Nicaragua, Angola or other jurisdictions, including with respect to land use approvals needed to construct and operate our facilities.</w:t>
      </w:r>
    </w:p>
    <w:p>
      <w:pPr>
        <w:sectPr>
          <w:pgSz w:w="11900" w:h="16838" w:orient="portrait"/>
          <w:cols w:equalWidth="0" w:num="1">
            <w:col w:w="11260"/>
          </w:cols>
          <w:pgMar w:left="320" w:top="124" w:right="319" w:bottom="1440" w:gutter="0" w:footer="0" w:header="0"/>
        </w:sect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5137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62" w:name="page63"/>
    <w:bookmarkEnd w:id="6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79"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71" w:lineRule="exact"/>
        <w:rPr>
          <w:sz w:val="20"/>
          <w:szCs w:val="20"/>
          <w:color w:val="auto"/>
        </w:rPr>
      </w:pPr>
    </w:p>
    <w:p>
      <w:pPr>
        <w:ind w:right="20" w:firstLine="279"/>
        <w:spacing w:after="0" w:line="262"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70" w:lineRule="exact"/>
        <w:rPr>
          <w:sz w:val="20"/>
          <w:szCs w:val="20"/>
          <w:color w:val="auto"/>
        </w:rPr>
      </w:pPr>
    </w:p>
    <w:p>
      <w:pPr>
        <w:ind w:firstLine="279"/>
        <w:spacing w:after="0" w:line="283"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46" w:lineRule="exact"/>
        <w:rPr>
          <w:sz w:val="20"/>
          <w:szCs w:val="20"/>
          <w:color w:val="auto"/>
        </w:rPr>
      </w:pPr>
    </w:p>
    <w:p>
      <w:pPr>
        <w:ind w:right="20" w:firstLine="279"/>
        <w:spacing w:after="0" w:line="283" w:lineRule="auto"/>
        <w:rPr>
          <w:sz w:val="20"/>
          <w:szCs w:val="20"/>
          <w:color w:val="auto"/>
        </w:rPr>
      </w:pPr>
      <w:r>
        <w:rPr>
          <w:rFonts w:ascii="Arial" w:cs="Arial" w:eastAsia="Arial" w:hAnsi="Arial"/>
          <w:sz w:val="16"/>
          <w:szCs w:val="16"/>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49" w:lineRule="exact"/>
        <w:rPr>
          <w:sz w:val="20"/>
          <w:szCs w:val="20"/>
          <w:color w:val="auto"/>
        </w:rPr>
      </w:pPr>
    </w:p>
    <w:p>
      <w:pPr>
        <w:ind w:right="40" w:firstLine="279"/>
        <w:spacing w:after="0" w:line="247"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3" w:name="page64"/>
    <w:bookmarkEnd w:id="6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40" w:firstLine="279"/>
        <w:spacing w:after="0" w:line="237" w:lineRule="auto"/>
        <w:rPr>
          <w:sz w:val="20"/>
          <w:szCs w:val="20"/>
          <w:color w:val="auto"/>
        </w:rPr>
      </w:pPr>
      <w:r>
        <w:rPr>
          <w:rFonts w:ascii="Arial" w:cs="Arial" w:eastAsia="Arial" w:hAnsi="Arial"/>
          <w:sz w:val="19"/>
          <w:szCs w:val="19"/>
          <w:i w:val="1"/>
          <w:iCs w:val="1"/>
          <w:color w:val="auto"/>
        </w:rPr>
        <w:t>Greenhouse Gases/Climate Change</w:t>
      </w:r>
      <w:r>
        <w:rPr>
          <w:rFonts w:ascii="Arial" w:cs="Arial" w:eastAsia="Arial" w:hAnsi="Arial"/>
          <w:sz w:val="19"/>
          <w:szCs w:val="19"/>
          <w:color w:val="auto"/>
        </w:rPr>
        <w:t>. The threat of climate change continues to attract considerable attention in the United States and in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184"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In the United States to date, no comprehensive climate change legislation has been implemented at the federal level, although various individual states and state coalitions have adopted or are considering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 2020. Although the United States has announced its withdrawal from such agreement, effective November 4, 2020, other countries where we operate or plan to operate, including Angola, Jamaica, Ireland, Mexico, and Nicaragua, have signed or acceded to this agreement. However, the scope of future domestic climate and GHG emissions-focused regulatory requirements, if any, remain uncertain.</w:t>
      </w:r>
    </w:p>
    <w:p>
      <w:pPr>
        <w:spacing w:after="0" w:line="181" w:lineRule="exact"/>
        <w:rPr>
          <w:sz w:val="20"/>
          <w:szCs w:val="20"/>
          <w:color w:val="auto"/>
        </w:rPr>
      </w:pPr>
    </w:p>
    <w:p>
      <w:pPr>
        <w:ind w:right="20" w:firstLine="279"/>
        <w:spacing w:after="0" w:line="247"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increasing political uncertainty in the United States, including climate change related pledges made by certain candidates seeking the office of the President of the United States in 2020. Two critical declarations made by one or more candidates running for the Democratic nomination for President include proposals to take actions banning hydraulic fracturing of oil and natural gas wells and banning new leases for production of minerals on federal properties, including onshore lands and offshore waters. A change in administration as a result of the domestic 2020 Presidential election may lead to legislation, rulemaking, or executive orders that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181" w:lineRule="exact"/>
        <w:rPr>
          <w:sz w:val="20"/>
          <w:szCs w:val="20"/>
          <w:color w:val="auto"/>
        </w:rPr>
      </w:pPr>
    </w:p>
    <w:p>
      <w:pPr>
        <w:ind w:right="80" w:firstLine="279"/>
        <w:spacing w:after="0" w:line="270"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shareholder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57" w:lineRule="exact"/>
        <w:rPr>
          <w:sz w:val="20"/>
          <w:szCs w:val="20"/>
          <w:color w:val="auto"/>
        </w:rPr>
      </w:pPr>
    </w:p>
    <w:p>
      <w:pPr>
        <w:ind w:right="240" w:firstLine="279"/>
        <w:spacing w:after="0" w:line="235" w:lineRule="auto"/>
        <w:rPr>
          <w:sz w:val="20"/>
          <w:szCs w:val="20"/>
          <w:color w:val="auto"/>
        </w:rPr>
      </w:pPr>
      <w:r>
        <w:rPr>
          <w:rFonts w:ascii="Arial" w:cs="Arial" w:eastAsia="Arial" w:hAnsi="Arial"/>
          <w:sz w:val="19"/>
          <w:szCs w:val="19"/>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82" w:lineRule="exact"/>
        <w:rPr>
          <w:sz w:val="20"/>
          <w:szCs w:val="20"/>
          <w:color w:val="auto"/>
        </w:rPr>
      </w:pPr>
    </w:p>
    <w:p>
      <w:pPr>
        <w:ind w:right="40" w:firstLine="279"/>
        <w:spacing w:after="0" w:line="264"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165" w:lineRule="exact"/>
        <w:rPr>
          <w:sz w:val="20"/>
          <w:szCs w:val="20"/>
          <w:color w:val="auto"/>
        </w:rPr>
      </w:pPr>
    </w:p>
    <w:p>
      <w:pPr>
        <w:ind w:right="120" w:firstLine="279"/>
        <w:spacing w:after="0" w:line="251"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 subject to concerns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4" w:name="page65"/>
    <w:bookmarkEnd w:id="6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82" w:lineRule="exact"/>
        <w:rPr>
          <w:sz w:val="20"/>
          <w:szCs w:val="20"/>
          <w:color w:val="auto"/>
        </w:rPr>
      </w:pPr>
    </w:p>
    <w:p>
      <w:pPr>
        <w:ind w:right="40" w:firstLine="279"/>
        <w:spacing w:after="0" w:line="261" w:lineRule="auto"/>
        <w:rPr>
          <w:sz w:val="20"/>
          <w:szCs w:val="20"/>
          <w:color w:val="auto"/>
        </w:rPr>
      </w:pPr>
      <w:r>
        <w:rPr>
          <w:rFonts w:ascii="Arial" w:cs="Arial" w:eastAsia="Arial" w:hAnsi="Arial"/>
          <w:sz w:val="17"/>
          <w:szCs w:val="17"/>
          <w:i w:val="1"/>
          <w:iCs w:val="1"/>
          <w:color w:val="auto"/>
        </w:rPr>
        <w:t>Hydraulic Fracturing</w:t>
      </w:r>
      <w:r>
        <w:rPr>
          <w:rFonts w:ascii="Arial" w:cs="Arial" w:eastAsia="Arial" w:hAnsi="Arial"/>
          <w:sz w:val="17"/>
          <w:szCs w:val="17"/>
          <w:color w:val="auto"/>
        </w:rPr>
        <w:t>. Certain of our suppliers of natural gas and LNG employ hydraulic fracturing techniques to stimulate natural gas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168" w:lineRule="exact"/>
        <w:rPr>
          <w:sz w:val="20"/>
          <w:szCs w:val="20"/>
          <w:color w:val="auto"/>
        </w:rPr>
      </w:pPr>
    </w:p>
    <w:p>
      <w:pPr>
        <w:ind w:right="20" w:firstLine="279"/>
        <w:spacing w:after="0" w:line="246" w:lineRule="auto"/>
        <w:rPr>
          <w:sz w:val="20"/>
          <w:szCs w:val="20"/>
          <w:color w:val="auto"/>
        </w:rPr>
      </w:pPr>
      <w:r>
        <w:rPr>
          <w:rFonts w:ascii="Arial" w:cs="Arial" w:eastAsia="Arial" w:hAnsi="Arial"/>
          <w:sz w:val="18"/>
          <w:szCs w:val="18"/>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76" w:lineRule="exact"/>
        <w:rPr>
          <w:sz w:val="20"/>
          <w:szCs w:val="20"/>
          <w:color w:val="auto"/>
        </w:rPr>
      </w:pPr>
    </w:p>
    <w:p>
      <w:pPr>
        <w:ind w:right="120"/>
        <w:spacing w:after="0" w:line="343" w:lineRule="auto"/>
        <w:rPr>
          <w:sz w:val="20"/>
          <w:szCs w:val="20"/>
          <w:color w:val="auto"/>
        </w:rPr>
      </w:pPr>
      <w:r>
        <w:rPr>
          <w:rFonts w:ascii="Arial" w:cs="Arial" w:eastAsia="Arial" w:hAnsi="Arial"/>
          <w:sz w:val="16"/>
          <w:szCs w:val="16"/>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02"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Angola,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71" w:lineRule="exact"/>
        <w:rPr>
          <w:sz w:val="20"/>
          <w:szCs w:val="20"/>
          <w:color w:val="auto"/>
        </w:rPr>
      </w:pPr>
    </w:p>
    <w:p>
      <w:pPr>
        <w:ind w:right="80" w:firstLine="279"/>
        <w:spacing w:after="0" w:line="283"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Angola,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40" w:firstLine="279"/>
        <w:spacing w:after="0" w:line="247"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81" w:lineRule="exact"/>
        <w:rPr>
          <w:sz w:val="20"/>
          <w:szCs w:val="20"/>
          <w:color w:val="auto"/>
        </w:rPr>
      </w:pPr>
    </w:p>
    <w:p>
      <w:pPr>
        <w:ind w:left="7" w:right="140" w:firstLine="279"/>
        <w:spacing w:after="0" w:line="236" w:lineRule="auto"/>
        <w:rPr>
          <w:sz w:val="20"/>
          <w:szCs w:val="20"/>
          <w:color w:val="auto"/>
        </w:rPr>
      </w:pPr>
      <w:r>
        <w:rPr>
          <w:rFonts w:ascii="Arial" w:cs="Arial" w:eastAsia="Arial" w:hAnsi="Arial"/>
          <w:sz w:val="19"/>
          <w:szCs w:val="19"/>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Risks Relating to the Jurisdictions in Which We Operate</w:t>
      </w:r>
    </w:p>
    <w:p>
      <w:pPr>
        <w:spacing w:after="0" w:line="204" w:lineRule="exact"/>
        <w:rPr>
          <w:sz w:val="20"/>
          <w:szCs w:val="20"/>
          <w:color w:val="auto"/>
        </w:rPr>
      </w:pPr>
    </w:p>
    <w:p>
      <w:pPr>
        <w:ind w:left="7" w:right="520"/>
        <w:spacing w:after="0" w:line="251" w:lineRule="auto"/>
        <w:rPr>
          <w:sz w:val="20"/>
          <w:szCs w:val="20"/>
          <w:color w:val="auto"/>
        </w:rPr>
      </w:pPr>
      <w:r>
        <w:rPr>
          <w:rFonts w:ascii="Arial" w:cs="Arial" w:eastAsia="Arial" w:hAnsi="Arial"/>
          <w:sz w:val="19"/>
          <w:szCs w:val="19"/>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71" w:lineRule="exact"/>
        <w:rPr>
          <w:sz w:val="20"/>
          <w:szCs w:val="20"/>
          <w:color w:val="auto"/>
        </w:rPr>
      </w:pPr>
    </w:p>
    <w:p>
      <w:pPr>
        <w:ind w:left="7" w:right="160" w:firstLine="279"/>
        <w:spacing w:after="0" w:line="278"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149" w:lineRule="exact"/>
        <w:rPr>
          <w:sz w:val="20"/>
          <w:szCs w:val="20"/>
          <w:color w:val="auto"/>
        </w:rPr>
      </w:pPr>
    </w:p>
    <w:p>
      <w:pPr>
        <w:ind w:left="7" w:firstLine="279"/>
        <w:spacing w:after="0" w:line="278" w:lineRule="auto"/>
        <w:rPr>
          <w:sz w:val="20"/>
          <w:szCs w:val="20"/>
          <w:color w:val="auto"/>
        </w:rPr>
      </w:pPr>
      <w:r>
        <w:rPr>
          <w:rFonts w:ascii="Arial" w:cs="Arial" w:eastAsia="Arial" w:hAnsi="Arial"/>
          <w:sz w:val="16"/>
          <w:szCs w:val="16"/>
          <w:color w:val="auto"/>
        </w:rPr>
        <w:t>We currently have interests and operations in Jamaica and the United States and currently intend to expand into additional markets in the Caribbean (including Puerto Rico), Mexico, Ireland, Angola,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have not, to date, been impacted by the demonstrations or changes in Puerto Rico’s administration, any cancellation related to or substantial disruption in the development of our San Juan Facility or in our ability to perform our obligations under the Fuel Sale and Purchase Agreement with PREPA could have a material adverse effect on our financial condition, results of operations and cash flows. Furthermore, we cannot predict how our relationship with PREPA could change if PREPA selects a winner in its bidding process for its transmission and distribution system and the system were to become privatized. If such an event were to occur, PREPA may seek to find alternative power sources or purchase substantially less natural gas from us than what we currently expect to sell to PREPA.</w:t>
      </w:r>
    </w:p>
    <w:p>
      <w:pPr>
        <w:spacing w:after="0" w:line="158" w:lineRule="exact"/>
        <w:rPr>
          <w:sz w:val="20"/>
          <w:szCs w:val="20"/>
          <w:color w:val="auto"/>
        </w:rPr>
      </w:pPr>
    </w:p>
    <w:p>
      <w:pPr>
        <w:ind w:left="7" w:firstLine="279"/>
        <w:spacing w:after="0"/>
        <w:rPr>
          <w:sz w:val="20"/>
          <w:szCs w:val="20"/>
          <w:color w:val="auto"/>
        </w:rPr>
      </w:pPr>
      <w:r>
        <w:rPr>
          <w:rFonts w:ascii="Arial" w:cs="Arial" w:eastAsia="Arial" w:hAnsi="Arial"/>
          <w:sz w:val="19"/>
          <w:szCs w:val="19"/>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191" w:lineRule="exact"/>
        <w:rPr>
          <w:sz w:val="20"/>
          <w:szCs w:val="20"/>
          <w:color w:val="auto"/>
        </w:rPr>
      </w:pPr>
    </w:p>
    <w:p>
      <w:pPr>
        <w:ind w:left="287" w:hanging="287"/>
        <w:spacing w:after="0"/>
        <w:tabs>
          <w:tab w:leader="none" w:pos="287"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lower economic activity, including as a result of the COVID-19 pandemic which has significantly affected Jamaica’s and other jurisdictions’ tourism industries;</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in oil, natural gas or petrochemical prices;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devaluation of the applicable currency;</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 inflation; or</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in domestic interest rates,</w:t>
      </w:r>
    </w:p>
    <w:p>
      <w:pPr>
        <w:spacing w:after="0" w:line="203" w:lineRule="exact"/>
        <w:rPr>
          <w:sz w:val="20"/>
          <w:szCs w:val="20"/>
          <w:color w:val="auto"/>
        </w:rPr>
      </w:pPr>
    </w:p>
    <w:p>
      <w:pPr>
        <w:ind w:left="287"/>
        <w:spacing w:after="0" w:line="247" w:lineRule="auto"/>
        <w:rPr>
          <w:sz w:val="20"/>
          <w:szCs w:val="20"/>
          <w:color w:val="auto"/>
        </w:rPr>
      </w:pPr>
      <w:r>
        <w:rPr>
          <w:rFonts w:ascii="Arial" w:cs="Arial" w:eastAsia="Arial" w:hAnsi="Arial"/>
          <w:sz w:val="18"/>
          <w:szCs w:val="18"/>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ectPr>
          <w:pgSz w:w="11900" w:h="16838" w:orient="portrait"/>
          <w:cols w:equalWidth="0" w:num="1">
            <w:col w:w="11227"/>
          </w:cols>
          <w:pgMar w:left="313" w:top="124" w:right="359" w:bottom="1440" w:gutter="0" w:footer="0" w:header="0"/>
        </w:sectPr>
      </w:pPr>
    </w:p>
    <w:p>
      <w:pPr>
        <w:spacing w:after="0" w:line="343" w:lineRule="exact"/>
        <w:rPr>
          <w:sz w:val="20"/>
          <w:szCs w:val="20"/>
          <w:color w:val="auto"/>
        </w:rPr>
      </w:pPr>
    </w:p>
    <w:p>
      <w:pPr>
        <w:jc w:val="center"/>
        <w:ind w:right="-26"/>
        <w:spacing w:after="0"/>
        <w:rPr>
          <w:sz w:val="20"/>
          <w:szCs w:val="20"/>
          <w:color w:val="auto"/>
        </w:rPr>
      </w:pPr>
      <w:r>
        <w:rPr>
          <w:rFonts w:ascii="Arial" w:cs="Arial" w:eastAsia="Arial" w:hAnsi="Arial"/>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5137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4" w:right="359" w:bottom="1440" w:gutter="0" w:footer="0" w:header="0"/>
          <w:type w:val="continuous"/>
        </w:sectPr>
      </w:pPr>
    </w:p>
    <w:bookmarkStart w:id="66" w:name="page67"/>
    <w:bookmarkEnd w:id="6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40" w:firstLine="279"/>
        <w:spacing w:after="0" w:line="274" w:lineRule="auto"/>
        <w:rPr>
          <w:sz w:val="20"/>
          <w:szCs w:val="20"/>
          <w:color w:val="auto"/>
        </w:rPr>
      </w:pPr>
      <w:r>
        <w:rPr>
          <w:rFonts w:ascii="Arial" w:cs="Arial" w:eastAsia="Arial" w:hAnsi="Arial"/>
          <w:sz w:val="17"/>
          <w:szCs w:val="17"/>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23" w:lineRule="exact"/>
        <w:rPr>
          <w:sz w:val="20"/>
          <w:szCs w:val="20"/>
          <w:color w:val="auto"/>
        </w:rPr>
      </w:pPr>
    </w:p>
    <w:p>
      <w:pPr>
        <w:ind w:right="60" w:firstLine="279"/>
        <w:spacing w:after="0" w:line="284" w:lineRule="auto"/>
        <w:rPr>
          <w:sz w:val="20"/>
          <w:szCs w:val="20"/>
          <w:color w:val="auto"/>
        </w:rPr>
      </w:pPr>
      <w:r>
        <w:rPr>
          <w:rFonts w:ascii="Arial" w:cs="Arial" w:eastAsia="Arial" w:hAnsi="Arial"/>
          <w:sz w:val="16"/>
          <w:szCs w:val="16"/>
          <w:color w:val="auto"/>
        </w:rPr>
        <w:t>Nicaragua has recently experienced political and economic challenges. Specifically, in 2018, U.S. legislation was approved to restrict U.S. aid to Nicaragua. In 2018, 2019 and early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financial condition and operating results may be adversely affected by foreign exchange fluctuations.</w:t>
      </w:r>
    </w:p>
    <w:p>
      <w:pPr>
        <w:spacing w:after="0" w:line="200" w:lineRule="exact"/>
        <w:rPr>
          <w:sz w:val="20"/>
          <w:szCs w:val="20"/>
          <w:color w:val="auto"/>
        </w:rPr>
      </w:pPr>
    </w:p>
    <w:p>
      <w:pPr>
        <w:ind w:firstLine="279"/>
        <w:spacing w:after="0" w:line="254"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71" w:lineRule="exact"/>
        <w:rPr>
          <w:sz w:val="20"/>
          <w:szCs w:val="20"/>
          <w:color w:val="auto"/>
        </w:rPr>
      </w:pPr>
    </w:p>
    <w:p>
      <w:pPr>
        <w:ind w:right="60" w:firstLine="279"/>
        <w:spacing w:after="0" w:line="248"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65" w:lineRule="exact"/>
        <w:rPr>
          <w:sz w:val="20"/>
          <w:szCs w:val="20"/>
          <w:color w:val="auto"/>
        </w:rPr>
      </w:pPr>
    </w:p>
    <w:p>
      <w:pPr>
        <w:ind w:right="80" w:firstLine="279"/>
        <w:spacing w:after="0" w:line="249"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77" w:lineRule="exact"/>
        <w:rPr>
          <w:sz w:val="20"/>
          <w:szCs w:val="20"/>
          <w:color w:val="auto"/>
        </w:rPr>
      </w:pPr>
    </w:p>
    <w:p>
      <w:pPr>
        <w:ind w:right="740" w:firstLine="279"/>
        <w:spacing w:after="0" w:line="251" w:lineRule="auto"/>
        <w:rPr>
          <w:sz w:val="20"/>
          <w:szCs w:val="20"/>
          <w:color w:val="auto"/>
        </w:rPr>
      </w:pPr>
      <w:r>
        <w:rPr>
          <w:rFonts w:ascii="Arial" w:cs="Arial" w:eastAsia="Arial" w:hAnsi="Arial"/>
          <w:sz w:val="19"/>
          <w:szCs w:val="19"/>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Owning Class A shares</w:t>
      </w:r>
    </w:p>
    <w:p>
      <w:pPr>
        <w:spacing w:after="0" w:line="204"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b w:val="1"/>
          <w:bCs w:val="1"/>
          <w:i w:val="1"/>
          <w:iCs w:val="1"/>
          <w:color w:val="auto"/>
        </w:rPr>
        <w:t>We are a “controlled company” within the meaning of NASDAQ rules and, as a result, qualify for and intend to rely on exemptions from certain corporate governance requirements.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firstLine="279"/>
        <w:spacing w:after="0" w:line="236" w:lineRule="auto"/>
        <w:rPr>
          <w:sz w:val="20"/>
          <w:szCs w:val="20"/>
          <w:color w:val="auto"/>
        </w:rPr>
      </w:pPr>
      <w:r>
        <w:rPr>
          <w:rFonts w:ascii="Arial" w:cs="Arial" w:eastAsia="Arial" w:hAnsi="Arial"/>
          <w:sz w:val="19"/>
          <w:szCs w:val="19"/>
          <w:color w:val="auto"/>
        </w:rPr>
        <w:t>New Fortress Energy Holdings currently holds a majority of the voting power of our shares, and following the Exchange Transactions, the members of the Initial Shareholder will hold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91" w:lineRule="exact"/>
        <w:rPr>
          <w:sz w:val="20"/>
          <w:szCs w:val="20"/>
          <w:color w:val="auto"/>
        </w:rPr>
      </w:pPr>
    </w:p>
    <w:p>
      <w:pPr>
        <w:ind w:left="287" w:hanging="287"/>
        <w:spacing w:after="0"/>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as defined under the rules of NASDAQ;</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nominating and governance committee be composed entirely of independent directors with a written charter addressing the committee’s purpose and responsibilities; and</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compensation committee be composed entirely of independent directors with a written charter addressing the committee’s purpose and responsibilities.</w:t>
      </w:r>
    </w:p>
    <w:p>
      <w:pPr>
        <w:spacing w:after="0" w:line="203" w:lineRule="exact"/>
        <w:rPr>
          <w:sz w:val="20"/>
          <w:szCs w:val="20"/>
          <w:color w:val="auto"/>
        </w:rPr>
      </w:pPr>
    </w:p>
    <w:p>
      <w:pPr>
        <w:jc w:val="both"/>
        <w:ind w:left="7" w:right="80" w:firstLine="279"/>
        <w:spacing w:after="0" w:line="237" w:lineRule="auto"/>
        <w:rPr>
          <w:sz w:val="20"/>
          <w:szCs w:val="20"/>
          <w:color w:val="auto"/>
        </w:rPr>
      </w:pPr>
      <w:r>
        <w:rPr>
          <w:rFonts w:ascii="Arial" w:cs="Arial" w:eastAsia="Arial" w:hAnsi="Arial"/>
          <w:sz w:val="19"/>
          <w:szCs w:val="19"/>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184" w:lineRule="exact"/>
        <w:rPr>
          <w:sz w:val="20"/>
          <w:szCs w:val="20"/>
          <w:color w:val="auto"/>
        </w:rPr>
      </w:pPr>
    </w:p>
    <w:p>
      <w:pPr>
        <w:ind w:left="7" w:right="220"/>
        <w:spacing w:after="0" w:line="343" w:lineRule="auto"/>
        <w:rPr>
          <w:sz w:val="20"/>
          <w:szCs w:val="20"/>
          <w:color w:val="auto"/>
        </w:rPr>
      </w:pPr>
      <w:r>
        <w:rPr>
          <w:rFonts w:ascii="Arial" w:cs="Arial" w:eastAsia="Arial" w:hAnsi="Arial"/>
          <w:sz w:val="16"/>
          <w:szCs w:val="16"/>
          <w:b w:val="1"/>
          <w:bCs w:val="1"/>
          <w:i w:val="1"/>
          <w:iCs w:val="1"/>
          <w:color w:val="auto"/>
        </w:rPr>
        <w:t>New Fortress Energy Holdings currently has, and following the Exchange Transactions, the members of the Initial Shareholder are expected to have, the ability to direct the voting of a majority of our shares, and its interests may conflict with those of our other shareholders.</w:t>
      </w:r>
    </w:p>
    <w:p>
      <w:pPr>
        <w:spacing w:after="0" w:line="102" w:lineRule="exact"/>
        <w:rPr>
          <w:sz w:val="20"/>
          <w:szCs w:val="20"/>
          <w:color w:val="auto"/>
        </w:rPr>
      </w:pPr>
    </w:p>
    <w:p>
      <w:pPr>
        <w:ind w:left="7" w:right="80" w:firstLine="279"/>
        <w:spacing w:after="0" w:line="262" w:lineRule="auto"/>
        <w:rPr>
          <w:sz w:val="20"/>
          <w:szCs w:val="20"/>
          <w:color w:val="auto"/>
        </w:rPr>
      </w:pPr>
      <w:r>
        <w:rPr>
          <w:rFonts w:ascii="Arial" w:cs="Arial" w:eastAsia="Arial" w:hAnsi="Arial"/>
          <w:sz w:val="17"/>
          <w:szCs w:val="17"/>
          <w:color w:val="auto"/>
        </w:rPr>
        <w:t>As of April 30, 2020, New Fortress Energy Holdings owns an aggregate of approximately 144,342,572 Class B shares representing 85.6% of our voting power. Following the Exchange Transactions, the members of the Initial Shareholder are expected to own 144,342,572 Class A shares that will result from the Exchange Transactions, representing 85.6% of our voting power. In addition, Wesley R. Edens and Randal A. Nardone, who are members of New Fortress Energy Holdings and the Initial Shareholder, own 3,278,199 Class A shares and 3,080,000 Class A shares, respectively, representing 13.5% and 12.7% voting power of the Class A shares, respectively. The beneficial ownership of greater than 50% of our voting shares means New Fortress Energy Holdings or the members of the Initial Shareholder, as applicable,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or the members of the Initial Shareholder, as applicable, with respect to matters potentially or actually involving or affecting us, such as future acquisitions, financings and other corporate opportunities and attempts to acquire us, may conflict with the interests of our other shareholders.</w:t>
      </w:r>
    </w:p>
    <w:p>
      <w:pPr>
        <w:spacing w:after="0" w:line="166" w:lineRule="exact"/>
        <w:rPr>
          <w:sz w:val="20"/>
          <w:szCs w:val="20"/>
          <w:color w:val="auto"/>
        </w:rPr>
      </w:pPr>
    </w:p>
    <w:p>
      <w:pPr>
        <w:ind w:left="7" w:right="20" w:firstLine="279"/>
        <w:spacing w:after="0" w:line="235" w:lineRule="auto"/>
        <w:rPr>
          <w:sz w:val="20"/>
          <w:szCs w:val="20"/>
          <w:color w:val="auto"/>
        </w:rPr>
      </w:pPr>
      <w:r>
        <w:rPr>
          <w:rFonts w:ascii="Arial" w:cs="Arial" w:eastAsia="Arial" w:hAnsi="Arial"/>
          <w:sz w:val="19"/>
          <w:szCs w:val="19"/>
          <w:color w:val="auto"/>
        </w:rPr>
        <w:t>Given this concentrated ownership, New Fortress Energy Holdings or the members of the Initial Shareholder, as applicable,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or the members of the Initial Shareholder, as applicable, concentration of share ownership may adversely affect the trading price of our Class A shares to the extent investors perceive a disadvantage in owning shares of a company with a significant shareholder.</w:t>
      </w:r>
    </w:p>
    <w:p>
      <w:pPr>
        <w:spacing w:after="0" w:line="182" w:lineRule="exact"/>
        <w:rPr>
          <w:sz w:val="20"/>
          <w:szCs w:val="20"/>
          <w:color w:val="auto"/>
        </w:rPr>
      </w:pPr>
    </w:p>
    <w:p>
      <w:pPr>
        <w:ind w:left="7" w:right="180" w:firstLine="279"/>
        <w:spacing w:after="0" w:line="247" w:lineRule="auto"/>
        <w:rPr>
          <w:sz w:val="20"/>
          <w:szCs w:val="20"/>
          <w:color w:val="auto"/>
        </w:rPr>
      </w:pPr>
      <w:r>
        <w:rPr>
          <w:rFonts w:ascii="Arial" w:cs="Arial" w:eastAsia="Arial" w:hAnsi="Arial"/>
          <w:sz w:val="18"/>
          <w:szCs w:val="18"/>
          <w:color w:val="auto"/>
        </w:rPr>
        <w:t>Furthermore, in connection with the IPO, we entered into a shareholders’ agreement (the “Shareholders’ Agreement”) with New Fortress Energy Holdings and its affiliates. The Shareholders’ Agreement provides New Fortress Energy Holdings or its assignee with the right to designate a certain number of nominees to our board of directors so long as New Fortress Energy Holdings and its affiliates collectively beneficially own at least 5% of the outstanding Class A shares and Class B shares. In connection with the Exchange Transactions, it is expected that New Fortress Energy Holdings will assign, pursuant to the terms of the Shareholders’ Agreement, to certain entities controlled by Wesley R. Edens and Randal A. Nardone (the “Consenting Entities”) these rights. In addition, our operating agreement provides the Consenting Entities the right to approve certain material transactions so long as the Consenting Entities and their affiliates collectively, directly or indirectly, own at least 30% of the outstanding Class A shares and Class B shares.</w:t>
      </w:r>
    </w:p>
    <w:p>
      <w:pPr>
        <w:spacing w:after="0" w:line="181" w:lineRule="exact"/>
        <w:rPr>
          <w:sz w:val="20"/>
          <w:szCs w:val="20"/>
          <w:color w:val="auto"/>
        </w:rPr>
      </w:pPr>
    </w:p>
    <w:p>
      <w:pPr>
        <w:ind w:left="7" w:right="260"/>
        <w:spacing w:after="0" w:line="343" w:lineRule="auto"/>
        <w:rPr>
          <w:sz w:val="20"/>
          <w:szCs w:val="20"/>
          <w:color w:val="auto"/>
        </w:rPr>
      </w:pPr>
      <w:r>
        <w:rPr>
          <w:rFonts w:ascii="Arial" w:cs="Arial" w:eastAsia="Arial" w:hAnsi="Arial"/>
          <w:sz w:val="16"/>
          <w:szCs w:val="16"/>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102" w:lineRule="exact"/>
        <w:rPr>
          <w:sz w:val="20"/>
          <w:szCs w:val="20"/>
          <w:color w:val="auto"/>
        </w:rPr>
      </w:pPr>
    </w:p>
    <w:p>
      <w:pPr>
        <w:ind w:left="7" w:right="20" w:firstLine="279"/>
        <w:spacing w:after="0" w:line="270" w:lineRule="auto"/>
        <w:rPr>
          <w:sz w:val="20"/>
          <w:szCs w:val="20"/>
          <w:color w:val="auto"/>
        </w:rPr>
      </w:pPr>
      <w:r>
        <w:rPr>
          <w:rFonts w:ascii="Arial" w:cs="Arial" w:eastAsia="Arial" w:hAnsi="Arial"/>
          <w:sz w:val="17"/>
          <w:szCs w:val="17"/>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3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68" w:name="page69"/>
    <w:bookmarkEnd w:id="6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7" w:lineRule="exact"/>
        <w:rPr>
          <w:sz w:val="20"/>
          <w:szCs w:val="20"/>
          <w:color w:val="auto"/>
        </w:rPr>
      </w:pPr>
    </w:p>
    <w:p>
      <w:pPr>
        <w:ind w:left="287" w:hanging="287"/>
        <w:spacing w:after="0"/>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dividing our board of directors into three classes of directors, with each class serving staggered three-year terms;</w:t>
      </w:r>
    </w:p>
    <w:p>
      <w:pPr>
        <w:spacing w:after="0" w:line="211" w:lineRule="exact"/>
        <w:rPr>
          <w:rFonts w:ascii="Arial" w:cs="Arial" w:eastAsia="Arial" w:hAnsi="Arial"/>
          <w:sz w:val="16"/>
          <w:szCs w:val="16"/>
          <w:color w:val="auto"/>
        </w:rPr>
      </w:pPr>
    </w:p>
    <w:p>
      <w:pPr>
        <w:ind w:left="287" w:right="420" w:hanging="287"/>
        <w:spacing w:after="0" w:line="258" w:lineRule="auto"/>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86" w:lineRule="exact"/>
        <w:rPr>
          <w:rFonts w:ascii="Arial" w:cs="Arial" w:eastAsia="Arial" w:hAnsi="Arial"/>
          <w:sz w:val="16"/>
          <w:szCs w:val="16"/>
          <w:color w:val="auto"/>
        </w:rPr>
      </w:pPr>
    </w:p>
    <w:p>
      <w:pPr>
        <w:ind w:left="287" w:right="140" w:hanging="287"/>
        <w:spacing w:after="0" w:line="258" w:lineRule="auto"/>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86" w:lineRule="exact"/>
        <w:rPr>
          <w:rFonts w:ascii="Arial" w:cs="Arial" w:eastAsia="Arial" w:hAnsi="Arial"/>
          <w:sz w:val="16"/>
          <w:szCs w:val="16"/>
          <w:color w:val="auto"/>
        </w:rPr>
      </w:pPr>
    </w:p>
    <w:p>
      <w:pPr>
        <w:ind w:left="287" w:right="340" w:hanging="287"/>
        <w:spacing w:after="0" w:line="258" w:lineRule="auto"/>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86" w:lineRule="exact"/>
        <w:rPr>
          <w:rFonts w:ascii="Arial" w:cs="Arial" w:eastAsia="Arial" w:hAnsi="Arial"/>
          <w:sz w:val="16"/>
          <w:szCs w:val="16"/>
          <w:color w:val="auto"/>
        </w:rPr>
      </w:pPr>
    </w:p>
    <w:p>
      <w:pPr>
        <w:ind w:left="287" w:hanging="287"/>
        <w:spacing w:after="0"/>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211" w:lineRule="exact"/>
        <w:rPr>
          <w:rFonts w:ascii="Arial" w:cs="Arial" w:eastAsia="Arial" w:hAnsi="Arial"/>
          <w:sz w:val="16"/>
          <w:szCs w:val="16"/>
          <w:color w:val="auto"/>
        </w:rPr>
      </w:pPr>
    </w:p>
    <w:p>
      <w:pPr>
        <w:ind w:left="287" w:hanging="287"/>
        <w:spacing w:after="0"/>
        <w:tabs>
          <w:tab w:leader="none" w:pos="287"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establishing advance notice provisions for shareholder proposals and nominations for elections to the board of directors to be acted upon at meetings of the shareholders; and</w:t>
      </w:r>
    </w:p>
    <w:p>
      <w:pPr>
        <w:spacing w:after="0" w:line="234" w:lineRule="exact"/>
        <w:rPr>
          <w:rFonts w:ascii="Arial" w:cs="Arial" w:eastAsia="Arial" w:hAnsi="Arial"/>
          <w:sz w:val="14"/>
          <w:szCs w:val="14"/>
          <w:color w:val="auto"/>
        </w:rPr>
      </w:pPr>
    </w:p>
    <w:p>
      <w:pPr>
        <w:ind w:left="287" w:hanging="287"/>
        <w:spacing w:after="0"/>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that the board of directors is expressly authorized to adopt, or to alter or repeal our operating agreement.</w:t>
      </w:r>
    </w:p>
    <w:p>
      <w:pPr>
        <w:spacing w:after="0" w:line="203" w:lineRule="exact"/>
        <w:rPr>
          <w:sz w:val="20"/>
          <w:szCs w:val="20"/>
          <w:color w:val="auto"/>
        </w:rPr>
      </w:pPr>
    </w:p>
    <w:p>
      <w:pPr>
        <w:ind w:left="7" w:right="160"/>
        <w:spacing w:after="0" w:line="343"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102" w:lineRule="exact"/>
        <w:rPr>
          <w:sz w:val="20"/>
          <w:szCs w:val="20"/>
          <w:color w:val="auto"/>
        </w:rPr>
      </w:pPr>
    </w:p>
    <w:p>
      <w:pPr>
        <w:ind w:left="7" w:firstLine="279"/>
        <w:spacing w:after="0" w:line="247" w:lineRule="auto"/>
        <w:rPr>
          <w:sz w:val="20"/>
          <w:szCs w:val="20"/>
          <w:color w:val="auto"/>
        </w:rPr>
      </w:pPr>
      <w:r>
        <w:rPr>
          <w:rFonts w:ascii="Arial" w:cs="Arial" w:eastAsia="Arial" w:hAnsi="Arial"/>
          <w:sz w:val="18"/>
          <w:szCs w:val="18"/>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7" w:lineRule="exact"/>
        <w:rPr>
          <w:sz w:val="20"/>
          <w:szCs w:val="20"/>
          <w:color w:val="auto"/>
        </w:rPr>
      </w:pPr>
    </w:p>
    <w:p>
      <w:pPr>
        <w:ind w:left="7" w:right="260"/>
        <w:spacing w:after="0"/>
        <w:rPr>
          <w:sz w:val="20"/>
          <w:szCs w:val="20"/>
          <w:color w:val="auto"/>
        </w:rPr>
      </w:pPr>
      <w:r>
        <w:rPr>
          <w:rFonts w:ascii="Arial" w:cs="Arial" w:eastAsia="Arial" w:hAnsi="Arial"/>
          <w:sz w:val="19"/>
          <w:szCs w:val="19"/>
          <w:b w:val="1"/>
          <w:bCs w:val="1"/>
          <w:i w:val="1"/>
          <w:iCs w:val="1"/>
          <w:color w:val="auto"/>
        </w:rPr>
        <w:t>Our operating agreement designates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182" w:lineRule="exact"/>
        <w:rPr>
          <w:sz w:val="20"/>
          <w:szCs w:val="20"/>
          <w:color w:val="auto"/>
        </w:rPr>
      </w:pPr>
    </w:p>
    <w:p>
      <w:pPr>
        <w:ind w:left="7" w:right="20" w:firstLine="279"/>
        <w:spacing w:after="0" w:line="245"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shareholders, (iii) any action asserting a claim against us or any of our directors, officers or employees arising pursuant to any provision of the Delaware Limited Liability Company Act or our operating agreement,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Class A shares will be deemed to have notice of, and consented to, the provisions of our operating agreement described in the preceding sentence. This choice of forum provision may limit a shareholder’s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operating agreement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35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69" w:name="page70"/>
    <w:bookmarkEnd w:id="6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60"/>
        <w:spacing w:after="0" w:line="251" w:lineRule="auto"/>
        <w:rPr>
          <w:sz w:val="20"/>
          <w:szCs w:val="20"/>
          <w:color w:val="auto"/>
        </w:rPr>
      </w:pPr>
      <w:r>
        <w:rPr>
          <w:rFonts w:ascii="Arial" w:cs="Arial" w:eastAsia="Arial" w:hAnsi="Arial"/>
          <w:sz w:val="19"/>
          <w:szCs w:val="19"/>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71" w:lineRule="exact"/>
        <w:rPr>
          <w:sz w:val="20"/>
          <w:szCs w:val="20"/>
          <w:color w:val="auto"/>
        </w:rPr>
      </w:pPr>
    </w:p>
    <w:p>
      <w:pPr>
        <w:ind w:right="100" w:firstLine="279"/>
        <w:spacing w:after="0" w:line="237" w:lineRule="auto"/>
        <w:rPr>
          <w:sz w:val="20"/>
          <w:szCs w:val="20"/>
          <w:color w:val="auto"/>
        </w:rPr>
      </w:pPr>
      <w:r>
        <w:rPr>
          <w:rFonts w:ascii="Arial" w:cs="Arial" w:eastAsia="Arial" w:hAnsi="Arial"/>
          <w:sz w:val="19"/>
          <w:szCs w:val="19"/>
          <w:color w:val="auto"/>
        </w:rPr>
        <w:t>We do not currently plan to declare regular cash dividends on our Class A shares in the foreseeable future. Consequently, a shareholder’s only opportunity to achieve a return on investment in us will be if the shareholder sells its Class A shares at a price greater than it paid for such Class A shares. There is no guarantee that the price of our Class A shares that will prevail in the market will ever exceed the price paid to purchase such Class A shares.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issue preferred shares, the terms of which could adversely affect the voting power or value of our Class A shares.</w:t>
      </w:r>
    </w:p>
    <w:p>
      <w:pPr>
        <w:spacing w:after="0" w:line="200" w:lineRule="exact"/>
        <w:rPr>
          <w:sz w:val="20"/>
          <w:szCs w:val="20"/>
          <w:color w:val="auto"/>
        </w:rPr>
      </w:pPr>
    </w:p>
    <w:p>
      <w:pPr>
        <w:ind w:right="60" w:firstLine="279"/>
        <w:spacing w:after="0" w:line="267" w:lineRule="auto"/>
        <w:rPr>
          <w:sz w:val="20"/>
          <w:szCs w:val="20"/>
          <w:color w:val="auto"/>
        </w:rPr>
      </w:pPr>
      <w:r>
        <w:rPr>
          <w:rFonts w:ascii="Arial" w:cs="Arial" w:eastAsia="Arial" w:hAnsi="Arial"/>
          <w:sz w:val="17"/>
          <w:szCs w:val="17"/>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61" w:lineRule="exact"/>
        <w:rPr>
          <w:sz w:val="20"/>
          <w:szCs w:val="20"/>
          <w:color w:val="auto"/>
        </w:rPr>
      </w:pPr>
    </w:p>
    <w:p>
      <w:pPr>
        <w:ind w:right="220"/>
        <w:spacing w:after="0" w:line="251" w:lineRule="auto"/>
        <w:rPr>
          <w:sz w:val="20"/>
          <w:szCs w:val="20"/>
          <w:color w:val="auto"/>
        </w:rPr>
      </w:pPr>
      <w:r>
        <w:rPr>
          <w:rFonts w:ascii="Arial" w:cs="Arial" w:eastAsia="Arial" w:hAnsi="Arial"/>
          <w:sz w:val="19"/>
          <w:szCs w:val="19"/>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w:t>
      </w:r>
    </w:p>
    <w:p>
      <w:pPr>
        <w:spacing w:after="0" w:line="171" w:lineRule="exact"/>
        <w:rPr>
          <w:sz w:val="20"/>
          <w:szCs w:val="20"/>
          <w:color w:val="auto"/>
        </w:rPr>
      </w:pPr>
    </w:p>
    <w:p>
      <w:pPr>
        <w:ind w:right="360" w:firstLine="279"/>
        <w:spacing w:after="0" w:line="264" w:lineRule="auto"/>
        <w:rPr>
          <w:sz w:val="20"/>
          <w:szCs w:val="20"/>
          <w:color w:val="auto"/>
        </w:rPr>
      </w:pPr>
      <w:r>
        <w:rPr>
          <w:rFonts w:ascii="Arial" w:cs="Arial" w:eastAsia="Arial" w:hAnsi="Arial"/>
          <w:sz w:val="17"/>
          <w:szCs w:val="17"/>
          <w:color w:val="auto"/>
        </w:rPr>
        <w:t>As of April 30, 2020, we have 24,236,495 Class A shares outstanding and 144,342,572 Class B shares outstanding. Following the Exchange Transactions, we expect at least 144,342,572 Class A shares representing 85.6% of our voting power will be held by the members of the Initial Shareholder. Sales by the members of the Initial Shareholder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and its permitted transferees, including members of the Initial Shareholder and other members of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165" w:lineRule="exact"/>
        <w:rPr>
          <w:sz w:val="20"/>
          <w:szCs w:val="20"/>
          <w:color w:val="auto"/>
        </w:rPr>
      </w:pPr>
    </w:p>
    <w:p>
      <w:pPr>
        <w:ind w:right="460"/>
        <w:spacing w:after="0" w:line="251" w:lineRule="auto"/>
        <w:rPr>
          <w:sz w:val="20"/>
          <w:szCs w:val="20"/>
          <w:color w:val="auto"/>
        </w:rPr>
      </w:pPr>
      <w:r>
        <w:rPr>
          <w:rFonts w:ascii="Arial" w:cs="Arial" w:eastAsia="Arial" w:hAnsi="Arial"/>
          <w:sz w:val="19"/>
          <w:szCs w:val="19"/>
          <w:b w:val="1"/>
          <w:bCs w:val="1"/>
          <w:i w:val="1"/>
          <w:iCs w:val="1"/>
          <w:color w:val="auto"/>
        </w:rPr>
        <w:t>An active, liquid and orderly trading market for our Class A shares may not be maintained and the price of our Class A shares may fluctuate significantly.</w:t>
      </w:r>
    </w:p>
    <w:p>
      <w:pPr>
        <w:spacing w:after="0" w:line="171" w:lineRule="exact"/>
        <w:rPr>
          <w:sz w:val="20"/>
          <w:szCs w:val="20"/>
          <w:color w:val="auto"/>
        </w:rPr>
      </w:pPr>
    </w:p>
    <w:p>
      <w:pPr>
        <w:ind w:right="60" w:firstLine="279"/>
        <w:spacing w:after="0" w:line="236" w:lineRule="auto"/>
        <w:rPr>
          <w:sz w:val="20"/>
          <w:szCs w:val="20"/>
          <w:color w:val="auto"/>
        </w:rPr>
      </w:pPr>
      <w:r>
        <w:rPr>
          <w:rFonts w:ascii="Arial" w:cs="Arial" w:eastAsia="Arial" w:hAnsi="Arial"/>
          <w:sz w:val="19"/>
          <w:szCs w:val="19"/>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182" w:lineRule="exact"/>
        <w:rPr>
          <w:sz w:val="20"/>
          <w:szCs w:val="20"/>
          <w:color w:val="auto"/>
        </w:rPr>
      </w:pPr>
    </w:p>
    <w:p>
      <w:pPr>
        <w:ind w:right="400"/>
        <w:spacing w:after="0" w:line="309"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125"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84" w:lineRule="exact"/>
        <w:rPr>
          <w:sz w:val="20"/>
          <w:szCs w:val="20"/>
          <w:color w:val="auto"/>
        </w:rPr>
      </w:pPr>
    </w:p>
    <w:p>
      <w:pPr>
        <w:jc w:val="both"/>
        <w:ind w:right="240"/>
        <w:spacing w:after="0"/>
        <w:rPr>
          <w:sz w:val="20"/>
          <w:szCs w:val="20"/>
          <w:color w:val="auto"/>
        </w:rPr>
      </w:pPr>
      <w:r>
        <w:rPr>
          <w:rFonts w:ascii="Arial" w:cs="Arial" w:eastAsia="Arial" w:hAnsi="Arial"/>
          <w:sz w:val="19"/>
          <w:szCs w:val="19"/>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182" w:lineRule="exact"/>
        <w:rPr>
          <w:sz w:val="20"/>
          <w:szCs w:val="20"/>
          <w:color w:val="auto"/>
        </w:rPr>
      </w:pPr>
    </w:p>
    <w:p>
      <w:pPr>
        <w:ind w:right="40" w:firstLine="279"/>
        <w:spacing w:after="0" w:line="234" w:lineRule="auto"/>
        <w:rPr>
          <w:sz w:val="20"/>
          <w:szCs w:val="20"/>
          <w:color w:val="auto"/>
        </w:rPr>
      </w:pPr>
      <w:r>
        <w:rPr>
          <w:rFonts w:ascii="Arial" w:cs="Arial" w:eastAsia="Arial" w:hAnsi="Arial"/>
          <w:sz w:val="19"/>
          <w:szCs w:val="19"/>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84" w:lineRule="exact"/>
        <w:rPr>
          <w:sz w:val="20"/>
          <w:szCs w:val="20"/>
          <w:color w:val="auto"/>
        </w:rPr>
      </w:pPr>
    </w:p>
    <w:p>
      <w:pPr>
        <w:ind w:right="80"/>
        <w:spacing w:after="0"/>
        <w:rPr>
          <w:sz w:val="20"/>
          <w:szCs w:val="20"/>
          <w:color w:val="auto"/>
        </w:rPr>
      </w:pPr>
      <w:r>
        <w:rPr>
          <w:rFonts w:ascii="Arial" w:cs="Arial" w:eastAsia="Arial" w:hAnsi="Arial"/>
          <w:sz w:val="19"/>
          <w:szCs w:val="19"/>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82"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As a public company with shares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71"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125" w:lineRule="exact"/>
        <w:rPr>
          <w:sz w:val="20"/>
          <w:szCs w:val="20"/>
          <w:color w:val="auto"/>
        </w:rPr>
      </w:pPr>
    </w:p>
    <w:p>
      <w:pPr>
        <w:ind w:right="60" w:firstLine="279"/>
        <w:spacing w:after="0"/>
        <w:rPr>
          <w:sz w:val="20"/>
          <w:szCs w:val="20"/>
          <w:color w:val="auto"/>
        </w:rPr>
      </w:pPr>
      <w:r>
        <w:rPr>
          <w:rFonts w:ascii="Arial" w:cs="Arial" w:eastAsia="Arial" w:hAnsi="Arial"/>
          <w:sz w:val="19"/>
          <w:szCs w:val="19"/>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9"/>
          <w:szCs w:val="19"/>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71" w:lineRule="exact"/>
        <w:rPr>
          <w:sz w:val="20"/>
          <w:szCs w:val="20"/>
          <w:color w:val="auto"/>
        </w:rPr>
      </w:pPr>
    </w:p>
    <w:p>
      <w:pPr>
        <w:ind w:right="40" w:firstLine="279"/>
        <w:spacing w:after="0" w:line="263" w:lineRule="auto"/>
        <w:rPr>
          <w:sz w:val="20"/>
          <w:szCs w:val="20"/>
          <w:color w:val="auto"/>
        </w:rPr>
      </w:pPr>
      <w:r>
        <w:rPr>
          <w:rFonts w:ascii="Arial" w:cs="Arial" w:eastAsia="Arial" w:hAnsi="Arial"/>
          <w:sz w:val="17"/>
          <w:szCs w:val="17"/>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 certain circumstances, NFI is required to make tax distributions to holders of NFI LLC Units.</w:t>
      </w:r>
    </w:p>
    <w:p>
      <w:pPr>
        <w:spacing w:after="0" w:line="200" w:lineRule="exact"/>
        <w:rPr>
          <w:sz w:val="20"/>
          <w:szCs w:val="20"/>
          <w:color w:val="auto"/>
        </w:rPr>
      </w:pPr>
    </w:p>
    <w:p>
      <w:pPr>
        <w:ind w:firstLine="279"/>
        <w:spacing w:after="0" w:line="248" w:lineRule="auto"/>
        <w:rPr>
          <w:sz w:val="20"/>
          <w:szCs w:val="20"/>
          <w:color w:val="auto"/>
        </w:rPr>
      </w:pPr>
      <w:r>
        <w:rPr>
          <w:rFonts w:ascii="Arial" w:cs="Arial" w:eastAsia="Arial" w:hAnsi="Arial"/>
          <w:sz w:val="18"/>
          <w:szCs w:val="18"/>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178" w:lineRule="exact"/>
        <w:rPr>
          <w:sz w:val="20"/>
          <w:szCs w:val="20"/>
          <w:color w:val="auto"/>
        </w:rPr>
      </w:pPr>
    </w:p>
    <w:p>
      <w:pPr>
        <w:ind w:right="40" w:firstLine="279"/>
        <w:spacing w:after="0" w:line="254" w:lineRule="auto"/>
        <w:rPr>
          <w:sz w:val="20"/>
          <w:szCs w:val="20"/>
          <w:color w:val="auto"/>
        </w:rPr>
      </w:pPr>
      <w:r>
        <w:rPr>
          <w:rFonts w:ascii="Arial" w:cs="Arial" w:eastAsia="Arial" w:hAnsi="Arial"/>
          <w:sz w:val="18"/>
          <w:szCs w:val="18"/>
          <w:color w:val="auto"/>
        </w:rPr>
        <w:t>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72" w:name="page73"/>
    <w:bookmarkEnd w:id="7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Not applicable.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None.</w:t>
      </w:r>
    </w:p>
    <w:p>
      <w:pPr>
        <w:spacing w:after="0" w:line="366"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73" w:name="page74"/>
    <w:bookmarkEnd w:id="73"/>
    <w:tbl>
      <w:tblPr>
        <w:tblLayout w:type="fixed"/>
        <w:tblInd w:w="7" w:type="dxa"/>
        <w:tblCellMar>
          <w:top w:w="0" w:type="dxa"/>
          <w:left w:w="0" w:type="dxa"/>
          <w:bottom w:w="0" w:type="dxa"/>
          <w:right w:w="0" w:type="dxa"/>
        </w:tblCellMar>
      </w:tblPr>
      <w:tr>
        <w:trPr>
          <w:trHeight w:val="157"/>
        </w:trPr>
        <w:tc>
          <w:tcPr>
            <w:tcW w:w="920" w:type="dxa"/>
            <w:vAlign w:val="bottom"/>
            <w:gridSpan w:val="2"/>
          </w:tcPr>
          <w:p>
            <w:pPr>
              <w:spacing w:after="0"/>
              <w:rPr>
                <w:rFonts w:ascii="Arial" w:cs="Arial" w:eastAsia="Arial" w:hAnsi="Arial"/>
                <w:sz w:val="12"/>
                <w:szCs w:val="12"/>
                <w:i w:val="1"/>
                <w:iCs w:val="1"/>
                <w:u w:val="single" w:color="auto"/>
                <w:color w:val="0000EE"/>
                <w:w w:val="94"/>
              </w:rPr>
            </w:pPr>
            <w:hyperlink w:anchor="page2">
              <w:r>
                <w:rPr>
                  <w:rFonts w:ascii="Arial" w:cs="Arial" w:eastAsia="Arial" w:hAnsi="Arial"/>
                  <w:sz w:val="12"/>
                  <w:szCs w:val="12"/>
                  <w:i w:val="1"/>
                  <w:iCs w:val="1"/>
                  <w:u w:val="single" w:color="auto"/>
                  <w:color w:val="0000EE"/>
                  <w:w w:val="94"/>
                </w:rPr>
                <w:t>Table of Contents</w:t>
              </w:r>
            </w:hyperlink>
          </w:p>
        </w:tc>
        <w:tc>
          <w:tcPr>
            <w:tcW w:w="10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10340" w:type="dxa"/>
            <w:vAlign w:val="bottom"/>
          </w:tcPr>
          <w:p>
            <w:pPr>
              <w:ind w:left="6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380"/>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340" w:type="dxa"/>
            <w:vAlign w:val="bottom"/>
          </w:tcPr>
          <w:p>
            <w:pPr>
              <w:ind w:left="49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r:id="rId87">
              <w:r>
                <w:rPr>
                  <w:rFonts w:ascii="Arial" w:cs="Arial" w:eastAsia="Arial" w:hAnsi="Arial"/>
                  <w:sz w:val="16"/>
                  <w:szCs w:val="16"/>
                  <w:u w:val="single" w:color="auto"/>
                  <w:color w:val="0000EE"/>
                </w:rPr>
                <w:t>3.1</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89"/>
              </w:rPr>
              <w:t>Certificate of Formation of New Fortress Energy LLC (incorporated by reference to Exhibit 3.1 to the Registrant’s Registration Statement on Form S-1 (File No.</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333-228339), filed with the SEC on November 9, 2018)</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3.2</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91"/>
              </w:rPr>
              <w:t>Certificate of Amendment to Certificate of Formation of New Fortress Energy LLC (incorporated by reference to Exhibit 3.2 to the Registrant’s Registration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Statement on Form S-1 (File No. 333-228339), filed with the SEC on November 9, 2018)</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r:id="rId89">
              <w:r>
                <w:rPr>
                  <w:rFonts w:ascii="Arial" w:cs="Arial" w:eastAsia="Arial" w:hAnsi="Arial"/>
                  <w:sz w:val="16"/>
                  <w:szCs w:val="16"/>
                  <w:u w:val="single" w:color="auto"/>
                  <w:color w:val="0000EE"/>
                </w:rPr>
                <w:t>3.3</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89"/>
              </w:rPr>
              <w:t>First Amended and Restated Limited Liability Company Agreement of New Fortress Energy LLC, dated February 4, 2019 (incorporated by reference to Exhibit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3.1 to the Registrant’s Form 8-K (File No. 001-38790), filed with the SEC on February 5, 2019)</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10.1</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88"/>
              </w:rPr>
              <w:t>Credit Agreement, dated January 10, 2020, by and among New Fortress Intermediate LLC, NFE Atlantic Holdings LLC, each person listed as a guarantor on the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1"/>
              </w:rPr>
              <w:t>signature pages thereto, the lenders from time to time party thereto and Cortland Capital Market Services LLC, as collateral agent and administrative agent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(incorporated by reference to Exhibit 10.1 to the Registrant’s Form 8-K (File No. 001-38790), filed with the SEC on January 13, 2020)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10.3*</w:t>
              </w:r>
            </w:hyperlink>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Letter Agreement, dated as of December 3, 2019, by and between NFE Management LLC and Yunyoung Shin</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31.1*</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93"/>
              </w:rPr>
              <w:t>Certification by Chief Executive Officer pursuant to Rule 13a-14(a) and 15d-14(a) of the Exchange Act Rules, as adopted pursuant to Section 302 of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31.2*</w:t>
              </w:r>
            </w:hyperlink>
          </w:p>
        </w:tc>
        <w:tc>
          <w:tcPr>
            <w:tcW w:w="10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w w:val="93"/>
              </w:rPr>
              <w:t>Certification by Chief Financial Officer pursuant to Rule 13a-14(a) and 15d-14(a) of the Exchange Act Rules, as adopted pursuant to Section 302 of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32.1**</w:t>
              </w:r>
            </w:hyperlink>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Certifications by Chief Executive Officer pursuant to Title 18 U.S.C. Section 1350, as adopted pursuant to Section 906 of Sarbanes-Oxley Act of 2002.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32.2**</w:t>
              </w:r>
            </w:hyperlink>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Certifications by Chief Financial Officer pursuant to Title 18 U.S.C. Section 1350, as adopted pursuant to Section 906 of Sarbanes-Oxley Act of 2002.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101.INS*</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101.SCH*</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Schema Document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101.CAL*</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Calculation Linkbase Document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101.LAB*</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Label Linkbase Document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101.PRE*</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Presentation Linkbase Document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0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101.DEF*</w:t>
            </w:r>
          </w:p>
        </w:tc>
        <w:tc>
          <w:tcPr>
            <w:tcW w:w="10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7"/>
        <w:spacing w:after="0"/>
        <w:rPr>
          <w:sz w:val="20"/>
          <w:szCs w:val="20"/>
          <w:color w:val="auto"/>
        </w:rPr>
      </w:pPr>
      <w:r>
        <w:rPr>
          <w:rFonts w:ascii="Arial" w:cs="Arial" w:eastAsia="Arial" w:hAnsi="Arial"/>
          <w:sz w:val="19"/>
          <w:szCs w:val="19"/>
          <w:color w:val="auto"/>
        </w:rPr>
        <w:t>* Filed as an exhibit to this Quarterly Report</w:t>
      </w:r>
    </w:p>
    <w:p>
      <w:pPr>
        <w:ind w:left="227" w:hanging="227"/>
        <w:spacing w:after="0" w:line="237" w:lineRule="auto"/>
        <w:tabs>
          <w:tab w:leader="none" w:pos="227" w:val="left"/>
        </w:tabs>
        <w:numPr>
          <w:ilvl w:val="0"/>
          <w:numId w:val="40"/>
        </w:numPr>
        <w:rPr>
          <w:rFonts w:ascii="Arial" w:cs="Arial" w:eastAsia="Arial" w:hAnsi="Arial"/>
          <w:sz w:val="19"/>
          <w:szCs w:val="19"/>
          <w:color w:val="auto"/>
        </w:rPr>
      </w:pPr>
      <w:r>
        <w:rPr>
          <w:rFonts w:ascii="Arial" w:cs="Arial" w:eastAsia="Arial" w:hAnsi="Arial"/>
          <w:sz w:val="19"/>
          <w:szCs w:val="19"/>
          <w:color w:val="auto"/>
        </w:rPr>
        <w:t>Furnished as an exhibit to this Quarterly Report</w:t>
      </w:r>
    </w:p>
    <w:p>
      <w:pPr>
        <w:ind w:left="7"/>
        <w:spacing w:after="0"/>
        <w:rPr>
          <w:rFonts w:ascii="Arial" w:cs="Arial" w:eastAsia="Arial" w:hAnsi="Arial"/>
          <w:sz w:val="19"/>
          <w:szCs w:val="19"/>
          <w:color w:val="auto"/>
        </w:rPr>
      </w:pPr>
      <w:r>
        <w:rPr>
          <w:rFonts w:ascii="Arial" w:cs="Arial" w:eastAsia="Arial" w:hAnsi="Arial"/>
          <w:sz w:val="19"/>
          <w:szCs w:val="19"/>
          <w:color w:val="auto"/>
        </w:rPr>
        <w:t>† Compensatory plan or arrangement</w:t>
      </w: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74" w:name="page75"/>
    <w:bookmarkEnd w:id="7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04" w:lineRule="exact"/>
        <w:rPr>
          <w:sz w:val="20"/>
          <w:szCs w:val="20"/>
          <w:color w:val="auto"/>
        </w:rPr>
      </w:pPr>
    </w:p>
    <w:p>
      <w:pPr>
        <w:ind w:firstLine="279"/>
        <w:spacing w:after="0" w:line="25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NEW FORTRESS ENERGY LLC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Date: May 5, 2020</w:t>
      </w:r>
    </w:p>
    <w:p>
      <w:pPr>
        <w:spacing w:after="0" w:line="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wp:posOffset>
            </wp:positionV>
            <wp:extent cx="321373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18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Wesley R. Edens</w:t>
      </w:r>
    </w:p>
    <w:p>
      <w:pPr>
        <w:spacing w:after="0" w:line="188" w:lineRule="exact"/>
        <w:rPr>
          <w:sz w:val="20"/>
          <w:szCs w:val="20"/>
          <w:color w:val="auto"/>
        </w:rPr>
      </w:pPr>
    </w:p>
    <w:p>
      <w:pPr>
        <w:jc w:val="center"/>
        <w:ind w:left="5620"/>
        <w:spacing w:after="0"/>
        <w:tabs>
          <w:tab w:leader="none" w:pos="2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 and Chairman</w:t>
      </w:r>
    </w:p>
    <w:p>
      <w:pPr>
        <w:spacing w:after="0" w:line="12" w:lineRule="exact"/>
        <w:rPr>
          <w:sz w:val="20"/>
          <w:szCs w:val="20"/>
          <w:color w:val="auto"/>
        </w:rPr>
      </w:pPr>
    </w:p>
    <w:p>
      <w:pPr>
        <w:jc w:val="center"/>
        <w:ind w:left="2920"/>
        <w:spacing w:after="0"/>
        <w:rPr>
          <w:sz w:val="20"/>
          <w:szCs w:val="20"/>
          <w:color w:val="auto"/>
        </w:rPr>
      </w:pPr>
      <w:r>
        <w:rPr>
          <w:rFonts w:ascii="Arial" w:cs="Arial" w:eastAsia="Arial" w:hAnsi="Arial"/>
          <w:sz w:val="16"/>
          <w:szCs w:val="16"/>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May 5, 2020</w:t>
      </w:r>
    </w:p>
    <w:p>
      <w:pPr>
        <w:spacing w:after="0" w:line="1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wp:posOffset>
            </wp:positionV>
            <wp:extent cx="321373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18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Christopher S. Guinta</w:t>
      </w:r>
    </w:p>
    <w:p>
      <w:pPr>
        <w:spacing w:after="0" w:line="18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w:t>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May 5, 2020</w:t>
      </w:r>
    </w:p>
    <w:p>
      <w:pPr>
        <w:spacing w:after="0" w:line="1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8890</wp:posOffset>
            </wp:positionV>
            <wp:extent cx="321373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19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Yunyoung Shin</w:t>
      </w:r>
    </w:p>
    <w:p>
      <w:pPr>
        <w:spacing w:after="0" w:line="18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Accounting Officer</w:t>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5137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51370" cy="29845"/>
                    </a:xfrm>
                    <a:prstGeom prst="rect">
                      <a:avLst/>
                    </a:prstGeom>
                    <a:noFill/>
                  </pic:spPr>
                </pic:pic>
              </a:graphicData>
            </a:graphic>
          </wp:anchor>
        </w:drawing>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1831975" cy="4876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831975" cy="487680"/>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 W. 19</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 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p>
      <w:pPr>
        <w:jc w:val="right"/>
        <w:spacing w:after="0"/>
        <w:rPr>
          <w:sz w:val="20"/>
          <w:szCs w:val="20"/>
          <w:color w:val="auto"/>
        </w:rPr>
      </w:pPr>
      <w:r>
        <w:rPr>
          <w:rFonts w:ascii="Arial" w:cs="Arial" w:eastAsia="Arial" w:hAnsi="Arial"/>
          <w:sz w:val="16"/>
          <w:szCs w:val="16"/>
          <w:color w:val="auto"/>
        </w:rPr>
        <w:t>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15137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December 3, 2019</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Yunyoung Shin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New York, NY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Dear Yunyoung:</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It is with great pleasure that we extend to you an offer to join NFE Management LLC (together with its affiliates, “NFE”), as set forth below. This letter is referred to as the “Letter Agreement”.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11"/>
          </w:tcPr>
          <w:p>
            <w:pPr>
              <w:spacing w:after="0"/>
              <w:rPr>
                <w:sz w:val="20"/>
                <w:szCs w:val="20"/>
                <w:color w:val="auto"/>
              </w:rPr>
            </w:pPr>
            <w:r>
              <w:rPr>
                <w:rFonts w:ascii="Arial" w:cs="Arial" w:eastAsia="Arial" w:hAnsi="Arial"/>
                <w:sz w:val="16"/>
                <w:szCs w:val="16"/>
                <w:color w:val="auto"/>
              </w:rPr>
              <w:t>Title:</w:t>
            </w: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Chief Accounting Officer. You will devote your full working time to NFE.</w:t>
            </w:r>
          </w:p>
        </w:tc>
      </w:tr>
      <w:tr>
        <w:trPr>
          <w:trHeight w:val="20"/>
        </w:trPr>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352"/>
        </w:trPr>
        <w:tc>
          <w:tcPr>
            <w:tcW w:w="1600" w:type="dxa"/>
            <w:vAlign w:val="bottom"/>
            <w:gridSpan w:val="11"/>
          </w:tcPr>
          <w:p>
            <w:pPr>
              <w:spacing w:after="0"/>
              <w:rPr>
                <w:sz w:val="20"/>
                <w:szCs w:val="20"/>
                <w:color w:val="auto"/>
              </w:rPr>
            </w:pPr>
            <w:r>
              <w:rPr>
                <w:rFonts w:ascii="Arial" w:cs="Arial" w:eastAsia="Arial" w:hAnsi="Arial"/>
                <w:sz w:val="16"/>
                <w:szCs w:val="16"/>
                <w:color w:val="auto"/>
              </w:rPr>
              <w:t>Start Date:</w:t>
            </w: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Your employment will commence on or about December 3, 2019 (the “Start Date”).</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352"/>
        </w:trPr>
        <w:tc>
          <w:tcPr>
            <w:tcW w:w="72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89"/>
              </w:rPr>
              <w:t>Location of</w:t>
            </w:r>
          </w:p>
        </w:tc>
        <w:tc>
          <w:tcPr>
            <w:tcW w:w="880" w:type="dxa"/>
            <w:vAlign w:val="bottom"/>
            <w:gridSpan w:val="4"/>
          </w:tcPr>
          <w:p>
            <w:pPr>
              <w:spacing w:after="0"/>
              <w:rPr>
                <w:sz w:val="24"/>
                <w:szCs w:val="24"/>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93"/>
              </w:rPr>
              <w:t>You will be an employee of NFE at its office in New York, NY. You understand and agree that you may be required to travel frequently in</w:t>
            </w:r>
          </w:p>
        </w:tc>
      </w:tr>
      <w:tr>
        <w:trPr>
          <w:trHeight w:val="166"/>
        </w:trPr>
        <w:tc>
          <w:tcPr>
            <w:tcW w:w="1600" w:type="dxa"/>
            <w:vAlign w:val="bottom"/>
            <w:gridSpan w:val="11"/>
          </w:tcPr>
          <w:p>
            <w:pPr>
              <w:spacing w:after="0" w:line="166" w:lineRule="exact"/>
              <w:rPr>
                <w:sz w:val="20"/>
                <w:szCs w:val="20"/>
                <w:color w:val="auto"/>
              </w:rPr>
            </w:pPr>
            <w:r>
              <w:rPr>
                <w:rFonts w:ascii="Arial" w:cs="Arial" w:eastAsia="Arial" w:hAnsi="Arial"/>
                <w:sz w:val="16"/>
                <w:szCs w:val="16"/>
                <w:color w:val="auto"/>
              </w:rPr>
              <w:t>Employment:</w:t>
            </w:r>
          </w:p>
        </w:tc>
        <w:tc>
          <w:tcPr>
            <w:tcW w:w="9680" w:type="dxa"/>
            <w:vAlign w:val="bottom"/>
            <w:gridSpan w:val="4"/>
          </w:tcPr>
          <w:p>
            <w:pPr>
              <w:ind w:left="660"/>
              <w:spacing w:after="0" w:line="166" w:lineRule="exact"/>
              <w:rPr>
                <w:sz w:val="20"/>
                <w:szCs w:val="20"/>
                <w:color w:val="auto"/>
              </w:rPr>
            </w:pPr>
            <w:r>
              <w:rPr>
                <w:rFonts w:ascii="Arial" w:cs="Arial" w:eastAsia="Arial" w:hAnsi="Arial"/>
                <w:sz w:val="16"/>
                <w:szCs w:val="16"/>
                <w:color w:val="auto"/>
              </w:rPr>
              <w:t>respect of your duties to NFE.</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352"/>
        </w:trPr>
        <w:tc>
          <w:tcPr>
            <w:tcW w:w="1600" w:type="dxa"/>
            <w:vAlign w:val="bottom"/>
            <w:gridSpan w:val="11"/>
          </w:tcPr>
          <w:p>
            <w:pPr>
              <w:spacing w:after="0"/>
              <w:rPr>
                <w:sz w:val="20"/>
                <w:szCs w:val="20"/>
                <w:color w:val="auto"/>
              </w:rPr>
            </w:pPr>
            <w:r>
              <w:rPr>
                <w:rFonts w:ascii="Arial" w:cs="Arial" w:eastAsia="Arial" w:hAnsi="Arial"/>
                <w:sz w:val="16"/>
                <w:szCs w:val="16"/>
                <w:color w:val="auto"/>
              </w:rPr>
              <w:t>Compensation:</w:t>
            </w: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88"/>
              </w:rPr>
              <w:t>Your base salary will be $200,000 per annum, payable in accordance with the regular payroll practices of NFE in effect from time to time. As an</w:t>
            </w:r>
          </w:p>
        </w:tc>
      </w:tr>
      <w:tr>
        <w:trPr>
          <w:trHeight w:val="190"/>
        </w:trPr>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92"/>
              </w:rPr>
              <w:t>exempt employee, your salary shall constitute your compensation for all hours worked each workweek, regardless of the number of hours</w:t>
            </w: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worked.</w:t>
            </w:r>
          </w:p>
        </w:tc>
      </w:tr>
      <w:tr>
        <w:trPr>
          <w:trHeight w:val="36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91"/>
              </w:rPr>
              <w:t>In addition, you are eligible to receive a discretionary annual bonus, as determined by NFE in its sole discretion.  The discretionary bonus (if</w:t>
            </w:r>
          </w:p>
        </w:tc>
      </w:tr>
      <w:tr>
        <w:trPr>
          <w:trHeight w:val="186"/>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89"/>
              </w:rPr>
              <w:t>any) will be paid to you no later than March 15 of the immediately subsequent calendar year so long as you are an active employee at, and not</w:t>
            </w: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have given or received notice of termination prior to, the time of the bonus payment.</w:t>
            </w:r>
          </w:p>
        </w:tc>
      </w:tr>
      <w:tr>
        <w:trPr>
          <w:trHeight w:val="338"/>
        </w:trPr>
        <w:tc>
          <w:tcPr>
            <w:tcW w:w="1600" w:type="dxa"/>
            <w:vAlign w:val="bottom"/>
            <w:gridSpan w:val="11"/>
          </w:tcPr>
          <w:p>
            <w:pPr>
              <w:spacing w:after="0"/>
              <w:rPr>
                <w:sz w:val="20"/>
                <w:szCs w:val="20"/>
                <w:color w:val="auto"/>
              </w:rPr>
            </w:pPr>
            <w:r>
              <w:rPr>
                <w:rFonts w:ascii="Arial" w:cs="Arial" w:eastAsia="Arial" w:hAnsi="Arial"/>
                <w:sz w:val="16"/>
                <w:szCs w:val="16"/>
                <w:color w:val="auto"/>
              </w:rPr>
              <w:t>Benefits:</w:t>
            </w: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91"/>
              </w:rPr>
              <w:t>You will be eligible to participate in any employee benefit plan that NFE provides for the benefit of its employees generally, as in effect from</w:t>
            </w:r>
          </w:p>
        </w:tc>
      </w:tr>
      <w:tr>
        <w:trPr>
          <w:trHeight w:val="201"/>
        </w:trPr>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time to time and subject to the applicable terms and conditions of the plans.</w:t>
            </w:r>
          </w:p>
        </w:tc>
      </w:tr>
      <w:tr>
        <w:trPr>
          <w:trHeight w:val="338"/>
        </w:trPr>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5"/>
              </w:rPr>
              <w:t>Work</w:t>
            </w:r>
          </w:p>
        </w:tc>
        <w:tc>
          <w:tcPr>
            <w:tcW w:w="1260" w:type="dxa"/>
            <w:vAlign w:val="bottom"/>
            <w:gridSpan w:val="9"/>
          </w:tcPr>
          <w:p>
            <w:pPr>
              <w:spacing w:after="0"/>
              <w:rPr>
                <w:sz w:val="24"/>
                <w:szCs w:val="24"/>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89"/>
              </w:rPr>
              <w:t>Employment with NFE is contingent upon your unrestricted authorization to work in the United States and providing documentation establishing</w:t>
            </w:r>
          </w:p>
        </w:tc>
      </w:tr>
      <w:tr>
        <w:trPr>
          <w:trHeight w:val="166"/>
        </w:trPr>
        <w:tc>
          <w:tcPr>
            <w:tcW w:w="1600" w:type="dxa"/>
            <w:vAlign w:val="bottom"/>
            <w:gridSpan w:val="11"/>
          </w:tcPr>
          <w:p>
            <w:pPr>
              <w:spacing w:after="0" w:line="166" w:lineRule="exact"/>
              <w:rPr>
                <w:sz w:val="20"/>
                <w:szCs w:val="20"/>
                <w:color w:val="auto"/>
              </w:rPr>
            </w:pPr>
            <w:r>
              <w:rPr>
                <w:rFonts w:ascii="Arial" w:cs="Arial" w:eastAsia="Arial" w:hAnsi="Arial"/>
                <w:sz w:val="16"/>
                <w:szCs w:val="16"/>
                <w:color w:val="auto"/>
              </w:rPr>
              <w:t>Authorization:</w:t>
            </w:r>
          </w:p>
        </w:tc>
        <w:tc>
          <w:tcPr>
            <w:tcW w:w="9680" w:type="dxa"/>
            <w:vAlign w:val="bottom"/>
            <w:gridSpan w:val="4"/>
          </w:tcPr>
          <w:p>
            <w:pPr>
              <w:ind w:left="660"/>
              <w:spacing w:after="0" w:line="166" w:lineRule="exact"/>
              <w:rPr>
                <w:sz w:val="20"/>
                <w:szCs w:val="20"/>
                <w:color w:val="auto"/>
              </w:rPr>
            </w:pPr>
            <w:r>
              <w:rPr>
                <w:rFonts w:ascii="Arial" w:cs="Arial" w:eastAsia="Arial" w:hAnsi="Arial"/>
                <w:sz w:val="16"/>
                <w:szCs w:val="16"/>
                <w:color w:val="auto"/>
              </w:rPr>
              <w:t>your identity and authority to work within the time period specified by law.</w:t>
            </w:r>
          </w:p>
        </w:tc>
      </w:tr>
      <w:tr>
        <w:trPr>
          <w:trHeight w:val="352"/>
        </w:trPr>
        <w:tc>
          <w:tcPr>
            <w:tcW w:w="860" w:type="dxa"/>
            <w:vAlign w:val="bottom"/>
            <w:tcBorders>
              <w:top w:val="single" w:sz="8" w:color="auto"/>
            </w:tcBorders>
            <w:gridSpan w:val="9"/>
          </w:tcPr>
          <w:p>
            <w:pPr>
              <w:spacing w:after="0"/>
              <w:rPr>
                <w:sz w:val="20"/>
                <w:szCs w:val="20"/>
                <w:color w:val="auto"/>
              </w:rPr>
            </w:pPr>
            <w:r>
              <w:rPr>
                <w:rFonts w:ascii="Arial" w:cs="Arial" w:eastAsia="Arial" w:hAnsi="Arial"/>
                <w:sz w:val="16"/>
                <w:szCs w:val="16"/>
                <w:color w:val="auto"/>
              </w:rPr>
              <w:t>Set-off:</w:t>
            </w:r>
          </w:p>
        </w:tc>
        <w:tc>
          <w:tcPr>
            <w:tcW w:w="740" w:type="dxa"/>
            <w:vAlign w:val="bottom"/>
            <w:gridSpan w:val="2"/>
          </w:tcPr>
          <w:p>
            <w:pPr>
              <w:spacing w:after="0"/>
              <w:rPr>
                <w:sz w:val="24"/>
                <w:szCs w:val="24"/>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89"/>
              </w:rPr>
              <w:t>You acknowledge and agree, without limiting NFE’s rights otherwise available at law or in equity, that, to the extent permitted by law, any or all</w:t>
            </w:r>
          </w:p>
        </w:tc>
      </w:tr>
      <w:tr>
        <w:trPr>
          <w:trHeight w:val="190"/>
        </w:trPr>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89"/>
              </w:rPr>
              <w:t>amounts payable to you by NFE or any of its affiliates may be set-off against any or all amounts or other consideration payable by you to NFE</w:t>
            </w:r>
          </w:p>
        </w:tc>
      </w:tr>
      <w:tr>
        <w:trPr>
          <w:trHeight w:val="162"/>
        </w:trPr>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80" w:type="dxa"/>
            <w:vAlign w:val="bottom"/>
            <w:gridSpan w:val="4"/>
          </w:tcPr>
          <w:p>
            <w:pPr>
              <w:ind w:left="660"/>
              <w:spacing w:after="0" w:line="162" w:lineRule="exact"/>
              <w:rPr>
                <w:sz w:val="20"/>
                <w:szCs w:val="20"/>
                <w:color w:val="auto"/>
              </w:rPr>
            </w:pPr>
            <w:r>
              <w:rPr>
                <w:rFonts w:ascii="Arial" w:cs="Arial" w:eastAsia="Arial" w:hAnsi="Arial"/>
                <w:sz w:val="16"/>
                <w:szCs w:val="16"/>
                <w:color w:val="auto"/>
                <w:w w:val="89"/>
              </w:rPr>
              <w:t>or any of its affiliates; provided that any such set-off does not result in a penalty under Section 409A of the Internal Revenue Code of 1986, as</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01"/>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rPr>
              <w:t>amended (“Section 409A”).</w:t>
            </w:r>
          </w:p>
        </w:tc>
      </w:tr>
      <w:tr>
        <w:trPr>
          <w:trHeight w:val="338"/>
        </w:trPr>
        <w:tc>
          <w:tcPr>
            <w:tcW w:w="1600" w:type="dxa"/>
            <w:vAlign w:val="bottom"/>
            <w:gridSpan w:val="11"/>
          </w:tcPr>
          <w:p>
            <w:pPr>
              <w:spacing w:after="0"/>
              <w:rPr>
                <w:sz w:val="20"/>
                <w:szCs w:val="20"/>
                <w:color w:val="auto"/>
              </w:rPr>
            </w:pPr>
            <w:r>
              <w:rPr>
                <w:rFonts w:ascii="Arial" w:cs="Arial" w:eastAsia="Arial" w:hAnsi="Arial"/>
                <w:sz w:val="16"/>
                <w:szCs w:val="16"/>
                <w:color w:val="auto"/>
              </w:rPr>
              <w:t>Policies and</w:t>
            </w:r>
          </w:p>
        </w:tc>
        <w:tc>
          <w:tcPr>
            <w:tcW w:w="9680" w:type="dxa"/>
            <w:vAlign w:val="bottom"/>
            <w:gridSpan w:val="4"/>
          </w:tcPr>
          <w:p>
            <w:pPr>
              <w:ind w:left="660"/>
              <w:spacing w:after="0"/>
              <w:rPr>
                <w:sz w:val="20"/>
                <w:szCs w:val="20"/>
                <w:color w:val="auto"/>
              </w:rPr>
            </w:pPr>
            <w:r>
              <w:rPr>
                <w:rFonts w:ascii="Arial" w:cs="Arial" w:eastAsia="Arial" w:hAnsi="Arial"/>
                <w:sz w:val="16"/>
                <w:szCs w:val="16"/>
                <w:color w:val="auto"/>
                <w:w w:val="92"/>
              </w:rPr>
              <w:t>You agree to comply fully with all NFE policies and procedures applicable to employees, as amended and implemented from time to time,</w:t>
            </w:r>
          </w:p>
        </w:tc>
      </w:tr>
      <w:tr>
        <w:trPr>
          <w:trHeight w:val="166"/>
        </w:trPr>
        <w:tc>
          <w:tcPr>
            <w:tcW w:w="800" w:type="dxa"/>
            <w:vAlign w:val="bottom"/>
            <w:tcBorders>
              <w:top w:val="single" w:sz="8" w:color="auto"/>
            </w:tcBorders>
            <w:gridSpan w:val="8"/>
          </w:tcPr>
          <w:p>
            <w:pPr>
              <w:spacing w:after="0" w:line="166" w:lineRule="exact"/>
              <w:rPr>
                <w:sz w:val="20"/>
                <w:szCs w:val="20"/>
                <w:color w:val="auto"/>
              </w:rPr>
            </w:pPr>
            <w:r>
              <w:rPr>
                <w:rFonts w:ascii="Arial" w:cs="Arial" w:eastAsia="Arial" w:hAnsi="Arial"/>
                <w:sz w:val="16"/>
                <w:szCs w:val="16"/>
                <w:color w:val="auto"/>
                <w:w w:val="88"/>
              </w:rPr>
              <w:t>Procedures:</w:t>
            </w:r>
          </w:p>
        </w:tc>
        <w:tc>
          <w:tcPr>
            <w:tcW w:w="800" w:type="dxa"/>
            <w:vAlign w:val="bottom"/>
            <w:gridSpan w:val="3"/>
          </w:tcPr>
          <w:p>
            <w:pPr>
              <w:spacing w:after="0"/>
              <w:rPr>
                <w:sz w:val="14"/>
                <w:szCs w:val="14"/>
                <w:color w:val="auto"/>
              </w:rPr>
            </w:pPr>
          </w:p>
        </w:tc>
        <w:tc>
          <w:tcPr>
            <w:tcW w:w="9680" w:type="dxa"/>
            <w:vAlign w:val="bottom"/>
            <w:gridSpan w:val="4"/>
          </w:tcPr>
          <w:p>
            <w:pPr>
              <w:ind w:left="660"/>
              <w:spacing w:after="0" w:line="166" w:lineRule="exact"/>
              <w:rPr>
                <w:sz w:val="20"/>
                <w:szCs w:val="20"/>
                <w:color w:val="auto"/>
              </w:rPr>
            </w:pPr>
            <w:r>
              <w:rPr>
                <w:rFonts w:ascii="Arial" w:cs="Arial" w:eastAsia="Arial" w:hAnsi="Arial"/>
                <w:sz w:val="16"/>
                <w:szCs w:val="16"/>
                <w:color w:val="auto"/>
              </w:rPr>
              <w:t>including, without limitation, tax, regulatory, and compliance procedures.</w:t>
            </w:r>
          </w:p>
        </w:tc>
      </w:tr>
      <w:tr>
        <w:trPr>
          <w:trHeight w:val="379"/>
        </w:trPr>
        <w:tc>
          <w:tcPr>
            <w:tcW w:w="2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40" w:type="dxa"/>
            <w:vAlign w:val="bottom"/>
            <w:tcBorders>
              <w:bottom w:val="single" w:sz="8" w:color="auto"/>
            </w:tcBorders>
          </w:tcPr>
          <w:p>
            <w:pPr>
              <w:ind w:left="6480"/>
              <w:spacing w:after="0"/>
              <w:rPr>
                <w:sz w:val="20"/>
                <w:szCs w:val="20"/>
                <w:color w:val="auto"/>
              </w:rPr>
            </w:pPr>
            <w:r>
              <w:rPr>
                <w:rFonts w:ascii="Arial" w:cs="Arial" w:eastAsia="Arial" w:hAnsi="Arial"/>
                <w:sz w:val="12"/>
                <w:szCs w:val="12"/>
                <w:color w:val="auto"/>
                <w:w w:val="87"/>
              </w:rPr>
              <w:t>Page 1 of 6</w:t>
            </w:r>
          </w:p>
        </w:tc>
        <w:tc>
          <w:tcPr>
            <w:tcW w:w="2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256"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Employment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5137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87"/>
              </w:rPr>
              <w:t>Employment</w:t>
            </w: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4"/>
              </w:rPr>
              <w:t>This Letter Agreement is not a contract of employment for any specific period of time, and subject to the notice provisions herein, your</w:t>
            </w:r>
          </w:p>
        </w:tc>
      </w:tr>
      <w:tr>
        <w:trPr>
          <w:trHeight w:val="166"/>
        </w:trPr>
        <w:tc>
          <w:tcPr>
            <w:tcW w:w="1540" w:type="dxa"/>
            <w:vAlign w:val="bottom"/>
            <w:gridSpan w:val="5"/>
          </w:tcPr>
          <w:p>
            <w:pPr>
              <w:spacing w:after="0" w:line="166" w:lineRule="exact"/>
              <w:rPr>
                <w:sz w:val="20"/>
                <w:szCs w:val="20"/>
                <w:color w:val="auto"/>
              </w:rPr>
            </w:pPr>
            <w:r>
              <w:rPr>
                <w:rFonts w:ascii="Arial" w:cs="Arial" w:eastAsia="Arial" w:hAnsi="Arial"/>
                <w:sz w:val="16"/>
                <w:szCs w:val="16"/>
                <w:color w:val="auto"/>
              </w:rPr>
              <w:t>Relationship:</w:t>
            </w:r>
          </w:p>
        </w:tc>
        <w:tc>
          <w:tcPr>
            <w:tcW w:w="9720" w:type="dxa"/>
            <w:vAlign w:val="bottom"/>
            <w:gridSpan w:val="2"/>
          </w:tcPr>
          <w:p>
            <w:pPr>
              <w:ind w:left="720"/>
              <w:spacing w:after="0" w:line="166" w:lineRule="exact"/>
              <w:rPr>
                <w:sz w:val="20"/>
                <w:szCs w:val="20"/>
                <w:color w:val="auto"/>
              </w:rPr>
            </w:pPr>
            <w:r>
              <w:rPr>
                <w:rFonts w:ascii="Arial" w:cs="Arial" w:eastAsia="Arial" w:hAnsi="Arial"/>
                <w:sz w:val="16"/>
                <w:szCs w:val="16"/>
                <w:color w:val="auto"/>
              </w:rPr>
              <w:t>employment is “at will” and may be terminated by you or by NFE at any time and for any reason or no reason.</w:t>
            </w:r>
          </w:p>
        </w:tc>
      </w:tr>
      <w:tr>
        <w:trPr>
          <w:trHeight w:val="377"/>
        </w:trPr>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1"/>
              </w:rPr>
              <w:t>You agree to provide NFE with at least thirty (30) days’ advance written notice of your resignation of employment (the “Notice Period”). NFE</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0"/>
              </w:rPr>
              <w:t>may, in its sole discretion, direct you to cease performing your duties, refrain from entering NFE’s offices, and/or restrict your access to NFE</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2"/>
              </w:rPr>
              <w:t>systems, trade secrets, and confidential information during all or part of the Notice Period.  NFE shall have the right at any time during the</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0"/>
              </w:rPr>
              <w:t>Notice Period to waive any or all of the applicable notice period without any further obligations to you, including but not limited to, making any</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payments to you in lieu of notice.</w:t>
            </w:r>
          </w:p>
        </w:tc>
      </w:tr>
      <w:tr>
        <w:trPr>
          <w:trHeight w:val="338"/>
        </w:trPr>
        <w:tc>
          <w:tcPr>
            <w:tcW w:w="1540" w:type="dxa"/>
            <w:vAlign w:val="bottom"/>
            <w:gridSpan w:val="5"/>
          </w:tcPr>
          <w:p>
            <w:pPr>
              <w:spacing w:after="0"/>
              <w:rPr>
                <w:sz w:val="20"/>
                <w:szCs w:val="20"/>
                <w:color w:val="auto"/>
              </w:rPr>
            </w:pPr>
            <w:r>
              <w:rPr>
                <w:rFonts w:ascii="Arial" w:cs="Arial" w:eastAsia="Arial" w:hAnsi="Arial"/>
                <w:sz w:val="16"/>
                <w:szCs w:val="16"/>
                <w:color w:val="auto"/>
              </w:rPr>
              <w:t>Protective</w:t>
            </w: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0"/>
              </w:rPr>
              <w:t>You shall not, directly or indirectly, without prior written consent of NFE, at any time during your employment hereunder (including any Notice</w:t>
            </w: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r>
      <w:tr>
        <w:trPr>
          <w:trHeight w:val="166"/>
        </w:trPr>
        <w:tc>
          <w:tcPr>
            <w:tcW w:w="1540" w:type="dxa"/>
            <w:vAlign w:val="bottom"/>
            <w:gridSpan w:val="5"/>
          </w:tcPr>
          <w:p>
            <w:pPr>
              <w:spacing w:after="0" w:line="166" w:lineRule="exact"/>
              <w:rPr>
                <w:sz w:val="20"/>
                <w:szCs w:val="20"/>
                <w:color w:val="auto"/>
              </w:rPr>
            </w:pPr>
            <w:r>
              <w:rPr>
                <w:rFonts w:ascii="Arial" w:cs="Arial" w:eastAsia="Arial" w:hAnsi="Arial"/>
                <w:sz w:val="16"/>
                <w:szCs w:val="16"/>
                <w:color w:val="auto"/>
              </w:rPr>
              <w:t>Covenants:</w:t>
            </w:r>
          </w:p>
        </w:tc>
        <w:tc>
          <w:tcPr>
            <w:tcW w:w="9720" w:type="dxa"/>
            <w:vAlign w:val="bottom"/>
            <w:gridSpan w:val="2"/>
          </w:tcPr>
          <w:p>
            <w:pPr>
              <w:ind w:left="720"/>
              <w:spacing w:after="0" w:line="166" w:lineRule="exact"/>
              <w:rPr>
                <w:sz w:val="20"/>
                <w:szCs w:val="20"/>
                <w:color w:val="auto"/>
              </w:rPr>
            </w:pPr>
            <w:r>
              <w:rPr>
                <w:rFonts w:ascii="Arial" w:cs="Arial" w:eastAsia="Arial" w:hAnsi="Arial"/>
                <w:sz w:val="16"/>
                <w:szCs w:val="16"/>
                <w:color w:val="auto"/>
                <w:w w:val="89"/>
              </w:rPr>
              <w:t>Period), provide consultative services to, own, manage, operate, join, control, participate in, be engaged in, employed by or be connected with,</w:t>
            </w:r>
          </w:p>
        </w:tc>
      </w:tr>
      <w:tr>
        <w:trPr>
          <w:trHeight w:val="190"/>
        </w:trPr>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89"/>
              </w:rPr>
              <w:t>any business, individual, partner, firm, corporation, or other entity that directly or indirectly competes with (any such action, individually, and in</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the aggregate, to “compete with”), any of NFE or its affiliates (the “NFE Group”).</w:t>
            </w: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1"/>
              </w:rPr>
              <w:t>You hereby agree that if you resign your employment or are terminated for Cause (as hereinafter defined), for twelve (12) months thereafter</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5"/>
              </w:rPr>
              <w:t>(which twelve (12) month period shall be inclusive of the Notice Period (as defined above)), you shall not directly or indirectly provide</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1"/>
              </w:rPr>
              <w:t>consultative services to, own, manage, operate, join, control, be employed by, participate in, or be connected with, any business, individual,</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partner, firm, corporation, or other entity that directly or indirectly competes with the business of the NFE Group.</w:t>
            </w: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1"/>
              </w:rPr>
              <w:t>You further agree that you shall not, directly or indirectly, for your benefit or for the benefit of any other person (including, without limitation,</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89"/>
              </w:rPr>
              <w:t>an individual or entity), or knowingly assist any other person to during your employment with NFE and for twelve (12) months thereafter, in any</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manner, directly or indirectly:</w:t>
            </w: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(a)</w:t>
            </w:r>
          </w:p>
        </w:tc>
        <w:tc>
          <w:tcPr>
            <w:tcW w:w="8080" w:type="dxa"/>
            <w:vAlign w:val="bottom"/>
          </w:tcPr>
          <w:p>
            <w:pPr>
              <w:jc w:val="right"/>
              <w:spacing w:after="0"/>
              <w:rPr>
                <w:sz w:val="20"/>
                <w:szCs w:val="20"/>
                <w:color w:val="auto"/>
              </w:rPr>
            </w:pPr>
            <w:r>
              <w:rPr>
                <w:rFonts w:ascii="Arial" w:cs="Arial" w:eastAsia="Arial" w:hAnsi="Arial"/>
                <w:sz w:val="16"/>
                <w:szCs w:val="16"/>
                <w:color w:val="auto"/>
                <w:w w:val="91"/>
              </w:rPr>
              <w:t>hire or solicit the employment or services of any person who provided services to NFE or any member of the NFE Group, as</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0"/>
              </w:rPr>
              <w:t>an employee, independent contractor or consultant at the time of the termination of your employment with NFE or within six (6) months prior</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ind w:left="720"/>
              <w:spacing w:after="0"/>
              <w:rPr>
                <w:sz w:val="20"/>
                <w:szCs w:val="20"/>
                <w:color w:val="auto"/>
              </w:rPr>
            </w:pPr>
            <w:r>
              <w:rPr>
                <w:rFonts w:ascii="Arial" w:cs="Arial" w:eastAsia="Arial" w:hAnsi="Arial"/>
                <w:sz w:val="16"/>
                <w:szCs w:val="16"/>
                <w:color w:val="auto"/>
              </w:rPr>
              <w:t>thereto;</w:t>
            </w:r>
          </w:p>
        </w:tc>
        <w:tc>
          <w:tcPr>
            <w:tcW w:w="8080" w:type="dxa"/>
            <w:vAlign w:val="bottom"/>
          </w:tcPr>
          <w:p>
            <w:pPr>
              <w:spacing w:after="0"/>
              <w:rPr>
                <w:sz w:val="17"/>
                <w:szCs w:val="17"/>
                <w:color w:val="auto"/>
              </w:rPr>
            </w:pP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(b)</w:t>
            </w:r>
          </w:p>
        </w:tc>
        <w:tc>
          <w:tcPr>
            <w:tcW w:w="8080" w:type="dxa"/>
            <w:vAlign w:val="bottom"/>
          </w:tcPr>
          <w:p>
            <w:pPr>
              <w:jc w:val="right"/>
              <w:spacing w:after="0"/>
              <w:rPr>
                <w:sz w:val="20"/>
                <w:szCs w:val="20"/>
                <w:color w:val="auto"/>
              </w:rPr>
            </w:pPr>
            <w:r>
              <w:rPr>
                <w:rFonts w:ascii="Arial" w:cs="Arial" w:eastAsia="Arial" w:hAnsi="Arial"/>
                <w:sz w:val="16"/>
                <w:szCs w:val="16"/>
                <w:color w:val="auto"/>
                <w:w w:val="93"/>
              </w:rPr>
              <w:t>solicit any person who is an employee of NFE or any member of the NFE Group to resign from NFE or any member of the</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NFE Group or to apply for or accept employment with any enterprise;</w:t>
            </w: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(c)</w:t>
            </w:r>
          </w:p>
        </w:tc>
        <w:tc>
          <w:tcPr>
            <w:tcW w:w="8080" w:type="dxa"/>
            <w:vAlign w:val="bottom"/>
          </w:tcPr>
          <w:p>
            <w:pPr>
              <w:jc w:val="right"/>
              <w:spacing w:after="0"/>
              <w:rPr>
                <w:sz w:val="20"/>
                <w:szCs w:val="20"/>
                <w:color w:val="auto"/>
              </w:rPr>
            </w:pPr>
            <w:r>
              <w:rPr>
                <w:rFonts w:ascii="Arial" w:cs="Arial" w:eastAsia="Arial" w:hAnsi="Arial"/>
                <w:sz w:val="16"/>
                <w:szCs w:val="16"/>
                <w:color w:val="auto"/>
                <w:w w:val="90"/>
              </w:rPr>
              <w:t>solicit or otherwise attempt to establish any business relationship (in connection with any business in competition with NFE or</w:t>
            </w:r>
          </w:p>
        </w:tc>
      </w:tr>
      <w:tr>
        <w:trPr>
          <w:trHeight w:val="186"/>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w w:val="96"/>
              </w:rPr>
              <w:t>any member of the NFE Group) with any limited partner, investor, person, firm, corporation or other entity that is, at the time of your</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termination of employment, or was a client, investor or business partner of NFE or any member of the NFE Group; or</w:t>
            </w:r>
          </w:p>
        </w:tc>
      </w:tr>
      <w:tr>
        <w:trPr>
          <w:trHeight w:val="36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(d)</w:t>
            </w:r>
          </w:p>
        </w:tc>
        <w:tc>
          <w:tcPr>
            <w:tcW w:w="8080" w:type="dxa"/>
            <w:vAlign w:val="bottom"/>
          </w:tcPr>
          <w:p>
            <w:pPr>
              <w:jc w:val="right"/>
              <w:spacing w:after="0"/>
              <w:rPr>
                <w:sz w:val="20"/>
                <w:szCs w:val="20"/>
                <w:color w:val="auto"/>
              </w:rPr>
            </w:pPr>
            <w:r>
              <w:rPr>
                <w:rFonts w:ascii="Arial" w:cs="Arial" w:eastAsia="Arial" w:hAnsi="Arial"/>
                <w:sz w:val="16"/>
                <w:szCs w:val="16"/>
                <w:color w:val="auto"/>
                <w:w w:val="91"/>
              </w:rPr>
              <w:t>interfere with or damage (or attempt to interfere with or damage) any relationship between NFE and any member of the NFE</w:t>
            </w:r>
          </w:p>
        </w:tc>
      </w:tr>
      <w:tr>
        <w:trPr>
          <w:trHeight w:val="196"/>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20" w:type="dxa"/>
            <w:vAlign w:val="bottom"/>
            <w:gridSpan w:val="2"/>
          </w:tcPr>
          <w:p>
            <w:pPr>
              <w:ind w:left="720"/>
              <w:spacing w:after="0"/>
              <w:rPr>
                <w:sz w:val="20"/>
                <w:szCs w:val="20"/>
                <w:color w:val="auto"/>
              </w:rPr>
            </w:pPr>
            <w:r>
              <w:rPr>
                <w:rFonts w:ascii="Arial" w:cs="Arial" w:eastAsia="Arial" w:hAnsi="Arial"/>
                <w:sz w:val="16"/>
                <w:szCs w:val="16"/>
                <w:color w:val="auto"/>
              </w:rPr>
              <w:t>Group and their respective clients, investors, business partners, or employees.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236855</wp:posOffset>
            </wp:positionV>
            <wp:extent cx="715137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Employment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5137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As a condition of employment, you must sign a confidentiality and proprietary rights agreement, in a form acceptable to NFE, and that</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1"/>
              </w:rPr>
              <w:t>agreement shall remain in full force and effect after it is executed and following termination of your employment for any reason with NFE or</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any of its affiliates. The obligations set forth in such agreement shall be considered “Protective Covenants” for purposes of this Letter</w:t>
            </w:r>
          </w:p>
        </w:tc>
      </w:tr>
      <w:tr>
        <w:trPr>
          <w:trHeight w:val="196"/>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rPr>
              <w:t>Agreement and are incorporated herein by reference.</w:t>
            </w:r>
          </w:p>
        </w:tc>
      </w:tr>
      <w:tr>
        <w:trPr>
          <w:trHeight w:val="362"/>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The provisions set forth above in (or incorporated into) this “Protective Covenants” section, together with the Notice Period above, are</w:t>
            </w:r>
          </w:p>
        </w:tc>
      </w:tr>
      <w:tr>
        <w:trPr>
          <w:trHeight w:val="196"/>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rPr>
              <w:t>collectively referred to in this Letter Agreement as the “Protective Covenants.”</w:t>
            </w:r>
          </w:p>
        </w:tc>
      </w:tr>
      <w:tr>
        <w:trPr>
          <w:trHeight w:val="362"/>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0"/>
              </w:rPr>
              <w:t>“Cause” means (i) your willful misconduct or gross negligence in the performance of your duties to NFE; (ii) your failure to perform your duties</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1"/>
              </w:rPr>
              <w:t>to NFE or to follow the lawful directives of the Board of Directors of NFE (the “Board”); (iii) your commission of, indictment for, conviction of,</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or pleading of guilty or nolo contendere to, a felony or any crime involving moral turpitude; (iv) your failure to cooperate in any audit or</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88"/>
              </w:rPr>
              <w:t>investigation of the business or financial practices of NFE; (v) your performance of any material act of theft, embezzlement, fraud, malfeasance,</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0"/>
              </w:rPr>
              <w:t>dishonesty or misappropriation of the property of NFE; (vi) your breach of any Protective Covenant set forth herein (or otherwise incorporated</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0"/>
              </w:rPr>
              <w:t>by reference herein); or (vii) your material breach of this Letter Agreement (excluding the Protective Covenants set forth herein (or otherwise</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1"/>
              </w:rPr>
              <w:t>incorporated by reference herein)) or any other agreement with NFE, including, without limitation, a violation of the code of conduct or other</w:t>
            </w:r>
          </w:p>
        </w:tc>
      </w:tr>
      <w:tr>
        <w:trPr>
          <w:trHeight w:val="162"/>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0" w:type="dxa"/>
            <w:vAlign w:val="bottom"/>
            <w:gridSpan w:val="6"/>
          </w:tcPr>
          <w:p>
            <w:pPr>
              <w:ind w:left="780"/>
              <w:spacing w:after="0" w:line="162" w:lineRule="exact"/>
              <w:rPr>
                <w:sz w:val="20"/>
                <w:szCs w:val="20"/>
                <w:color w:val="auto"/>
              </w:rPr>
            </w:pPr>
            <w:r>
              <w:rPr>
                <w:rFonts w:ascii="Arial" w:cs="Arial" w:eastAsia="Arial" w:hAnsi="Arial"/>
                <w:sz w:val="16"/>
                <w:szCs w:val="16"/>
                <w:color w:val="auto"/>
                <w:w w:val="89"/>
              </w:rPr>
              <w:t>written policy of such entity; provided, however, that discharge pursuant to this clause (vii) shall not constitute discharge for “Cause” unless you</w:t>
            </w:r>
          </w:p>
        </w:tc>
      </w:tr>
      <w:tr>
        <w:trPr>
          <w:trHeight w:val="20"/>
        </w:trPr>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190"/>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6"/>
              </w:rPr>
              <w:t>have received written notice from NFE stating the nature of such breach and affording you an opportunity to correct fully the act(s) or</w:t>
            </w:r>
          </w:p>
        </w:tc>
      </w:tr>
      <w:tr>
        <w:trPr>
          <w:trHeight w:val="196"/>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3"/>
              </w:rPr>
              <w:t>omission(s), if such a breach is capable of correction, described in such notice within ten (10) days following your receipt of such notice.</w:t>
            </w:r>
          </w:p>
        </w:tc>
      </w:tr>
      <w:tr>
        <w:trPr>
          <w:trHeight w:val="338"/>
        </w:trPr>
        <w:tc>
          <w:tcPr>
            <w:tcW w:w="1480" w:type="dxa"/>
            <w:vAlign w:val="bottom"/>
            <w:gridSpan w:val="2"/>
          </w:tcPr>
          <w:p>
            <w:pPr>
              <w:spacing w:after="0"/>
              <w:rPr>
                <w:sz w:val="20"/>
                <w:szCs w:val="20"/>
                <w:color w:val="auto"/>
              </w:rPr>
            </w:pPr>
            <w:r>
              <w:rPr>
                <w:rFonts w:ascii="Arial" w:cs="Arial" w:eastAsia="Arial" w:hAnsi="Arial"/>
                <w:sz w:val="16"/>
                <w:szCs w:val="16"/>
                <w:color w:val="auto"/>
              </w:rPr>
              <w:t>Arbitration:</w:t>
            </w: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The parties agree to resolve any controversy, dispute or claim arising out of or relating to your compensation, your employment or the</w:t>
            </w:r>
          </w:p>
        </w:tc>
      </w:tr>
      <w:tr>
        <w:trPr>
          <w:trHeight w:val="190"/>
        </w:trPr>
        <w:tc>
          <w:tcPr>
            <w:tcW w:w="68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2"/>
              </w:rPr>
              <w:t>termination thereof or the Letter Agreement or breach thereof (each, a “Dispute”) through good faith negotiation. To the extent any Dispute</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5"/>
              </w:rPr>
              <w:t>cannot be resolved by good faith negotiation, the parties agree to submit to binding arbitration administered by Judicial Arbitration and</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2"/>
              </w:rPr>
              <w:t>Mediation Services, Inc. (“JAMS”) or a successor organization, located in New York, NY by a single arbitrator pursuant to its Employment</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1"/>
              </w:rPr>
              <w:t>Arbitration Rules &amp; Procedures then in effect.  Except as otherwise authorized by applicable law, all awards of the arbitrator shall be binding</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0"/>
              </w:rPr>
              <w:t>and non-appealable. The arbitrator’s final award shall be made in writing and delivered to the parties within thirty (30) calendar days following</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87"/>
              </w:rPr>
              <w:t>the close of the hearing and shall provide a reasoned basis for the resolution of any Dispute and any relief provided. Judgment upon the award of</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89"/>
              </w:rPr>
              <w:t>the arbitrator may be entered in any court having jurisdiction. The arbitrator may grant injunctions or other relief. Notwithstanding anything else</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4"/>
              </w:rPr>
              <w:t>set forth herein, neither party shall be precluded from applying to a proper court for injunctive relief by reason of the prior or subsequent</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89"/>
              </w:rPr>
              <w:t>commencement of an arbitration proceeding as herein provided. The parties waive the right to (i) join or consolidate claims by other individuals</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3"/>
              </w:rPr>
              <w:t>or entities against the other party (including, but not limited to, by becoming a member of a class in a class action); or (ii) bring, maintain,</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2"/>
              </w:rPr>
              <w:t>participate in, receive money from, or arbitrate any claim as part of a class, representative, multi-plaintiff, or collective action. If, despite the</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4"/>
              </w:rPr>
              <w:t>parties’ express intent to proceed only in individual arbitration, a court nonetheless orders that a class, representative, multi-plaintiff, or</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89"/>
              </w:rPr>
              <w:t>collective action should proceed, it may proceed only in court. Any issue concerning the validity or enforceability of this waiver must be decided</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2"/>
              </w:rPr>
              <w:t>only by a court and an arbitrator shall have no authority to determine the validity or enforceability of this waiver. The parties agree that this</w:t>
            </w:r>
          </w:p>
        </w:tc>
      </w:tr>
      <w:tr>
        <w:trPr>
          <w:trHeight w:val="186"/>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w w:val="93"/>
              </w:rPr>
              <w:t>“Arbitration” section shall be governed by the Federal Arbitration Act, and that the arbitrator shall apply New York law to the merits of any</w:t>
            </w:r>
          </w:p>
        </w:tc>
      </w:tr>
      <w:tr>
        <w:trPr>
          <w:trHeight w:val="196"/>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0" w:type="dxa"/>
            <w:vAlign w:val="bottom"/>
            <w:gridSpan w:val="6"/>
          </w:tcPr>
          <w:p>
            <w:pPr>
              <w:ind w:left="780"/>
              <w:spacing w:after="0"/>
              <w:rPr>
                <w:sz w:val="20"/>
                <w:szCs w:val="20"/>
                <w:color w:val="auto"/>
              </w:rPr>
            </w:pPr>
            <w:r>
              <w:rPr>
                <w:rFonts w:ascii="Arial" w:cs="Arial" w:eastAsia="Arial" w:hAnsi="Arial"/>
                <w:sz w:val="16"/>
                <w:szCs w:val="16"/>
                <w:color w:val="auto"/>
              </w:rPr>
              <w:t>Dispute, without regard to conflicts of law principles.</w:t>
            </w:r>
          </w:p>
        </w:tc>
      </w:tr>
      <w:tr>
        <w:trPr>
          <w:trHeight w:val="376"/>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gridSpan w:val="2"/>
          </w:tcPr>
          <w:p>
            <w:pPr>
              <w:spacing w:after="0"/>
              <w:rPr>
                <w:sz w:val="24"/>
                <w:szCs w:val="24"/>
                <w:color w:val="auto"/>
              </w:rPr>
            </w:pPr>
          </w:p>
        </w:tc>
      </w:tr>
      <w:tr>
        <w:trPr>
          <w:trHeight w:val="178"/>
        </w:trPr>
        <w:tc>
          <w:tcPr>
            <w:tcW w:w="6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6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6020" w:type="dxa"/>
            <w:vAlign w:val="bottom"/>
            <w:tcBorders>
              <w:top w:val="single" w:sz="8" w:color="auto"/>
              <w:bottom w:val="single" w:sz="8" w:color="auto"/>
            </w:tcBorders>
          </w:tcPr>
          <w:p>
            <w:pPr>
              <w:ind w:left="5460"/>
              <w:spacing w:after="0"/>
              <w:rPr>
                <w:sz w:val="20"/>
                <w:szCs w:val="20"/>
                <w:color w:val="auto"/>
              </w:rPr>
            </w:pPr>
            <w:r>
              <w:rPr>
                <w:rFonts w:ascii="Arial" w:cs="Arial" w:eastAsia="Arial" w:hAnsi="Arial"/>
                <w:sz w:val="12"/>
                <w:szCs w:val="12"/>
                <w:color w:val="auto"/>
                <w:w w:val="87"/>
              </w:rPr>
              <w:t>Page 3 of 6</w:t>
            </w:r>
          </w:p>
        </w:tc>
        <w:tc>
          <w:tcPr>
            <w:tcW w:w="2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Employment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5137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gridSpan w:val="4"/>
          </w:tcPr>
          <w:p>
            <w:pPr>
              <w:spacing w:after="0"/>
              <w:rPr>
                <w:sz w:val="20"/>
                <w:szCs w:val="20"/>
                <w:color w:val="auto"/>
              </w:rPr>
            </w:pPr>
            <w:r>
              <w:rPr>
                <w:rFonts w:ascii="Arial" w:cs="Arial" w:eastAsia="Arial" w:hAnsi="Arial"/>
                <w:sz w:val="16"/>
                <w:szCs w:val="16"/>
                <w:color w:val="auto"/>
              </w:rPr>
              <w:t>Governing Law:</w:t>
            </w: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3"/>
              </w:rPr>
              <w:t>This Letter Agreement will be covered by and construed in accordance with the laws of New York, without regard to the conflicts of laws</w:t>
            </w:r>
          </w:p>
        </w:tc>
      </w:tr>
      <w:tr>
        <w:trPr>
          <w:trHeight w:val="190"/>
        </w:trPr>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4"/>
              </w:rPr>
              <w:t>provisions thereof. EXCEPT AS OTHERWISE PROVIDED ABOVE IN THE “ARBITRATION” SECTION, YOU HEREBY AGREE THAT</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4"/>
              </w:rPr>
              <w:t>EXCLUSIVE JURISDICTION WILL BE IN A COURT OF COMPETENT JURISDICTION IN NEW YORK, NY AND WAIVE OBJECTION</w:t>
            </w: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rPr>
              <w:t>TO THE JURISDICTION OR TO THE LAYING OF VENUE IN ANY SUCH COURT.</w:t>
            </w:r>
          </w:p>
        </w:tc>
      </w:tr>
      <w:tr>
        <w:trPr>
          <w:trHeight w:val="338"/>
        </w:trPr>
        <w:tc>
          <w:tcPr>
            <w:tcW w:w="1640" w:type="dxa"/>
            <w:vAlign w:val="bottom"/>
            <w:gridSpan w:val="4"/>
          </w:tcPr>
          <w:p>
            <w:pPr>
              <w:spacing w:after="0"/>
              <w:rPr>
                <w:sz w:val="20"/>
                <w:szCs w:val="20"/>
                <w:color w:val="auto"/>
              </w:rPr>
            </w:pPr>
            <w:r>
              <w:rPr>
                <w:rFonts w:ascii="Arial" w:cs="Arial" w:eastAsia="Arial" w:hAnsi="Arial"/>
                <w:sz w:val="16"/>
                <w:szCs w:val="16"/>
                <w:color w:val="auto"/>
              </w:rPr>
              <w:t>Section 409A:</w:t>
            </w: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7"/>
              </w:rPr>
              <w:t>The intent of the parties is that payments and benefits hereunder comply with Section 409A, to the extent subject thereto, and, accordingly, to the</w:t>
            </w:r>
          </w:p>
        </w:tc>
      </w:tr>
      <w:tr>
        <w:trPr>
          <w:trHeight w:val="190"/>
        </w:trPr>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4"/>
              </w:rPr>
              <w:t>maximum extent permitted, this Letter Agreement shall be interpreted and administered to be in compliance therewith. Notwithstanding</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9"/>
              </w:rPr>
              <w:t>anything contained herein to the contrary, to the extent required in order to avoid accelerated taxation and/or tax penalties under Section 409A,</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7"/>
              </w:rPr>
              <w:t>you shall not be considered to have terminated employment with NFE for purposes of this Letter Agreement, and no payment shall be due to you</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3"/>
              </w:rPr>
              <w:t>under this Letter Agreement, until you would be considered to have incurred a “separation from service” from NFE within the meaning of</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8"/>
              </w:rPr>
              <w:t>Section 409A. Each amount to be paid or benefit to be provided to you pursuant to this Letter Agreement that constitutes deferred compensation</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1"/>
              </w:rPr>
              <w:t>subject to Section 409A shall be construed as a separate identified payment for purposes of Section 409A. Notwithstanding anything to the</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9"/>
              </w:rPr>
              <w:t>contrary in this Letter Agreement, to the extent that any payments to be made upon your separation from service would result in the imposition</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8"/>
              </w:rPr>
              <w:t>of any individual penalty tax imposed under Section 409A, the payment shall instead be made on the first business day after the earlier of (i) the</w:t>
            </w: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rPr>
              <w:t>date that is six (6) months following such separation from service and (ii) your death.</w:t>
            </w:r>
          </w:p>
        </w:tc>
      </w:tr>
      <w:tr>
        <w:trPr>
          <w:trHeight w:val="338"/>
        </w:trPr>
        <w:tc>
          <w:tcPr>
            <w:tcW w:w="1640" w:type="dxa"/>
            <w:vAlign w:val="bottom"/>
            <w:gridSpan w:val="4"/>
          </w:tcPr>
          <w:p>
            <w:pPr>
              <w:spacing w:after="0"/>
              <w:rPr>
                <w:sz w:val="20"/>
                <w:szCs w:val="20"/>
                <w:color w:val="auto"/>
              </w:rPr>
            </w:pPr>
            <w:r>
              <w:rPr>
                <w:rFonts w:ascii="Arial" w:cs="Arial" w:eastAsia="Arial" w:hAnsi="Arial"/>
                <w:sz w:val="16"/>
                <w:szCs w:val="16"/>
                <w:color w:val="auto"/>
              </w:rPr>
              <w:t>Miscellaneous:</w:t>
            </w: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93"/>
              </w:rPr>
              <w:t>Notwithstanding the provisions referenced above in the “Arbitration” section, if you commit or are about to commit a breach of any of the</w:t>
            </w:r>
          </w:p>
        </w:tc>
      </w:tr>
      <w:tr>
        <w:trPr>
          <w:trHeight w:val="190"/>
        </w:trPr>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9"/>
              </w:rPr>
              <w:t>Protective Covenants, NFE shall have the right to have the provisions of this Letter Agreement specifically enforced by any court having equity</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9"/>
              </w:rPr>
              <w:t>jurisdiction without being required to post bond or other security and without having to prove the inadequacy of the available remedies at law, it</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7"/>
              </w:rPr>
              <w:t>being acknowledged and agreed that any such breach or threatened breach will cause irreparable injury to NFE and that money damages will not</w:t>
            </w:r>
          </w:p>
        </w:tc>
      </w:tr>
      <w:tr>
        <w:trPr>
          <w:trHeight w:val="186"/>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w w:val="89"/>
              </w:rPr>
              <w:t>provide an adequate remedy to NFE. NFE may also take all such other actions and remedies available to it under law or in equity and shall be</w:t>
            </w: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gridSpan w:val="2"/>
          </w:tcPr>
          <w:p>
            <w:pPr>
              <w:ind w:left="620"/>
              <w:spacing w:after="0"/>
              <w:rPr>
                <w:sz w:val="20"/>
                <w:szCs w:val="20"/>
                <w:color w:val="auto"/>
              </w:rPr>
            </w:pPr>
            <w:r>
              <w:rPr>
                <w:rFonts w:ascii="Arial" w:cs="Arial" w:eastAsia="Arial" w:hAnsi="Arial"/>
                <w:sz w:val="16"/>
                <w:szCs w:val="16"/>
                <w:color w:val="auto"/>
              </w:rPr>
              <w:t>entitled to such damages as it can show it has sustained by reason of such breach.</w:t>
            </w:r>
          </w:p>
        </w:tc>
      </w:tr>
      <w:tr>
        <w:trPr>
          <w:trHeight w:val="376"/>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40" w:type="dxa"/>
            <w:vAlign w:val="bottom"/>
            <w:gridSpan w:val="2"/>
          </w:tcPr>
          <w:p>
            <w:pPr>
              <w:spacing w:after="0"/>
              <w:rPr>
                <w:sz w:val="24"/>
                <w:szCs w:val="24"/>
                <w:color w:val="auto"/>
              </w:rPr>
            </w:pPr>
          </w:p>
        </w:tc>
      </w:tr>
      <w:tr>
        <w:trPr>
          <w:trHeight w:val="178"/>
        </w:trPr>
        <w:tc>
          <w:tcPr>
            <w:tcW w:w="8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9620" w:type="dxa"/>
            <w:vAlign w:val="bottom"/>
            <w:tcBorders>
              <w:top w:val="single" w:sz="8" w:color="auto"/>
              <w:bottom w:val="single" w:sz="8" w:color="auto"/>
            </w:tcBorders>
          </w:tcPr>
          <w:p>
            <w:pPr>
              <w:ind w:left="9060"/>
              <w:spacing w:after="0"/>
              <w:rPr>
                <w:sz w:val="20"/>
                <w:szCs w:val="20"/>
                <w:color w:val="auto"/>
              </w:rPr>
            </w:pPr>
            <w:r>
              <w:rPr>
                <w:rFonts w:ascii="Arial" w:cs="Arial" w:eastAsia="Arial" w:hAnsi="Arial"/>
                <w:sz w:val="12"/>
                <w:szCs w:val="12"/>
                <w:color w:val="auto"/>
                <w:w w:val="87"/>
              </w:rPr>
              <w:t>Page 4 of 6</w:t>
            </w:r>
          </w:p>
        </w:tc>
        <w:tc>
          <w:tcPr>
            <w:tcW w:w="2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Employment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5137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147" w:lineRule="exact"/>
        <w:rPr>
          <w:sz w:val="20"/>
          <w:szCs w:val="20"/>
          <w:color w:val="auto"/>
        </w:rPr>
      </w:pPr>
    </w:p>
    <w:p>
      <w:pPr>
        <w:jc w:val="both"/>
        <w:ind w:left="2260"/>
        <w:spacing w:after="0" w:line="287" w:lineRule="auto"/>
        <w:rPr>
          <w:sz w:val="20"/>
          <w:szCs w:val="20"/>
          <w:color w:val="auto"/>
        </w:rPr>
      </w:pPr>
      <w:r>
        <w:rPr>
          <w:rFonts w:ascii="Arial" w:cs="Arial" w:eastAsia="Arial" w:hAnsi="Arial"/>
          <w:sz w:val="14"/>
          <w:szCs w:val="14"/>
          <w:color w:val="auto"/>
        </w:rPr>
        <w:t>The parties acknowledge that: (i) the type and periods of restriction imposed in the Protective Covenants are fair and reasonable and are reasonably required to protect and maintain the proprietary interests of NFE or other legitimate business interests and the goodwill associated with the business of NFE; (ii) the time, scope, geographic area and other provisions of the Protective Covenants have been specifically negotiated by sophisticated commercial parties; and (iii) because of the nature of the business engaged in by NFE and the fact that investors can be and are serviced and investments can be and are made by NFE wherever they are located, it is impractical and unreasonable to place a geographic limitation on the agreements made by you. You acknowledge and agree that NFE has advised you to seek legal counsel.</w:t>
      </w:r>
    </w:p>
    <w:p>
      <w:pPr>
        <w:spacing w:after="0" w:line="148" w:lineRule="exact"/>
        <w:rPr>
          <w:sz w:val="20"/>
          <w:szCs w:val="20"/>
          <w:color w:val="auto"/>
        </w:rPr>
      </w:pPr>
    </w:p>
    <w:p>
      <w:pPr>
        <w:jc w:val="both"/>
        <w:ind w:left="2260" w:right="20"/>
        <w:spacing w:after="0" w:line="294" w:lineRule="auto"/>
        <w:rPr>
          <w:sz w:val="20"/>
          <w:szCs w:val="20"/>
          <w:color w:val="auto"/>
        </w:rPr>
      </w:pPr>
      <w:r>
        <w:rPr>
          <w:rFonts w:ascii="Arial" w:cs="Arial" w:eastAsia="Arial" w:hAnsi="Arial"/>
          <w:sz w:val="14"/>
          <w:szCs w:val="14"/>
          <w:color w:val="auto"/>
        </w:rPr>
        <w:t>If any covenant contained in the Protective Covenants, or any part thereof, is held to be unenforceable by reason of it extending for too great a period of time or over too great a geographic area or by reason of it being too extensive in any other respect, the parties agree such covenant shall be interpreted to extend only over the maximum period of time for which it may be enforceable and/or over the maximum geographic areas as to which it may be enforceable and/or over the maximum extent in all other respects as to which it may be enforceable.</w:t>
      </w:r>
    </w:p>
    <w:p>
      <w:pPr>
        <w:spacing w:after="0" w:line="142" w:lineRule="exact"/>
        <w:rPr>
          <w:sz w:val="20"/>
          <w:szCs w:val="20"/>
          <w:color w:val="auto"/>
        </w:rPr>
      </w:pPr>
    </w:p>
    <w:p>
      <w:pPr>
        <w:jc w:val="both"/>
        <w:ind w:left="2260" w:right="20"/>
        <w:spacing w:after="0" w:line="248" w:lineRule="auto"/>
        <w:rPr>
          <w:sz w:val="20"/>
          <w:szCs w:val="20"/>
          <w:color w:val="auto"/>
        </w:rPr>
      </w:pPr>
      <w:r>
        <w:rPr>
          <w:rFonts w:ascii="Arial" w:cs="Arial" w:eastAsia="Arial" w:hAnsi="Arial"/>
          <w:sz w:val="16"/>
          <w:szCs w:val="16"/>
          <w:color w:val="auto"/>
        </w:rPr>
        <w:t>The unenforceability of any Protective Covenant shall not affect the validity or enforceability of any other Protective Covenant or any other provision or provisions of this Letter Agreement. The temporal duration of the Protective Covenants shall not expire, and shall be tolled, during any period in which you are in violation of any Protective Covenant, and all such restrictions shall automatically be extended by the period of your violation of any such restrictions.</w:t>
      </w:r>
    </w:p>
    <w:p>
      <w:pPr>
        <w:spacing w:after="0" w:line="170" w:lineRule="exact"/>
        <w:rPr>
          <w:sz w:val="20"/>
          <w:szCs w:val="20"/>
          <w:color w:val="auto"/>
        </w:rPr>
      </w:pPr>
    </w:p>
    <w:p>
      <w:pPr>
        <w:jc w:val="both"/>
        <w:ind w:left="2260"/>
        <w:spacing w:after="0" w:line="246" w:lineRule="auto"/>
        <w:rPr>
          <w:sz w:val="20"/>
          <w:szCs w:val="20"/>
          <w:color w:val="auto"/>
        </w:rPr>
      </w:pPr>
      <w:r>
        <w:rPr>
          <w:rFonts w:ascii="Arial" w:cs="Arial" w:eastAsia="Arial" w:hAnsi="Arial"/>
          <w:sz w:val="16"/>
          <w:szCs w:val="16"/>
          <w:color w:val="auto"/>
        </w:rPr>
        <w:t>This Letter Agreement, and all of your rights and duties hereunder, shall not be assignable or delegable by you. Any purported assignment or delegation by you in violation of the foregoing shall be null and void and of no force and effect. This Letter Agreement may be assigned by NFE Management LLC to any affiliate thereof or to a person or entity which is an affiliate or successor in interest to all or substantially all of the business operations of NFE. Upon such assignment, the rights and obligations of NFE hereunder shall become the rights and obligations of such affiliate person or entity.</w:t>
      </w:r>
    </w:p>
    <w:p>
      <w:pPr>
        <w:spacing w:after="0" w:line="174" w:lineRule="exact"/>
        <w:rPr>
          <w:sz w:val="20"/>
          <w:szCs w:val="20"/>
          <w:color w:val="auto"/>
        </w:rPr>
      </w:pPr>
    </w:p>
    <w:p>
      <w:pPr>
        <w:jc w:val="both"/>
        <w:ind w:left="2260" w:right="20"/>
        <w:spacing w:after="0" w:line="284" w:lineRule="auto"/>
        <w:rPr>
          <w:sz w:val="20"/>
          <w:szCs w:val="20"/>
          <w:color w:val="auto"/>
        </w:rPr>
      </w:pPr>
      <w:r>
        <w:rPr>
          <w:rFonts w:ascii="Arial" w:cs="Arial" w:eastAsia="Arial" w:hAnsi="Arial"/>
          <w:sz w:val="14"/>
          <w:szCs w:val="14"/>
          <w:color w:val="auto"/>
        </w:rPr>
        <w:t>You shall provide reasonable cooperation in connection with any action or proceeding (or any appeal from any action or proceeding) which relates to events occurring during your employment. This provision shall survive any termination of this Letter Agreement.</w:t>
      </w:r>
    </w:p>
    <w:p>
      <w:pPr>
        <w:spacing w:after="0" w:line="1" w:lineRule="exact"/>
        <w:rPr>
          <w:sz w:val="20"/>
          <w:szCs w:val="20"/>
          <w:color w:val="auto"/>
        </w:rPr>
      </w:pPr>
    </w:p>
    <w:p>
      <w:pPr>
        <w:jc w:val="both"/>
        <w:ind w:left="2260"/>
        <w:spacing w:after="0" w:line="245" w:lineRule="auto"/>
        <w:rPr>
          <w:sz w:val="20"/>
          <w:szCs w:val="20"/>
          <w:color w:val="auto"/>
        </w:rPr>
      </w:pPr>
      <w:r>
        <w:rPr>
          <w:rFonts w:ascii="Arial" w:cs="Arial" w:eastAsia="Arial" w:hAnsi="Arial"/>
          <w:sz w:val="16"/>
          <w:szCs w:val="16"/>
          <w:color w:val="auto"/>
        </w:rPr>
        <w:t>NFE may withhold from any amounts and benefits due to you under this Letter Agreement such Federal, state, and local taxes as may be required or permitted to be withheld pursuant to any applicable law or regulation.</w:t>
      </w:r>
    </w:p>
    <w:p>
      <w:pPr>
        <w:spacing w:after="0" w:line="173" w:lineRule="exact"/>
        <w:rPr>
          <w:sz w:val="20"/>
          <w:szCs w:val="20"/>
          <w:color w:val="auto"/>
        </w:rPr>
      </w:pPr>
    </w:p>
    <w:p>
      <w:pPr>
        <w:jc w:val="both"/>
        <w:ind w:left="2260" w:right="20"/>
        <w:spacing w:after="0" w:line="286" w:lineRule="auto"/>
        <w:rPr>
          <w:sz w:val="20"/>
          <w:szCs w:val="20"/>
          <w:color w:val="auto"/>
        </w:rPr>
      </w:pPr>
      <w:r>
        <w:rPr>
          <w:rFonts w:ascii="Arial" w:cs="Arial" w:eastAsia="Arial" w:hAnsi="Arial"/>
          <w:sz w:val="14"/>
          <w:szCs w:val="14"/>
          <w:color w:val="auto"/>
        </w:rPr>
        <w:t>This Letter Agreement contains the entire understanding of the parties and may be modified only in a document signed by the parties and referring explicitly to this Letter Agreement. NFE’s affiliates are intended beneficiaries under this Letter Agreement. If any provision of this Letter Agreement is determined to be unenforceable, the remainder of this Letter Agreement shall not be adversely affected thereby. Moreover, if any one or more of the provisions contained in this Letter Agreement is held to be unenforceable, any such provision will be construed by limiting and reducing it so as to be enforceable to the maximum extent compatible with applicable law. In executing this Letter Agreement, you represent that you have not relied on any representation or statement not set forth herein, and you expressly disavow any reliance upon any such representations or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715137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Employment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5137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138"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If you agree with the terms of this Letter Agreement and accept this offer of employment, please sign and date this Letter Agreement in the space provided below and return a copy to Human Resources within seven (7) days of the date hereof to indicate your acceptance. We look forward to you joining the NFE team.</w:t>
      </w:r>
    </w:p>
    <w:p>
      <w:pPr>
        <w:spacing w:after="0" w:line="182" w:lineRule="exact"/>
        <w:rPr>
          <w:sz w:val="20"/>
          <w:szCs w:val="20"/>
          <w:color w:val="auto"/>
        </w:rPr>
      </w:pPr>
    </w:p>
    <w:p>
      <w:pPr>
        <w:jc w:val="both"/>
        <w:ind w:right="20"/>
        <w:spacing w:after="0" w:line="251" w:lineRule="auto"/>
        <w:rPr>
          <w:sz w:val="20"/>
          <w:szCs w:val="20"/>
          <w:color w:val="auto"/>
        </w:rPr>
      </w:pPr>
      <w:r>
        <w:rPr>
          <w:rFonts w:ascii="Arial" w:cs="Arial" w:eastAsia="Arial" w:hAnsi="Arial"/>
          <w:sz w:val="19"/>
          <w:szCs w:val="19"/>
          <w:color w:val="auto"/>
        </w:rPr>
        <w:t>This Letter Agreement may be signed in counterparts, each of which shall be deemed an original, with the same effect as if the signatures thereto and hereto were upon the same instrument.</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Sincerely,</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NFE MANAGEMENT LLC</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By: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AGREED AND ACCEPTED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252095</wp:posOffset>
            </wp:positionV>
            <wp:extent cx="179514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795145" cy="1460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5137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6 of 6</w:t>
      </w:r>
    </w:p>
    <w:p>
      <w:pPr>
        <w:sectPr>
          <w:pgSz w:w="11900" w:h="16838" w:orient="portrait"/>
          <w:cols w:equalWidth="0" w:num="1">
            <w:col w:w="11260"/>
          </w:cols>
          <w:pgMar w:left="320" w:top="129"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31.1</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CERTIFICATION OF CHIEF EXECUTIVE OFFICER</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RULE 13A-14(A) AND RULE 15D-14(A)</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9"/>
          <w:szCs w:val="19"/>
          <w:color w:val="auto"/>
        </w:rPr>
        <w:t>I, Wesley R. Edens, certify that:</w:t>
      </w:r>
    </w:p>
    <w:p>
      <w:pPr>
        <w:spacing w:after="0" w:line="209" w:lineRule="exact"/>
        <w:rPr>
          <w:sz w:val="20"/>
          <w:szCs w:val="20"/>
          <w:color w:val="auto"/>
        </w:rPr>
      </w:pPr>
    </w:p>
    <w:p>
      <w:pPr>
        <w:ind w:left="567" w:hanging="567"/>
        <w:spacing w:after="0"/>
        <w:tabs>
          <w:tab w:leader="none" w:pos="5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11" w:lineRule="exact"/>
        <w:rPr>
          <w:rFonts w:ascii="Arial" w:cs="Arial" w:eastAsia="Arial" w:hAnsi="Arial"/>
          <w:sz w:val="16"/>
          <w:szCs w:val="16"/>
          <w:color w:val="auto"/>
        </w:rPr>
      </w:pPr>
    </w:p>
    <w:p>
      <w:pPr>
        <w:ind w:left="567" w:right="100" w:hanging="567"/>
        <w:spacing w:after="0" w:line="329" w:lineRule="auto"/>
        <w:tabs>
          <w:tab w:leader="none" w:pos="5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4"/>
          <w:szCs w:val="14"/>
          <w:color w:val="auto"/>
        </w:rPr>
      </w:pPr>
    </w:p>
    <w:p>
      <w:pPr>
        <w:ind w:left="567" w:right="420" w:hanging="567"/>
        <w:spacing w:after="0" w:line="258" w:lineRule="auto"/>
        <w:tabs>
          <w:tab w:leader="none" w:pos="5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567" w:right="80" w:hanging="567"/>
        <w:spacing w:after="0" w:line="329" w:lineRule="auto"/>
        <w:tabs>
          <w:tab w:leader="none" w:pos="5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4"/>
          <w:szCs w:val="14"/>
          <w:color w:val="auto"/>
        </w:rPr>
      </w:pPr>
    </w:p>
    <w:p>
      <w:pPr>
        <w:jc w:val="both"/>
        <w:ind w:left="1127" w:right="100" w:hanging="568"/>
        <w:spacing w:after="0" w:line="250"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6"/>
          <w:szCs w:val="16"/>
          <w:color w:val="auto"/>
        </w:rPr>
      </w:pPr>
    </w:p>
    <w:p>
      <w:pPr>
        <w:ind w:left="1127" w:right="140" w:hanging="568"/>
        <w:spacing w:after="0" w:line="250"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6"/>
          <w:szCs w:val="16"/>
          <w:color w:val="auto"/>
        </w:rPr>
      </w:pPr>
    </w:p>
    <w:p>
      <w:pPr>
        <w:ind w:left="1127" w:right="540" w:hanging="568"/>
        <w:spacing w:after="0" w:line="329" w:lineRule="auto"/>
        <w:tabs>
          <w:tab w:leader="none" w:pos="1127" w:val="left"/>
        </w:tabs>
        <w:numPr>
          <w:ilvl w:val="1"/>
          <w:numId w:val="4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4"/>
          <w:szCs w:val="14"/>
          <w:color w:val="auto"/>
        </w:rPr>
      </w:pPr>
    </w:p>
    <w:p>
      <w:pPr>
        <w:ind w:left="1127" w:right="220" w:hanging="568"/>
        <w:spacing w:after="0" w:line="250"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6"/>
          <w:szCs w:val="16"/>
          <w:color w:val="auto"/>
        </w:rPr>
      </w:pPr>
    </w:p>
    <w:p>
      <w:pPr>
        <w:ind w:left="567" w:right="160" w:hanging="567"/>
        <w:spacing w:after="0" w:line="258" w:lineRule="auto"/>
        <w:tabs>
          <w:tab w:leader="none" w:pos="5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1127" w:right="80" w:hanging="568"/>
        <w:spacing w:after="0" w:line="258"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1127" w:right="340" w:hanging="568"/>
        <w:spacing w:after="0" w:line="258"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7"/>
        <w:spacing w:after="0"/>
        <w:tabs>
          <w:tab w:leader="none" w:pos="547" w:val="left"/>
          <w:tab w:leader="none" w:pos="5627" w:val="left"/>
          <w:tab w:leader="none" w:pos="6187"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8255</wp:posOffset>
            </wp:positionV>
            <wp:extent cx="179514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795145" cy="1460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Wesley R. Edens</w:t>
      </w:r>
    </w:p>
    <w:p>
      <w:pPr>
        <w:spacing w:after="0" w:line="12"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Chief Executive Officer</w:t>
      </w:r>
    </w:p>
    <w:p>
      <w:pPr>
        <w:spacing w:after="0" w:line="2"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5137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256"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31.2</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CERTIFICATION OF CHIEF FINANCIAL OFFICER</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RULE 13A-14(A) AND RULE 15D-14(A)</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9"/>
          <w:szCs w:val="19"/>
          <w:color w:val="auto"/>
        </w:rPr>
        <w:t>I, Christopher S. Guinta, certify that:</w:t>
      </w:r>
    </w:p>
    <w:p>
      <w:pPr>
        <w:spacing w:after="0" w:line="209" w:lineRule="exact"/>
        <w:rPr>
          <w:sz w:val="20"/>
          <w:szCs w:val="20"/>
          <w:color w:val="auto"/>
        </w:rPr>
      </w:pPr>
    </w:p>
    <w:p>
      <w:pPr>
        <w:ind w:left="567" w:hanging="567"/>
        <w:spacing w:after="0"/>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11" w:lineRule="exact"/>
        <w:rPr>
          <w:rFonts w:ascii="Arial" w:cs="Arial" w:eastAsia="Arial" w:hAnsi="Arial"/>
          <w:sz w:val="16"/>
          <w:szCs w:val="16"/>
          <w:color w:val="auto"/>
        </w:rPr>
      </w:pPr>
    </w:p>
    <w:p>
      <w:pPr>
        <w:ind w:left="567" w:right="100" w:hanging="567"/>
        <w:spacing w:after="0" w:line="329" w:lineRule="auto"/>
        <w:tabs>
          <w:tab w:leader="none" w:pos="5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4"/>
          <w:szCs w:val="14"/>
          <w:color w:val="auto"/>
        </w:rPr>
      </w:pPr>
    </w:p>
    <w:p>
      <w:pPr>
        <w:ind w:left="567" w:right="420" w:hanging="567"/>
        <w:spacing w:after="0" w:line="258" w:lineRule="auto"/>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567" w:right="80" w:hanging="567"/>
        <w:spacing w:after="0" w:line="329" w:lineRule="auto"/>
        <w:tabs>
          <w:tab w:leader="none" w:pos="5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4"/>
          <w:szCs w:val="14"/>
          <w:color w:val="auto"/>
        </w:rPr>
      </w:pPr>
    </w:p>
    <w:p>
      <w:pPr>
        <w:jc w:val="both"/>
        <w:ind w:left="1127" w:right="100" w:hanging="568"/>
        <w:spacing w:after="0" w:line="250"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6"/>
          <w:szCs w:val="16"/>
          <w:color w:val="auto"/>
        </w:rPr>
      </w:pPr>
    </w:p>
    <w:p>
      <w:pPr>
        <w:ind w:left="1127" w:right="140" w:hanging="568"/>
        <w:spacing w:after="0" w:line="250"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6"/>
          <w:szCs w:val="16"/>
          <w:color w:val="auto"/>
        </w:rPr>
      </w:pPr>
    </w:p>
    <w:p>
      <w:pPr>
        <w:ind w:left="1127" w:right="540" w:hanging="568"/>
        <w:spacing w:after="0" w:line="329" w:lineRule="auto"/>
        <w:tabs>
          <w:tab w:leader="none" w:pos="1127"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4"/>
          <w:szCs w:val="14"/>
          <w:color w:val="auto"/>
        </w:rPr>
      </w:pPr>
    </w:p>
    <w:p>
      <w:pPr>
        <w:ind w:left="1127" w:right="220" w:hanging="568"/>
        <w:spacing w:after="0" w:line="250"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6"/>
          <w:szCs w:val="16"/>
          <w:color w:val="auto"/>
        </w:rPr>
      </w:pPr>
    </w:p>
    <w:p>
      <w:pPr>
        <w:ind w:left="567" w:right="160" w:hanging="567"/>
        <w:spacing w:after="0" w:line="258" w:lineRule="auto"/>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1127" w:right="80" w:hanging="568"/>
        <w:spacing w:after="0" w:line="258"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1127" w:right="340" w:hanging="568"/>
        <w:spacing w:after="0" w:line="258"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7"/>
        <w:spacing w:after="0"/>
        <w:tabs>
          <w:tab w:leader="none" w:pos="547" w:val="left"/>
          <w:tab w:leader="none" w:pos="5627" w:val="left"/>
          <w:tab w:leader="none" w:pos="6187"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8255</wp:posOffset>
            </wp:positionV>
            <wp:extent cx="179514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795145" cy="1460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Christopher S. Guinta</w:t>
      </w:r>
    </w:p>
    <w:p>
      <w:pPr>
        <w:spacing w:after="0" w:line="12"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Chief Financial Officer</w:t>
      </w:r>
    </w:p>
    <w:p>
      <w:pPr>
        <w:spacing w:after="0" w:line="2" w:lineRule="exact"/>
        <w:rPr>
          <w:sz w:val="20"/>
          <w:szCs w:val="20"/>
          <w:color w:val="auto"/>
        </w:rPr>
      </w:pPr>
    </w:p>
    <w:p>
      <w:pPr>
        <w:ind w:left="6207"/>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5137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256"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8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connection with the Quarterly Report on Form 10-Q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73" w:lineRule="exact"/>
        <w:rPr>
          <w:sz w:val="20"/>
          <w:szCs w:val="20"/>
          <w:color w:val="auto"/>
        </w:rPr>
      </w:pPr>
    </w:p>
    <w:p>
      <w:pPr>
        <w:ind w:left="1120" w:hanging="568"/>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spacing w:after="0"/>
              <w:rPr>
                <w:sz w:val="20"/>
                <w:szCs w:val="20"/>
                <w:color w:val="auto"/>
              </w:rPr>
            </w:pPr>
            <w:r>
              <w:rPr>
                <w:rFonts w:ascii="Arial" w:cs="Arial" w:eastAsia="Arial" w:hAnsi="Arial"/>
                <w:sz w:val="16"/>
                <w:szCs w:val="16"/>
                <w:color w:val="auto"/>
              </w:rPr>
              <w:t>May 5, 2020</w:t>
            </w:r>
          </w:p>
        </w:tc>
        <w:tc>
          <w:tcPr>
            <w:tcW w:w="2620" w:type="dxa"/>
            <w:vAlign w:val="bottom"/>
          </w:tcPr>
          <w:p>
            <w:pPr>
              <w:ind w:left="2240"/>
              <w:spacing w:after="0"/>
              <w:rPr>
                <w:sz w:val="20"/>
                <w:szCs w:val="20"/>
                <w:color w:val="auto"/>
              </w:rPr>
            </w:pPr>
            <w:r>
              <w:rPr>
                <w:rFonts w:ascii="Arial" w:cs="Arial" w:eastAsia="Arial" w:hAnsi="Arial"/>
                <w:sz w:val="16"/>
                <w:szCs w:val="16"/>
                <w:color w:val="auto"/>
              </w:rPr>
              <w:t>By:</w:t>
            </w: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/s/ Wesley R. Edens</w:t>
            </w:r>
          </w:p>
        </w:tc>
      </w:tr>
      <w:tr>
        <w:trPr>
          <w:trHeight w:val="176"/>
        </w:trPr>
        <w:tc>
          <w:tcPr>
            <w:tcW w:w="56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Wesley R. Edens</w:t>
            </w:r>
          </w:p>
        </w:tc>
      </w:tr>
      <w:tr>
        <w:trPr>
          <w:trHeight w:val="186"/>
        </w:trPr>
        <w:tc>
          <w:tcPr>
            <w:tcW w:w="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Chief Executive Officer</w:t>
            </w:r>
          </w:p>
        </w:tc>
      </w:tr>
      <w:tr>
        <w:trPr>
          <w:trHeight w:val="196"/>
        </w:trPr>
        <w:tc>
          <w:tcPr>
            <w:tcW w:w="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(Principal Executive Officer)</w:t>
            </w:r>
          </w:p>
        </w:tc>
      </w:tr>
      <w:tr>
        <w:trPr>
          <w:trHeight w:val="516"/>
        </w:trPr>
        <w:tc>
          <w:tcPr>
            <w:tcW w:w="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6"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FINANCIAL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84" w:lineRule="exact"/>
        <w:rPr>
          <w:sz w:val="20"/>
          <w:szCs w:val="20"/>
          <w:color w:val="auto"/>
        </w:rPr>
      </w:pPr>
    </w:p>
    <w:p>
      <w:pPr>
        <w:ind w:right="40"/>
        <w:spacing w:after="0"/>
        <w:rPr>
          <w:sz w:val="20"/>
          <w:szCs w:val="20"/>
          <w:color w:val="auto"/>
        </w:rPr>
      </w:pPr>
      <w:r>
        <w:rPr>
          <w:rFonts w:ascii="Arial" w:cs="Arial" w:eastAsia="Arial" w:hAnsi="Arial"/>
          <w:sz w:val="19"/>
          <w:szCs w:val="19"/>
          <w:color w:val="auto"/>
        </w:rPr>
        <w:t>In connection with the Quarterly Report on Form 10-Q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91" w:lineRule="exact"/>
        <w:rPr>
          <w:sz w:val="20"/>
          <w:szCs w:val="20"/>
          <w:color w:val="auto"/>
        </w:rPr>
      </w:pPr>
    </w:p>
    <w:p>
      <w:pPr>
        <w:ind w:left="1120" w:hanging="56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spacing w:after="0"/>
              <w:rPr>
                <w:sz w:val="20"/>
                <w:szCs w:val="20"/>
                <w:color w:val="auto"/>
              </w:rPr>
            </w:pPr>
            <w:r>
              <w:rPr>
                <w:rFonts w:ascii="Arial" w:cs="Arial" w:eastAsia="Arial" w:hAnsi="Arial"/>
                <w:sz w:val="16"/>
                <w:szCs w:val="16"/>
                <w:color w:val="auto"/>
              </w:rPr>
              <w:t>May 5, 2020</w:t>
            </w:r>
          </w:p>
        </w:tc>
        <w:tc>
          <w:tcPr>
            <w:tcW w:w="2620" w:type="dxa"/>
            <w:vAlign w:val="bottom"/>
          </w:tcPr>
          <w:p>
            <w:pPr>
              <w:ind w:left="2240"/>
              <w:spacing w:after="0"/>
              <w:rPr>
                <w:sz w:val="20"/>
                <w:szCs w:val="20"/>
                <w:color w:val="auto"/>
              </w:rPr>
            </w:pPr>
            <w:r>
              <w:rPr>
                <w:rFonts w:ascii="Arial" w:cs="Arial" w:eastAsia="Arial" w:hAnsi="Arial"/>
                <w:sz w:val="16"/>
                <w:szCs w:val="16"/>
                <w:color w:val="auto"/>
              </w:rPr>
              <w:t>By:</w:t>
            </w: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/s/ Christopher S. Guinta</w:t>
            </w:r>
          </w:p>
        </w:tc>
      </w:tr>
      <w:tr>
        <w:trPr>
          <w:trHeight w:val="176"/>
        </w:trPr>
        <w:tc>
          <w:tcPr>
            <w:tcW w:w="56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Christopher S. Guinta</w:t>
            </w:r>
          </w:p>
        </w:tc>
      </w:tr>
      <w:tr>
        <w:trPr>
          <w:trHeight w:val="186"/>
        </w:trPr>
        <w:tc>
          <w:tcPr>
            <w:tcW w:w="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Chief Financial Officer</w:t>
            </w:r>
          </w:p>
        </w:tc>
      </w:tr>
      <w:tr>
        <w:trPr>
          <w:trHeight w:val="196"/>
        </w:trPr>
        <w:tc>
          <w:tcPr>
            <w:tcW w:w="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40" w:type="dxa"/>
            <w:vAlign w:val="bottom"/>
            <w:gridSpan w:val="2"/>
          </w:tcPr>
          <w:p>
            <w:pPr>
              <w:ind w:left="180"/>
              <w:spacing w:after="0"/>
              <w:rPr>
                <w:sz w:val="20"/>
                <w:szCs w:val="20"/>
                <w:color w:val="auto"/>
              </w:rPr>
            </w:pPr>
            <w:r>
              <w:rPr>
                <w:rFonts w:ascii="Arial" w:cs="Arial" w:eastAsia="Arial" w:hAnsi="Arial"/>
                <w:sz w:val="16"/>
                <w:szCs w:val="16"/>
                <w:color w:val="auto"/>
              </w:rPr>
              <w:t>(Principal Financial Officer)</w:t>
            </w:r>
          </w:p>
        </w:tc>
      </w:tr>
      <w:tr>
        <w:trPr>
          <w:trHeight w:val="516"/>
        </w:trPr>
        <w:tc>
          <w:tcPr>
            <w:tcW w:w="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25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7"/>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jpe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87" Type="http://schemas.openxmlformats.org/officeDocument/2006/relationships/hyperlink" Target="http://www.sec.gov/Archives/edgar/data/1749723/000114036118042889/s002392x7_ex3-1.htm" TargetMode="External"/><Relationship Id="rId88" Type="http://schemas.openxmlformats.org/officeDocument/2006/relationships/hyperlink" Target="http://www.sec.gov/Archives/edgar/data/1749723/000114036118042889/s002392x7_ex3-2.htm" TargetMode="External"/><Relationship Id="rId89" Type="http://schemas.openxmlformats.org/officeDocument/2006/relationships/hyperlink" Target="http://www.sec.gov/Archives/edgar/data/1749723/000114036119002493/s002392x20_ex3-1.htm" TargetMode="External"/><Relationship Id="rId90" Type="http://schemas.openxmlformats.org/officeDocument/2006/relationships/hyperlink" Target="http://www.sec.gov/Archives/edgar/data/1749723/000114036120000659/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2020-05-06T05:11:19Z</dcterms:created>
  <dcterms:modified xsi:type="dcterms:W3CDTF">2020-05-06T05:11:19Z</dcterms:modified>
</cp:coreProperties>
</file>