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CURRENT REPORT</w:t>
      </w: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7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September 30, 2024</w:t>
      </w:r>
    </w:p>
    <w:p>
      <w:pPr>
        <w:spacing w:after="0" w:line="16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4"/>
          <w:szCs w:val="34"/>
          <w:b w:val="1"/>
          <w:bCs w:val="1"/>
          <w:color w:val="auto"/>
        </w:rPr>
        <w:t>New Fortress Energy Inc.</w:t>
      </w:r>
    </w:p>
    <w:p>
      <w:pPr>
        <w:spacing w:after="0" w:line="4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060"/>
          </w:cols>
          <w:pgMar w:left="300" w:top="839" w:right="539" w:bottom="1440" w:gutter="0" w:footer="0" w:header="0"/>
        </w:sectPr>
      </w:pPr>
    </w:p>
    <w:p>
      <w:pPr>
        <w:spacing w:after="0" w:line="214"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3"/>
          <w:szCs w:val="13"/>
          <w:b w:val="1"/>
          <w:bCs w:val="1"/>
          <w:color w:val="auto"/>
        </w:rPr>
        <w:t>001-38790</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83-1482060</w:t>
      </w:r>
    </w:p>
    <w:p>
      <w:pPr>
        <w:spacing w:after="0" w:line="40" w:lineRule="exact"/>
        <w:rPr>
          <w:sz w:val="24"/>
          <w:szCs w:val="24"/>
          <w:color w:val="auto"/>
        </w:rPr>
      </w:pPr>
    </w:p>
    <w:p>
      <w:pPr>
        <w:sectPr>
          <w:pgSz w:w="11900" w:h="16838" w:orient="portrait"/>
          <w:cols w:equalWidth="0" w:num="3">
            <w:col w:w="4740" w:space="720"/>
            <w:col w:w="2800" w:space="720"/>
            <w:col w:w="2080"/>
          </w:cols>
          <w:pgMar w:left="300" w:top="839" w:right="53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1"/>
          <w:szCs w:val="1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4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200" w:lineRule="exact"/>
        <w:rPr>
          <w:sz w:val="24"/>
          <w:szCs w:val="24"/>
          <w:color w:val="auto"/>
        </w:rPr>
      </w:pPr>
    </w:p>
    <w:p>
      <w:pPr>
        <w:sectPr>
          <w:pgSz w:w="11900" w:h="16838" w:orient="portrait"/>
          <w:cols w:equalWidth="0" w:num="3">
            <w:col w:w="4420" w:space="720"/>
            <w:col w:w="2680" w:space="720"/>
            <w:col w:w="2520"/>
          </w:cols>
          <w:pgMar w:left="300" w:top="839" w:right="539" w:bottom="1440" w:gutter="0" w:footer="0" w:header="0"/>
          <w:type w:val="continuous"/>
        </w:sectPr>
      </w:pPr>
    </w:p>
    <w:p>
      <w:pPr>
        <w:spacing w:after="0" w:line="130"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3"/>
          <w:szCs w:val="13"/>
          <w:b w:val="1"/>
          <w:bCs w:val="1"/>
          <w:color w:val="auto"/>
        </w:rPr>
        <w:t>111 W. 19th Street, 8th Floor</w:t>
      </w:r>
    </w:p>
    <w:p>
      <w:pPr>
        <w:spacing w:after="0" w:line="28"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New York, NY</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10011</w:t>
      </w:r>
    </w:p>
    <w:p>
      <w:pPr>
        <w:spacing w:after="0" w:line="53" w:lineRule="exact"/>
        <w:rPr>
          <w:sz w:val="24"/>
          <w:szCs w:val="24"/>
          <w:color w:val="auto"/>
        </w:rPr>
      </w:pPr>
    </w:p>
    <w:p>
      <w:pPr>
        <w:sectPr>
          <w:pgSz w:w="11900" w:h="16838" w:orient="portrait"/>
          <w:cols w:equalWidth="0" w:num="2">
            <w:col w:w="8380" w:space="720"/>
            <w:col w:w="1960"/>
          </w:cols>
          <w:pgMar w:left="300" w:top="839" w:right="539" w:bottom="1440" w:gutter="0" w:footer="0" w:header="0"/>
          <w:type w:val="continuous"/>
        </w:sectPr>
      </w:pPr>
    </w:p>
    <w:p>
      <w:pPr>
        <w:ind w:left="24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9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(516) 268-7400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452" w:lineRule="exact"/>
        <w:rPr>
          <w:sz w:val="24"/>
          <w:szCs w:val="24"/>
          <w:color w:val="auto"/>
        </w:rPr>
      </w:pPr>
    </w:p>
    <w:p>
      <w:pPr>
        <w:sectPr>
          <w:pgSz w:w="11900" w:h="16838" w:orient="portrait"/>
          <w:cols w:equalWidth="0" w:num="2">
            <w:col w:w="8240" w:space="720"/>
            <w:col w:w="2100"/>
          </w:cols>
          <w:pgMar w:left="300" w:top="839" w:right="539" w:bottom="1440" w:gutter="0" w:footer="0" w:header="0"/>
          <w:type w:val="continuous"/>
        </w:sectPr>
      </w:pP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32" w:lineRule="exact"/>
        <w:rPr>
          <w:sz w:val="24"/>
          <w:szCs w:val="2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5"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83" w:lineRule="exact"/>
        <w:rPr>
          <w:sz w:val="24"/>
          <w:szCs w:val="24"/>
          <w:color w:val="auto"/>
        </w:rPr>
      </w:pPr>
    </w:p>
    <w:tbl>
      <w:tblPr>
        <w:tblLayout w:type="fixed"/>
        <w:tblInd w:w="26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520" w:type="dxa"/>
            <w:vAlign w:val="bottom"/>
          </w:tcPr>
          <w:p>
            <w:pPr>
              <w:spacing w:after="0"/>
              <w:rPr>
                <w:sz w:val="16"/>
                <w:szCs w:val="16"/>
                <w:color w:val="auto"/>
              </w:rPr>
            </w:pPr>
          </w:p>
        </w:tc>
      </w:tr>
      <w:tr>
        <w:trPr>
          <w:trHeight w:val="552"/>
        </w:trPr>
        <w:tc>
          <w:tcPr>
            <w:tcW w:w="10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1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3"/>
        </w:trPr>
        <w:tc>
          <w:tcPr>
            <w:tcW w:w="10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“NFE”</w:t>
            </w:r>
          </w:p>
        </w:tc>
        <w:tc>
          <w:tcPr>
            <w:tcW w:w="2080" w:type="dxa"/>
            <w:vAlign w:val="bottom"/>
          </w:tcPr>
          <w:p>
            <w:pPr>
              <w:spacing w:after="0"/>
              <w:rPr>
                <w:sz w:val="18"/>
                <w:szCs w:val="18"/>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r>
        <w:trPr>
          <w:trHeight w:val="191"/>
        </w:trPr>
        <w:tc>
          <w:tcPr>
            <w:tcW w:w="33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Class A Common Stock, par value $0.01 per share</w:t>
            </w: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520" w:type="dxa"/>
            <w:vAlign w:val="bottom"/>
          </w:tcPr>
          <w:p>
            <w:pPr>
              <w:spacing w:after="0"/>
              <w:rPr>
                <w:sz w:val="16"/>
                <w:szCs w:val="16"/>
                <w:color w:val="auto"/>
              </w:rPr>
            </w:pPr>
          </w:p>
        </w:tc>
      </w:tr>
    </w:tbl>
    <w:p>
      <w:pPr>
        <w:spacing w:after="0" w:line="262" w:lineRule="exact"/>
        <w:rPr>
          <w:sz w:val="24"/>
          <w:szCs w:val="24"/>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6" w:lineRule="exact"/>
        <w:rPr>
          <w:sz w:val="24"/>
          <w:szCs w:val="24"/>
          <w:color w:val="auto"/>
        </w:rPr>
      </w:pPr>
    </w:p>
    <w:p>
      <w:pPr>
        <w:ind w:left="160" w:hanging="155"/>
        <w:spacing w:after="0"/>
        <w:tabs>
          <w:tab w:leader="none" w:pos="1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Emerging growth company</w:t>
      </w:r>
    </w:p>
    <w:p>
      <w:pPr>
        <w:spacing w:after="0" w:line="189" w:lineRule="exact"/>
        <w:rPr>
          <w:sz w:val="24"/>
          <w:szCs w:val="24"/>
          <w:color w:val="auto"/>
        </w:rPr>
      </w:pPr>
    </w:p>
    <w:p>
      <w:pPr>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431800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839" w:right="5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1.01. Entry into a Material Definitive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Agreement Amendments</w:t>
      </w:r>
    </w:p>
    <w:p>
      <w:pPr>
        <w:spacing w:after="0" w:line="191" w:lineRule="exact"/>
        <w:rPr>
          <w:sz w:val="20"/>
          <w:szCs w:val="20"/>
          <w:color w:val="auto"/>
        </w:rPr>
      </w:pPr>
    </w:p>
    <w:p>
      <w:pPr>
        <w:jc w:val="both"/>
        <w:ind w:firstLine="509"/>
        <w:spacing w:after="0" w:line="217" w:lineRule="auto"/>
        <w:rPr>
          <w:sz w:val="20"/>
          <w:szCs w:val="20"/>
          <w:color w:val="auto"/>
        </w:rPr>
      </w:pPr>
      <w:r>
        <w:rPr>
          <w:rFonts w:ascii="Times New Roman" w:cs="Times New Roman" w:eastAsia="Times New Roman" w:hAnsi="Times New Roman"/>
          <w:sz w:val="14"/>
          <w:szCs w:val="14"/>
          <w:color w:val="auto"/>
        </w:rPr>
        <w:t>As previously disclosed, on August 31, 2024, New Fortress Energy Inc. (the “Company,” “we,” “us” and “our”) entered into the fourth amendment to its uncommitted letter of credit and reimbursement agreement (the “Fourth Amendment”), the first amendment to its term loan A credit agreement (the “First Amendment”), and the eighth amendment (the “Eighth Amendment”; and collectively with the Fourth Amendment and the First Amendment, the “Amendments”) to its revolving credit agreement (the “Revolving Credit Agreement”). On September 30, 2024, the Company amended and restated each of the Amendments (each such amendment and restatement, an “Amended and Restated Amendment”; the revolving credit facility, the term loan A facility, and the letter of credit facility, as amended by the respective Amended and Restated Amendments, the “Revolving Credit Facility,” the “Term Loan A Facility” and the “Letter of Credit Facility” and collectively, the “Amended Agreements”).</w:t>
      </w:r>
    </w:p>
    <w:p>
      <w:pPr>
        <w:spacing w:after="0" w:line="145"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4"/>
          <w:szCs w:val="14"/>
          <w:color w:val="auto"/>
        </w:rPr>
        <w:t>The Amended Agreements amend and restate the conditions applicable to the suspension of the maximum Debt to Total Capitalization Ratio (as defined in the Amended Agreements) for the quarterly covenant tests conducted as of the last day of the fiscal quarters ending September 30, 2024, December 31, 2024 and March 31, 2025. Among the conditions to the suspension in the Amended Agreements, the following must be completed on or before October 7, 2024: (i) the receipt by the Company or its subsidiaries of binding commitments or priced transactions yielding gross proceeds (a) sufficient to satisfy and discharge the Company’s existing 6.750% Senior Notes due 2025 (the “Existing 2025 Notes”) or exchange, repay, repurchase (and cancel), redeem, defease, satisfy or otherwise discharge in full the Existing 2025 Notes plus at least $300.0 million from indebtedness or other sources not prohibited by such agreements, (ii) the sale by the Company of common equity (or preferred equity convertible into common equity upon a shareholder vote) yielding gross cash proceeds to the Company of not less than $250.0 million (the “Equity Raise”) and</w:t>
      </w:r>
    </w:p>
    <w:p>
      <w:pPr>
        <w:spacing w:after="0" w:line="1" w:lineRule="exact"/>
        <w:rPr>
          <w:sz w:val="20"/>
          <w:szCs w:val="20"/>
          <w:color w:val="auto"/>
        </w:rPr>
      </w:pPr>
    </w:p>
    <w:p>
      <w:pPr>
        <w:jc w:val="both"/>
        <w:ind w:firstLine="5"/>
        <w:spacing w:after="0" w:line="236" w:lineRule="auto"/>
        <w:tabs>
          <w:tab w:leader="none" w:pos="25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of a 0.30% consent fee to the lenders under such facilities as well as other customary fees and expenses. If the Company fails to meet such conditions, the suspension will be no longer be in effect. The Amended Agreements also contain a financial covenant that requires a minimum consolidated liquidity of (i) $50.0 million as of the last day of each month, commencing as of October 31, 2024 and (ii) $100.0 million as of the last day of any fiscal quarter, commencing as of December 31, 2024. New borrowings under the Revolving Credit Facility and borrowings under the Term Loan A Facility are subject to the $100 million liquidity test. Additionally, the Term Loan A Facility is capped at $350.0 million in aggregate principal amount outstanding until December 31, 2024 and there can be no drawings on either the Revolving Credit Facility or the Term Loan A Facility until the conditions for the covenant holiday are satisfied.</w:t>
      </w:r>
    </w:p>
    <w:p>
      <w:pPr>
        <w:spacing w:after="0" w:line="169"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4"/>
          <w:szCs w:val="14"/>
          <w:color w:val="auto"/>
        </w:rPr>
        <w:t>The Company estimates that it has available cash and liquidity of approximately $80 million as of September 30, 2024. The Company took certain measures to improve its liquidity including, among other things, reductions in expected capital expenditures in the quarter ended September 30, 2024, the decision by the Company to delay the payment of the Dividend (as defined below), and agreements with vendors to make payments in future quarters. This estimate reflects our preliminary estimated unaudited liquidity based upon information available to us as of the date hereof. During the course of the preparation of our financial statements and related notes as of and for the quarter ended September 30, 2024, adjustments to our estimated liquidity may be identified. Any such adjustments may be material.</w:t>
      </w:r>
    </w:p>
    <w:p>
      <w:pPr>
        <w:spacing w:after="0" w:line="165"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4"/>
          <w:szCs w:val="14"/>
          <w:color w:val="auto"/>
        </w:rPr>
        <w:t>The Amended Agreements, among other things, prohibit the Company from declaring any future Dividends on their common stock (though the Company is permitted to pay the Dividend), incurring liens on certain collateral, engaging in affiliate transactions involving certain collateral and consummating asset sales involving certain collateral. The Amended Agreements increase the level of consent necessary for the Company to take certain actions. Additionally, the Company will be required to make mandatory prepayments with a portion of proceeds of certain asset sales and a $659 million request for equitable adjustment related to the early termination of our FEMA contracts in order to pay down a portion of the indebtedness under its Revolving Credit Agreement and, in the case of certain asset sales, reduce the revolving commitments.</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will also grant a security interest in its cash and cash equivalents subject to standard exclusions and is required to put control agreements in place over its cash accounts</w:t>
      </w:r>
      <w:r>
        <w:rPr>
          <w:rFonts w:ascii="Times New Roman" w:cs="Times New Roman" w:eastAsia="Times New Roman" w:hAnsi="Times New Roman"/>
          <w:sz w:val="14"/>
          <w:szCs w:val="14"/>
          <w:i w:val="1"/>
          <w:iCs w:val="1"/>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8.01. Other Events.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w:t>
      </w:r>
    </w:p>
    <w:p>
      <w:pPr>
        <w:spacing w:after="0" w:line="191" w:lineRule="exact"/>
        <w:rPr>
          <w:sz w:val="20"/>
          <w:szCs w:val="20"/>
          <w:color w:val="auto"/>
        </w:rPr>
      </w:pPr>
    </w:p>
    <w:p>
      <w:pPr>
        <w:ind w:right="200" w:firstLine="382"/>
        <w:spacing w:after="0" w:line="248" w:lineRule="auto"/>
        <w:rPr>
          <w:sz w:val="20"/>
          <w:szCs w:val="20"/>
          <w:color w:val="auto"/>
        </w:rPr>
      </w:pPr>
      <w:r>
        <w:rPr>
          <w:rFonts w:ascii="Times New Roman" w:cs="Times New Roman" w:eastAsia="Times New Roman" w:hAnsi="Times New Roman"/>
          <w:sz w:val="14"/>
          <w:szCs w:val="14"/>
          <w:color w:val="auto"/>
        </w:rPr>
        <w:t>On September 30, 2024, the Company issued a press release announcing that it had determined to delay the payment of the Company’s previously declared $0.10 per share Class A common stock dividend, with a record date of September 13, 2024 (the “Dividend”) until such time as the Company has reached an agreement with its noteholders to address the Company’s near-term maturities and liquidity requirements. The Company expects to reach an agreement with its noteholders in the near future, after which the Company will reevaluate the payment of the Dividend, including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443230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color w:val="auto"/>
        </w:rPr>
        <w:t>respect to its amount and the timing of any potential payment. Furthermore, the Company does not expect to pay any quarterly cash dividends in future quarters.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 copy of the press release is attached hereto as Exhibit 99.1 and is incorporated into this Item 8.01 by reference.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First FLNG Cargo</w:t>
      </w:r>
    </w:p>
    <w:p>
      <w:pPr>
        <w:spacing w:after="0" w:line="1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On September 30, 2024, NFE’s FLNG asset achieved first full cargo and sail away, with its first full LNG cargo fully loaded onto the Energos Princess and setting sail for Europe.</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i w:val="1"/>
          <w:iCs w:val="1"/>
          <w:color w:val="auto"/>
        </w:rPr>
        <w:t>Securities Class Action</w:t>
      </w:r>
    </w:p>
    <w:p>
      <w:pPr>
        <w:spacing w:after="0" w:line="189" w:lineRule="exact"/>
        <w:rPr>
          <w:sz w:val="20"/>
          <w:szCs w:val="20"/>
          <w:color w:val="auto"/>
        </w:rPr>
      </w:pPr>
    </w:p>
    <w:p>
      <w:pPr>
        <w:ind w:firstLine="387"/>
        <w:spacing w:after="0" w:line="241" w:lineRule="auto"/>
        <w:rPr>
          <w:sz w:val="20"/>
          <w:szCs w:val="20"/>
          <w:color w:val="auto"/>
        </w:rPr>
      </w:pPr>
      <w:r>
        <w:rPr>
          <w:rFonts w:ascii="Times New Roman" w:cs="Times New Roman" w:eastAsia="Times New Roman" w:hAnsi="Times New Roman"/>
          <w:sz w:val="14"/>
          <w:szCs w:val="14"/>
          <w:color w:val="auto"/>
        </w:rPr>
        <w:t xml:space="preserve">On September 17, 2024, Mikolaj Bojdol (the “Plaintiff”) filed a putative class action complaint captioned </w:t>
      </w:r>
      <w:r>
        <w:rPr>
          <w:rFonts w:ascii="Times New Roman" w:cs="Times New Roman" w:eastAsia="Times New Roman" w:hAnsi="Times New Roman"/>
          <w:sz w:val="14"/>
          <w:szCs w:val="14"/>
          <w:i w:val="1"/>
          <w:iCs w:val="1"/>
          <w:color w:val="auto"/>
        </w:rPr>
        <w:t>Mikolaj Bojdol, et al. v. New Fortress Energy Inc., et al.</w:t>
      </w:r>
      <w:r>
        <w:rPr>
          <w:rFonts w:ascii="Times New Roman" w:cs="Times New Roman" w:eastAsia="Times New Roman" w:hAnsi="Times New Roman"/>
          <w:sz w:val="14"/>
          <w:szCs w:val="14"/>
          <w:color w:val="auto"/>
        </w:rPr>
        <w:t>, in the United States District Court for the Southern District of New York against the Company and certain of the Company’s directors and officers. The complaint alleges that the Company and certain of the Company’s directors and officers violated federal securities laws by, among other things, making materially false or misleading statements regarding the Company’s growth trends, including the execution on the Company’s fast liquified natural gas (“Fast LNG”) projects in Mexico. The complaint seeks unspecified compensatory damages on behalf of the Plaintiff and all other investors who purchased or otherwise acquired shares of the Company’s Class A common stock between February 29, 2024 and August 8, 2024. The Company believes these claims are without merit and intend to defend ourselves vigorously against these allegations.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91"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This report contains certain statements and information that may constitute “forward-looking statements” within the meaning of the Private Securities Litigation Reform Act of 1995. All statements contained in this communication other than historical information are forward-looking statements that involve known and unknown risks and relate to future events, the Company’s future financial performance or the Company’s projected business results. You can identify these forward-looking statements by the use of forward-looking words such as “expects,” “may,” “will,” “approximately,” “predicts,” “intends,” “plans,” “estimates,” “anticipates,” or the negative version of those words or other comparable words. It is uncertain whether any of the events anticipated by the forward-looking statements will transpire or occur, or if any of them do, what impact they will have on the results of operations and financial condition or the stock prices of the Company. These forward-looking statements represent the Company’s expectations or beliefs concerning future events, and it is possible that the results described herein will not be achieved. These forward-looking statements are necessarily estimates based upon current information and are subject to risks, uncertainties and other factors, many of which are outside of the Company’s control, that could cause actual results to differ materially from the results discussed in the forward-looking statements. 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Company’s annual report, quarterly and other reports filed with the SEC, which could cause its actual results to differ materially from those contained in any forward-looking statement. The Company undertakes no duty to update these forward-looking statements, even though its situation may change in the future.</w:t>
      </w:r>
    </w:p>
    <w:p>
      <w:pPr>
        <w:spacing w:after="0" w:line="17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20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000" w:type="dxa"/>
            <w:vAlign w:val="bottom"/>
          </w:tcPr>
          <w:p>
            <w:pPr>
              <w:jc w:val="center"/>
              <w:ind w:right="2489"/>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60" w:type="dxa"/>
            <w:vAlign w:val="bottom"/>
            <w:vMerge w:val="restart"/>
          </w:tcPr>
          <w:p>
            <w:pPr>
              <w:ind w:left="256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86"/>
        </w:trPr>
        <w:tc>
          <w:tcPr>
            <w:tcW w:w="3000" w:type="dxa"/>
            <w:vAlign w:val="bottom"/>
          </w:tcPr>
          <w:p>
            <w:pPr>
              <w:jc w:val="center"/>
              <w:ind w:right="2489"/>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8" w:lineRule="exact"/>
        <w:rPr>
          <w:sz w:val="20"/>
          <w:szCs w:val="20"/>
          <w:color w:val="auto"/>
        </w:rPr>
      </w:pPr>
    </w:p>
    <w:p>
      <w:pPr>
        <w:ind w:left="320"/>
        <w:spacing w:after="0"/>
        <w:tabs>
          <w:tab w:leader="none" w:pos="960" w:val="left"/>
        </w:tabs>
        <w:rPr>
          <w:sz w:val="20"/>
          <w:szCs w:val="20"/>
          <w:color w:val="auto"/>
        </w:rPr>
      </w:pPr>
      <w:r>
        <w:rPr>
          <w:rFonts w:ascii="Times New Roman" w:cs="Times New Roman" w:eastAsia="Times New Roman" w:hAnsi="Times New Roman"/>
          <w:sz w:val="14"/>
          <w:szCs w:val="14"/>
          <w:u w:val="single" w:color="auto"/>
          <w:color w:val="auto"/>
        </w:rPr>
        <w:t>99.1</w:t>
      </w:r>
      <w:r>
        <w:rPr>
          <w:sz w:val="20"/>
          <w:szCs w:val="20"/>
          <w:color w:val="auto"/>
        </w:rPr>
        <w:tab/>
      </w:r>
      <w:r>
        <w:rPr>
          <w:rFonts w:ascii="Times New Roman" w:cs="Times New Roman" w:eastAsia="Times New Roman" w:hAnsi="Times New Roman"/>
          <w:sz w:val="14"/>
          <w:szCs w:val="14"/>
          <w:color w:val="auto"/>
        </w:rPr>
        <w:t>Press Release, dated September 30, 2024.</w:t>
      </w:r>
    </w:p>
    <w:p>
      <w:pPr>
        <w:spacing w:after="0" w:line="41" w:lineRule="exact"/>
        <w:rPr>
          <w:sz w:val="20"/>
          <w:szCs w:val="20"/>
          <w:color w:val="auto"/>
        </w:rPr>
      </w:pPr>
    </w:p>
    <w:p>
      <w:pPr>
        <w:ind w:left="320"/>
        <w:spacing w:after="0"/>
        <w:tabs>
          <w:tab w:leader="none" w:pos="96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635635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NEW FORTRESS ENERGY INC.</w:t>
            </w:r>
          </w:p>
        </w:tc>
      </w:tr>
      <w:tr>
        <w:trPr>
          <w:trHeight w:val="213"/>
        </w:trPr>
        <w:tc>
          <w:tcPr>
            <w:tcW w:w="5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03"/>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Date: September 30, 2024</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 Christopher S. Guinta</w:t>
            </w:r>
          </w:p>
        </w:tc>
      </w:tr>
      <w:tr>
        <w:trPr>
          <w:trHeight w:val="191"/>
        </w:trPr>
        <w:tc>
          <w:tcPr>
            <w:tcW w:w="526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Christopher S. Guinta</w:t>
            </w:r>
          </w:p>
        </w:tc>
      </w:tr>
      <w:tr>
        <w:trPr>
          <w:trHeight w:val="202"/>
        </w:trPr>
        <w:tc>
          <w:tcPr>
            <w:tcW w:w="526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60"/>
          </w:cols>
          <w:pgMar w:left="300" w:top="759" w:right="3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40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2024-09-30T16:49:20Z</dcterms:created>
  <dcterms:modified xsi:type="dcterms:W3CDTF">2024-09-30T16:49:20Z</dcterms:modified>
</cp:coreProperties>
</file>