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13D/A</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6)</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644393 100</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2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Wesley R. Edens</w:t>
      </w:r>
    </w:p>
    <w:p>
      <w:pPr>
        <w:jc w:val="center"/>
        <w:ind w:right="-19"/>
        <w:spacing w:after="0" w:line="214" w:lineRule="auto"/>
        <w:rPr>
          <w:sz w:val="20"/>
          <w:szCs w:val="20"/>
          <w:color w:val="auto"/>
        </w:rPr>
      </w:pPr>
      <w:r>
        <w:rPr>
          <w:rFonts w:ascii="Times New Roman" w:cs="Times New Roman" w:eastAsia="Times New Roman" w:hAnsi="Times New Roman"/>
          <w:sz w:val="22"/>
          <w:szCs w:val="22"/>
          <w:b w:val="1"/>
          <w:bCs w:val="1"/>
          <w:color w:val="auto"/>
        </w:rPr>
        <w:t>111 W. 19</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22"/>
          <w:szCs w:val="22"/>
          <w:b w:val="1"/>
          <w:bCs w:val="1"/>
          <w:color w:val="auto"/>
        </w:rPr>
        <w:t xml:space="preserve"> St., 8</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22"/>
          <w:szCs w:val="22"/>
          <w:b w:val="1"/>
          <w:bCs w:val="1"/>
          <w:color w:val="auto"/>
        </w:rPr>
        <w:t xml:space="preserve"> Floor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New York, NY 10011</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 Address and Telephone Number of Person</w:t>
      </w:r>
    </w:p>
    <w:p>
      <w:pPr>
        <w:spacing w:after="0" w:line="28"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October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20" w:lineRule="exact"/>
        <w:rPr>
          <w:sz w:val="24"/>
          <w:szCs w:val="24"/>
          <w:color w:val="auto"/>
        </w:rPr>
      </w:pPr>
    </w:p>
    <w:p>
      <w:pPr>
        <w:ind w:right="800"/>
        <w:spacing w:after="0" w:line="285" w:lineRule="exact"/>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21"/>
          <w:szCs w:val="21"/>
          <w:color w:val="auto"/>
        </w:rPr>
        <w:t>☐</w:t>
      </w:r>
    </w:p>
    <w:p>
      <w:pPr>
        <w:spacing w:after="0" w:line="160" w:lineRule="exact"/>
        <w:rPr>
          <w:sz w:val="24"/>
          <w:szCs w:val="24"/>
          <w:color w:val="auto"/>
        </w:rPr>
      </w:pPr>
    </w:p>
    <w:p>
      <w:pPr>
        <w:ind w:firstLine="8"/>
        <w:spacing w:after="0" w:line="263" w:lineRule="auto"/>
        <w:tabs>
          <w:tab w:leader="none" w:pos="3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7" w:lineRule="exact"/>
        <w:rPr>
          <w:sz w:val="24"/>
          <w:szCs w:val="24"/>
          <w:color w:val="auto"/>
        </w:rPr>
      </w:pPr>
    </w:p>
    <w:p>
      <w:pPr>
        <w:ind w:right="20"/>
        <w:spacing w:after="0" w:line="257"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644393 100</w:t>
      </w:r>
    </w:p>
    <w:p>
      <w:pPr>
        <w:spacing w:after="0" w:line="163" w:lineRule="exact"/>
        <w:rPr>
          <w:sz w:val="20"/>
          <w:szCs w:val="20"/>
          <w:color w:val="auto"/>
        </w:rPr>
      </w:pPr>
    </w:p>
    <w:p>
      <w:pPr>
        <w:ind w:left="1420" w:hanging="834"/>
        <w:spacing w:after="0"/>
        <w:tabs>
          <w:tab w:leader="none" w:pos="1420" w:val="left"/>
        </w:tabs>
        <w:numPr>
          <w:ilvl w:val="0"/>
          <w:numId w:val="2"/>
        </w:numPr>
        <w:rPr>
          <w:rFonts w:ascii="Times New Roman" w:cs="Times New Roman" w:eastAsia="Times New Roman" w:hAnsi="Times New Roman"/>
          <w:sz w:val="36"/>
          <w:szCs w:val="36"/>
          <w:b w:val="1"/>
          <w:bCs w:val="1"/>
          <w:color w:val="auto"/>
        </w:rPr>
      </w:pPr>
      <w:r>
        <w:rPr>
          <w:rFonts w:ascii="Times New Roman" w:cs="Times New Roman" w:eastAsia="Times New Roman" w:hAnsi="Times New Roman"/>
          <w:sz w:val="15"/>
          <w:szCs w:val="15"/>
          <w:b w:val="1"/>
          <w:bCs w:val="1"/>
          <w:color w:val="auto"/>
        </w:rPr>
        <w:t>NAMES OF REPORTING PERSONS</w:t>
      </w:r>
    </w:p>
    <w:p>
      <w:pPr>
        <w:spacing w:after="0" w:line="2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5"/>
          <w:szCs w:val="15"/>
          <w:b w:val="1"/>
          <w:bCs w:val="1"/>
          <w:color w:val="auto"/>
        </w:rPr>
        <w:t>Wesley R. Edens</w:t>
      </w:r>
    </w:p>
    <w:p>
      <w:pPr>
        <w:ind w:left="1420" w:hanging="834"/>
        <w:spacing w:after="0" w:line="180" w:lineRule="auto"/>
        <w:tabs>
          <w:tab w:leader="none" w:pos="1420" w:val="left"/>
        </w:tabs>
        <w:numPr>
          <w:ilvl w:val="0"/>
          <w:numId w:val="3"/>
        </w:numPr>
        <w:rPr>
          <w:rFonts w:ascii="Times New Roman" w:cs="Times New Roman" w:eastAsia="Times New Roman" w:hAnsi="Times New Roman"/>
          <w:sz w:val="41"/>
          <w:szCs w:val="41"/>
          <w:b w:val="1"/>
          <w:bCs w:val="1"/>
          <w:color w:val="auto"/>
          <w:vertAlign w:val="subscript"/>
        </w:rPr>
      </w:pPr>
      <w:r>
        <w:rPr>
          <w:rFonts w:ascii="Times New Roman" w:cs="Times New Roman" w:eastAsia="Times New Roman" w:hAnsi="Times New Roman"/>
          <w:sz w:val="13"/>
          <w:szCs w:val="13"/>
          <w:b w:val="1"/>
          <w:bCs w:val="1"/>
          <w:color w:val="auto"/>
        </w:rPr>
        <w:t>CHECK THE APPROPRIATE BOX IF A MEMBER OF A GROUP</w:t>
      </w:r>
    </w:p>
    <w:p>
      <w:pPr>
        <w:ind w:left="1420" w:hanging="834"/>
        <w:spacing w:after="0" w:line="182" w:lineRule="auto"/>
        <w:tabs>
          <w:tab w:leader="none" w:pos="1420" w:val="left"/>
        </w:tabs>
        <w:numPr>
          <w:ilvl w:val="0"/>
          <w:numId w:val="4"/>
        </w:numPr>
        <w:rPr>
          <w:rFonts w:ascii="Times New Roman" w:cs="Times New Roman" w:eastAsia="Times New Roman" w:hAnsi="Times New Roman"/>
          <w:sz w:val="51"/>
          <w:szCs w:val="51"/>
          <w:b w:val="1"/>
          <w:bCs w:val="1"/>
          <w:color w:val="auto"/>
          <w:vertAlign w:val="subscript"/>
        </w:rPr>
      </w:pPr>
      <w:r>
        <w:rPr>
          <w:rFonts w:ascii="Times New Roman" w:cs="Times New Roman" w:eastAsia="Times New Roman" w:hAnsi="Times New Roman"/>
          <w:sz w:val="14"/>
          <w:szCs w:val="14"/>
          <w:b w:val="1"/>
          <w:bCs w:val="1"/>
          <w:color w:val="auto"/>
        </w:rPr>
        <w:t>SEC USE ONLY</w:t>
      </w:r>
    </w:p>
    <w:p>
      <w:pPr>
        <w:spacing w:after="0" w:line="19" w:lineRule="exact"/>
        <w:rPr>
          <w:sz w:val="20"/>
          <w:szCs w:val="20"/>
          <w:color w:val="auto"/>
        </w:rPr>
      </w:pPr>
    </w:p>
    <w:p>
      <w:pPr>
        <w:ind w:left="1420" w:hanging="834"/>
        <w:spacing w:after="0"/>
        <w:tabs>
          <w:tab w:leader="none" w:pos="1420" w:val="left"/>
        </w:tabs>
        <w:numPr>
          <w:ilvl w:val="0"/>
          <w:numId w:val="5"/>
        </w:numPr>
        <w:rPr>
          <w:rFonts w:ascii="Times New Roman" w:cs="Times New Roman" w:eastAsia="Times New Roman" w:hAnsi="Times New Roman"/>
          <w:sz w:val="36"/>
          <w:szCs w:val="36"/>
          <w:b w:val="1"/>
          <w:bCs w:val="1"/>
          <w:color w:val="auto"/>
        </w:rPr>
      </w:pPr>
      <w:r>
        <w:rPr>
          <w:rFonts w:ascii="Times New Roman" w:cs="Times New Roman" w:eastAsia="Times New Roman" w:hAnsi="Times New Roman"/>
          <w:sz w:val="15"/>
          <w:szCs w:val="15"/>
          <w:b w:val="1"/>
          <w:bCs w:val="1"/>
          <w:color w:val="auto"/>
        </w:rPr>
        <w:t>SOURCE OF FUNDS (SEE INSTRUCTIONS)</w:t>
      </w:r>
    </w:p>
    <w:p>
      <w:pPr>
        <w:spacing w:after="0" w:line="18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5"/>
          <w:szCs w:val="15"/>
          <w:b w:val="1"/>
          <w:bCs w:val="1"/>
          <w:color w:val="auto"/>
        </w:rPr>
        <w:t>PF</w:t>
      </w:r>
    </w:p>
    <w:p>
      <w:pPr>
        <w:ind w:left="1420" w:hanging="834"/>
        <w:spacing w:after="0" w:line="188" w:lineRule="auto"/>
        <w:tabs>
          <w:tab w:leader="none" w:pos="1420" w:val="left"/>
        </w:tabs>
        <w:numPr>
          <w:ilvl w:val="0"/>
          <w:numId w:val="6"/>
        </w:numPr>
        <w:rPr>
          <w:rFonts w:ascii="Times New Roman" w:cs="Times New Roman" w:eastAsia="Times New Roman" w:hAnsi="Times New Roman"/>
          <w:sz w:val="25"/>
          <w:szCs w:val="25"/>
          <w:b w:val="1"/>
          <w:bCs w:val="1"/>
          <w:color w:val="auto"/>
          <w:vertAlign w:val="subscript"/>
        </w:rPr>
      </w:pPr>
      <w:r>
        <w:rPr>
          <w:rFonts w:ascii="Times New Roman" w:cs="Times New Roman" w:eastAsia="Times New Roman" w:hAnsi="Times New Roman"/>
          <w:sz w:val="12"/>
          <w:szCs w:val="12"/>
          <w:b w:val="1"/>
          <w:bCs w:val="1"/>
          <w:color w:val="auto"/>
        </w:rPr>
        <w:t>CHECK BOX IF DISCLOSURE OF LEGAL PROCEEDINGS IS REQUIRED PURSUANT TO ITEM 2(D) OR 2(E)</w:t>
      </w:r>
    </w:p>
    <w:p>
      <w:pPr>
        <w:spacing w:after="0" w:line="338" w:lineRule="exact"/>
        <w:rPr>
          <w:sz w:val="20"/>
          <w:szCs w:val="20"/>
          <w:color w:val="auto"/>
        </w:rPr>
      </w:pPr>
    </w:p>
    <w:p>
      <w:pPr>
        <w:ind w:left="1420" w:right="5159" w:hanging="834"/>
        <w:spacing w:after="0" w:line="268" w:lineRule="auto"/>
        <w:tabs>
          <w:tab w:leader="none" w:pos="1420" w:val="left"/>
        </w:tabs>
        <w:numPr>
          <w:ilvl w:val="0"/>
          <w:numId w:val="7"/>
        </w:numPr>
        <w:rPr>
          <w:rFonts w:ascii="Times New Roman" w:cs="Times New Roman" w:eastAsia="Times New Roman" w:hAnsi="Times New Roman"/>
          <w:sz w:val="36"/>
          <w:szCs w:val="36"/>
          <w:b w:val="1"/>
          <w:bCs w:val="1"/>
          <w:color w:val="auto"/>
        </w:rPr>
      </w:pPr>
      <w:r>
        <w:rPr>
          <w:rFonts w:ascii="Times New Roman" w:cs="Times New Roman" w:eastAsia="Times New Roman" w:hAnsi="Times New Roman"/>
          <w:sz w:val="15"/>
          <w:szCs w:val="15"/>
          <w:b w:val="1"/>
          <w:bCs w:val="1"/>
          <w:color w:val="auto"/>
        </w:rPr>
        <w:t>CITIZENSHIP OR PLACE OF ORGANIZATION United States</w:t>
      </w:r>
    </w:p>
    <w:p>
      <w:pPr>
        <w:spacing w:after="0" w:line="37" w:lineRule="exact"/>
        <w:rPr>
          <w:sz w:val="20"/>
          <w:szCs w:val="20"/>
          <w:color w:val="auto"/>
        </w:rPr>
      </w:pPr>
    </w:p>
    <w:tbl>
      <w:tblPr>
        <w:tblLayout w:type="fixed"/>
        <w:tblInd w:w="180" w:type="dxa"/>
        <w:tblCellMar>
          <w:top w:w="0" w:type="dxa"/>
          <w:left w:w="0" w:type="dxa"/>
          <w:bottom w:w="0" w:type="dxa"/>
          <w:right w:w="0" w:type="dxa"/>
        </w:tblCellMar>
      </w:tblPr>
      <w:tr>
        <w:trPr>
          <w:trHeight w:val="479"/>
        </w:trPr>
        <w:tc>
          <w:tcPr>
            <w:tcW w:w="16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36"/>
                <w:szCs w:val="36"/>
                <w:b w:val="1"/>
                <w:bCs w:val="1"/>
                <w:color w:val="auto"/>
                <w:w w:val="99"/>
              </w:rPr>
              <w:t>7</w:t>
            </w:r>
          </w:p>
        </w:tc>
        <w:tc>
          <w:tcPr>
            <w:tcW w:w="24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SOLE VOTING POWER</w:t>
            </w:r>
          </w:p>
        </w:tc>
        <w:tc>
          <w:tcPr>
            <w:tcW w:w="0" w:type="dxa"/>
            <w:vAlign w:val="bottom"/>
          </w:tcPr>
          <w:p>
            <w:pPr>
              <w:spacing w:after="0"/>
              <w:rPr>
                <w:sz w:val="1"/>
                <w:szCs w:val="1"/>
                <w:color w:val="auto"/>
              </w:rPr>
            </w:pPr>
          </w:p>
        </w:tc>
      </w:tr>
      <w:tr>
        <w:trPr>
          <w:trHeight w:val="287"/>
        </w:trPr>
        <w:tc>
          <w:tcPr>
            <w:tcW w:w="1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53,334,666</w:t>
            </w:r>
          </w:p>
        </w:tc>
        <w:tc>
          <w:tcPr>
            <w:tcW w:w="0" w:type="dxa"/>
            <w:vAlign w:val="bottom"/>
          </w:tcPr>
          <w:p>
            <w:pPr>
              <w:spacing w:after="0"/>
              <w:rPr>
                <w:sz w:val="1"/>
                <w:szCs w:val="1"/>
                <w:color w:val="auto"/>
              </w:rPr>
            </w:pPr>
          </w:p>
        </w:tc>
      </w:tr>
      <w:tr>
        <w:trPr>
          <w:trHeight w:val="536"/>
        </w:trPr>
        <w:tc>
          <w:tcPr>
            <w:tcW w:w="16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640" w:type="dxa"/>
            <w:vAlign w:val="bottom"/>
          </w:tcPr>
          <w:p>
            <w:pPr>
              <w:jc w:val="center"/>
              <w:spacing w:after="0"/>
              <w:rPr>
                <w:sz w:val="20"/>
                <w:szCs w:val="20"/>
                <w:color w:val="auto"/>
              </w:rPr>
            </w:pPr>
            <w:r>
              <w:rPr>
                <w:rFonts w:ascii="Times New Roman" w:cs="Times New Roman" w:eastAsia="Times New Roman" w:hAnsi="Times New Roman"/>
                <w:sz w:val="36"/>
                <w:szCs w:val="36"/>
                <w:b w:val="1"/>
                <w:bCs w:val="1"/>
                <w:color w:val="auto"/>
                <w:w w:val="99"/>
              </w:rPr>
              <w:t>8</w:t>
            </w:r>
          </w:p>
        </w:tc>
        <w:tc>
          <w:tcPr>
            <w:tcW w:w="24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SHARED VOTING POWER</w:t>
            </w:r>
          </w:p>
        </w:tc>
        <w:tc>
          <w:tcPr>
            <w:tcW w:w="0" w:type="dxa"/>
            <w:vAlign w:val="bottom"/>
          </w:tcPr>
          <w:p>
            <w:pPr>
              <w:spacing w:after="0"/>
              <w:rPr>
                <w:sz w:val="1"/>
                <w:szCs w:val="1"/>
                <w:color w:val="auto"/>
              </w:rPr>
            </w:pPr>
          </w:p>
        </w:tc>
      </w:tr>
      <w:tr>
        <w:trPr>
          <w:trHeight w:val="216"/>
        </w:trPr>
        <w:tc>
          <w:tcPr>
            <w:tcW w:w="16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SHARES</w:t>
            </w:r>
          </w:p>
        </w:tc>
        <w:tc>
          <w:tcPr>
            <w:tcW w:w="640" w:type="dxa"/>
            <w:vAlign w:val="bottom"/>
          </w:tcPr>
          <w:p>
            <w:pPr>
              <w:spacing w:after="0"/>
              <w:rPr>
                <w:sz w:val="18"/>
                <w:szCs w:val="18"/>
                <w:color w:val="auto"/>
              </w:rPr>
            </w:pP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0</w:t>
            </w:r>
          </w:p>
        </w:tc>
        <w:tc>
          <w:tcPr>
            <w:tcW w:w="0" w:type="dxa"/>
            <w:vAlign w:val="bottom"/>
          </w:tcPr>
          <w:p>
            <w:pPr>
              <w:spacing w:after="0"/>
              <w:rPr>
                <w:sz w:val="1"/>
                <w:szCs w:val="1"/>
                <w:color w:val="auto"/>
              </w:rPr>
            </w:pPr>
          </w:p>
        </w:tc>
      </w:tr>
      <w:tr>
        <w:trPr>
          <w:trHeight w:val="99"/>
        </w:trPr>
        <w:tc>
          <w:tcPr>
            <w:tcW w:w="1660" w:type="dxa"/>
            <w:vAlign w:val="bottom"/>
            <w:vMerge w:val="restart"/>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640" w:type="dxa"/>
            <w:vAlign w:val="bottom"/>
          </w:tcPr>
          <w:p>
            <w:pPr>
              <w:spacing w:after="0"/>
              <w:rPr>
                <w:sz w:val="8"/>
                <w:szCs w:val="8"/>
                <w:color w:val="auto"/>
              </w:rPr>
            </w:pPr>
          </w:p>
        </w:tc>
        <w:tc>
          <w:tcPr>
            <w:tcW w:w="2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660" w:type="dxa"/>
            <w:vAlign w:val="bottom"/>
            <w:vMerge w:val="continue"/>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36"/>
                <w:szCs w:val="36"/>
                <w:b w:val="1"/>
                <w:bCs w:val="1"/>
                <w:color w:val="auto"/>
                <w:w w:val="99"/>
              </w:rPr>
              <w:t>9</w:t>
            </w: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6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OWNED BY EACH</w:t>
            </w:r>
          </w:p>
        </w:tc>
        <w:tc>
          <w:tcPr>
            <w:tcW w:w="640" w:type="dxa"/>
            <w:vAlign w:val="bottom"/>
            <w:vMerge w:val="continue"/>
          </w:tcPr>
          <w:p>
            <w:pPr>
              <w:spacing w:after="0"/>
              <w:rPr>
                <w:sz w:val="17"/>
                <w:szCs w:val="17"/>
                <w:color w:val="auto"/>
              </w:rPr>
            </w:pP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SOLE DISPOSITIVE POWER</w:t>
            </w:r>
          </w:p>
        </w:tc>
        <w:tc>
          <w:tcPr>
            <w:tcW w:w="0" w:type="dxa"/>
            <w:vAlign w:val="bottom"/>
          </w:tcPr>
          <w:p>
            <w:pPr>
              <w:spacing w:after="0"/>
              <w:rPr>
                <w:sz w:val="1"/>
                <w:szCs w:val="1"/>
                <w:color w:val="auto"/>
              </w:rPr>
            </w:pPr>
          </w:p>
        </w:tc>
      </w:tr>
      <w:tr>
        <w:trPr>
          <w:trHeight w:val="203"/>
        </w:trPr>
        <w:tc>
          <w:tcPr>
            <w:tcW w:w="166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REPORTING</w:t>
            </w:r>
          </w:p>
        </w:tc>
        <w:tc>
          <w:tcPr>
            <w:tcW w:w="640" w:type="dxa"/>
            <w:vAlign w:val="bottom"/>
            <w:vMerge w:val="continue"/>
          </w:tcPr>
          <w:p>
            <w:pPr>
              <w:spacing w:after="0"/>
              <w:rPr>
                <w:sz w:val="17"/>
                <w:szCs w:val="17"/>
                <w:color w:val="auto"/>
              </w:rPr>
            </w:pPr>
          </w:p>
        </w:tc>
        <w:tc>
          <w:tcPr>
            <w:tcW w:w="2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66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PERSON WITH</w:t>
            </w:r>
          </w:p>
        </w:tc>
        <w:tc>
          <w:tcPr>
            <w:tcW w:w="640" w:type="dxa"/>
            <w:vAlign w:val="bottom"/>
          </w:tcPr>
          <w:p>
            <w:pPr>
              <w:spacing w:after="0"/>
              <w:rPr>
                <w:sz w:val="19"/>
                <w:szCs w:val="19"/>
                <w:color w:val="auto"/>
              </w:rPr>
            </w:pP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53,334,666</w:t>
            </w:r>
          </w:p>
        </w:tc>
        <w:tc>
          <w:tcPr>
            <w:tcW w:w="0" w:type="dxa"/>
            <w:vAlign w:val="bottom"/>
          </w:tcPr>
          <w:p>
            <w:pPr>
              <w:spacing w:after="0"/>
              <w:rPr>
                <w:sz w:val="1"/>
                <w:szCs w:val="1"/>
                <w:color w:val="auto"/>
              </w:rPr>
            </w:pPr>
          </w:p>
        </w:tc>
      </w:tr>
      <w:tr>
        <w:trPr>
          <w:trHeight w:val="115"/>
        </w:trPr>
        <w:tc>
          <w:tcPr>
            <w:tcW w:w="1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4"/>
        </w:trPr>
        <w:tc>
          <w:tcPr>
            <w:tcW w:w="16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36"/>
                <w:szCs w:val="36"/>
                <w:b w:val="1"/>
                <w:bCs w:val="1"/>
                <w:color w:val="auto"/>
                <w:w w:val="99"/>
              </w:rPr>
              <w:t>10</w:t>
            </w:r>
          </w:p>
        </w:tc>
        <w:tc>
          <w:tcPr>
            <w:tcW w:w="24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SHARED DISPOSITIVE POWER</w:t>
            </w:r>
          </w:p>
        </w:tc>
        <w:tc>
          <w:tcPr>
            <w:tcW w:w="0" w:type="dxa"/>
            <w:vAlign w:val="bottom"/>
          </w:tcPr>
          <w:p>
            <w:pPr>
              <w:spacing w:after="0"/>
              <w:rPr>
                <w:sz w:val="1"/>
                <w:szCs w:val="1"/>
                <w:color w:val="auto"/>
              </w:rPr>
            </w:pPr>
          </w:p>
        </w:tc>
      </w:tr>
      <w:tr>
        <w:trPr>
          <w:trHeight w:val="287"/>
        </w:trPr>
        <w:tc>
          <w:tcPr>
            <w:tcW w:w="1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400"/>
        </w:trPr>
        <w:tc>
          <w:tcPr>
            <w:tcW w:w="640" w:type="dxa"/>
            <w:vAlign w:val="bottom"/>
          </w:tcPr>
          <w:p>
            <w:pPr>
              <w:spacing w:after="0" w:line="399" w:lineRule="exact"/>
              <w:rPr>
                <w:sz w:val="20"/>
                <w:szCs w:val="20"/>
                <w:color w:val="auto"/>
              </w:rPr>
            </w:pPr>
            <w:r>
              <w:rPr>
                <w:rFonts w:ascii="Times New Roman" w:cs="Times New Roman" w:eastAsia="Times New Roman" w:hAnsi="Times New Roman"/>
                <w:sz w:val="36"/>
                <w:szCs w:val="36"/>
                <w:b w:val="1"/>
                <w:bCs w:val="1"/>
                <w:color w:val="auto"/>
              </w:rPr>
              <w:t>11</w:t>
            </w:r>
          </w:p>
        </w:tc>
        <w:tc>
          <w:tcPr>
            <w:tcW w:w="83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
        </w:trPr>
        <w:tc>
          <w:tcPr>
            <w:tcW w:w="640" w:type="dxa"/>
            <w:vAlign w:val="bottom"/>
          </w:tcPr>
          <w:p>
            <w:pPr>
              <w:spacing w:after="0"/>
              <w:rPr>
                <w:sz w:val="4"/>
                <w:szCs w:val="4"/>
                <w:color w:val="auto"/>
              </w:rPr>
            </w:pPr>
          </w:p>
        </w:tc>
        <w:tc>
          <w:tcPr>
            <w:tcW w:w="8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5"/>
        </w:trPr>
        <w:tc>
          <w:tcPr>
            <w:tcW w:w="640" w:type="dxa"/>
            <w:vAlign w:val="bottom"/>
            <w:vMerge w:val="restart"/>
          </w:tcPr>
          <w:p>
            <w:pPr>
              <w:spacing w:after="0"/>
              <w:rPr>
                <w:sz w:val="20"/>
                <w:szCs w:val="20"/>
                <w:color w:val="auto"/>
              </w:rPr>
            </w:pPr>
            <w:r>
              <w:rPr>
                <w:rFonts w:ascii="Times New Roman" w:cs="Times New Roman" w:eastAsia="Times New Roman" w:hAnsi="Times New Roman"/>
                <w:sz w:val="36"/>
                <w:szCs w:val="36"/>
                <w:b w:val="1"/>
                <w:bCs w:val="1"/>
                <w:color w:val="auto"/>
              </w:rPr>
              <w:t>12</w:t>
            </w:r>
          </w:p>
        </w:tc>
        <w:tc>
          <w:tcPr>
            <w:tcW w:w="830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rPr>
              <w:t>53,334,666</w:t>
            </w:r>
          </w:p>
        </w:tc>
        <w:tc>
          <w:tcPr>
            <w:tcW w:w="0" w:type="dxa"/>
            <w:vAlign w:val="bottom"/>
          </w:tcPr>
          <w:p>
            <w:pPr>
              <w:spacing w:after="0"/>
              <w:rPr>
                <w:sz w:val="1"/>
                <w:szCs w:val="1"/>
                <w:color w:val="auto"/>
              </w:rPr>
            </w:pPr>
          </w:p>
        </w:tc>
      </w:tr>
      <w:tr>
        <w:trPr>
          <w:trHeight w:val="278"/>
        </w:trPr>
        <w:tc>
          <w:tcPr>
            <w:tcW w:w="640" w:type="dxa"/>
            <w:vAlign w:val="bottom"/>
            <w:vMerge w:val="continue"/>
          </w:tcPr>
          <w:p>
            <w:pPr>
              <w:spacing w:after="0"/>
              <w:rPr>
                <w:sz w:val="24"/>
                <w:szCs w:val="24"/>
                <w:color w:val="auto"/>
              </w:rPr>
            </w:pPr>
          </w:p>
        </w:tc>
        <w:tc>
          <w:tcPr>
            <w:tcW w:w="83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b w:val="1"/>
                <w:bCs w:val="1"/>
                <w:color w:val="auto"/>
              </w:rPr>
              <w:t>CHECK BOX IF THE AGGREGATE AMOUNT IN ROW (11) EXCLUDES CERTAIN SHARES (SEE INSTRUCTIONS)</w:t>
            </w:r>
          </w:p>
        </w:tc>
        <w:tc>
          <w:tcPr>
            <w:tcW w:w="0" w:type="dxa"/>
            <w:vAlign w:val="bottom"/>
          </w:tcPr>
          <w:p>
            <w:pPr>
              <w:spacing w:after="0"/>
              <w:rPr>
                <w:sz w:val="1"/>
                <w:szCs w:val="1"/>
                <w:color w:val="auto"/>
              </w:rPr>
            </w:pPr>
          </w:p>
        </w:tc>
      </w:tr>
      <w:tr>
        <w:trPr>
          <w:trHeight w:val="46"/>
        </w:trPr>
        <w:tc>
          <w:tcPr>
            <w:tcW w:w="640" w:type="dxa"/>
            <w:vAlign w:val="bottom"/>
          </w:tcPr>
          <w:p>
            <w:pPr>
              <w:spacing w:after="0"/>
              <w:rPr>
                <w:sz w:val="4"/>
                <w:szCs w:val="4"/>
                <w:color w:val="auto"/>
              </w:rPr>
            </w:pPr>
          </w:p>
        </w:tc>
        <w:tc>
          <w:tcPr>
            <w:tcW w:w="8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4"/>
        </w:trPr>
        <w:tc>
          <w:tcPr>
            <w:tcW w:w="640" w:type="dxa"/>
            <w:vAlign w:val="bottom"/>
          </w:tcPr>
          <w:p>
            <w:pPr>
              <w:spacing w:after="0"/>
              <w:rPr>
                <w:sz w:val="20"/>
                <w:szCs w:val="20"/>
                <w:color w:val="auto"/>
              </w:rPr>
            </w:pPr>
            <w:r>
              <w:rPr>
                <w:rFonts w:ascii="Times New Roman" w:cs="Times New Roman" w:eastAsia="Times New Roman" w:hAnsi="Times New Roman"/>
                <w:sz w:val="36"/>
                <w:szCs w:val="36"/>
                <w:b w:val="1"/>
                <w:bCs w:val="1"/>
                <w:color w:val="auto"/>
              </w:rPr>
              <w:t>13</w:t>
            </w:r>
          </w:p>
        </w:tc>
        <w:tc>
          <w:tcPr>
            <w:tcW w:w="83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b w:val="1"/>
                <w:bCs w:val="1"/>
                <w:color w:val="auto"/>
              </w:rPr>
              <w:t>PERCENT OF CLASS REPRESENTED BY AMOUNT IN ROW (11)</w:t>
            </w:r>
          </w:p>
        </w:tc>
        <w:tc>
          <w:tcPr>
            <w:tcW w:w="0" w:type="dxa"/>
            <w:vAlign w:val="bottom"/>
          </w:tcPr>
          <w:p>
            <w:pPr>
              <w:spacing w:after="0"/>
              <w:rPr>
                <w:sz w:val="1"/>
                <w:szCs w:val="1"/>
                <w:color w:val="auto"/>
              </w:rPr>
            </w:pPr>
          </w:p>
        </w:tc>
      </w:tr>
      <w:tr>
        <w:trPr>
          <w:trHeight w:val="46"/>
        </w:trPr>
        <w:tc>
          <w:tcPr>
            <w:tcW w:w="640" w:type="dxa"/>
            <w:vAlign w:val="bottom"/>
          </w:tcPr>
          <w:p>
            <w:pPr>
              <w:spacing w:after="0"/>
              <w:rPr>
                <w:sz w:val="4"/>
                <w:szCs w:val="4"/>
                <w:color w:val="auto"/>
              </w:rPr>
            </w:pPr>
          </w:p>
        </w:tc>
        <w:tc>
          <w:tcPr>
            <w:tcW w:w="8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8"/>
        </w:trPr>
        <w:tc>
          <w:tcPr>
            <w:tcW w:w="640" w:type="dxa"/>
            <w:vAlign w:val="bottom"/>
            <w:vMerge w:val="restart"/>
          </w:tcPr>
          <w:p>
            <w:pPr>
              <w:spacing w:after="0"/>
              <w:rPr>
                <w:sz w:val="20"/>
                <w:szCs w:val="20"/>
                <w:color w:val="auto"/>
              </w:rPr>
            </w:pPr>
            <w:r>
              <w:rPr>
                <w:rFonts w:ascii="Times New Roman" w:cs="Times New Roman" w:eastAsia="Times New Roman" w:hAnsi="Times New Roman"/>
                <w:sz w:val="36"/>
                <w:szCs w:val="36"/>
                <w:b w:val="1"/>
                <w:bCs w:val="1"/>
                <w:color w:val="auto"/>
              </w:rPr>
              <w:t>14</w:t>
            </w:r>
          </w:p>
        </w:tc>
        <w:tc>
          <w:tcPr>
            <w:tcW w:w="830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rPr>
              <w:t>21.2%</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337"/>
        </w:trPr>
        <w:tc>
          <w:tcPr>
            <w:tcW w:w="640" w:type="dxa"/>
            <w:vAlign w:val="bottom"/>
            <w:vMerge w:val="continue"/>
          </w:tcPr>
          <w:p>
            <w:pPr>
              <w:spacing w:after="0"/>
              <w:rPr>
                <w:sz w:val="24"/>
                <w:szCs w:val="24"/>
                <w:color w:val="auto"/>
              </w:rPr>
            </w:pPr>
          </w:p>
        </w:tc>
        <w:tc>
          <w:tcPr>
            <w:tcW w:w="83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b w:val="1"/>
                <w:bCs w:val="1"/>
                <w:color w:val="auto"/>
              </w:rPr>
              <w:t>TYPE OF REPORTING PERSON (SEE INSTRUCTIONS)</w:t>
            </w:r>
          </w:p>
        </w:tc>
        <w:tc>
          <w:tcPr>
            <w:tcW w:w="0" w:type="dxa"/>
            <w:vAlign w:val="bottom"/>
          </w:tcPr>
          <w:p>
            <w:pPr>
              <w:spacing w:after="0"/>
              <w:rPr>
                <w:sz w:val="1"/>
                <w:szCs w:val="1"/>
                <w:color w:val="auto"/>
              </w:rPr>
            </w:pPr>
          </w:p>
        </w:tc>
      </w:tr>
      <w:tr>
        <w:trPr>
          <w:trHeight w:val="46"/>
        </w:trPr>
        <w:tc>
          <w:tcPr>
            <w:tcW w:w="640" w:type="dxa"/>
            <w:vAlign w:val="bottom"/>
          </w:tcPr>
          <w:p>
            <w:pPr>
              <w:spacing w:after="0"/>
              <w:rPr>
                <w:sz w:val="4"/>
                <w:szCs w:val="4"/>
                <w:color w:val="auto"/>
              </w:rPr>
            </w:pPr>
          </w:p>
        </w:tc>
        <w:tc>
          <w:tcPr>
            <w:tcW w:w="8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4"/>
                <w:szCs w:val="24"/>
                <w:color w:val="auto"/>
              </w:rPr>
            </w:pPr>
          </w:p>
        </w:tc>
        <w:tc>
          <w:tcPr>
            <w:tcW w:w="830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rPr>
              <w:t>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1" w:hanging="221"/>
        <w:spacing w:after="0" w:line="184" w:lineRule="exact"/>
        <w:tabs>
          <w:tab w:leader="none" w:pos="221" w:val="left"/>
        </w:tabs>
        <w:numPr>
          <w:ilvl w:val="0"/>
          <w:numId w:val="8"/>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72" w:lineRule="exact"/>
        <w:rPr>
          <w:rFonts w:ascii="Times New Roman" w:cs="Times New Roman" w:eastAsia="Times New Roman" w:hAnsi="Times New Roman"/>
          <w:sz w:val="16"/>
          <w:szCs w:val="16"/>
          <w:color w:val="auto"/>
        </w:rPr>
      </w:pPr>
    </w:p>
    <w:p>
      <w:pPr>
        <w:ind w:left="221" w:hanging="221"/>
        <w:spacing w:after="0" w:line="184" w:lineRule="exact"/>
        <w:tabs>
          <w:tab w:leader="none" w:pos="221" w:val="left"/>
        </w:tabs>
        <w:numPr>
          <w:ilvl w:val="0"/>
          <w:numId w:val="8"/>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
        <w:spacing w:after="0" w:line="221" w:lineRule="exact"/>
        <w:rPr>
          <w:sz w:val="20"/>
          <w:szCs w:val="20"/>
          <w:color w:val="auto"/>
        </w:rPr>
      </w:pPr>
      <w:r>
        <w:rPr>
          <w:rFonts w:ascii="MS PGothic" w:cs="MS PGothic" w:eastAsia="MS PGothic" w:hAnsi="MS PGothic"/>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
        <w:spacing w:after="0" w:line="221" w:lineRule="exact"/>
        <w:rPr>
          <w:sz w:val="20"/>
          <w:szCs w:val="20"/>
          <w:color w:val="auto"/>
        </w:rPr>
      </w:pPr>
      <w:r>
        <w:rPr>
          <w:rFonts w:ascii="MS PGothic" w:cs="MS PGothic" w:eastAsia="MS PGothic" w:hAnsi="MS PGothic"/>
          <w:sz w:val="22"/>
          <w:szCs w:val="22"/>
          <w:color w:val="auto"/>
        </w:rPr>
        <w:t>☐</w:t>
      </w:r>
    </w:p>
    <w:p>
      <w:pPr>
        <w:spacing w:after="0" w:line="2031" w:lineRule="exact"/>
        <w:rPr>
          <w:sz w:val="20"/>
          <w:szCs w:val="20"/>
          <w:color w:val="auto"/>
        </w:rPr>
      </w:pPr>
    </w:p>
    <w:p>
      <w:pPr>
        <w:sectPr>
          <w:pgSz w:w="11900" w:h="16838" w:orient="portrait"/>
          <w:cols w:equalWidth="0" w:num="2">
            <w:col w:w="9899" w:space="720"/>
            <w:col w:w="561"/>
          </w:cols>
          <w:pgMar w:left="320" w:top="990" w:right="399" w:bottom="1440" w:gutter="0" w:footer="0" w:header="0"/>
        </w:sectPr>
      </w:pPr>
    </w:p>
    <w:p>
      <w:pPr>
        <w:spacing w:after="0" w:line="114" w:lineRule="exact"/>
        <w:rPr>
          <w:sz w:val="20"/>
          <w:szCs w:val="20"/>
          <w:color w:val="auto"/>
        </w:rPr>
      </w:pPr>
    </w:p>
    <w:p>
      <w:pPr>
        <w:ind w:left="420" w:hanging="412"/>
        <w:spacing w:after="0" w:line="266" w:lineRule="auto"/>
        <w:tabs>
          <w:tab w:leader="none" w:pos="4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Calculations are based upon a total of 205,067,047 Class A Shares outstanding as of August 6, 2024, as reported by the Issuer in its Form 10-Q filed with the SEC on August 9, 2024, plus 46,349,942 Class A Shares subsequently issued in connection with the Issuer’s underwritten public offering, as reported by the Issuer in its Form 8-K filed with the SEC on October 1, 2024.</w:t>
      </w:r>
    </w:p>
    <w:p>
      <w:pPr>
        <w:sectPr>
          <w:pgSz w:w="11900" w:h="16838" w:orient="portrait"/>
          <w:cols w:equalWidth="0" w:num="1">
            <w:col w:w="11180"/>
          </w:cols>
          <w:pgMar w:left="320" w:top="990" w:right="39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filing constitutes Amendment No. 6 (this “</w:t>
      </w:r>
      <w:r>
        <w:rPr>
          <w:rFonts w:ascii="Times New Roman" w:cs="Times New Roman" w:eastAsia="Times New Roman" w:hAnsi="Times New Roman"/>
          <w:sz w:val="22"/>
          <w:szCs w:val="22"/>
          <w:i w:val="1"/>
          <w:iCs w:val="1"/>
          <w:color w:val="auto"/>
        </w:rPr>
        <w:t>Amendment</w:t>
      </w:r>
      <w:r>
        <w:rPr>
          <w:rFonts w:ascii="Times New Roman" w:cs="Times New Roman" w:eastAsia="Times New Roman" w:hAnsi="Times New Roman"/>
          <w:sz w:val="22"/>
          <w:szCs w:val="22"/>
          <w:color w:val="auto"/>
        </w:rPr>
        <w:t>”) to the Schedule 13D filed by Wesley R. Edens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Reporting Person</w:t>
      </w:r>
      <w:r>
        <w:rPr>
          <w:rFonts w:ascii="Times New Roman" w:cs="Times New Roman" w:eastAsia="Times New Roman" w:hAnsi="Times New Roman"/>
          <w:sz w:val="22"/>
          <w:szCs w:val="22"/>
          <w:color w:val="auto"/>
        </w:rPr>
        <w:t>”) with the Securities and Exchange Commission (the “</w:t>
      </w:r>
      <w:r>
        <w:rPr>
          <w:rFonts w:ascii="Times New Roman" w:cs="Times New Roman" w:eastAsia="Times New Roman" w:hAnsi="Times New Roman"/>
          <w:sz w:val="22"/>
          <w:szCs w:val="22"/>
          <w:i w:val="1"/>
          <w:iCs w:val="1"/>
          <w:color w:val="auto"/>
        </w:rPr>
        <w:t>SEC</w:t>
      </w:r>
      <w:r>
        <w:rPr>
          <w:rFonts w:ascii="Times New Roman" w:cs="Times New Roman" w:eastAsia="Times New Roman" w:hAnsi="Times New Roman"/>
          <w:sz w:val="22"/>
          <w:szCs w:val="22"/>
          <w:color w:val="auto"/>
        </w:rPr>
        <w:t>”) on February 4, 2019 (the “</w:t>
      </w:r>
      <w:r>
        <w:rPr>
          <w:rFonts w:ascii="Times New Roman" w:cs="Times New Roman" w:eastAsia="Times New Roman" w:hAnsi="Times New Roman"/>
          <w:sz w:val="22"/>
          <w:szCs w:val="22"/>
          <w:i w:val="1"/>
          <w:iCs w:val="1"/>
          <w:color w:val="auto"/>
        </w:rPr>
        <w:t>Original Schedule</w:t>
      </w:r>
    </w:p>
    <w:p>
      <w:pPr>
        <w:spacing w:after="0" w:line="230" w:lineRule="auto"/>
        <w:rPr>
          <w:sz w:val="20"/>
          <w:szCs w:val="20"/>
          <w:color w:val="auto"/>
        </w:rPr>
      </w:pPr>
      <w:r>
        <w:rPr>
          <w:rFonts w:ascii="Times New Roman" w:cs="Times New Roman" w:eastAsia="Times New Roman" w:hAnsi="Times New Roman"/>
          <w:sz w:val="22"/>
          <w:szCs w:val="22"/>
          <w:i w:val="1"/>
          <w:iCs w:val="1"/>
          <w:color w:val="auto"/>
        </w:rPr>
        <w:t>13D</w:t>
      </w:r>
      <w:r>
        <w:rPr>
          <w:rFonts w:ascii="Times New Roman" w:cs="Times New Roman" w:eastAsia="Times New Roman" w:hAnsi="Times New Roman"/>
          <w:sz w:val="22"/>
          <w:szCs w:val="22"/>
          <w:color w:val="auto"/>
        </w:rPr>
        <w:t>”), as amended by Amendment No. 1 filed with the SEC on March 28, 2019, by Amendment No. 2 filed with the SEC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11, 2020, by Amendment No. 3 filed with the SEC on March 18, 2021, by Amendment No. 4 filed with the SEC on June 15,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2021 and by Amendment No. 5 filed with the SEC on May 22, 2023 (the Original Schedule 13D, as previously amended and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further amended and supplemented by this Amendment, the “</w:t>
      </w:r>
      <w:r>
        <w:rPr>
          <w:rFonts w:ascii="Times New Roman" w:cs="Times New Roman" w:eastAsia="Times New Roman" w:hAnsi="Times New Roman"/>
          <w:sz w:val="21"/>
          <w:szCs w:val="21"/>
          <w:i w:val="1"/>
          <w:iCs w:val="1"/>
          <w:color w:val="auto"/>
        </w:rPr>
        <w:t>Schedule 13D</w:t>
      </w:r>
      <w:r>
        <w:rPr>
          <w:rFonts w:ascii="Times New Roman" w:cs="Times New Roman" w:eastAsia="Times New Roman" w:hAnsi="Times New Roman"/>
          <w:sz w:val="21"/>
          <w:szCs w:val="21"/>
          <w:color w:val="auto"/>
        </w:rPr>
        <w:t>”) with respect to the shares of Class A common stock</w:t>
      </w:r>
    </w:p>
    <w:p>
      <w:pPr>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Class A Shares</w:t>
      </w:r>
      <w:r>
        <w:rPr>
          <w:rFonts w:ascii="Times New Roman" w:cs="Times New Roman" w:eastAsia="Times New Roman" w:hAnsi="Times New Roman"/>
          <w:sz w:val="22"/>
          <w:szCs w:val="22"/>
          <w:color w:val="auto"/>
        </w:rPr>
        <w:t>”) of New Fortress Energy Inc., a Delaware corporation (the “</w:t>
      </w:r>
      <w:r>
        <w:rPr>
          <w:rFonts w:ascii="Times New Roman" w:cs="Times New Roman" w:eastAsia="Times New Roman" w:hAnsi="Times New Roman"/>
          <w:sz w:val="22"/>
          <w:szCs w:val="22"/>
          <w:i w:val="1"/>
          <w:iCs w:val="1"/>
          <w:color w:val="auto"/>
        </w:rPr>
        <w:t>Issuer</w:t>
      </w:r>
      <w:r>
        <w:rPr>
          <w:rFonts w:ascii="Times New Roman" w:cs="Times New Roman" w:eastAsia="Times New Roman" w:hAnsi="Times New Roman"/>
          <w:sz w:val="22"/>
          <w:szCs w:val="22"/>
          <w:color w:val="auto"/>
        </w:rPr>
        <w:t>”). The Reporting Person is filing this</w:t>
      </w:r>
    </w:p>
    <w:p>
      <w:pPr>
        <w:spacing w:after="0" w:line="218" w:lineRule="auto"/>
        <w:rPr>
          <w:sz w:val="20"/>
          <w:szCs w:val="20"/>
          <w:color w:val="auto"/>
        </w:rPr>
      </w:pPr>
      <w:r>
        <w:rPr>
          <w:rFonts w:ascii="Times New Roman" w:cs="Times New Roman" w:eastAsia="Times New Roman" w:hAnsi="Times New Roman"/>
          <w:sz w:val="22"/>
          <w:szCs w:val="22"/>
          <w:color w:val="auto"/>
        </w:rPr>
        <w:t>Amendment to disclose that, on October 1, 2024, the Reporting Person agreed to purchase 5,793,742 Class A Shares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Issuer’s underwritten public offering at the public offering price of $8.63 per share and on the same terms as the other purchasers</w:t>
      </w:r>
    </w:p>
    <w:p>
      <w:pPr>
        <w:spacing w:after="0" w:line="231" w:lineRule="auto"/>
        <w:rPr>
          <w:sz w:val="20"/>
          <w:szCs w:val="20"/>
          <w:color w:val="auto"/>
        </w:rPr>
      </w:pPr>
      <w:r>
        <w:rPr>
          <w:rFonts w:ascii="Times New Roman" w:cs="Times New Roman" w:eastAsia="Times New Roman" w:hAnsi="Times New Roman"/>
          <w:sz w:val="22"/>
          <w:szCs w:val="22"/>
          <w:color w:val="auto"/>
        </w:rPr>
        <w:t>in the offering. The offering closed on October 2, 2024.</w:t>
      </w:r>
    </w:p>
    <w:p>
      <w:pPr>
        <w:spacing w:after="0" w:line="1" w:lineRule="exact"/>
        <w:rPr>
          <w:sz w:val="20"/>
          <w:szCs w:val="20"/>
          <w:color w:val="auto"/>
        </w:rPr>
      </w:pPr>
    </w:p>
    <w:p>
      <w:pPr>
        <w:ind w:right="600" w:firstLine="648"/>
        <w:spacing w:after="0" w:line="235" w:lineRule="auto"/>
        <w:rPr>
          <w:sz w:val="20"/>
          <w:szCs w:val="20"/>
          <w:color w:val="auto"/>
        </w:rPr>
      </w:pPr>
      <w:r>
        <w:rPr>
          <w:rFonts w:ascii="Times New Roman" w:cs="Times New Roman" w:eastAsia="Times New Roman" w:hAnsi="Times New Roman"/>
          <w:sz w:val="22"/>
          <w:szCs w:val="22"/>
          <w:color w:val="auto"/>
        </w:rPr>
        <w:t>Unless set forth below, all previous Items of the Original Schedule 13D, as previously amended, are unchanged. Capitalized terms used in this Amendment and not otherwise defined shall have the same meanings ascribed to them in the Original Schedule 13D, as previously amended.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Source and Amount of Funds or Other Consideration</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Item 3 to the Schedule 13D is hereby amended by the addition of the following text:</w:t>
      </w:r>
    </w:p>
    <w:p>
      <w:pPr>
        <w:spacing w:after="0" w:line="220" w:lineRule="exact"/>
        <w:rPr>
          <w:sz w:val="20"/>
          <w:szCs w:val="20"/>
          <w:color w:val="auto"/>
        </w:rPr>
      </w:pPr>
    </w:p>
    <w:p>
      <w:pPr>
        <w:ind w:right="220" w:firstLine="648"/>
        <w:spacing w:after="0" w:line="263" w:lineRule="auto"/>
        <w:rPr>
          <w:sz w:val="20"/>
          <w:szCs w:val="20"/>
          <w:color w:val="auto"/>
        </w:rPr>
      </w:pPr>
      <w:r>
        <w:rPr>
          <w:rFonts w:ascii="Times New Roman" w:cs="Times New Roman" w:eastAsia="Times New Roman" w:hAnsi="Times New Roman"/>
          <w:sz w:val="22"/>
          <w:szCs w:val="22"/>
          <w:color w:val="auto"/>
        </w:rPr>
        <w:t>On October 1, 2024, the Reporting Person agreed to purchase 5,793,742 Class A Shares in the Issuer’s underwritten public offering at the public offering price of $8.63 per share and on the same terms as the other purchasers in the offering. The offering closed on October 2, 2024. These Class A Shares were purchased with personal funds of the Reporting Person.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Purpose of Transaction</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Item 4 to the Schedule 13D is hereby amended by the addition of the following text:</w:t>
      </w:r>
    </w:p>
    <w:p>
      <w:pPr>
        <w:spacing w:after="0" w:line="220" w:lineRule="exact"/>
        <w:rPr>
          <w:sz w:val="20"/>
          <w:szCs w:val="20"/>
          <w:color w:val="auto"/>
        </w:rPr>
      </w:pPr>
    </w:p>
    <w:p>
      <w:pPr>
        <w:ind w:right="2080" w:firstLine="648"/>
        <w:spacing w:after="0" w:line="454" w:lineRule="auto"/>
        <w:rPr>
          <w:sz w:val="20"/>
          <w:szCs w:val="20"/>
          <w:color w:val="auto"/>
        </w:rPr>
      </w:pPr>
      <w:r>
        <w:rPr>
          <w:rFonts w:ascii="Times New Roman" w:cs="Times New Roman" w:eastAsia="Times New Roman" w:hAnsi="Times New Roman"/>
          <w:sz w:val="22"/>
          <w:szCs w:val="22"/>
          <w:color w:val="auto"/>
        </w:rPr>
        <w:t xml:space="preserve">The Reporting Person purchased the Class A Shares referenced in Item 3 for investment purposes. </w:t>
      </w:r>
      <w:r>
        <w:rPr>
          <w:rFonts w:ascii="Times New Roman" w:cs="Times New Roman" w:eastAsia="Times New Roman" w:hAnsi="Times New Roman"/>
          <w:sz w:val="22"/>
          <w:szCs w:val="22"/>
          <w:b w:val="1"/>
          <w:bCs w:val="1"/>
          <w:color w:val="auto"/>
        </w:rPr>
        <w:t>Item 5. Interest in Securities of the Issuer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Item 5 is hereby amended and restated as follows:</w:t>
      </w:r>
    </w:p>
    <w:p>
      <w:pPr>
        <w:spacing w:after="0" w:line="220" w:lineRule="exact"/>
        <w:rPr>
          <w:sz w:val="20"/>
          <w:szCs w:val="20"/>
          <w:color w:val="auto"/>
        </w:rPr>
      </w:pPr>
    </w:p>
    <w:p>
      <w:pPr>
        <w:ind w:right="140" w:firstLine="656"/>
        <w:spacing w:after="0" w:line="252" w:lineRule="auto"/>
        <w:tabs>
          <w:tab w:leader="none" w:pos="94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(b) The aggregate number and percentage of Class A Shares beneficially owned by the Reporting Person (on the basis of a total of 205,067,047 Class A Shares outstanding as of August 6, 2024, as reported by the Issuer in its Form 10-Q filed with the SEC on August 9, 2024, plus 46,349,942 Class A Shares subsequently issued in connection with the Issuer’s underwritten public offering, as reported by the Issuer in its Form 8-K filed with the SEC on October 1, 2024) are as follows:</w:t>
      </w:r>
    </w:p>
    <w:p>
      <w:pPr>
        <w:spacing w:after="0" w:line="19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64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Amount beneficially owned: 53,334,666</w:t>
            </w:r>
          </w:p>
        </w:tc>
        <w:tc>
          <w:tcPr>
            <w:tcW w:w="2160" w:type="dxa"/>
            <w:vAlign w:val="bottom"/>
          </w:tcPr>
          <w:p>
            <w:pPr>
              <w:spacing w:after="0"/>
              <w:rPr>
                <w:sz w:val="24"/>
                <w:szCs w:val="24"/>
                <w:color w:val="auto"/>
              </w:rPr>
            </w:pPr>
          </w:p>
        </w:tc>
      </w:tr>
      <w:tr>
        <w:trPr>
          <w:trHeight w:val="487"/>
        </w:trPr>
        <w:tc>
          <w:tcPr>
            <w:tcW w:w="6400" w:type="dxa"/>
            <w:vAlign w:val="bottom"/>
          </w:tcPr>
          <w:p>
            <w:pPr>
              <w:spacing w:after="0"/>
              <w:rPr>
                <w:sz w:val="20"/>
                <w:szCs w:val="20"/>
                <w:color w:val="auto"/>
              </w:rPr>
            </w:pPr>
            <w:r>
              <w:rPr>
                <w:rFonts w:ascii="Times New Roman" w:cs="Times New Roman" w:eastAsia="Times New Roman" w:hAnsi="Times New Roman"/>
                <w:sz w:val="22"/>
                <w:szCs w:val="22"/>
                <w:color w:val="auto"/>
              </w:rPr>
              <w:t>Percentage:</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21.2%</w:t>
            </w:r>
          </w:p>
        </w:tc>
      </w:tr>
      <w:tr>
        <w:trPr>
          <w:trHeight w:val="270"/>
        </w:trPr>
        <w:tc>
          <w:tcPr>
            <w:tcW w:w="6400" w:type="dxa"/>
            <w:vAlign w:val="bottom"/>
          </w:tcPr>
          <w:p>
            <w:pPr>
              <w:spacing w:after="0"/>
              <w:rPr>
                <w:sz w:val="20"/>
                <w:szCs w:val="20"/>
                <w:color w:val="auto"/>
              </w:rPr>
            </w:pPr>
            <w:r>
              <w:rPr>
                <w:rFonts w:ascii="Times New Roman" w:cs="Times New Roman" w:eastAsia="Times New Roman" w:hAnsi="Times New Roman"/>
                <w:sz w:val="22"/>
                <w:szCs w:val="22"/>
                <w:color w:val="auto"/>
              </w:rPr>
              <w:t>Number of shares to which the Reporting Person has:</w:t>
            </w:r>
          </w:p>
        </w:tc>
        <w:tc>
          <w:tcPr>
            <w:tcW w:w="2160" w:type="dxa"/>
            <w:vAlign w:val="bottom"/>
          </w:tcPr>
          <w:p>
            <w:pPr>
              <w:spacing w:after="0"/>
              <w:rPr>
                <w:sz w:val="23"/>
                <w:szCs w:val="23"/>
                <w:color w:val="auto"/>
              </w:rPr>
            </w:pPr>
          </w:p>
        </w:tc>
      </w:tr>
      <w:tr>
        <w:trPr>
          <w:trHeight w:val="270"/>
        </w:trPr>
        <w:tc>
          <w:tcPr>
            <w:tcW w:w="64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53,334,666</w:t>
            </w:r>
          </w:p>
        </w:tc>
      </w:tr>
      <w:tr>
        <w:trPr>
          <w:trHeight w:val="270"/>
        </w:trPr>
        <w:tc>
          <w:tcPr>
            <w:tcW w:w="64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r>
      <w:tr>
        <w:trPr>
          <w:trHeight w:val="270"/>
        </w:trPr>
        <w:tc>
          <w:tcPr>
            <w:tcW w:w="64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53,334,666</w:t>
            </w:r>
          </w:p>
        </w:tc>
      </w:tr>
      <w:tr>
        <w:trPr>
          <w:trHeight w:val="282"/>
        </w:trPr>
        <w:tc>
          <w:tcPr>
            <w:tcW w:w="64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r>
    </w:tbl>
    <w:p>
      <w:pPr>
        <w:sectPr>
          <w:pgSz w:w="11900" w:h="16838" w:orient="portrait"/>
          <w:cols w:equalWidth="0" w:num="1">
            <w:col w:w="11220"/>
          </w:cols>
          <w:pgMar w:left="320" w:top="986" w:right="359" w:bottom="1440" w:gutter="0" w:footer="0" w:header="0"/>
        </w:sectPr>
      </w:pPr>
    </w:p>
    <w:bookmarkStart w:id="3" w:name="page4"/>
    <w:bookmarkEnd w:id="3"/>
    <w:p>
      <w:pPr>
        <w:ind w:left="-656" w:right="520" w:firstLine="656"/>
        <w:spacing w:after="0" w:line="271" w:lineRule="auto"/>
        <w:tabs>
          <w:tab w:leader="none" w:pos="44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Item 3 above is incorporated herein by reference. Except as described therein, the Reporting Person has not effected any transactions in the Class A Shares during the past 60 days.</w:t>
      </w:r>
    </w:p>
    <w:p>
      <w:pPr>
        <w:spacing w:after="0" w:line="144" w:lineRule="exact"/>
        <w:rPr>
          <w:rFonts w:ascii="Times New Roman" w:cs="Times New Roman" w:eastAsia="Times New Roman" w:hAnsi="Times New Roman"/>
          <w:sz w:val="22"/>
          <w:szCs w:val="22"/>
          <w:color w:val="auto"/>
        </w:rPr>
      </w:pPr>
    </w:p>
    <w:p>
      <w:pPr>
        <w:ind w:left="-656" w:firstLine="656"/>
        <w:spacing w:after="0" w:line="251" w:lineRule="auto"/>
        <w:tabs>
          <w:tab w:leader="none" w:pos="456"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Reporting Person holds Class A Shares through WRE 2012 GST Exempt Trust LLC (formerly known as WRE 2012 Trust LLC) and Edens Family Partners LLC, entities controlled by the Reporting Person, but has the sole right to receive or direct the receipt of dividends on and the proceeds from the sale of the Class A Shares reported on the cover page of this Schedule 13D and in this Item 5. No other person is known by the Reporting Person to have the right to receive or the power to direct the receipt of dividends on or the proceeds from the sale of the Class A Shares beneficially owned by the Reporting Person.</w:t>
      </w:r>
    </w:p>
    <w:p>
      <w:pPr>
        <w:spacing w:after="0" w:line="181" w:lineRule="exact"/>
        <w:rPr>
          <w:rFonts w:ascii="Times New Roman" w:cs="Times New Roman" w:eastAsia="Times New Roman" w:hAnsi="Times New Roman"/>
          <w:sz w:val="21"/>
          <w:szCs w:val="21"/>
          <w:color w:val="auto"/>
        </w:rPr>
      </w:pPr>
    </w:p>
    <w:p>
      <w:pPr>
        <w:ind w:left="464" w:hanging="464"/>
        <w:spacing w:after="0"/>
        <w:tabs>
          <w:tab w:leader="none" w:pos="46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0584"/>
          </w:cols>
          <w:pgMar w:left="976" w:top="990" w:right="339" w:bottom="1440" w:gutter="0" w:footer="0" w:header="0"/>
        </w:sectPr>
      </w:pPr>
    </w:p>
    <w:bookmarkStart w:id="4" w:name="page5"/>
    <w:bookmarkEnd w:id="4"/>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the undersigned certifies that the information set forth in this statement is true, complete and correct.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October 3, 2024</w:t>
      </w:r>
    </w:p>
    <w:p>
      <w:pPr>
        <w:spacing w:after="0" w:line="200" w:lineRule="exact"/>
        <w:rPr>
          <w:sz w:val="20"/>
          <w:szCs w:val="20"/>
          <w:color w:val="auto"/>
        </w:rPr>
      </w:pPr>
    </w:p>
    <w:p>
      <w:pPr>
        <w:spacing w:after="0" w:line="236" w:lineRule="exact"/>
        <w:rPr>
          <w:sz w:val="20"/>
          <w:szCs w:val="20"/>
          <w:color w:val="auto"/>
        </w:rPr>
      </w:pPr>
    </w:p>
    <w:p>
      <w:pPr>
        <w:ind w:left="4540"/>
        <w:spacing w:after="0"/>
        <w:tabs>
          <w:tab w:leader="none" w:pos="50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-13970</wp:posOffset>
            </wp:positionV>
            <wp:extent cx="12649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64920" cy="8890"/>
                    </a:xfrm>
                    <a:prstGeom prst="rect">
                      <a:avLst/>
                    </a:prstGeom>
                    <a:noFill/>
                  </pic:spPr>
                </pic:pic>
              </a:graphicData>
            </a:graphic>
          </wp:anchor>
        </w:drawing>
      </w:r>
    </w:p>
    <w:p>
      <w:pPr>
        <w:spacing w:after="0" w:line="8" w:lineRule="exact"/>
        <w:rPr>
          <w:sz w:val="20"/>
          <w:szCs w:val="20"/>
          <w:color w:val="auto"/>
        </w:rPr>
      </w:pPr>
    </w:p>
    <w:p>
      <w:pPr>
        <w:ind w:left="454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Wesley R. Edens</w:t>
      </w:r>
    </w:p>
    <w:sectPr>
      <w:pgSz w:w="11900" w:h="16838" w:orient="portrait"/>
      <w:cols w:equalWidth="0" w:num="1">
        <w:col w:w="10840"/>
      </w:cols>
      <w:pgMar w:left="320" w:top="986"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6"/>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2024-10-03T17:18:45Z</dcterms:created>
  <dcterms:modified xsi:type="dcterms:W3CDTF">2024-10-03T17:18:45Z</dcterms:modified>
</cp:coreProperties>
</file>