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30, 2019</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Delaware</w:t>
            </w:r>
          </w:p>
        </w:tc>
        <w:tc>
          <w:tcPr>
            <w:tcW w:w="5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001-38790</w:t>
            </w: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83-1482060</w:t>
            </w:r>
          </w:p>
        </w:tc>
      </w:tr>
      <w:tr>
        <w:trPr>
          <w:trHeight w:val="216"/>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(State or other jurisdiction</w:t>
            </w:r>
          </w:p>
        </w:tc>
        <w:tc>
          <w:tcPr>
            <w:tcW w:w="5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of incorporation)</w:t>
            </w:r>
          </w:p>
        </w:tc>
        <w:tc>
          <w:tcPr>
            <w:tcW w:w="50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File Number)</w:t>
            </w: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420" w:type="dxa"/>
            <w:vAlign w:val="bottom"/>
          </w:tcPr>
          <w:p>
            <w:pPr>
              <w:spacing w:after="0"/>
              <w:rPr>
                <w:sz w:val="24"/>
                <w:szCs w:val="24"/>
                <w:color w:val="auto"/>
              </w:rPr>
            </w:pPr>
          </w:p>
        </w:tc>
        <w:tc>
          <w:tcPr>
            <w:tcW w:w="5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111 W. 19</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Street, 8</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194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New York, NY 10011</w:t>
            </w:r>
          </w:p>
        </w:tc>
        <w:tc>
          <w:tcPr>
            <w:tcW w:w="194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4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(Zip Code)</w:t>
            </w:r>
          </w:p>
        </w:tc>
        <w:tc>
          <w:tcPr>
            <w:tcW w:w="194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(516) 268-7400</w:t>
            </w:r>
          </w:p>
        </w:tc>
        <w:tc>
          <w:tcPr>
            <w:tcW w:w="194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9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January 30, 2019, New Fortress Energy LLC, a Delaware limited liability company (the “Company”), and New Fortress Intermediate LLC, a Delaware limited liability company and a subsidiary of the Company (“NFI”), entered into an underwriting agreement (the “Underwriting Agreement”) with Morgan Stanley &amp; Co. LLC, Barclays Capital Inc., Citigroup Global Markets Inc. and Credit Suisse Securities (USA) LLC, as representatives of the several underwriters named therein (the “Underwriters”), relating to the offer and sale in the Company’s initial public offering (the “Offering”) of 20,000,000 Class A shares representing limited liability company interests in the Company (“Class A shares”) at a price to the public of $14.00 per share ($13.1950 per share net of underwriting discounts and commissions). Pursuant to the Underwriting Agreement, the Company has granted the Underwriters a 30-day option to purchase up to 3,000,000 additional Class A shares if the Underwriters sell more than 20,000,000 Class A shares in the Offering. The material terms of the Offering are described in the prospectus, dated January 30, 2019 (the “Prospectus”), filed by the Company with the Securities and Exchange Commission (the “Commission”) on January 31, 2019, pursuant to Rule 424(b) under the Securities Act. The Offering is registered with the Commission pursuant to a Registration Statement on Form S-1, as amended (File No. 333- 228339), initially filed by the Company on November 9, 2018 (the “Registration Statement”).</w:t>
      </w:r>
    </w:p>
    <w:p>
      <w:pPr>
        <w:spacing w:after="0" w:line="19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Underwriting Agreement contains certain representations and warranties, agreements and obligations, closing conditions and termination provisions. The Company has agreed to indemnify the Underwriters against certain liabilities, including liabilities under the Securities Act, and to contribute to payments the Underwriters may be required to make because of any of those liabilities.</w:t>
      </w:r>
    </w:p>
    <w:p>
      <w:pPr>
        <w:spacing w:after="0" w:line="20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Offering closed on February 4, 2019. The Company received proceeds from the Offering of approximately $257.6 million (net of underwriting discounts and commissions and estimated offering expenses payable by the Company). As described in the Prospectus, the Company contributed all of the net proceeds from the Offering to NFI in exchange for common units of NFI (“NFI LLC Units”). NFI will use the net proceeds from the Offering in the following manner: approximately (i) $20 million to complete the construction of the Company’s marine LNG storage and regasification terminal in Old Harbour, Jamaica, (ii) $100 million to partially fund the construction of the Company’s dual-fired combined heat and power facility in Clarendon, Jamaica, (iii) $30 million to partially fund the construction of the Company’s regasification terminal in La Paz, Baja California Sur, Mexico, (iv) $100 million to complete the construction of the Company’s landed multi-fuel handling facility located in the Port of San Juan, Puerto Rico and (v) the remainder for general company purposes, including potential development of additional liquefiers and downstream facilities in the future.</w:t>
      </w:r>
    </w:p>
    <w:p>
      <w:pPr>
        <w:spacing w:after="0" w:line="206"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Company, for which they received or will receive customary fees and expenses. Affiliates of certain of the Underwriters are also lenders under the Company’s term loan facility. An affiliate of Morgan Stanley &amp; Co. LLC is the administrative agent under the Company’s term loan facility.</w:t>
      </w:r>
    </w:p>
    <w:p>
      <w:pPr>
        <w:spacing w:after="0" w:line="22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the Company’s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foregoing description of the Underwriting Agreement is not complete and is qualified in its entirety by reference to the full text of the Underwriting Agreement, which is attached as Exhibit 1.1 to this Current Report on Form 8-K and incorporated in this Item 1.01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52"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On February 4, 2019, the Company entered into a Contribution Agreement (the “Contribution Agreement”) with NFI, New Fortress Energy Holdings LLC, a Delaware limited liability company (“New Fortress Energy Holdings”), NFE Atlantic Holdings LLC, a Delaware limited liability company (“NFE Atlantic”) and NFE Sub LLC, a Delaware limited liability company and wholly owned subsidiary of the Company (“NFE Sub”).</w:t>
      </w:r>
    </w:p>
    <w:p>
      <w:pPr>
        <w:spacing w:after="0" w:line="193"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Subject to the terms and conditions set forth in the Contribution Agreement, the parties thereto agreed to effect a series of transactions in connection with the Offering, as a result of which (i) New Fortress Energy Holdings contributed all of its interest in NFE Atlantic to NFI in exchange for NFI LLC Units and the right to receive Class B shares representing limited liability company interests of the Company (“Class B shares”), (ii) the Company contributed the net proceeds of the Offering and 147,058,824 Class B shares to NFE Sub, (iii) NFE Sub in turn contributed the net proceeds of the Offering and 147,058,824 Class B shares to NFI in exchange for 20,000,000 NFI LLC Units and (iv) NFI distributed all of the Class B shares contributed by NFE Sub to New Fortress Energy Holdings.</w:t>
      </w:r>
    </w:p>
    <w:p>
      <w:pPr>
        <w:spacing w:after="0" w:line="220"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The foregoing transactions were undertaken in reliance on an exemption from the registration requirements of the Securities Act of 1933, as amended (the “Securities Act”), pursuant to Section 4(a)(2) thereof. As a result of these transactions, NFE Atlantic became an indirect subsidiary of the Company.</w:t>
      </w:r>
    </w:p>
    <w:p>
      <w:pPr>
        <w:spacing w:after="0" w:line="15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foregoing description of the Contribution Agreement is not complete and is qualified in its entirety by reference to the full text of the Contribution Agreement, which is attached as Exhibit 10.1 to this Current Report on Form 8-K and incorporated in this Item 1.01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NFI LLC Agreement</w:t>
      </w:r>
    </w:p>
    <w:p>
      <w:pPr>
        <w:spacing w:after="0" w:line="25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February 4, 2019, in connection with the Offering, the members of NFI entered into the amended and restated limited liability company agreement of NFI (as amended and restated, the “NFI LLC Agreement”). The amendments to the NFI LLC Agreement, among other things, admitted the NFE Sub as the sole managing member of NFI. In accordance with the terms of the NFI LLC Agreement, the holders of NFI LLC Units will generally have the right (the “Redemption Right”) to cause NFI to redeem their NFI LLC Units (and a corresponding number of the Company’s Class B shares), for an aggregate of 147,058,824 Class A shares at a redemption ratio of one Class A Share for each NFI LLC Unit (and corresponding Class B share) redeemed, subject to conversion rate adjustments for equity splits, equity distributions and reclassifications.</w:t>
      </w:r>
    </w:p>
    <w:p>
      <w:pPr>
        <w:spacing w:after="0" w:line="220" w:lineRule="exact"/>
        <w:rPr>
          <w:sz w:val="20"/>
          <w:szCs w:val="20"/>
          <w:color w:val="auto"/>
        </w:rPr>
      </w:pPr>
    </w:p>
    <w:p>
      <w:pPr>
        <w:ind w:right="600" w:firstLine="441"/>
        <w:spacing w:after="0" w:line="308" w:lineRule="auto"/>
        <w:rPr>
          <w:sz w:val="20"/>
          <w:szCs w:val="20"/>
          <w:color w:val="auto"/>
        </w:rPr>
      </w:pPr>
      <w:r>
        <w:rPr>
          <w:rFonts w:ascii="Arial" w:cs="Arial" w:eastAsia="Arial" w:hAnsi="Arial"/>
          <w:sz w:val="17"/>
          <w:szCs w:val="17"/>
          <w:color w:val="auto"/>
        </w:rPr>
        <w:t>The foregoing description of the NFI LLC Agreement is not complete and is qualified in its entirety by reference to the full text of the NFI LLC Agreement, which is filed as Exhibit 10.2 to this Current Report on Form 8-K and is incorporated in this Item 1.01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5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connection with the closing of the Offering, on February 4, 2019, the Company entered into a Shareholders’ Agreement (the “Shareholders’ Agreement”) with New Fortress Energy Holdings, Wesley R. Edens and Randal A. Nardone (each a “Shareholder” and collectively, the “Shareholders”). As discussed further below, the Shareholders’ Agreement provides certain rights to the Shareholders and their affiliates.</w:t>
      </w:r>
    </w:p>
    <w:p>
      <w:pPr>
        <w:spacing w:after="0" w:line="193"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Shareholders’ Agreement provides that the parties thereto will use their respective reasonable efforts (including voting or causing to be voted all of the Company’s voting shares beneficially owned by each) so that no amendment is made to the Operating Agreement (as defined herein) in effect as of the date of the Shareholders’ Agreement that would add restrictions to the transferability of the shares of the Company held by any Shareholder or its permitted transferees which are beyond those provided for in the Operating Agreement, the Shareholders’ Agreement or applicable securities laws, or that nullify the rights set out in the Shareholders’ Agreements of any Shareholder or its permitted transferees unless such amendment is approved by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Designation and Election of Directors</w:t>
      </w:r>
    </w:p>
    <w:p>
      <w:pPr>
        <w:spacing w:after="0" w:line="25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Shareholders’ Agreement provides that, for so long as the Shareholders’ Agreement is in effect, the Company and each Shareholder shall take all reasonable actions within their respective control (including voting or causing to be voted all of the securities entitled to vote generally in the election of the Company’s directors held of record or beneficially owned by such Shareholder or its affiliates, and, with respect to the Company, including in the slate of nominees recommended by the board of directors of the Company (the “Board”) those individuals designated by New Fortress Energy Holdings) so as to elect to the Board, and to cause to continue in office, not more than eight directors (or such other number as New Fortress Energy Holdings may agree in writing), of whom, at any given time:</w:t>
      </w:r>
    </w:p>
    <w:p>
      <w:pPr>
        <w:spacing w:after="0" w:line="220" w:lineRule="exact"/>
        <w:rPr>
          <w:sz w:val="20"/>
          <w:szCs w:val="20"/>
          <w:color w:val="auto"/>
        </w:rPr>
      </w:pPr>
    </w:p>
    <w:p>
      <w:pPr>
        <w:ind w:left="660" w:right="2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plus one director, shall be individuals designated by New Fortress Energy Holdings, for so long as the Shareholders directly or indirectly beneficially own, together with their affiliates and permitted transferees, at least 30% of the Company’s voting power, provided that if the Board consists of six or fewer directors, then New Fortress Energy Holdings shall have the right to designate a number of directors equal to a majority of the Board;</w:t>
      </w:r>
    </w:p>
    <w:p>
      <w:pPr>
        <w:spacing w:after="0" w:line="213"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number equal to a majority of the Board, minus one director, shall be individuals designated by New Fortress Energy Holdings, for so long as the Shareholders directly or indirectly beneficially own, together with their affiliates and permitted transferees, less than 30% but at least 20% of the Company’s voting power, provided that if the Board consists of six or fewer directors, then New Fortress Energy Holdings shall have the right to designate a number of directors equal to three directors;</w:t>
      </w:r>
    </w:p>
    <w:p>
      <w:pPr>
        <w:spacing w:after="0" w:line="213"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shall be individuals designated by New Fortress Energy Holdings for so long as the Shareholders directly or indirectly beneficially own, together with their affiliates and permitted transferees, less than 20% but at least 10% of the Company’s voting power, provided that if the Board consists of six or fewer directors, then New Fortress Energy Holdings shall have the right to designate a number of directors equal to two directors; and</w:t>
      </w:r>
    </w:p>
    <w:p>
      <w:pPr>
        <w:spacing w:after="0" w:line="215"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shall be individuals designated by New Fortress Energy Holdings for so long as the Shareholders directly or indirectly beneficially own, together with their affiliates and permitted transferees, less than 10% but at least 5% of the Company’s voting power, provided that if the Board consists of six or fewer directors, then New Fortress Energy Holdings shall have the right to designate a number of directors equal to one director.</w:t>
      </w:r>
    </w:p>
    <w:p>
      <w:pPr>
        <w:spacing w:after="0" w:line="21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So long as New Fortress Energy Holdings is entitled to designate one or more nominees to the Board and notifies the Board of its desire to remove, with or without cause, any director previously designated by it to the Board, the Company is required to take all necessary action to cause such removal.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5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Under the Shareholders’ Agreement, the Company will indemnify each Shareholder and its officers, directors, employees, agents and affiliates against losses arising out of third-party claims (including litigation matters and other claims) based on, arising out of or resulting from:</w:t>
      </w:r>
    </w:p>
    <w:p>
      <w:pPr>
        <w:spacing w:after="0" w:line="174"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ownership or the operation of the Company’s assets or properties, and the operation or conduct of its business, prior to or following the Offering;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activities the Company engages in.</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the Company will indemnify each Shareholder and their officers, directors, employees, agents and affiliates against losses, including liabilities under the Securities Act and the Securities and Exchange Act of 1934, as amended (the “Exchange Act”), relating to misstatements in or omissions from the Registration Statement and any other registration statement or report that the Company files, other than misstatements or omissions made in reliance on information relating to and furnished by any Shareholder for use in the preparation of that registration statement or report, against which such Shareholder will indemnify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Registration Rights</w:t>
      </w:r>
    </w:p>
    <w:p>
      <w:pPr>
        <w:spacing w:after="0" w:line="2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u w:val="single" w:color="auto"/>
          <w:color w:val="auto"/>
        </w:rPr>
        <w:t>Demand Rights</w:t>
      </w:r>
      <w:r>
        <w:rPr>
          <w:rFonts w:ascii="Arial" w:cs="Arial" w:eastAsia="Arial" w:hAnsi="Arial"/>
          <w:sz w:val="18"/>
          <w:szCs w:val="18"/>
          <w:color w:val="auto"/>
        </w:rPr>
        <w:t>. Under the Shareholders’ Agreement, a Shareholder has, for so long as the Shareholder directly or indirectly beneficially owns, together with its affiliates and permitted transferees, an amount of the Company’s Class A and Class B shares (whether owned at the time of the Offering or subsequently acquired) equal to or greater than 1% of the Class A and Class B shares issued and outstanding immediately after the consummation of the Offering (a “Registrable Amount”), “demand” registration rights that allow such Shareholder, for itself and for its affiliates and permitted transferees, at any time after 180 days following the consummation of this offering, to request that the Company register under the Securities Act an amount of Class A shares equal to or greater than a Registrable Amount. Each Shareholder, for itself and for its affiliates and permitted transferees, is entitled to unlimited demand registrations so long as such persons, together, beneficially own a Registrable Amount. The Company is not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22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For so long as a Shareholder beneficially owns, together with its affiliates and permitted transferees, a Registrable Amount, such Shareholder (and its affiliates and permitted transferees) also has “piggyback” registration rights that allow them to include Class A shares that they own in any public offering of equity securities initiated by the Company (other than those public offerings pursuant to registration statements on Form S-4 or Form S-8 or pursuant to an employee benefit plan arrangement) or by any of the Company’s other shareholders that have registration rights. These “piggyback” registration rights will be subject to proportional cutbacks based on the manner of the offering and the identity of the party initiating such offering.</w:t>
      </w:r>
    </w:p>
    <w:p>
      <w:pPr>
        <w:spacing w:after="0" w:line="18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Under the Shareholders’ Agreement, the Company granted to New Fortress Energy Holdings or any of its permitted transferees, for so long as New Fortress Energy Holdings, together with its affiliates and permitted transferees, beneficially owns a Registrable Amount, the right to request a shelf registration on Form S-3 providing for offerings of Class A shares issuable upon exercise of the Redemption Right to be made on a continuous basis until all shares covered by such registration have been sold, subject to the Company’s right to suspend the use of the shelf registration prospectuses for a reasonable period of time (not exceeding 60 days in succession or 90 days in the aggregate in any 12 month period) if the Company determines that certain disclosures required by the shelf registration statement would be detrimental to the Company or its shareholders. Each Shareholder may elect to participate in any shelf registration requested by New Fortress Energy Holdings. Any Shareholder has the right to request an underwritten offering of the Class A shares included in a shelf registration statement, subject to certain limitations described in the Shareholders’ Agreement; provided that the Company shall not be obligated to participate in more than four underwritten offerings during any twelve-month period.</w:t>
      </w:r>
    </w:p>
    <w:p>
      <w:pPr>
        <w:spacing w:after="0" w:line="19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u w:val="single" w:color="auto"/>
          <w:color w:val="auto"/>
        </w:rPr>
        <w:t>Indemnification; Expenses; Lock-ups</w:t>
      </w:r>
      <w:r>
        <w:rPr>
          <w:rFonts w:ascii="Arial" w:cs="Arial" w:eastAsia="Arial" w:hAnsi="Arial"/>
          <w:sz w:val="16"/>
          <w:szCs w:val="16"/>
          <w:color w:val="auto"/>
        </w:rPr>
        <w:t>. Under the Shareholders’ Agreement, the Company will indemnify the applicable selling 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will indemnify the Company against all losses caused by its misstatements or omissions. The Company will pay all registration and offering-related expenses incidental to its performance under the Shareholders’ Agreement, and the applicable selling shareholder will pay its portion of all underwriting discounts, commissions and transfer taxes, if any, relating to the sale of its Class A shares under the Shareholders’ Agreement. The Company has agreed to enter into, and to cause its officers and directors to enter into, lock-up agreements in connection with any exercise of registration rights by the Shareholders, for the Shareholders and for their affiliates and permitted transferees.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Rights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Shareholders’ Agreement, the Shareholders have the right to request certain information from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Assistance in the Sale of Shareholders’ Shares</w:t>
      </w:r>
    </w:p>
    <w:p>
      <w:pPr>
        <w:spacing w:after="0" w:line="252"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Under the Shareholders’ Agreement, if a Shareholder seeks to sell its Class A shares other than pursuant to a registration statement, the Company is required to use its reasonable best efforts to assist such Shareholder in the sale process, including by providing information to potential purchasers as requested by the Shareholder.</w:t>
      </w:r>
    </w:p>
    <w:p>
      <w:pPr>
        <w:spacing w:after="0" w:line="20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addition, if the Board starts and then abandons a sale process, and a Shareholder subsequently indicates that it wants to sell its Class A shares, the Company shall permit such Shareholder to engage in discussions with potential purchasers who participated in the abandoned sales process. The Company is obligated to assist the Shareholders in any such sale process.</w:t>
      </w:r>
    </w:p>
    <w:p>
      <w:pPr>
        <w:spacing w:after="0" w:line="208" w:lineRule="exact"/>
        <w:rPr>
          <w:sz w:val="20"/>
          <w:szCs w:val="20"/>
          <w:color w:val="auto"/>
        </w:rPr>
      </w:pPr>
    </w:p>
    <w:p>
      <w:pPr>
        <w:ind w:right="1000" w:firstLine="441"/>
        <w:spacing w:after="0" w:line="342" w:lineRule="auto"/>
        <w:rPr>
          <w:sz w:val="20"/>
          <w:szCs w:val="20"/>
          <w:color w:val="auto"/>
        </w:rPr>
      </w:pPr>
      <w:r>
        <w:rPr>
          <w:rFonts w:ascii="Arial" w:cs="Arial" w:eastAsia="Arial" w:hAnsi="Arial"/>
          <w:sz w:val="16"/>
          <w:szCs w:val="16"/>
          <w:color w:val="auto"/>
        </w:rPr>
        <w:t>The foregoing description of the Shareholders’ Agreement is not complete and is qualified in its entirety by reference to the full text of the Shareholders’ Agreement, which is attached as Exhibit 4.1 to this Current Report on Form 8-K and incorporated in this Item 1.01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February 4, 2019, in connection with the closing of the Offering, NFI entered into an administrative services agreement (the “Administrative Services Agreement”) with FIG LLC, pursuant to which FIG LLC will provide the Company with certain back-office services and charge the Company for selling, general and administrative expenses incurred to provide these services.</w:t>
      </w:r>
    </w:p>
    <w:p>
      <w:pPr>
        <w:spacing w:after="0" w:line="208" w:lineRule="exact"/>
        <w:rPr>
          <w:sz w:val="20"/>
          <w:szCs w:val="20"/>
          <w:color w:val="auto"/>
        </w:rPr>
      </w:pPr>
    </w:p>
    <w:p>
      <w:pPr>
        <w:jc w:val="both"/>
        <w:ind w:right="220" w:firstLine="441"/>
        <w:spacing w:after="0" w:line="342" w:lineRule="auto"/>
        <w:rPr>
          <w:sz w:val="20"/>
          <w:szCs w:val="20"/>
          <w:color w:val="auto"/>
        </w:rPr>
      </w:pPr>
      <w:r>
        <w:rPr>
          <w:rFonts w:ascii="Arial" w:cs="Arial" w:eastAsia="Arial" w:hAnsi="Arial"/>
          <w:sz w:val="16"/>
          <w:szCs w:val="16"/>
          <w:color w:val="auto"/>
        </w:rPr>
        <w:t>The foregoing description of the Administrative Services Agreement is not complete and is qualified in its entirety by reference to the full text of the Administrative Services Agreement, which is attached as Exhibit 10.3 to this Current Report on Form 8-K and incorporated in this Item 1.01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252"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The description of the New Fortress Energy LLC 2019 Omnibus Incentive Plan (the “Plan”) provided below under Item 5.02 is incorporated in this Item 1.01 by reference. The Plan is incorporated in this Item 1.01 by reference to Exhibit 4.4 to the Company’s Registration Statement on Form S-8, filed with the Commission on February 4, 2019.</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set forth under Item 1.01 under “Contribution Agreement” and “NFI LLC Agreement” is incorporated by reference into this Item 3.02.</w:t>
      </w:r>
    </w:p>
    <w:p>
      <w:pPr>
        <w:spacing w:after="0" w:line="2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information set forth under Item 1.01 under “Shareholders’ Agreement” and in Item 5.03 hereto is incorporated by reference into this Item 3.03.</w:t>
      </w:r>
    </w:p>
    <w:p>
      <w:pPr>
        <w:spacing w:after="0" w:line="260" w:lineRule="exact"/>
        <w:rPr>
          <w:sz w:val="20"/>
          <w:szCs w:val="20"/>
          <w:color w:val="auto"/>
        </w:rPr>
      </w:pPr>
    </w:p>
    <w:p>
      <w:pPr>
        <w:ind w:left="1160" w:right="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January 30, 2019, effective simultaneously with the effectiveness of the Registration Statement, the Board increased its size from two to eight directors. Desmond Iain Catterall, David J. Grain, C. William Griffin, John J. Mack, Katherine E. Wanner and Matthew Wilkinson were appointed as members of the Board to fill the vacancies created by the increase in the size of the Board. Additionally, in connection with the effectiveness of the Registration Statement, the Board was divided into three classes of directors, with each class as equal in number as possible, serving staggered three-year terms. Class I, Class II and Class III directors will serve until the Company’s annual meeting in 2020, 2021 and 2022, respectively. Messrs. Mack and Wilkinson and Ms. Wanner are assigned to Class I; Messrs. Grain and Griffin are assigned to Class II; and Messrs. Edens, Nardone and Catterall are assigned to Class III.</w:t>
      </w:r>
    </w:p>
    <w:p>
      <w:pPr>
        <w:spacing w:after="0" w:line="216"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As compensation for services provided as a member of the Board, Ms. Wanner and Messrs. Catterall, Grain, Griffin, Mack and Wilkinson will receive (i) an annual cash retainer of $100,000 per year, payable quarterly and (ii) an initial equity grant of restricted share units equal to $1,000,000 (calculated based on the initial public offering price), which will vest in equal parts on the day following each of the Company’s first three annual meetings.</w:t>
      </w:r>
    </w:p>
    <w:p>
      <w:pPr>
        <w:spacing w:after="0" w:line="174"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Ms. Wanner and Messrs. Grain and Griffin will serve as members of the Company’s audit committee, of which Ms. Wanner will be the chairwoman. As chairwoman of the audit committee, Ms. Wanner will receive an additional annual cash retainer of $10,000, payable quarterly. Messrs. Edens and Nardone will serve as members of the Company’s compensation committee and will not receive additional compensation for their service on such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ind w:right="160" w:firstLine="324"/>
        <w:spacing w:after="0" w:line="264" w:lineRule="auto"/>
        <w:rPr>
          <w:sz w:val="20"/>
          <w:szCs w:val="20"/>
          <w:color w:val="auto"/>
        </w:rPr>
      </w:pPr>
      <w:r>
        <w:rPr>
          <w:rFonts w:ascii="Arial" w:cs="Arial" w:eastAsia="Arial" w:hAnsi="Arial"/>
          <w:sz w:val="18"/>
          <w:szCs w:val="18"/>
          <w:color w:val="auto"/>
        </w:rPr>
        <w:t>Further information regarding the compensation that Ms. Wanner and Messrs. Catterall, Grain, Griffin, Mack and Wilkinson will receive following the consummation of the Offering is also contained in the section of the Prospectus entitled “Executive Compensation—Director Compensation” and is incorporated herein by reference.</w:t>
      </w:r>
    </w:p>
    <w:p>
      <w:pPr>
        <w:spacing w:after="0" w:line="20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Except as disclosed in the Registration Statement and the Prospectus, there are no arrangements or understandings between Ms. Wanner and Messrs. Catterall, Grain, Griffin, Mack and Wilkinson and any other person pursuant to which he or she was selected as a director. Ms. Wanner and Messrs. Catterall, Grain, Griffin, Mack and Wilkinson have no family relationship with any director or executive officer of the Company or any person nominated or chosen by the Company to become a director or executive officer.</w:t>
      </w:r>
    </w:p>
    <w:p>
      <w:pPr>
        <w:spacing w:after="0" w:line="21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accordance with the Shareholders’ Agreement discussed above in Item 1.01, New Fortress Energy Holdings has designated Messrs. Catterall, Grain, Griffin, Mack and Wilkinson for election to the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the Offering, the Company entered into Indemnification Agreements (“Indemnification Agreements”) with each of the executive officers and directors of the Company. These Indemnification Agreements require the Company to indemnify these individuals to the fullest extent permitted under Delaware law against liability that may arise by reason of their service to the Company, and to advance certain expenses incurred as a result of any proceeding against them as to which they could be indemnified.</w:t>
      </w:r>
    </w:p>
    <w:p>
      <w:pPr>
        <w:spacing w:after="0" w:line="21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foregoing description of the Indemnification Agreements is not complete and is qualified in its entirety by reference to the full text of the Indemnification Agreements, which are attached as Exhibits 10.4 through 10.13 to this Current Report on Form 8-K and incorporated into this Item 5.02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25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January 30, 2019, the Board adopted the Plan, effective immediately prior to the effectiveness of the Registration Statement. Awards under the Plan may be granted to employees, officers, consultants and directors of the Company or any of its affiliates. The Plan will be administered by the compensation committee of the Board.</w:t>
      </w:r>
    </w:p>
    <w:p>
      <w:pPr>
        <w:spacing w:after="0" w:line="20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Plan provides for grants of options, share appreciation rights, restricted shares, restricted share units, share bonuses, other share-based awards and cash awards. The aggregate number of Class A shares that may be issued pursuant to the Plan will initially be equivalent to 16,705,882 Class A shares, subject to adjustment as permitted or required pursuant to the terms of the Plan. Additionally, on January 1 of each calendar year beginning in calendar year 2020 and until the Plan’s expiration, the total number of Class A shares reserved for issuance under the Plan will be increased by a number of Class A shares equal to the excess, if any, of (i) 10% of the aggregate number of outstanding Class A shares and Class B shares on the last day of the immediately preceding fiscal year, over (ii) the number of Class A shares reserved and available for issuance in respect of future grants of awards under the Plan as of the last day of the immediately preceding fiscal year.</w:t>
      </w:r>
    </w:p>
    <w:p>
      <w:pPr>
        <w:spacing w:after="0" w:line="216"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foregoing description of the Plan is not complete and is qualified in its entirety by reference to the full text of the Plan, which is incorporated in this Item 5.02 by reference to Exhibit 4.4 to the Company’s Registration Statement on Form S-8, filed with the Commission on February 4, 2019.</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Changes in Fiscal Year.</w:t>
      </w:r>
    </w:p>
    <w:p>
      <w:pPr>
        <w:spacing w:after="0" w:line="256" w:lineRule="exact"/>
        <w:rPr>
          <w:sz w:val="20"/>
          <w:szCs w:val="20"/>
          <w:color w:val="auto"/>
        </w:rPr>
      </w:pPr>
    </w:p>
    <w:p>
      <w:pPr>
        <w:ind w:right="820" w:firstLine="324"/>
        <w:spacing w:after="0" w:line="264" w:lineRule="auto"/>
        <w:rPr>
          <w:sz w:val="20"/>
          <w:szCs w:val="20"/>
          <w:color w:val="auto"/>
        </w:rPr>
      </w:pPr>
      <w:r>
        <w:rPr>
          <w:rFonts w:ascii="Arial" w:cs="Arial" w:eastAsia="Arial" w:hAnsi="Arial"/>
          <w:sz w:val="18"/>
          <w:szCs w:val="18"/>
          <w:color w:val="auto"/>
        </w:rPr>
        <w:t>On February 4, 2019, the Company amended and restated its limited liability company agreement (as amended and restated, the “Operating Agreement”). A description of the Operating Agreement is contained in the section of the Prospectus entitled “Our Operating Agreement” and is incorporated herein by reference.</w:t>
      </w:r>
    </w:p>
    <w:p>
      <w:pPr>
        <w:spacing w:after="0" w:line="20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foregoing description and the description contained in the Prospectus are not complete and are qualified in their entirety by reference to the full text of the Operating Agreement, which is attached as Exhibit 3.1 to this Current Report on Form 8-K and is incorporated in this Item 5.03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 w:name="page8"/>
    <w:bookmarkEnd w:id="7"/>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On January 30, 2019, the Company announced it had priced the Offering. A copy of the press release is furnished as Exhibit 99.1 hereto and is incorporated herein by reference.</w:t>
      </w:r>
    </w:p>
    <w:p>
      <w:pPr>
        <w:spacing w:after="0" w:line="197"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The information furnished pursuant to this Item 7.01, including Exhibit 99.1, shall not be deemed to be “filed” for the purposes of Section 18 of the Exchange Act and will not be incorporated by reference into any filing under the Securities Act unless specifically identified therein as being incorporated therein by reference.</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58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160" w:hanging="800"/>
        <w:spacing w:after="0" w:line="264" w:lineRule="auto"/>
        <w:tabs>
          <w:tab w:leader="none" w:pos="1140" w:val="left"/>
        </w:tabs>
        <w:rPr>
          <w:rFonts w:ascii="Arial" w:cs="Arial" w:eastAsia="Arial" w:hAnsi="Arial"/>
          <w:sz w:val="18"/>
          <w:szCs w:val="18"/>
          <w:color w:val="0000EE"/>
        </w:rPr>
      </w:pPr>
      <w:hyperlink w:anchor="page10">
        <w:r>
          <w:rPr>
            <w:rFonts w:ascii="Arial" w:cs="Arial" w:eastAsia="Arial" w:hAnsi="Arial"/>
            <w:sz w:val="18"/>
            <w:szCs w:val="18"/>
            <w:u w:val="single" w:color="auto"/>
            <w:color w:val="0000EE"/>
          </w:rPr>
          <w:t>1.1</w:t>
        </w:r>
      </w:hyperlink>
      <w:r>
        <w:rPr>
          <w:rFonts w:ascii="Arial" w:cs="Arial" w:eastAsia="Arial" w:hAnsi="Arial"/>
          <w:sz w:val="18"/>
          <w:szCs w:val="18"/>
          <w:color w:val="0000EE"/>
        </w:rPr>
        <w:tab/>
        <w:t>Underwriting Agreement, dated as of January 30, 2019, by and among New Fortress Energy LLC, New Fortress Intermediate LLC and Morgan Stanley &amp; Co. LLC, Barclays Capital Inc., Citigroup Global Markets Inc. and Credit Suisse Securities (USA) LLC, as representatives of the several underwriters named therein</w:t>
      </w:r>
    </w:p>
    <w:p>
      <w:pPr>
        <w:spacing w:after="0" w:line="181" w:lineRule="exact"/>
        <w:rPr>
          <w:sz w:val="20"/>
          <w:szCs w:val="20"/>
          <w:color w:val="auto"/>
        </w:rPr>
      </w:pPr>
    </w:p>
    <w:p>
      <w:pPr>
        <w:ind w:left="360"/>
        <w:spacing w:after="0"/>
        <w:tabs>
          <w:tab w:leader="none" w:pos="1140" w:val="left"/>
        </w:tabs>
        <w:rPr>
          <w:rFonts w:ascii="Arial" w:cs="Arial" w:eastAsia="Arial" w:hAnsi="Arial"/>
          <w:sz w:val="18"/>
          <w:szCs w:val="18"/>
          <w:color w:val="0000EE"/>
        </w:rPr>
      </w:pPr>
      <w:hyperlink w:anchor="page61">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6"/>
          <w:szCs w:val="16"/>
          <w:color w:val="0000EE"/>
        </w:rPr>
        <w:t>First Amended and Restated Limited Liability Company Agreement of New Fortress Energy LLC, dated February 4, 2019</w:t>
      </w:r>
    </w:p>
    <w:p>
      <w:pPr>
        <w:spacing w:after="0" w:line="225" w:lineRule="exact"/>
        <w:rPr>
          <w:sz w:val="20"/>
          <w:szCs w:val="20"/>
          <w:color w:val="auto"/>
        </w:rPr>
      </w:pPr>
    </w:p>
    <w:p>
      <w:pPr>
        <w:ind w:left="1160" w:right="20" w:hanging="800"/>
        <w:spacing w:after="0" w:line="277" w:lineRule="auto"/>
        <w:tabs>
          <w:tab w:leader="none" w:pos="1140" w:val="left"/>
        </w:tabs>
        <w:rPr>
          <w:rFonts w:ascii="Arial" w:cs="Arial" w:eastAsia="Arial" w:hAnsi="Arial"/>
          <w:sz w:val="18"/>
          <w:szCs w:val="18"/>
          <w:color w:val="0000EE"/>
        </w:rPr>
      </w:pPr>
      <w:hyperlink w:anchor="page114">
        <w:r>
          <w:rPr>
            <w:rFonts w:ascii="Arial" w:cs="Arial" w:eastAsia="Arial" w:hAnsi="Arial"/>
            <w:sz w:val="18"/>
            <w:szCs w:val="18"/>
            <w:u w:val="single" w:color="auto"/>
            <w:color w:val="0000EE"/>
          </w:rPr>
          <w:t>4.1</w:t>
        </w:r>
      </w:hyperlink>
      <w:r>
        <w:rPr>
          <w:rFonts w:ascii="Arial" w:cs="Arial" w:eastAsia="Arial" w:hAnsi="Arial"/>
          <w:sz w:val="18"/>
          <w:szCs w:val="18"/>
          <w:color w:val="0000EE"/>
        </w:rPr>
        <w:tab/>
        <w:t>Shareholders’ Agreement, dated February 4, 2019, by and among New Fortress Energy LLC, New Fortress Energy Holdings LLC, Wesley R. Edens and Randal A. Nardone</w:t>
      </w:r>
    </w:p>
    <w:p>
      <w:pPr>
        <w:spacing w:after="0" w:line="170" w:lineRule="exact"/>
        <w:rPr>
          <w:sz w:val="20"/>
          <w:szCs w:val="20"/>
          <w:color w:val="auto"/>
        </w:rPr>
      </w:pPr>
    </w:p>
    <w:p>
      <w:pPr>
        <w:ind w:left="1160" w:right="180" w:hanging="845"/>
        <w:spacing w:after="0" w:line="277" w:lineRule="auto"/>
        <w:tabs>
          <w:tab w:leader="none" w:pos="1140" w:val="left"/>
        </w:tabs>
        <w:rPr>
          <w:rFonts w:ascii="Arial" w:cs="Arial" w:eastAsia="Arial" w:hAnsi="Arial"/>
          <w:sz w:val="18"/>
          <w:szCs w:val="18"/>
          <w:color w:val="0000EE"/>
        </w:rPr>
      </w:pPr>
      <w:hyperlink w:anchor="page149">
        <w:r>
          <w:rPr>
            <w:rFonts w:ascii="Arial" w:cs="Arial" w:eastAsia="Arial" w:hAnsi="Arial"/>
            <w:sz w:val="18"/>
            <w:szCs w:val="18"/>
            <w:u w:val="single" w:color="auto"/>
            <w:color w:val="0000EE"/>
          </w:rPr>
          <w:t>10.1</w:t>
        </w:r>
      </w:hyperlink>
      <w:r>
        <w:rPr>
          <w:rFonts w:ascii="Arial" w:cs="Arial" w:eastAsia="Arial" w:hAnsi="Arial"/>
          <w:sz w:val="18"/>
          <w:szCs w:val="18"/>
          <w:color w:val="0000EE"/>
        </w:rPr>
        <w:tab/>
        <w:t>Contribution Agreement, dated February 4, 2019, by and among New Fortress Energy LLC, New Fortress Intermediate LLC, New Fortress Energy Holdings LLC, NFE Atlantic Holdings LLC and NFE Sub LLC</w:t>
      </w:r>
    </w:p>
    <w:p>
      <w:pPr>
        <w:spacing w:after="0" w:line="170"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156">
        <w:r>
          <w:rPr>
            <w:rFonts w:ascii="Arial" w:cs="Arial" w:eastAsia="Arial" w:hAnsi="Arial"/>
            <w:sz w:val="18"/>
            <w:szCs w:val="18"/>
            <w:u w:val="single" w:color="auto"/>
            <w:color w:val="0000EE"/>
          </w:rPr>
          <w:t>10.2</w:t>
        </w:r>
      </w:hyperlink>
      <w:r>
        <w:rPr>
          <w:rFonts w:ascii="Arial" w:cs="Arial" w:eastAsia="Arial" w:hAnsi="Arial"/>
          <w:sz w:val="18"/>
          <w:szCs w:val="18"/>
          <w:color w:val="0000EE"/>
        </w:rPr>
        <w:tab/>
      </w:r>
      <w:r>
        <w:rPr>
          <w:rFonts w:ascii="Arial" w:cs="Arial" w:eastAsia="Arial" w:hAnsi="Arial"/>
          <w:sz w:val="16"/>
          <w:szCs w:val="16"/>
          <w:color w:val="0000EE"/>
        </w:rPr>
        <w:t>Amended and Restated Limited Liability Company Agreement of New Fortress Intermediate LLC, dated February 4, 2019</w:t>
      </w:r>
    </w:p>
    <w:p>
      <w:pPr>
        <w:spacing w:after="0" w:line="225"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226">
        <w:r>
          <w:rPr>
            <w:rFonts w:ascii="Arial" w:cs="Arial" w:eastAsia="Arial" w:hAnsi="Arial"/>
            <w:sz w:val="18"/>
            <w:szCs w:val="18"/>
            <w:u w:val="single" w:color="auto"/>
            <w:color w:val="0000EE"/>
          </w:rPr>
          <w:t>10.3</w:t>
        </w:r>
      </w:hyperlink>
      <w:r>
        <w:rPr>
          <w:rFonts w:ascii="Arial" w:cs="Arial" w:eastAsia="Arial" w:hAnsi="Arial"/>
          <w:sz w:val="18"/>
          <w:szCs w:val="18"/>
          <w:color w:val="0000EE"/>
        </w:rPr>
        <w:tab/>
      </w:r>
      <w:r>
        <w:rPr>
          <w:rFonts w:ascii="Arial" w:cs="Arial" w:eastAsia="Arial" w:hAnsi="Arial"/>
          <w:sz w:val="16"/>
          <w:szCs w:val="16"/>
          <w:color w:val="0000EE"/>
        </w:rPr>
        <w:t>Administrative Services Agreement, dated February 4, 2019, by and between New Fortress Intermediate LLC and FIG LLC</w:t>
      </w:r>
    </w:p>
    <w:p>
      <w:pPr>
        <w:spacing w:after="0" w:line="225"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237">
        <w:r>
          <w:rPr>
            <w:rFonts w:ascii="Arial" w:cs="Arial" w:eastAsia="Arial" w:hAnsi="Arial"/>
            <w:sz w:val="18"/>
            <w:szCs w:val="18"/>
            <w:u w:val="single" w:color="auto"/>
            <w:color w:val="0000EE"/>
          </w:rPr>
          <w:t>10.4</w:t>
        </w:r>
      </w:hyperlink>
      <w:r>
        <w:rPr>
          <w:rFonts w:ascii="Arial" w:cs="Arial" w:eastAsia="Arial" w:hAnsi="Arial"/>
          <w:sz w:val="18"/>
          <w:szCs w:val="18"/>
          <w:color w:val="0000EE"/>
        </w:rPr>
        <w:tab/>
      </w:r>
      <w:r>
        <w:rPr>
          <w:rFonts w:ascii="Arial" w:cs="Arial" w:eastAsia="Arial" w:hAnsi="Arial"/>
          <w:sz w:val="16"/>
          <w:szCs w:val="16"/>
          <w:color w:val="0000EE"/>
        </w:rPr>
        <w:t>Indemnification Agreement (Edens)</w:t>
      </w:r>
    </w:p>
    <w:p>
      <w:pPr>
        <w:spacing w:after="0" w:line="225"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249">
        <w:r>
          <w:rPr>
            <w:rFonts w:ascii="Arial" w:cs="Arial" w:eastAsia="Arial" w:hAnsi="Arial"/>
            <w:sz w:val="18"/>
            <w:szCs w:val="18"/>
            <w:u w:val="single" w:color="auto"/>
            <w:color w:val="0000EE"/>
          </w:rPr>
          <w:t>10.5</w:t>
        </w:r>
      </w:hyperlink>
      <w:r>
        <w:rPr>
          <w:rFonts w:ascii="Arial" w:cs="Arial" w:eastAsia="Arial" w:hAnsi="Arial"/>
          <w:sz w:val="18"/>
          <w:szCs w:val="18"/>
          <w:color w:val="0000EE"/>
        </w:rPr>
        <w:tab/>
      </w:r>
      <w:r>
        <w:rPr>
          <w:rFonts w:ascii="Arial" w:cs="Arial" w:eastAsia="Arial" w:hAnsi="Arial"/>
          <w:sz w:val="16"/>
          <w:szCs w:val="16"/>
          <w:color w:val="0000EE"/>
        </w:rPr>
        <w:t>Indemnification Agreement (Guinta)</w:t>
      </w:r>
    </w:p>
    <w:p>
      <w:pPr>
        <w:spacing w:after="0" w:line="225"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261">
        <w:r>
          <w:rPr>
            <w:rFonts w:ascii="Arial" w:cs="Arial" w:eastAsia="Arial" w:hAnsi="Arial"/>
            <w:sz w:val="18"/>
            <w:szCs w:val="18"/>
            <w:u w:val="single" w:color="auto"/>
            <w:color w:val="0000EE"/>
          </w:rPr>
          <w:t>10.6</w:t>
        </w:r>
      </w:hyperlink>
      <w:r>
        <w:rPr>
          <w:rFonts w:ascii="Arial" w:cs="Arial" w:eastAsia="Arial" w:hAnsi="Arial"/>
          <w:sz w:val="18"/>
          <w:szCs w:val="18"/>
          <w:color w:val="0000EE"/>
        </w:rPr>
        <w:tab/>
      </w:r>
      <w:r>
        <w:rPr>
          <w:rFonts w:ascii="Arial" w:cs="Arial" w:eastAsia="Arial" w:hAnsi="Arial"/>
          <w:sz w:val="16"/>
          <w:szCs w:val="16"/>
          <w:color w:val="0000EE"/>
        </w:rPr>
        <w:t>Indemnification Agreement (Utsler)</w:t>
      </w:r>
    </w:p>
    <w:p>
      <w:pPr>
        <w:spacing w:after="0" w:line="225"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273">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6"/>
          <w:szCs w:val="16"/>
          <w:color w:val="0000EE"/>
        </w:rPr>
        <w:t>Indemnification Agreement (Catterall)</w:t>
      </w:r>
    </w:p>
    <w:p>
      <w:pPr>
        <w:spacing w:after="0" w:line="225"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285">
        <w:r>
          <w:rPr>
            <w:rFonts w:ascii="Arial" w:cs="Arial" w:eastAsia="Arial" w:hAnsi="Arial"/>
            <w:sz w:val="18"/>
            <w:szCs w:val="18"/>
            <w:u w:val="single" w:color="auto"/>
            <w:color w:val="0000EE"/>
          </w:rPr>
          <w:t>10.8</w:t>
        </w:r>
      </w:hyperlink>
      <w:r>
        <w:rPr>
          <w:rFonts w:ascii="Arial" w:cs="Arial" w:eastAsia="Arial" w:hAnsi="Arial"/>
          <w:sz w:val="18"/>
          <w:szCs w:val="18"/>
          <w:color w:val="0000EE"/>
        </w:rPr>
        <w:tab/>
      </w:r>
      <w:r>
        <w:rPr>
          <w:rFonts w:ascii="Arial" w:cs="Arial" w:eastAsia="Arial" w:hAnsi="Arial"/>
          <w:sz w:val="16"/>
          <w:szCs w:val="16"/>
          <w:color w:val="0000EE"/>
        </w:rPr>
        <w:t>Indemnification Agreement (Grain)</w:t>
      </w:r>
    </w:p>
    <w:p>
      <w:pPr>
        <w:spacing w:after="0" w:line="225"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297">
        <w:r>
          <w:rPr>
            <w:rFonts w:ascii="Arial" w:cs="Arial" w:eastAsia="Arial" w:hAnsi="Arial"/>
            <w:sz w:val="18"/>
            <w:szCs w:val="18"/>
            <w:u w:val="single" w:color="auto"/>
            <w:color w:val="0000EE"/>
          </w:rPr>
          <w:t>10.9</w:t>
        </w:r>
      </w:hyperlink>
      <w:r>
        <w:rPr>
          <w:rFonts w:ascii="Arial" w:cs="Arial" w:eastAsia="Arial" w:hAnsi="Arial"/>
          <w:sz w:val="18"/>
          <w:szCs w:val="18"/>
          <w:color w:val="0000EE"/>
        </w:rPr>
        <w:tab/>
      </w:r>
      <w:r>
        <w:rPr>
          <w:rFonts w:ascii="Arial" w:cs="Arial" w:eastAsia="Arial" w:hAnsi="Arial"/>
          <w:sz w:val="17"/>
          <w:szCs w:val="17"/>
          <w:color w:val="0000EE"/>
        </w:rPr>
        <w:t>Indemnification Agreement (Griffin)</w:t>
      </w:r>
    </w:p>
    <w:p>
      <w:pPr>
        <w:spacing w:after="0" w:line="225" w:lineRule="exact"/>
        <w:rPr>
          <w:sz w:val="20"/>
          <w:szCs w:val="20"/>
          <w:color w:val="auto"/>
        </w:rPr>
      </w:pPr>
    </w:p>
    <w:p>
      <w:pPr>
        <w:ind w:left="260"/>
        <w:spacing w:after="0"/>
        <w:tabs>
          <w:tab w:leader="none" w:pos="1140" w:val="left"/>
        </w:tabs>
        <w:rPr>
          <w:rFonts w:ascii="Arial" w:cs="Arial" w:eastAsia="Arial" w:hAnsi="Arial"/>
          <w:sz w:val="18"/>
          <w:szCs w:val="18"/>
          <w:color w:val="0000EE"/>
        </w:rPr>
      </w:pPr>
      <w:hyperlink w:anchor="page309">
        <w:r>
          <w:rPr>
            <w:rFonts w:ascii="Arial" w:cs="Arial" w:eastAsia="Arial" w:hAnsi="Arial"/>
            <w:sz w:val="18"/>
            <w:szCs w:val="18"/>
            <w:u w:val="single" w:color="auto"/>
            <w:color w:val="0000EE"/>
          </w:rPr>
          <w:t>10.10</w:t>
        </w:r>
      </w:hyperlink>
      <w:r>
        <w:rPr>
          <w:rFonts w:ascii="Arial" w:cs="Arial" w:eastAsia="Arial" w:hAnsi="Arial"/>
          <w:sz w:val="18"/>
          <w:szCs w:val="18"/>
          <w:color w:val="0000EE"/>
        </w:rPr>
        <w:tab/>
      </w:r>
      <w:r>
        <w:rPr>
          <w:rFonts w:ascii="Arial" w:cs="Arial" w:eastAsia="Arial" w:hAnsi="Arial"/>
          <w:sz w:val="16"/>
          <w:szCs w:val="16"/>
          <w:color w:val="0000EE"/>
        </w:rPr>
        <w:t>Indemnification Agreement (Mack)</w:t>
      </w:r>
    </w:p>
    <w:p>
      <w:pPr>
        <w:spacing w:after="0" w:line="225" w:lineRule="exact"/>
        <w:rPr>
          <w:sz w:val="20"/>
          <w:szCs w:val="20"/>
          <w:color w:val="auto"/>
        </w:rPr>
      </w:pPr>
    </w:p>
    <w:p>
      <w:pPr>
        <w:ind w:left="260"/>
        <w:spacing w:after="0"/>
        <w:tabs>
          <w:tab w:leader="none" w:pos="1140" w:val="left"/>
        </w:tabs>
        <w:rPr>
          <w:rFonts w:ascii="Arial" w:cs="Arial" w:eastAsia="Arial" w:hAnsi="Arial"/>
          <w:sz w:val="18"/>
          <w:szCs w:val="18"/>
          <w:color w:val="0000EE"/>
        </w:rPr>
      </w:pPr>
      <w:hyperlink w:anchor="page321">
        <w:r>
          <w:rPr>
            <w:rFonts w:ascii="Arial" w:cs="Arial" w:eastAsia="Arial" w:hAnsi="Arial"/>
            <w:sz w:val="18"/>
            <w:szCs w:val="18"/>
            <w:u w:val="single" w:color="auto"/>
            <w:color w:val="0000EE"/>
          </w:rPr>
          <w:t>10.11</w:t>
        </w:r>
      </w:hyperlink>
      <w:r>
        <w:rPr>
          <w:rFonts w:ascii="Arial" w:cs="Arial" w:eastAsia="Arial" w:hAnsi="Arial"/>
          <w:sz w:val="18"/>
          <w:szCs w:val="18"/>
          <w:color w:val="0000EE"/>
        </w:rPr>
        <w:tab/>
      </w:r>
      <w:r>
        <w:rPr>
          <w:rFonts w:ascii="Arial" w:cs="Arial" w:eastAsia="Arial" w:hAnsi="Arial"/>
          <w:sz w:val="16"/>
          <w:szCs w:val="16"/>
          <w:color w:val="0000EE"/>
        </w:rPr>
        <w:t>Indemnification Agreement (Nardone)</w:t>
      </w:r>
    </w:p>
    <w:p>
      <w:pPr>
        <w:spacing w:after="0" w:line="225" w:lineRule="exact"/>
        <w:rPr>
          <w:sz w:val="20"/>
          <w:szCs w:val="20"/>
          <w:color w:val="auto"/>
        </w:rPr>
      </w:pPr>
    </w:p>
    <w:p>
      <w:pPr>
        <w:ind w:left="260"/>
        <w:spacing w:after="0"/>
        <w:tabs>
          <w:tab w:leader="none" w:pos="1140" w:val="left"/>
        </w:tabs>
        <w:rPr>
          <w:rFonts w:ascii="Arial" w:cs="Arial" w:eastAsia="Arial" w:hAnsi="Arial"/>
          <w:sz w:val="18"/>
          <w:szCs w:val="18"/>
          <w:color w:val="0000EE"/>
        </w:rPr>
      </w:pPr>
      <w:hyperlink w:anchor="page333">
        <w:r>
          <w:rPr>
            <w:rFonts w:ascii="Arial" w:cs="Arial" w:eastAsia="Arial" w:hAnsi="Arial"/>
            <w:sz w:val="18"/>
            <w:szCs w:val="18"/>
            <w:u w:val="single" w:color="auto"/>
            <w:color w:val="0000EE"/>
          </w:rPr>
          <w:t>10.12</w:t>
        </w:r>
      </w:hyperlink>
      <w:r>
        <w:rPr>
          <w:rFonts w:ascii="Arial" w:cs="Arial" w:eastAsia="Arial" w:hAnsi="Arial"/>
          <w:sz w:val="18"/>
          <w:szCs w:val="18"/>
          <w:color w:val="0000EE"/>
        </w:rPr>
        <w:tab/>
      </w:r>
      <w:r>
        <w:rPr>
          <w:rFonts w:ascii="Arial" w:cs="Arial" w:eastAsia="Arial" w:hAnsi="Arial"/>
          <w:sz w:val="16"/>
          <w:szCs w:val="16"/>
          <w:color w:val="0000EE"/>
        </w:rPr>
        <w:t>Indemnification Agreement (Wanner)</w:t>
      </w:r>
    </w:p>
    <w:p>
      <w:pPr>
        <w:spacing w:after="0" w:line="225" w:lineRule="exact"/>
        <w:rPr>
          <w:sz w:val="20"/>
          <w:szCs w:val="20"/>
          <w:color w:val="auto"/>
        </w:rPr>
      </w:pPr>
    </w:p>
    <w:p>
      <w:pPr>
        <w:ind w:left="260"/>
        <w:spacing w:after="0"/>
        <w:tabs>
          <w:tab w:leader="none" w:pos="1140" w:val="left"/>
        </w:tabs>
        <w:rPr>
          <w:rFonts w:ascii="Arial" w:cs="Arial" w:eastAsia="Arial" w:hAnsi="Arial"/>
          <w:sz w:val="18"/>
          <w:szCs w:val="18"/>
          <w:color w:val="0000EE"/>
        </w:rPr>
      </w:pPr>
      <w:hyperlink w:anchor="page345">
        <w:r>
          <w:rPr>
            <w:rFonts w:ascii="Arial" w:cs="Arial" w:eastAsia="Arial" w:hAnsi="Arial"/>
            <w:sz w:val="18"/>
            <w:szCs w:val="18"/>
            <w:u w:val="single" w:color="auto"/>
            <w:color w:val="0000EE"/>
          </w:rPr>
          <w:t>10.13</w:t>
        </w:r>
      </w:hyperlink>
      <w:r>
        <w:rPr>
          <w:rFonts w:ascii="Arial" w:cs="Arial" w:eastAsia="Arial" w:hAnsi="Arial"/>
          <w:sz w:val="18"/>
          <w:szCs w:val="18"/>
          <w:color w:val="0000EE"/>
        </w:rPr>
        <w:tab/>
      </w:r>
      <w:r>
        <w:rPr>
          <w:rFonts w:ascii="Arial" w:cs="Arial" w:eastAsia="Arial" w:hAnsi="Arial"/>
          <w:sz w:val="16"/>
          <w:szCs w:val="16"/>
          <w:color w:val="0000EE"/>
        </w:rPr>
        <w:t>Indemnification Agreement (Wilkinson)</w:t>
      </w:r>
    </w:p>
    <w:p>
      <w:pPr>
        <w:spacing w:after="0" w:line="225" w:lineRule="exact"/>
        <w:rPr>
          <w:sz w:val="20"/>
          <w:szCs w:val="20"/>
          <w:color w:val="auto"/>
        </w:rPr>
      </w:pPr>
    </w:p>
    <w:p>
      <w:pPr>
        <w:ind w:left="1160" w:right="140" w:hanging="890"/>
        <w:spacing w:after="0" w:line="277" w:lineRule="auto"/>
        <w:tabs>
          <w:tab w:leader="none" w:pos="1140" w:val="left"/>
        </w:tabs>
        <w:rPr>
          <w:rFonts w:ascii="Arial" w:cs="Arial" w:eastAsia="Arial" w:hAnsi="Arial"/>
          <w:sz w:val="18"/>
          <w:szCs w:val="18"/>
          <w:color w:val="0000EE"/>
        </w:rPr>
      </w:pPr>
      <w:hyperlink r:id="rId24">
        <w:r>
          <w:rPr>
            <w:rFonts w:ascii="Arial" w:cs="Arial" w:eastAsia="Arial" w:hAnsi="Arial"/>
            <w:sz w:val="18"/>
            <w:szCs w:val="18"/>
            <w:u w:val="single" w:color="auto"/>
            <w:color w:val="0000EE"/>
          </w:rPr>
          <w:t>10.14</w:t>
        </w:r>
      </w:hyperlink>
      <w:r>
        <w:rPr>
          <w:rFonts w:ascii="Arial" w:cs="Arial" w:eastAsia="Arial" w:hAnsi="Arial"/>
          <w:sz w:val="18"/>
          <w:szCs w:val="18"/>
          <w:color w:val="0000EE"/>
        </w:rPr>
        <w:tab/>
        <w:t>New Fortress Energy LLC 2019 Omnibus Incentive Plan (incorporated by reference to Exhibit 4.4 to the Company’s Registration Statement on Form S-8, filed with the Commission on February 4, 2019)</w:t>
      </w:r>
    </w:p>
    <w:p>
      <w:pPr>
        <w:spacing w:after="0" w:line="170"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357">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January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FORTRESS ENERGY LLC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20,000,000 Class A Shares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NEW FORTRESS ENERGY LLC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20,000,000 Class A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Representatives of the</w:t>
      </w:r>
    </w:p>
    <w:p>
      <w:pPr>
        <w:ind w:left="600"/>
        <w:spacing w:after="0" w:line="236" w:lineRule="auto"/>
        <w:rPr>
          <w:sz w:val="20"/>
          <w:szCs w:val="20"/>
          <w:color w:val="auto"/>
        </w:rPr>
      </w:pPr>
      <w:r>
        <w:rPr>
          <w:rFonts w:ascii="Arial" w:cs="Arial" w:eastAsia="Arial" w:hAnsi="Arial"/>
          <w:sz w:val="22"/>
          <w:szCs w:val="22"/>
          <w:color w:val="auto"/>
        </w:rPr>
        <w:t>several Underwriters listed</w:t>
      </w:r>
    </w:p>
    <w:p>
      <w:pPr>
        <w:ind w:left="600"/>
        <w:spacing w:after="0"/>
        <w:rPr>
          <w:sz w:val="20"/>
          <w:szCs w:val="20"/>
          <w:color w:val="auto"/>
        </w:rPr>
      </w:pPr>
      <w:r>
        <w:rPr>
          <w:rFonts w:ascii="Arial" w:cs="Arial" w:eastAsia="Arial" w:hAnsi="Arial"/>
          <w:sz w:val="22"/>
          <w:szCs w:val="22"/>
          <w:color w:val="auto"/>
        </w:rPr>
        <w:t>in Schedule A hereto</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Morgan Stanley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280"/>
            <w:col w:w="10920"/>
          </w:cols>
          <w:pgMar w:left="240" w:top="125" w:right="2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200" w:lineRule="exact"/>
        <w:rPr>
          <w:sz w:val="20"/>
          <w:szCs w:val="20"/>
          <w:color w:val="auto"/>
        </w:rPr>
      </w:pPr>
    </w:p>
    <w:p>
      <w:pPr>
        <w:sectPr>
          <w:pgSz w:w="11900" w:h="16838" w:orient="portrait"/>
          <w:cols w:equalWidth="0" w:num="2">
            <w:col w:w="220" w:space="280"/>
            <w:col w:w="10920"/>
          </w:cols>
          <w:pgMar w:left="240" w:top="125" w:right="2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00" w:lineRule="exact"/>
        <w:rPr>
          <w:sz w:val="20"/>
          <w:szCs w:val="20"/>
          <w:color w:val="auto"/>
        </w:rPr>
      </w:pPr>
    </w:p>
    <w:p>
      <w:pPr>
        <w:sectPr>
          <w:pgSz w:w="11900" w:h="16838" w:orient="portrait"/>
          <w:cols w:equalWidth="0" w:num="2">
            <w:col w:w="220" w:space="280"/>
            <w:col w:w="10920"/>
          </w:cols>
          <w:pgMar w:left="240" w:top="125"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200" w:lineRule="exact"/>
        <w:rPr>
          <w:sz w:val="20"/>
          <w:szCs w:val="20"/>
          <w:color w:val="auto"/>
        </w:rPr>
      </w:pPr>
    </w:p>
    <w:p>
      <w:pPr>
        <w:sectPr>
          <w:pgSz w:w="11900" w:h="16838" w:orient="portrait"/>
          <w:cols w:equalWidth="0" w:num="2">
            <w:col w:w="220" w:space="280"/>
            <w:col w:w="10920"/>
          </w:cols>
          <w:pgMar w:left="240" w:top="125"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New Fortress Energy LLC, a Delaware limited liability company (the “Company”), confirms its agreement with Morgan Stanley &amp; Co. LLC (“Morgan Stanley”), Barclays Capital Inc., Citigroup Global Markets Inc. and Credit Suisse Securities (USA) LLC and each of the other Underwriters named in Schedule A hereto (collectively, the “Underwriters,” which term shall also include any underwriter substituted as hereinafter provided in Section 10 hereof), for whom you are acting as representatives (in such capacity, the “Representatives”), with respect to (i) the sale by the Company and the purchase by the Underwriters, acting severally and not jointly, of the respective numbers of Class A shares representing limited liability company interests in the Company (“Class A Shares”) set forth in Schedule A hereto and (ii) the grant by the Company to the Underwriters, acting severally and not jointly, of the option described in Section 2(b) hereof to purchase all or any part of 3,000,000 additional Class A Shares. The aforesaid 20,000,000 Class A Shares (the “Initial Securities”) to be purchased by the Underwriters and all or any part of the 3,000,000 Class A Shares subject to the option described in Section 2(b) hereof (the “Option Securities”) are herein called, collectively, the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the date hereof, the Company’s business is conducted through New Fortress Intermediate LLC, a Delaware limited liability Company (“NFI”), and its subsidiaries. Immediately prior to or on the Closing Date (as hereinafter defined), the following transactions will occur:</w:t>
      </w:r>
    </w:p>
    <w:p>
      <w:pPr>
        <w:spacing w:after="0" w:line="224" w:lineRule="exact"/>
        <w:rPr>
          <w:sz w:val="20"/>
          <w:szCs w:val="20"/>
          <w:color w:val="auto"/>
        </w:rPr>
      </w:pPr>
    </w:p>
    <w:p>
      <w:pPr>
        <w:jc w:val="both"/>
        <w:ind w:left="660" w:firstLine="645"/>
        <w:spacing w:after="0" w:line="264" w:lineRule="auto"/>
        <w:tabs>
          <w:tab w:leader="none" w:pos="2089"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Fortress Energy Holdings LLC, a Delaware limited liability company (“New Fortress Energy Holdings”) will contribute all of its interests in NFE Atlantic Holdings LLC, a Delaware limited liability company, and its limited assets and liabilities, if any, to NFI in exchange for common units of NFI (“NFI LLC Units”), which will be the only class of units of NFI;</w:t>
      </w:r>
    </w:p>
    <w:p>
      <w:pPr>
        <w:spacing w:after="0" w:line="235" w:lineRule="exact"/>
        <w:rPr>
          <w:rFonts w:ascii="Arial" w:cs="Arial" w:eastAsia="Arial" w:hAnsi="Arial"/>
          <w:sz w:val="18"/>
          <w:szCs w:val="18"/>
          <w:color w:val="auto"/>
        </w:rPr>
      </w:pPr>
    </w:p>
    <w:p>
      <w:pPr>
        <w:ind w:left="2060" w:hanging="755"/>
        <w:spacing w:after="0"/>
        <w:tabs>
          <w:tab w:leader="none" w:pos="2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will contribute the net proceeds from the offering of the Securities to NFI in exchange for NFI LLC Units;</w:t>
      </w:r>
    </w:p>
    <w:p>
      <w:pPr>
        <w:spacing w:after="0" w:line="290" w:lineRule="exact"/>
        <w:rPr>
          <w:rFonts w:ascii="Arial" w:cs="Arial" w:eastAsia="Arial" w:hAnsi="Arial"/>
          <w:sz w:val="17"/>
          <w:szCs w:val="17"/>
          <w:color w:val="auto"/>
        </w:rPr>
      </w:pPr>
    </w:p>
    <w:p>
      <w:pPr>
        <w:ind w:left="660" w:firstLine="645"/>
        <w:spacing w:after="0" w:line="277" w:lineRule="auto"/>
        <w:tabs>
          <w:tab w:leader="none" w:pos="2251"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Fortress Energy Holdings will receive a number of Class B shares equal to the number of NFI LLC Units held by it immediately following the completion of the public offering of the Securities;</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liability company agreement of the Company will be amended and restated (as so amended and restated, the “Company Operating Agreement”) to, among other things, authorize two classes of common shares, Class A Shares and Class B Shares representing limited liability company interests in the Company (“Class B Shares”);</w:t>
      </w:r>
    </w:p>
    <w:p>
      <w:pPr>
        <w:spacing w:after="0" w:line="235" w:lineRule="exact"/>
        <w:rPr>
          <w:rFonts w:ascii="Arial" w:cs="Arial" w:eastAsia="Arial" w:hAnsi="Arial"/>
          <w:sz w:val="18"/>
          <w:szCs w:val="18"/>
          <w:color w:val="auto"/>
        </w:rPr>
      </w:pPr>
    </w:p>
    <w:p>
      <w:pPr>
        <w:ind w:left="660" w:firstLine="645"/>
        <w:spacing w:after="0" w:line="277" w:lineRule="auto"/>
        <w:tabs>
          <w:tab w:leader="none" w:pos="2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liability company agreement of NFI will be amended and restated (as so amended and restated, the “NFI LLC Agreement”) to, among other things, appoint the Company as the sole managing member of NFI; and</w:t>
      </w:r>
    </w:p>
    <w:p>
      <w:pPr>
        <w:spacing w:after="0" w:line="197" w:lineRule="exact"/>
        <w:rPr>
          <w:rFonts w:ascii="Arial" w:cs="Arial" w:eastAsia="Arial" w:hAnsi="Arial"/>
          <w:sz w:val="18"/>
          <w:szCs w:val="18"/>
          <w:color w:val="auto"/>
        </w:rPr>
      </w:pPr>
    </w:p>
    <w:p>
      <w:pPr>
        <w:jc w:val="both"/>
        <w:ind w:left="660" w:firstLine="645"/>
        <w:spacing w:after="0" w:line="271" w:lineRule="auto"/>
        <w:tabs>
          <w:tab w:leader="none" w:pos="237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will enter into (i) a contribution agreement with NFI and certain other parties to be named therein (the “Contribution Agreement”) to give effect to the transactions described in clauses (a) through (d) above, and (ii) a shareholders’ agreement with New Fortress Energy Holdings (the “Shareholders’ Agreement”) to provide certain rights related to, among other things, the designation and election of directors of the Company and the registration of the resale of Class A Shares held by certain shareholders of the Company, consistent with the descriptions thereof set forth in the Registration Statement (as defined below), the General Disclosure Package (as defined below) and the Prospectus (as defined below) under the captions “Certain Relationships and Related Party Transactions—Agreements with Affiliates in Connection with the Transactions—Contribution Agreement” and “Certain Relationships and Related Party Transactions—Agreements with Affiliates in Connection with the Transactions—Shareholders’ Agreement,”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The transactions contemplated in clauses (a) through (f) above are collectively referred to herein as the “Transactions.” As the sole managing member of NFI, the Company will operate and control all of the business and affairs of NFI and, through NFI and its subsidiaries, conduct the Company’s business. The Company and NFI are collectively referred to herein as the “New Fortress Energy Parties” and each individually as a “New Fortress Energy Party.”</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filed with the Securities and Exchange Commission (the “Commission”) a registration statement on Form S-1 (No. 333-228339),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52"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“Applicable Time” means 5:00 P.M., New York City time, on January 30, 2019 or such other time as agreed by the Company and the Representatives.</w:t>
      </w:r>
    </w:p>
    <w:p>
      <w:pPr>
        <w:spacing w:after="0" w:line="19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left="660" w:firstLine="648"/>
        <w:spacing w:after="0" w:line="255"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or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216"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“bona fide electronic road show,” as defined in Rule 433 (the “Bona Fide Electronic Road Show”)), as evidenced by its being specified in Schedule B-2 hereto.</w:t>
      </w:r>
    </w:p>
    <w:p>
      <w:pPr>
        <w:spacing w:after="0" w:line="20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9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8"/>
          <w:szCs w:val="18"/>
          <w:color w:val="auto"/>
        </w:rPr>
        <w:t>.</w:t>
      </w:r>
    </w:p>
    <w:p>
      <w:pPr>
        <w:spacing w:after="0" w:line="279" w:lineRule="exact"/>
        <w:rPr>
          <w:sz w:val="20"/>
          <w:szCs w:val="20"/>
          <w:color w:val="auto"/>
        </w:rPr>
      </w:pPr>
    </w:p>
    <w:p>
      <w:pPr>
        <w:ind w:left="1440" w:hanging="784"/>
        <w:spacing w:after="0"/>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Representations and Warranties by the New Fortress Energy Parties</w:t>
      </w:r>
      <w:r>
        <w:rPr>
          <w:rFonts w:ascii="Arial" w:cs="Arial" w:eastAsia="Arial" w:hAnsi="Arial"/>
          <w:sz w:val="19"/>
          <w:szCs w:val="19"/>
          <w:color w:val="auto"/>
        </w:rPr>
        <w:t>. Each New Fortress Energy Party represents and warrants</w:t>
      </w:r>
    </w:p>
    <w:p>
      <w:pPr>
        <w:spacing w:after="0" w:line="43"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to each Underwriter as of the date hereof, the Applicable Time, the Closing Time and any Date of Delivery (as defined below), and agrees with each Underwriter, as follows:</w:t>
      </w:r>
    </w:p>
    <w:p>
      <w:pPr>
        <w:spacing w:after="0" w:line="212" w:lineRule="exact"/>
        <w:rPr>
          <w:sz w:val="20"/>
          <w:szCs w:val="20"/>
          <w:color w:val="auto"/>
        </w:rPr>
      </w:pPr>
    </w:p>
    <w:p>
      <w:pPr>
        <w:jc w:val="both"/>
        <w:ind w:left="660" w:firstLine="645"/>
        <w:spacing w:after="0" w:line="279" w:lineRule="auto"/>
        <w:tabs>
          <w:tab w:leader="none" w:pos="2167"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Prospectuses</w:t>
      </w:r>
      <w:r>
        <w:rPr>
          <w:rFonts w:ascii="Arial" w:cs="Arial" w:eastAsia="Arial" w:hAnsi="Arial"/>
          <w:sz w:val="19"/>
          <w:szCs w:val="19"/>
          <w:color w:val="auto"/>
        </w:rPr>
        <w:t>. Each of the Registration Statement and any post-effective amendment</w:t>
      </w:r>
      <w:r>
        <w:rPr>
          <w:rFonts w:ascii="Arial" w:cs="Arial" w:eastAsia="Arial" w:hAnsi="Arial"/>
          <w:sz w:val="16"/>
          <w:szCs w:val="16"/>
          <w:color w:val="auto"/>
        </w:rPr>
        <w:t xml:space="preserve"> </w:t>
      </w:r>
      <w:r>
        <w:rPr>
          <w:rFonts w:ascii="Arial" w:cs="Arial" w:eastAsia="Arial" w:hAnsi="Arial"/>
          <w:sz w:val="19"/>
          <w:szCs w:val="19"/>
          <w:color w:val="auto"/>
        </w:rPr>
        <w:t>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knowledge of the New Fortress Energy Parties, threatened by the Commission. The Company has complied with each request (if any) from the Commission for additional information.</w:t>
      </w:r>
    </w:p>
    <w:p>
      <w:pPr>
        <w:spacing w:after="0" w:line="151" w:lineRule="exact"/>
        <w:rPr>
          <w:sz w:val="20"/>
          <w:szCs w:val="20"/>
          <w:color w:val="auto"/>
        </w:rPr>
      </w:pPr>
    </w:p>
    <w:p>
      <w:pPr>
        <w:jc w:val="both"/>
        <w:ind w:left="660" w:firstLine="843"/>
        <w:spacing w:after="0" w:line="247" w:lineRule="auto"/>
        <w:rPr>
          <w:sz w:val="20"/>
          <w:szCs w:val="20"/>
          <w:color w:val="auto"/>
        </w:rPr>
      </w:pPr>
      <w:r>
        <w:rPr>
          <w:rFonts w:ascii="Arial" w:cs="Arial" w:eastAsia="Arial" w:hAnsi="Arial"/>
          <w:sz w:val="21"/>
          <w:szCs w:val="21"/>
          <w:color w:val="auto"/>
        </w:rPr>
        <w:t>Each of the Registration Statement and any post-effective amendment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by the Company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ind w:left="4" w:firstLine="645"/>
        <w:spacing w:after="0" w:line="270" w:lineRule="auto"/>
        <w:tabs>
          <w:tab w:leader="none" w:pos="1412"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9"/>
          <w:szCs w:val="19"/>
          <w:color w:val="auto"/>
        </w:rPr>
        <w:t>. Neither the Registration Statement nor any amendment thereto, at its effective time, at the</w:t>
      </w:r>
      <w:r>
        <w:rPr>
          <w:rFonts w:ascii="Arial" w:cs="Arial" w:eastAsia="Arial" w:hAnsi="Arial"/>
          <w:sz w:val="16"/>
          <w:szCs w:val="16"/>
          <w:color w:val="auto"/>
        </w:rPr>
        <w:t xml:space="preserve"> </w:t>
      </w:r>
      <w:r>
        <w:rPr>
          <w:rFonts w:ascii="Arial" w:cs="Arial" w:eastAsia="Arial" w:hAnsi="Arial"/>
          <w:sz w:val="19"/>
          <w:szCs w:val="19"/>
          <w:color w:val="auto"/>
        </w:rPr>
        <w:t>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 General Disclosure Package, (C) any individual Written Testing-the-Waters Communication (as defined below), when considered together with the General Disclosure Package, and</w:t>
      </w:r>
    </w:p>
    <w:p>
      <w:pPr>
        <w:spacing w:after="0" w:line="2" w:lineRule="exact"/>
        <w:rPr>
          <w:rFonts w:ascii="Arial" w:cs="Arial" w:eastAsia="Arial" w:hAnsi="Arial"/>
          <w:sz w:val="16"/>
          <w:szCs w:val="16"/>
          <w:color w:val="auto"/>
        </w:rPr>
      </w:pPr>
    </w:p>
    <w:p>
      <w:pPr>
        <w:jc w:val="both"/>
        <w:ind w:left="4" w:hanging="4"/>
        <w:spacing w:after="0" w:line="232" w:lineRule="auto"/>
        <w:tabs>
          <w:tab w:leader="none" w:pos="40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Bona Fide Electronic Road Show,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214" w:lineRule="exact"/>
        <w:rPr>
          <w:sz w:val="20"/>
          <w:szCs w:val="20"/>
          <w:color w:val="auto"/>
        </w:rPr>
      </w:pPr>
    </w:p>
    <w:p>
      <w:pPr>
        <w:jc w:val="both"/>
        <w:ind w:left="4" w:firstLine="909"/>
        <w:spacing w:after="0" w:line="279" w:lineRule="auto"/>
        <w:rPr>
          <w:sz w:val="20"/>
          <w:szCs w:val="20"/>
          <w:color w:val="auto"/>
        </w:rPr>
      </w:pPr>
      <w:r>
        <w:rPr>
          <w:rFonts w:ascii="Arial" w:cs="Arial" w:eastAsia="Arial" w:hAnsi="Arial"/>
          <w:sz w:val="19"/>
          <w:szCs w:val="19"/>
          <w:color w:val="auto"/>
        </w:rPr>
        <w:t>The representations and warranties in this subsection shall not apply to statements in or omissions from the Registration Statement (or any amendment thereto), the General Disclosure Package, any Issuer Free Writing Prospectus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third, eleventh and thirteenth paragraphs under the heading “Underwriting” in each case contained in the Prospectus (collectively, the “Underwriter Information”).</w:t>
      </w:r>
    </w:p>
    <w:p>
      <w:pPr>
        <w:spacing w:after="0" w:line="178" w:lineRule="exact"/>
        <w:rPr>
          <w:sz w:val="20"/>
          <w:szCs w:val="20"/>
          <w:color w:val="auto"/>
        </w:rPr>
      </w:pPr>
    </w:p>
    <w:p>
      <w:pPr>
        <w:jc w:val="both"/>
        <w:ind w:left="4" w:firstLine="645"/>
        <w:spacing w:after="0" w:line="249"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21"/>
          <w:szCs w:val="21"/>
          <w:color w:val="auto"/>
        </w:rPr>
        <w:t>. No Issuer Free Writing Prospectus conflicts or will conflict with the</w:t>
      </w:r>
      <w:r>
        <w:rPr>
          <w:rFonts w:ascii="Arial" w:cs="Arial" w:eastAsia="Arial" w:hAnsi="Arial"/>
          <w:sz w:val="18"/>
          <w:szCs w:val="18"/>
          <w:color w:val="auto"/>
        </w:rPr>
        <w:t xml:space="preserve"> </w:t>
      </w:r>
      <w:r>
        <w:rPr>
          <w:rFonts w:ascii="Arial" w:cs="Arial" w:eastAsia="Arial" w:hAnsi="Arial"/>
          <w:sz w:val="21"/>
          <w:szCs w:val="21"/>
          <w:color w:val="auto"/>
        </w:rPr>
        <w:t>information contained in the Registration Statement or the Prospectus, and any preliminary or other prospectus deemed to be a part thereof that has not been superseded or modified. The Company has made available a Bona Fide Electronic Road Show in compliance with Rule 433(d)(8)(ii) such that no filing of any “road show” (as defined in Rule 433(h)) is required in connection with the offering of the Securities.</w:t>
      </w:r>
    </w:p>
    <w:p>
      <w:pPr>
        <w:spacing w:after="0" w:line="205" w:lineRule="exact"/>
        <w:rPr>
          <w:rFonts w:ascii="Arial" w:cs="Arial" w:eastAsia="Arial" w:hAnsi="Arial"/>
          <w:sz w:val="18"/>
          <w:szCs w:val="18"/>
          <w:color w:val="auto"/>
        </w:rPr>
      </w:pPr>
    </w:p>
    <w:p>
      <w:pPr>
        <w:jc w:val="both"/>
        <w:ind w:left="4" w:firstLine="645"/>
        <w:spacing w:after="0" w:line="265" w:lineRule="auto"/>
        <w:tabs>
          <w:tab w:leader="none" w:pos="177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Company Not Ineligible Issuer</w:t>
      </w:r>
      <w:r>
        <w:rPr>
          <w:rFonts w:ascii="Arial" w:cs="Arial" w:eastAsia="Arial" w:hAnsi="Arial"/>
          <w:sz w:val="20"/>
          <w:szCs w:val="20"/>
          <w:color w:val="auto"/>
        </w:rPr>
        <w:t>. At the time of filing the Registration Statement and any post-effective</w:t>
      </w:r>
      <w:r>
        <w:rPr>
          <w:rFonts w:ascii="Arial" w:cs="Arial" w:eastAsia="Arial" w:hAnsi="Arial"/>
          <w:sz w:val="17"/>
          <w:szCs w:val="17"/>
          <w:color w:val="auto"/>
        </w:rPr>
        <w:t xml:space="preserve"> </w:t>
      </w:r>
      <w:r>
        <w:rPr>
          <w:rFonts w:ascii="Arial" w:cs="Arial" w:eastAsia="Arial" w:hAnsi="Arial"/>
          <w:sz w:val="20"/>
          <w:szCs w:val="20"/>
          <w:color w:val="auto"/>
        </w:rPr>
        <w:t>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2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18" w:right="239" w:bottom="1440" w:gutter="0" w:footer="0" w:header="0"/>
        </w:sectPr>
      </w:pPr>
    </w:p>
    <w:bookmarkStart w:id="15" w:name="page16"/>
    <w:bookmarkEnd w:id="15"/>
    <w:p>
      <w:pPr>
        <w:jc w:val="both"/>
        <w:ind w:left="-482" w:firstLine="645"/>
        <w:spacing w:after="0" w:line="290" w:lineRule="auto"/>
        <w:tabs>
          <w:tab w:leader="none" w:pos="92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Due Organization, Valid Existence and Good Standing</w:t>
      </w:r>
      <w:r>
        <w:rPr>
          <w:rFonts w:ascii="Arial" w:cs="Arial" w:eastAsia="Arial" w:hAnsi="Arial"/>
          <w:sz w:val="16"/>
          <w:szCs w:val="16"/>
          <w:color w:val="auto"/>
        </w:rPr>
        <w:t>. Each of the New Fortress Energy Parties and their subsidiaries has been duly organized, is validly existing and in good standing as a limited liability company, limited partnership, corporation or other business entity under the laws of its jurisdiction of organization and is duly qualified to do business and in good standing as a foreign limited liability company, limited partnership,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members’ or stockholders’ equity, properties or business of the New Fortress Energy Parties and their subsidiaries taken as a whole (a “Material Adverse Effect”). Each New Fortress Energy Party and its subsidiaries has all power and authority necessary to own or hold its properties and to conduct the businesses in which it is engaged.</w:t>
      </w:r>
    </w:p>
    <w:p>
      <w:pPr>
        <w:spacing w:after="0" w:line="193" w:lineRule="exact"/>
        <w:rPr>
          <w:rFonts w:ascii="Arial" w:cs="Arial" w:eastAsia="Arial" w:hAnsi="Arial"/>
          <w:sz w:val="16"/>
          <w:szCs w:val="16"/>
          <w:color w:val="auto"/>
        </w:rPr>
      </w:pPr>
    </w:p>
    <w:p>
      <w:pPr>
        <w:jc w:val="both"/>
        <w:ind w:left="-482" w:firstLine="482"/>
        <w:spacing w:after="0" w:line="293" w:lineRule="auto"/>
        <w:tabs>
          <w:tab w:leader="none" w:pos="94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each of the Registration Statement, the General Disclosure Package and the Prospectus, and all of the authorized, issued and outstanding limited liability company interests of the Company have been duly authorized and validly issued and are fully paid and non-assessable. All of the issued and outstanding shares of capital stock or other equity interests of each subsidiary of the New Fortress Energy Parties have been duly authorized and validly issued, are fully paid and non-assessable and are owned directly or indirectly by the New Fortress Energy Parties, free and clear of all liens, encumbrances, equities or claims, except for such liens, encumbrances, equities or claims as could not, in the aggregate, reasonably be expected to have a Material Adverse Effect.</w:t>
      </w:r>
    </w:p>
    <w:p>
      <w:pPr>
        <w:spacing w:after="0" w:line="191" w:lineRule="exact"/>
        <w:rPr>
          <w:rFonts w:ascii="Arial" w:cs="Arial" w:eastAsia="Arial" w:hAnsi="Arial"/>
          <w:sz w:val="16"/>
          <w:szCs w:val="16"/>
          <w:color w:val="auto"/>
        </w:rPr>
      </w:pPr>
    </w:p>
    <w:p>
      <w:pPr>
        <w:jc w:val="both"/>
        <w:ind w:left="-482" w:firstLine="482"/>
        <w:spacing w:after="0" w:line="293" w:lineRule="auto"/>
        <w:tabs>
          <w:tab w:leader="none" w:pos="777"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Authorization and Description of Securities</w:t>
      </w:r>
      <w:r>
        <w:rPr>
          <w:rFonts w:ascii="Arial" w:cs="Arial" w:eastAsia="Arial" w:hAnsi="Arial"/>
          <w:sz w:val="16"/>
          <w:szCs w:val="16"/>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New Fortress Energy Parties. The Class A Shares and the Class B Shares conform in all material respects to all statements relating thereto contained in the Registration Statement, the General Disclosure Package and the Prospectus and such description conforms in all material respects to the rights set forth in the instruments defining the same.</w:t>
      </w:r>
    </w:p>
    <w:p>
      <w:pPr>
        <w:spacing w:after="0" w:line="191" w:lineRule="exact"/>
        <w:rPr>
          <w:rFonts w:ascii="Arial" w:cs="Arial" w:eastAsia="Arial" w:hAnsi="Arial"/>
          <w:sz w:val="16"/>
          <w:szCs w:val="16"/>
          <w:color w:val="auto"/>
        </w:rPr>
      </w:pPr>
    </w:p>
    <w:p>
      <w:pPr>
        <w:jc w:val="both"/>
        <w:ind w:left="-482" w:firstLine="482"/>
        <w:spacing w:after="0" w:line="264" w:lineRule="auto"/>
        <w:tabs>
          <w:tab w:leader="none" w:pos="96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Power and Authority</w:t>
      </w:r>
      <w:r>
        <w:rPr>
          <w:rFonts w:ascii="Arial" w:cs="Arial" w:eastAsia="Arial" w:hAnsi="Arial"/>
          <w:sz w:val="18"/>
          <w:szCs w:val="18"/>
          <w:color w:val="auto"/>
        </w:rPr>
        <w:t>. Each New Fortress Energy Party has all requisite corporate power and authority to execute, deliver and perform its obligations under this Agreement. This Agreement has been duly and validly authorized, executed and delivered by each New Fortress Energy Party.</w:t>
      </w:r>
    </w:p>
    <w:p>
      <w:pPr>
        <w:spacing w:after="0" w:line="235" w:lineRule="exact"/>
        <w:rPr>
          <w:rFonts w:ascii="Arial" w:cs="Arial" w:eastAsia="Arial" w:hAnsi="Arial"/>
          <w:sz w:val="18"/>
          <w:szCs w:val="18"/>
          <w:color w:val="auto"/>
        </w:rPr>
      </w:pPr>
    </w:p>
    <w:p>
      <w:pPr>
        <w:jc w:val="both"/>
        <w:ind w:left="-482" w:firstLine="645"/>
        <w:spacing w:after="0" w:line="264" w:lineRule="auto"/>
        <w:tabs>
          <w:tab w:leader="none" w:pos="92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Authorization of Transaction Documents</w:t>
      </w:r>
      <w:r>
        <w:rPr>
          <w:rFonts w:ascii="Arial" w:cs="Arial" w:eastAsia="Arial" w:hAnsi="Arial"/>
          <w:sz w:val="18"/>
          <w:szCs w:val="18"/>
          <w:color w:val="auto"/>
        </w:rPr>
        <w:t>. Each of (i) the Company Operating Agreement, (ii) the NFI LLC Agreement, (iii) the Contribution Agreement, and (iv) the Shareholders’ Agreement (collectively, the “Transaction Documents” and each individually, a “Transaction Document”) has been duly authorized, executed and delivered by the New Fortress Energy Parties.</w:t>
      </w:r>
    </w:p>
    <w:p>
      <w:pPr>
        <w:spacing w:after="0" w:line="141" w:lineRule="exact"/>
        <w:rPr>
          <w:sz w:val="20"/>
          <w:szCs w:val="20"/>
          <w:color w:val="auto"/>
        </w:rPr>
      </w:pPr>
    </w:p>
    <w:p>
      <w:pPr>
        <w:ind w:left="451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8"/>
          </w:cols>
          <w:pgMar w:left="1382" w:top="368" w:right="239" w:bottom="1440" w:gutter="0" w:footer="0" w:header="0"/>
        </w:sectPr>
      </w:pPr>
    </w:p>
    <w:bookmarkStart w:id="16" w:name="page17"/>
    <w:bookmarkEnd w:id="16"/>
    <w:p>
      <w:pPr>
        <w:ind w:left="-482" w:right="20" w:firstLine="645"/>
        <w:spacing w:after="0" w:line="277" w:lineRule="auto"/>
        <w:tabs>
          <w:tab w:leader="none" w:pos="956"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Description of Transaction Documents</w:t>
      </w:r>
      <w:r>
        <w:rPr>
          <w:rFonts w:ascii="Arial" w:cs="Arial" w:eastAsia="Arial" w:hAnsi="Arial"/>
          <w:sz w:val="18"/>
          <w:szCs w:val="18"/>
          <w:color w:val="auto"/>
        </w:rPr>
        <w:t>. Each Transaction Document conforms in all material respects to the description thereof contained in the Registration Statement, the General Disclosure Package and the Prospectus.</w:t>
      </w:r>
    </w:p>
    <w:p>
      <w:pPr>
        <w:spacing w:after="0" w:line="197" w:lineRule="exact"/>
        <w:rPr>
          <w:rFonts w:ascii="Arial" w:cs="Arial" w:eastAsia="Arial" w:hAnsi="Arial"/>
          <w:sz w:val="18"/>
          <w:szCs w:val="18"/>
          <w:color w:val="auto"/>
        </w:rPr>
      </w:pPr>
    </w:p>
    <w:p>
      <w:pPr>
        <w:jc w:val="both"/>
        <w:ind w:left="-482" w:firstLine="645"/>
        <w:spacing w:after="0" w:line="269" w:lineRule="auto"/>
        <w:tabs>
          <w:tab w:leader="none" w:pos="867"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 with this Agreement</w:t>
      </w:r>
      <w:r>
        <w:rPr>
          <w:rFonts w:ascii="Arial" w:cs="Arial" w:eastAsia="Arial" w:hAnsi="Arial"/>
          <w:sz w:val="17"/>
          <w:szCs w:val="17"/>
          <w:color w:val="auto"/>
        </w:rPr>
        <w:t>. The execution, delivery and performance of this Agreement and the Transaction Documents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will not (i) conflict with or result in a breach or violation of any of the terms or provisions of, impose any lien, charge or encumbrance upon any property or assets of the New Fortress Energy Parties or their respective subsidiaries, or constitute a default under, any indenture, mortgage, deed of trust, loan agreement, license, lease or other agreement or instrument to which any New Fortress Energy Party or its subsidiaries is a party or by which any New Fortress Energy Party or its subsidiaries is bound or to which any of the property or assets of any New Fortress Energy Party or its subsidiaries is subject, (ii) result in any violation of the provisions of the charter or bylaws (or similar organizational documents) of any New Fortress Energy Party or its subsidiaries, or (iii) result in any violation of any statute or any judgment, order, decree, rule or regulation of any court or governmental agency or body having jurisdiction over any New Fortress Energy Party or its subsidiaries or any of their properties or assets, except, with respect to clauses (i) and (iii), conflicts or violations that would not reasonably be expected to have a Material Adverse Effect.</w:t>
      </w:r>
    </w:p>
    <w:p>
      <w:pPr>
        <w:spacing w:after="0" w:line="206" w:lineRule="exact"/>
        <w:rPr>
          <w:rFonts w:ascii="Arial" w:cs="Arial" w:eastAsia="Arial" w:hAnsi="Arial"/>
          <w:sz w:val="17"/>
          <w:szCs w:val="17"/>
          <w:color w:val="auto"/>
        </w:rPr>
      </w:pPr>
    </w:p>
    <w:p>
      <w:pPr>
        <w:jc w:val="both"/>
        <w:ind w:left="-482" w:firstLine="482"/>
        <w:spacing w:after="0" w:line="290" w:lineRule="auto"/>
        <w:tabs>
          <w:tab w:leader="none" w:pos="81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consent, approval, authorization or order of, or filing, registration or qualification with, any court or governmental agency or body having jurisdiction over the New Fortress Energy Parties or their subsidiaries or any of their properties or assets is required for the execution, delivery and performance by the New Fortress Energy Parties of this Agreement or the Transaction Documents, the application of the proceeds from the sale of the Securities as described under “Use of Proceeds” in each of the Registration Statement, the General Disclosure Package and the Prospectus and the consummation by the New Fortress Energy Parties of the transactions contemplated hereby and thereby, except (A) such as have been already obtained or as may be required under the 1933 Act, the 1933 Act Regulations, the rules of the Nasdaq Global Select Market, state securities or Blue Sky laws or the rules of the Financial Industry Regulatory Authority (“FINRA”), and (B) such consents, approvals, authorizations or orders that would not, in the aggregate, reasonably be expected to have a Material Adverse Effect.</w:t>
      </w:r>
    </w:p>
    <w:p>
      <w:pPr>
        <w:spacing w:after="0" w:line="193" w:lineRule="exact"/>
        <w:rPr>
          <w:rFonts w:ascii="Arial" w:cs="Arial" w:eastAsia="Arial" w:hAnsi="Arial"/>
          <w:sz w:val="16"/>
          <w:szCs w:val="16"/>
          <w:color w:val="auto"/>
        </w:rPr>
      </w:pPr>
    </w:p>
    <w:p>
      <w:pPr>
        <w:jc w:val="both"/>
        <w:ind w:left="-482" w:firstLine="482"/>
        <w:spacing w:after="0" w:line="264"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41" w:lineRule="exact"/>
        <w:rPr>
          <w:sz w:val="20"/>
          <w:szCs w:val="20"/>
          <w:color w:val="auto"/>
        </w:rPr>
      </w:pPr>
    </w:p>
    <w:p>
      <w:pPr>
        <w:ind w:left="451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78"/>
          </w:cols>
          <w:pgMar w:left="1382" w:top="152" w:right="239" w:bottom="1440" w:gutter="0" w:footer="0" w:header="0"/>
        </w:sectPr>
      </w:pPr>
    </w:p>
    <w:bookmarkStart w:id="17" w:name="page18"/>
    <w:bookmarkEnd w:id="17"/>
    <w:p>
      <w:pPr>
        <w:ind w:left="-540" w:right="20" w:firstLine="645"/>
        <w:spacing w:after="0" w:line="264" w:lineRule="auto"/>
        <w:tabs>
          <w:tab w:leader="none" w:pos="99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Related-Party Transactions</w:t>
      </w:r>
      <w:r>
        <w:rPr>
          <w:rFonts w:ascii="Arial" w:cs="Arial" w:eastAsia="Arial" w:hAnsi="Arial"/>
          <w:sz w:val="18"/>
          <w:szCs w:val="18"/>
          <w:color w:val="auto"/>
        </w:rPr>
        <w:t>. There are no business relationships or related-party transactions involving any New Fortress Energy Party or any of its subsidiaries or any related person as defined under Item 404 of Regulation S-K required to be described in the Registration Statement, the General Disclosure Package or the Prospectus that have not been described as required.</w:t>
      </w:r>
    </w:p>
    <w:p>
      <w:pPr>
        <w:spacing w:after="0" w:line="208" w:lineRule="exact"/>
        <w:rPr>
          <w:rFonts w:ascii="Arial" w:cs="Arial" w:eastAsia="Arial" w:hAnsi="Arial"/>
          <w:sz w:val="18"/>
          <w:szCs w:val="18"/>
          <w:color w:val="auto"/>
        </w:rPr>
      </w:pPr>
    </w:p>
    <w:p>
      <w:pPr>
        <w:jc w:val="both"/>
        <w:ind w:left="-540" w:firstLine="645"/>
        <w:spacing w:after="0" w:line="287" w:lineRule="auto"/>
        <w:tabs>
          <w:tab w:leader="none" w:pos="90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historical financial statements (including the related notes and supporting schedules) included in the Registration Statement, the General Disclosure Package and the Prospectus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(“GAAP”) applied on a consistent basis throughout the periods involved except for any annual year-end adjustment, the adoption of new accounting principles, and except as otherwise noted therein. The supporting schedules, if any, present fairly in accordance with GAAP the information required to be stated therein. The selected financial data and the summary financial information included in the Registration Statement, the General Disclosure Package and the Prospectus present fairly the information shown therein and have been compiled on a basis consistent with that of the audited financial statements included therein. All disclosures contained in the Registration Statement, the General Disclosure Package or the Prospectus, regarding “non-GAAP financial measures” (as such term is defined by the rules and regulations of the Commission) comply with Regulation G of the Securities Exchange Act of 1934, as amended (the “1934 Act”) and Item 10 of Regulation S-K of the 1933 Act, to the extent applicable.</w:t>
      </w:r>
    </w:p>
    <w:p>
      <w:pPr>
        <w:spacing w:after="0" w:line="226" w:lineRule="exact"/>
        <w:rPr>
          <w:rFonts w:ascii="Arial" w:cs="Arial" w:eastAsia="Arial" w:hAnsi="Arial"/>
          <w:sz w:val="16"/>
          <w:szCs w:val="16"/>
          <w:color w:val="auto"/>
        </w:rPr>
      </w:pPr>
    </w:p>
    <w:p>
      <w:pPr>
        <w:jc w:val="both"/>
        <w:ind w:left="-540" w:firstLine="645"/>
        <w:spacing w:after="0" w:line="257" w:lineRule="auto"/>
        <w:tabs>
          <w:tab w:leader="none" w:pos="78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“Emerging Growth Company”). “Testing-the-Waters Communication” means any oral or written communication with potential investors undertaken in reliance on Section 5(d) of the 1933 Act.</w:t>
      </w:r>
    </w:p>
    <w:p>
      <w:pPr>
        <w:spacing w:after="0" w:line="242" w:lineRule="exact"/>
        <w:rPr>
          <w:rFonts w:ascii="Arial" w:cs="Arial" w:eastAsia="Arial" w:hAnsi="Arial"/>
          <w:sz w:val="18"/>
          <w:szCs w:val="18"/>
          <w:color w:val="auto"/>
        </w:rPr>
      </w:pPr>
    </w:p>
    <w:p>
      <w:pPr>
        <w:jc w:val="both"/>
        <w:ind w:left="-540" w:firstLine="645"/>
        <w:spacing w:after="0" w:line="291" w:lineRule="auto"/>
        <w:tabs>
          <w:tab w:leader="none" w:pos="72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Testing-the-Waters Communications</w:t>
      </w:r>
      <w:r>
        <w:rPr>
          <w:rFonts w:ascii="Arial" w:cs="Arial" w:eastAsia="Arial" w:hAnsi="Arial"/>
          <w:sz w:val="16"/>
          <w:szCs w:val="16"/>
          <w:color w:val="auto"/>
        </w:rPr>
        <w:t>. The Company (i) has not alone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and (ii) has not authorized anyone other than the Representatives to engage in Testing-the-Waters Communications. The Company reconfirms that Morgan Stanley has been authorized to act on its behalf in undertaking Testing-the-Waters Communications. The Company has not distributed any Written Testing-the-Waters Communications other than those listed on Schedule C hereto. “Written Testing-the-Waters Communication” means any Testing-the-Waters Communication that is a written communication within the meaning of Rule 405 under the 1933 Act.</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 w:name="page19"/>
    <w:bookmarkEnd w:id="18"/>
    <w:p>
      <w:pPr>
        <w:jc w:val="both"/>
        <w:ind w:left="4" w:firstLine="645"/>
        <w:spacing w:after="0" w:line="284" w:lineRule="auto"/>
        <w:tabs>
          <w:tab w:leader="none" w:pos="1386"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Distributions</w:t>
      </w:r>
      <w:r>
        <w:rPr>
          <w:rFonts w:ascii="Arial" w:cs="Arial" w:eastAsia="Arial" w:hAnsi="Arial"/>
          <w:sz w:val="16"/>
          <w:szCs w:val="16"/>
          <w:color w:val="auto"/>
        </w:rPr>
        <w:t>. At the Closing Date, and after giving effect to the Transactions, no subsidiary of any New Fortress Energy Party is prohibited or restricted, directly or indirectly, from paying distributions or dividends to any New Fortress Energy Party, or from making any other distribution with respect to such subsidiary’s equity securities or from repaying to any New Fortress Energy Party or any other subsidiary of the New Fortress Energy Parties any amounts that may from time to time become due under any loans or advances to such subsidiary from any New Fortress Energy Party or from transferring any property or assets to any New Fortress Energy Party or to any other subsidiary, except (i) as described in or contemplated by the Registration Statement, the General Disclosure Package and the Prospectus (including any amendment or supplement thereto),</w:t>
      </w:r>
    </w:p>
    <w:p>
      <w:pPr>
        <w:spacing w:after="0" w:line="4" w:lineRule="exact"/>
        <w:rPr>
          <w:rFonts w:ascii="Arial" w:cs="Arial" w:eastAsia="Arial" w:hAnsi="Arial"/>
          <w:sz w:val="16"/>
          <w:szCs w:val="16"/>
          <w:color w:val="auto"/>
        </w:rPr>
      </w:pPr>
    </w:p>
    <w:p>
      <w:pPr>
        <w:jc w:val="both"/>
        <w:ind w:left="4" w:hanging="4"/>
        <w:spacing w:after="0" w:line="255"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prohibitions mandated by the laws of each such subsidiary’s jurisdiction of formation and the NFI LLC Agreement and the organizational documents of such subsidiaries, as applicable, (iii) for such prohibitions arising under the debt agreements of such subsidiaries and (iv) where such prohibition would not, individually or in the aggregate, have a Material Adverse Effect.</w:t>
      </w:r>
    </w:p>
    <w:p>
      <w:pPr>
        <w:spacing w:after="0" w:line="217" w:lineRule="exact"/>
        <w:rPr>
          <w:rFonts w:ascii="Arial" w:cs="Arial" w:eastAsia="Arial" w:hAnsi="Arial"/>
          <w:sz w:val="18"/>
          <w:szCs w:val="18"/>
          <w:color w:val="auto"/>
        </w:rPr>
      </w:pPr>
    </w:p>
    <w:p>
      <w:pPr>
        <w:jc w:val="both"/>
        <w:ind w:left="4" w:firstLine="645"/>
        <w:spacing w:after="0" w:line="259" w:lineRule="auto"/>
        <w:tabs>
          <w:tab w:leader="none" w:pos="1344"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Independent Auditors</w:t>
      </w:r>
      <w:r>
        <w:rPr>
          <w:rFonts w:ascii="Arial" w:cs="Arial" w:eastAsia="Arial" w:hAnsi="Arial"/>
          <w:sz w:val="18"/>
          <w:szCs w:val="18"/>
          <w:color w:val="auto"/>
        </w:rPr>
        <w:t>. Ernst &amp; Young LLP, which have audited certain financial statements of the Company, the reports of which appear in the Registration Statement, the General Disclosure Package and the Prospectus and which have delivered the initial letter referred to in Section 5(f) hereof, are independent auditors with respect to the Company under Rule 101 of the American Institute of Certified Public Accounts’ Code of Professional Conduct, and its related interpretation and ruling.</w:t>
      </w:r>
    </w:p>
    <w:p>
      <w:pPr>
        <w:spacing w:after="0" w:line="213" w:lineRule="exact"/>
        <w:rPr>
          <w:rFonts w:ascii="Arial" w:cs="Arial" w:eastAsia="Arial" w:hAnsi="Arial"/>
          <w:sz w:val="18"/>
          <w:szCs w:val="18"/>
          <w:color w:val="auto"/>
        </w:rPr>
      </w:pPr>
    </w:p>
    <w:p>
      <w:pPr>
        <w:jc w:val="both"/>
        <w:ind w:left="4" w:firstLine="645"/>
        <w:spacing w:after="0" w:line="288" w:lineRule="auto"/>
        <w:tabs>
          <w:tab w:leader="none" w:pos="1447"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Each New Fortress Energy Party and its subsidiaries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w:t>
      </w:r>
    </w:p>
    <w:p>
      <w:pPr>
        <w:jc w:val="both"/>
        <w:ind w:left="4"/>
        <w:spacing w:after="0" w:line="281" w:lineRule="auto"/>
        <w:rPr>
          <w:rFonts w:ascii="Arial" w:cs="Arial" w:eastAsia="Arial" w:hAnsi="Arial"/>
          <w:sz w:val="16"/>
          <w:szCs w:val="16"/>
          <w:color w:val="auto"/>
        </w:rPr>
      </w:pPr>
      <w:r>
        <w:rPr>
          <w:rFonts w:ascii="Arial" w:cs="Arial" w:eastAsia="Arial" w:hAnsi="Arial"/>
          <w:sz w:val="16"/>
          <w:szCs w:val="16"/>
          <w:color w:val="auto"/>
        </w:rPr>
        <w:t>(C)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any New Fortress Energy Party’s internal control over financial reporting (whether or not remediated) and</w:t>
      </w:r>
    </w:p>
    <w:p>
      <w:pPr>
        <w:spacing w:after="0" w:line="2" w:lineRule="exact"/>
        <w:rPr>
          <w:rFonts w:ascii="Arial" w:cs="Arial" w:eastAsia="Arial" w:hAnsi="Arial"/>
          <w:sz w:val="16"/>
          <w:szCs w:val="16"/>
          <w:color w:val="auto"/>
        </w:rPr>
      </w:pPr>
    </w:p>
    <w:p>
      <w:pPr>
        <w:ind w:left="4"/>
        <w:spacing w:after="0" w:line="261" w:lineRule="auto"/>
        <w:rPr>
          <w:rFonts w:ascii="Arial" w:cs="Arial" w:eastAsia="Arial" w:hAnsi="Arial"/>
          <w:sz w:val="16"/>
          <w:szCs w:val="16"/>
          <w:color w:val="auto"/>
        </w:rPr>
      </w:pPr>
      <w:r>
        <w:rPr>
          <w:rFonts w:ascii="Arial" w:cs="Arial" w:eastAsia="Arial" w:hAnsi="Arial"/>
          <w:sz w:val="18"/>
          <w:szCs w:val="18"/>
          <w:color w:val="auto"/>
        </w:rPr>
        <w:t>(2) no change in the any New Fortress Energy Party’s internal control over financial reporting that has materially affected, or is reasonably likely to materially affect, such New Fortress Energy Party’s internal control over financial reporting.</w:t>
      </w:r>
    </w:p>
    <w:p>
      <w:pPr>
        <w:spacing w:after="0" w:line="210" w:lineRule="exact"/>
        <w:rPr>
          <w:rFonts w:ascii="Arial" w:cs="Arial" w:eastAsia="Arial" w:hAnsi="Arial"/>
          <w:sz w:val="16"/>
          <w:szCs w:val="16"/>
          <w:color w:val="auto"/>
        </w:rPr>
      </w:pPr>
    </w:p>
    <w:p>
      <w:pPr>
        <w:jc w:val="both"/>
        <w:ind w:left="4" w:firstLine="482"/>
        <w:spacing w:after="0" w:line="284" w:lineRule="auto"/>
        <w:tabs>
          <w:tab w:leader="none" w:pos="156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No Material Changes</w:t>
      </w:r>
      <w:r>
        <w:rPr>
          <w:rFonts w:ascii="Arial" w:cs="Arial" w:eastAsia="Arial" w:hAnsi="Arial"/>
          <w:sz w:val="16"/>
          <w:szCs w:val="16"/>
          <w:color w:val="auto"/>
        </w:rPr>
        <w:t>. Except as described in each of the Registration Statement, the General Disclosure Package and the Prospectus, since the date of the latest audited financial statements included in the Registration Statement, the General Disclosure Package and the Prospectus, no New Fortress Energy Party or its subsidiaries has (A) sustained any material loss or interference with its business from fire, explosion, flood or other calamity, whether or not covered by insurance, or from any labor disturbance or dispute or court or governmental action, order or decree, (B) issued or granted any equity securities, (C) incurred any material liability or obligation, direct or contingent, other than liabilities and obligations that were incurred in the ordinary course of business, (D) entered into any material transaction not in the ordinary course of business,</w:t>
      </w:r>
    </w:p>
    <w:p>
      <w:pPr>
        <w:spacing w:after="0" w:line="4" w:lineRule="exact"/>
        <w:rPr>
          <w:rFonts w:ascii="Arial" w:cs="Arial" w:eastAsia="Arial" w:hAnsi="Arial"/>
          <w:sz w:val="16"/>
          <w:szCs w:val="16"/>
          <w:color w:val="auto"/>
        </w:rPr>
      </w:pPr>
    </w:p>
    <w:p>
      <w:pPr>
        <w:jc w:val="both"/>
        <w:ind w:left="4"/>
        <w:spacing w:after="0" w:line="271" w:lineRule="auto"/>
        <w:rPr>
          <w:rFonts w:ascii="Arial" w:cs="Arial" w:eastAsia="Arial" w:hAnsi="Arial"/>
          <w:sz w:val="16"/>
          <w:szCs w:val="16"/>
          <w:color w:val="auto"/>
        </w:rPr>
      </w:pPr>
      <w:r>
        <w:rPr>
          <w:rFonts w:ascii="Arial" w:cs="Arial" w:eastAsia="Arial" w:hAnsi="Arial"/>
          <w:sz w:val="17"/>
          <w:szCs w:val="17"/>
          <w:color w:val="auto"/>
        </w:rPr>
        <w:t>(E) declared or paid any dividend on its limited liability company interests, capital stock or other equity interests, and (F) since such date, there has not been any change in the capital stock, limited partnership or membership interests, as applicable, or short- or long-term debt of any New Fortress Energy Party or its subsidiaries or any adverse change in or affecting the condition (financial or otherwise), results of operations, members’ or stockholders’ equity, properties, management or business of the New Fortress Energy Parties or their subsidiaries, taken as a whole, in each case except as could not, in the aggregate, reasonably be expected to have a Material Adverse Effect.</w:t>
      </w:r>
    </w:p>
    <w:p>
      <w:pPr>
        <w:spacing w:after="0" w:line="3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19" w:name="page20"/>
    <w:bookmarkEnd w:id="19"/>
    <w:p>
      <w:pPr>
        <w:jc w:val="both"/>
        <w:ind w:left="-320" w:firstLine="482"/>
        <w:spacing w:after="0" w:line="290" w:lineRule="auto"/>
        <w:tabs>
          <w:tab w:leader="none" w:pos="103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Each New Fortress Energy Party and its subsidiaries have (i) good and marketable title in fee simple to all real property and (ii) good and marketable title to all personal property owned by them, in each case free and clear of all liens, encumbrances, equities and claims, except such liens, encumbrances, equities and claims as are described in the Registration Statement, the General Disclosure Package and the Prospectus or which would not reasonably be expected to have a Material Adverse Effect, and do not interfere with the use made and proposed to be made of any property by such New Fortress Energy Party or its subsidiaries; and any real property and buildings held under lease by any New Fortress Energy Party or any of its subsidiaries are held by them under valid, subsisting and enforceable leases with such exceptions as are not material and do not interfere with the use made and proposed to be made of such property and buildings by such New Fortress Energy Party or such subsidiary, in each case except as described in the Registration Statement, the General Disclosure Package and the Prospectus.</w:t>
      </w:r>
    </w:p>
    <w:p>
      <w:pPr>
        <w:spacing w:after="0" w:line="220" w:lineRule="exact"/>
        <w:rPr>
          <w:rFonts w:ascii="Arial" w:cs="Arial" w:eastAsia="Arial" w:hAnsi="Arial"/>
          <w:sz w:val="16"/>
          <w:szCs w:val="16"/>
          <w:color w:val="auto"/>
        </w:rPr>
      </w:pPr>
    </w:p>
    <w:p>
      <w:pPr>
        <w:jc w:val="both"/>
        <w:ind w:left="-320" w:firstLine="320"/>
        <w:spacing w:after="0" w:line="269" w:lineRule="auto"/>
        <w:tabs>
          <w:tab w:leader="none" w:pos="119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Rights-of-way</w:t>
      </w:r>
      <w:r>
        <w:rPr>
          <w:rFonts w:ascii="Arial" w:cs="Arial" w:eastAsia="Arial" w:hAnsi="Arial"/>
          <w:sz w:val="17"/>
          <w:szCs w:val="17"/>
          <w:color w:val="auto"/>
        </w:rPr>
        <w:t>. Each New Fortress Energy Party and its subsidiaries have such consents, easements, rights-of-way or licenses from any person (“rights-of-way”) as are necessary to conduct their businesses in the manner described in the Registration Statement, the General Disclosure Package and the Prospectus, subject to such qualifications as may be set forth in the Registration Statement, the General Disclosure Package and the Prospectus and except for such rights-of-way the failure of which to have obtained would not have, individually or in the aggregate, a Material Adverse Effect; each of the New Fortress Energy Parties and their respective subsidiaries have fulfilled and performed all their material obligations with respect to such rights-of-way and no event has occurred which allows, or after notice or lapse of time would allow, revocation or termination thereof or would result in any impairment of the rights of the holder of any such rights-of-way, except for such revocations, termination and impairments that will not have a Material Adverse Effect, subject in each case to such qualification as may be set forth in the Registration Statement, the General Disclosure Package and the Prospectus; and, except as described in the Registration Statement, the General Disclosure Package and the Prospectus, none of such rights-of-way contains any restriction that is materially burdensome to the New Fortress Energy Parties and their subsidiaries, taken as a whole.</w:t>
      </w:r>
    </w:p>
    <w:p>
      <w:pPr>
        <w:spacing w:after="0" w:line="14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125" w:right="239" w:bottom="1440" w:gutter="0" w:footer="0" w:header="0"/>
        </w:sectPr>
      </w:pPr>
    </w:p>
    <w:bookmarkStart w:id="20" w:name="page21"/>
    <w:bookmarkEnd w:id="20"/>
    <w:p>
      <w:pPr>
        <w:jc w:val="both"/>
        <w:ind w:left="-320" w:firstLine="482"/>
        <w:spacing w:after="0" w:line="269" w:lineRule="auto"/>
        <w:tabs>
          <w:tab w:leader="none" w:pos="1069"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Each of the New Fortress Energy Parties and each of their respective subsidiaries has such permits, licenses, patents, franchises, certificates of need and other approvals or authorizations of governmental or regulatory authorities (“Permits”) as are necessary under applicable law to own their properties and conduct their businesses in the manner described in the Registration Statement, the General Disclosure Package and the Prospectus, except for any of the foregoing that could not, singly or in the aggregate, reasonably be expected to have a Material Adverse Effect. Each of the New Fortress Energy Parties and each of their respective subsidiaries has fulfilled and performed all of their obligations with respect to the Permits, and no event has occurred that allows, or after notice or lapse of time would allow, revocation or termination thereof or results in any other impairment of the rights of the holder or any such Permits, except for any of the foregoing that could not reasonably be expected to have a Material Adverse Effect or except as described in the Registration Statement, the General Disclosure Package and the Prospectus. Neither the New Fortress Energy Parties nor their respective subsidiaries has received notice of any revocation or modification of any such Permits or has reason to believe that any such Permits will not be renewed in the ordinary course, except for any of the foregoing that could not reasonably be expected to have a Material Adverse Effect.</w:t>
      </w:r>
    </w:p>
    <w:p>
      <w:pPr>
        <w:spacing w:after="0" w:line="209" w:lineRule="exact"/>
        <w:rPr>
          <w:rFonts w:ascii="Arial" w:cs="Arial" w:eastAsia="Arial" w:hAnsi="Arial"/>
          <w:sz w:val="17"/>
          <w:szCs w:val="17"/>
          <w:color w:val="auto"/>
        </w:rPr>
      </w:pPr>
    </w:p>
    <w:p>
      <w:pPr>
        <w:jc w:val="both"/>
        <w:ind w:left="-320" w:firstLine="320"/>
        <w:spacing w:after="0" w:line="219" w:lineRule="exact"/>
        <w:tabs>
          <w:tab w:leader="none" w:pos="115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Each New Fortress Energy Party and its subsidiaries own or possess, or can acquire on reasonable terms, all patents, patent rights, licenses, inventions, copyrights, know</w:t>
      </w:r>
      <w:r>
        <w:rPr>
          <w:rFonts w:ascii="MS PGothic" w:cs="MS PGothic" w:eastAsia="MS PGothic" w:hAnsi="MS PGothic"/>
          <w:sz w:val="17"/>
          <w:szCs w:val="17"/>
          <w:color w:val="auto"/>
        </w:rPr>
        <w:t>‑</w:t>
      </w:r>
      <w:r>
        <w:rPr>
          <w:rFonts w:ascii="Arial" w:cs="Arial" w:eastAsia="Arial" w:hAnsi="Arial"/>
          <w:sz w:val="17"/>
          <w:szCs w:val="17"/>
          <w:color w:val="auto"/>
        </w:rPr>
        <w:t>how (including trade secrets and other unpatented and/or unpatentable proprietary or confidential information, systems or procedures), trademarks, service marks and trade names currently employed by them in connection with the business now operated by them, and none of the New Fortress Energy Parties or any of their respective subsidiaries has received any notice of infringement of or conflict with asserted rights of others with respect to any of the foregoing which, singly or in the aggregate, if the subject of an unfavorable decision, ruling or finding, would have a Material Adverse Effect.</w:t>
      </w:r>
    </w:p>
    <w:p>
      <w:pPr>
        <w:spacing w:after="0" w:line="229" w:lineRule="exact"/>
        <w:rPr>
          <w:rFonts w:ascii="Arial" w:cs="Arial" w:eastAsia="Arial" w:hAnsi="Arial"/>
          <w:sz w:val="17"/>
          <w:szCs w:val="17"/>
          <w:color w:val="auto"/>
        </w:rPr>
      </w:pPr>
    </w:p>
    <w:p>
      <w:pPr>
        <w:jc w:val="both"/>
        <w:ind w:left="-320" w:firstLine="320"/>
        <w:spacing w:after="0" w:line="255" w:lineRule="auto"/>
        <w:tabs>
          <w:tab w:leader="none" w:pos="103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described in the Registration Statement, the General Disclosure Package and the Prospectus, there are no legal or governmental proceedings pending to which the New Fortress Energy Parties or any of their subsidiaries are a party or of which any property or assets of the New Fortress Energy Parties or their respective subsidiaries are the subject that could, singly or in the aggregate, reasonably be expected to have a Material Adverse Effect or could, singly or in the aggregate, reasonably be expected to have a material adverse effect on the performance by the New Fortress Energy Parties of their obligations under this Agreement or the consummation of any of the transactions contemplated hereby. To the knowledge of the New Fortress Energy Parties, no such proceedings are threatened by governmental authorities or others.</w:t>
      </w:r>
    </w:p>
    <w:p>
      <w:pPr>
        <w:spacing w:after="0" w:line="216" w:lineRule="exact"/>
        <w:rPr>
          <w:sz w:val="20"/>
          <w:szCs w:val="20"/>
          <w:color w:val="auto"/>
        </w:rPr>
      </w:pPr>
    </w:p>
    <w:p>
      <w:pPr>
        <w:jc w:val="both"/>
        <w:ind w:left="-320" w:firstLine="365"/>
        <w:spacing w:after="0" w:line="255" w:lineRule="auto"/>
        <w:tabs>
          <w:tab w:leader="none" w:pos="97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Authorization of Descriptions of Proceedings</w:t>
      </w:r>
      <w:r>
        <w:rPr>
          <w:rFonts w:ascii="Arial" w:cs="Arial" w:eastAsia="Arial" w:hAnsi="Arial"/>
          <w:sz w:val="18"/>
          <w:szCs w:val="18"/>
          <w:color w:val="auto"/>
        </w:rPr>
        <w:t>. The statements made in the Registration Statement, the General Disclosure Package and the Prospectus under the captions “Risk Factors—Risks Related to Our Business,” “Risk Factors—Risks Inherent in an Investment in Us,” “Certain Relationships and Related Transactions,” “Business—Government Regulation,” “Business—Legal Proceedings” and “Description of Shares”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15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125" w:right="239" w:bottom="1440" w:gutter="0" w:footer="0" w:header="0"/>
        </w:sectPr>
      </w:pPr>
    </w:p>
    <w:bookmarkStart w:id="21" w:name="page22"/>
    <w:bookmarkEnd w:id="21"/>
    <w:p>
      <w:pPr>
        <w:jc w:val="both"/>
        <w:ind w:left="4" w:firstLine="437"/>
        <w:spacing w:after="0" w:line="293" w:lineRule="auto"/>
        <w:tabs>
          <w:tab w:leader="none" w:pos="1465"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Each New Fortress Energy Party and its subsidiaries are insured by insurers of recognized financial responsibility against such losses and risks and in such amounts as are prudent and customary in the businesses in which they are engaged; none of the New Fortress Energy Parties or any of their subsidiaries have been refused any insurance coverage sought or applied for; and none of the New Fortress Energy Parties or any of their subsidiaries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described in the Registration Statement, the General Disclosure Package and the Prospectus.</w:t>
      </w:r>
    </w:p>
    <w:p>
      <w:pPr>
        <w:spacing w:after="0" w:line="191" w:lineRule="exact"/>
        <w:rPr>
          <w:rFonts w:ascii="Arial" w:cs="Arial" w:eastAsia="Arial" w:hAnsi="Arial"/>
          <w:sz w:val="16"/>
          <w:szCs w:val="16"/>
          <w:color w:val="auto"/>
        </w:rPr>
      </w:pPr>
    </w:p>
    <w:p>
      <w:pPr>
        <w:jc w:val="both"/>
        <w:ind w:left="4" w:firstLine="482"/>
        <w:spacing w:after="0" w:line="259" w:lineRule="auto"/>
        <w:tabs>
          <w:tab w:leader="none" w:pos="1298"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any New Fortress Energy Party or any of its subsidiaries exists, or, to the knowledge of the New Fortress Energy Parties, is imminent that could have a Material Adverse Effect; and the New Fortress Energy Parties are not aware of any existing, threatened or imminent labor disturbance by the employees of any of their principal suppliers, manufacturers or contractors that could have a Material Adverse Effect.</w:t>
      </w:r>
    </w:p>
    <w:p>
      <w:pPr>
        <w:spacing w:after="0" w:line="213" w:lineRule="exact"/>
        <w:rPr>
          <w:rFonts w:ascii="Arial" w:cs="Arial" w:eastAsia="Arial" w:hAnsi="Arial"/>
          <w:sz w:val="18"/>
          <w:szCs w:val="18"/>
          <w:color w:val="auto"/>
        </w:rPr>
      </w:pPr>
    </w:p>
    <w:p>
      <w:pPr>
        <w:jc w:val="both"/>
        <w:ind w:left="4" w:firstLine="482"/>
        <w:spacing w:after="0" w:line="284" w:lineRule="auto"/>
        <w:tabs>
          <w:tab w:leader="none" w:pos="1371"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Absence of Violations, Defaults and Conflicts by the New Fortress Energy Parties and their Subsidiaries Generally</w:t>
      </w:r>
      <w:r>
        <w:rPr>
          <w:rFonts w:ascii="Arial" w:cs="Arial" w:eastAsia="Arial" w:hAnsi="Arial"/>
          <w:sz w:val="16"/>
          <w:szCs w:val="16"/>
          <w:color w:val="auto"/>
        </w:rPr>
        <w:t>. None of the New Fortress Energy Parties nor any of their respective subsidiaries (A) is in violation of its charter, certificate of formation, bylaws, limited partnership agreement or limited liability company agreement (or similar organizational documents), (B) is in default, and no event has occurred that, with notice or lapse of time or both, would constitute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(C)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w:t>
      </w:r>
    </w:p>
    <w:p>
      <w:pPr>
        <w:spacing w:after="0" w:line="1" w:lineRule="exact"/>
        <w:rPr>
          <w:rFonts w:ascii="Arial" w:cs="Arial" w:eastAsia="Arial" w:hAnsi="Arial"/>
          <w:sz w:val="16"/>
          <w:szCs w:val="16"/>
          <w:color w:val="auto"/>
        </w:rPr>
      </w:pPr>
    </w:p>
    <w:p>
      <w:pPr>
        <w:ind w:left="4" w:right="20" w:hanging="4"/>
        <w:spacing w:after="0" w:line="261" w:lineRule="auto"/>
        <w:tabs>
          <w:tab w:leader="none" w:pos="3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(C), to the extent any such conflict, breach, violation or default could not, singly or in the aggregate, reasonably be expected to have a Material Adverse Effect.</w:t>
      </w:r>
    </w:p>
    <w:p>
      <w:pPr>
        <w:spacing w:after="0" w:line="14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2" w:name="page23"/>
    <w:bookmarkEnd w:id="22"/>
    <w:p>
      <w:pPr>
        <w:ind w:left="1080" w:hanging="975"/>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Except as described in the Registration Statement, the General Disclosure Package and the Prospectus:</w:t>
      </w:r>
    </w:p>
    <w:p>
      <w:pPr>
        <w:spacing w:after="0" w:line="252" w:lineRule="exact"/>
        <w:rPr>
          <w:sz w:val="20"/>
          <w:szCs w:val="20"/>
          <w:color w:val="auto"/>
        </w:rPr>
      </w:pPr>
    </w:p>
    <w:p>
      <w:pPr>
        <w:jc w:val="both"/>
        <w:ind w:left="-540" w:firstLine="645"/>
        <w:spacing w:after="0" w:line="267" w:lineRule="auto"/>
        <w:tabs>
          <w:tab w:leader="none" w:pos="4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New Fortress Energy Parties and their subsidiaries (i) are in compliance with any and all applicable foreign, federal, state and local laws, rules, regulations, requirements, decisions, judgments, decrees, orders and the common law relating to the protection of the environment, natural resources, wildlife or human health or safety, including, without limitation, those relating to the Release (as defined below) or threat of Release of Hazardous Materials (as defined below) or to the manufacture, processing, distribution, use, treatment, storage, disposal, transport or handling of Hazardous Materials (collectively, “Environmental Laws”), (ii) have applied for or received and are in compliance with all permits, licenses, certificates or other authorizations or approvals required of them under applicable Environmental Laws to conduct their respective businesses, (iii) have not received written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(iv) are not subject to any written or, to the knowledge of the New Fortress Energy Parties, threatened adverse claim by any governmental agency or government body or other person relating to Environmental Laws or Hazardous Materials and (v) to the knowledge of the New Fortress Energy Parties, does not have any liability in connection with the Release into the environment of any Hazardous Material, except where such failure to comply with Environmental Laws in clause (i) above, such failure to receive required permits in clause (ii) above, such failure to comply with the terms and conditions of such permits in clause (iii) above, and such claims in clause (iv) above would not have a Material Adverse Effect on the New Fortress Energy Parties and their subsidiaries, taken as a whole.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215" w:lineRule="exact"/>
        <w:rPr>
          <w:rFonts w:ascii="Arial" w:cs="Arial" w:eastAsia="Arial" w:hAnsi="Arial"/>
          <w:sz w:val="17"/>
          <w:szCs w:val="17"/>
          <w:color w:val="auto"/>
        </w:rPr>
      </w:pPr>
    </w:p>
    <w:p>
      <w:pPr>
        <w:jc w:val="both"/>
        <w:ind w:left="-540" w:firstLine="645"/>
        <w:spacing w:after="0" w:line="257" w:lineRule="auto"/>
        <w:tabs>
          <w:tab w:leader="none" w:pos="3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no proceedings that are pending, or that are known to be contemplated, against any of the New Fortress Energy Parties or any of their subsidiaries under any Environmental Laws and the New Fortress Energy Parties and their subsidiaries are not aware of any facts or issues regarding compliance with Environmental Laws, or liabilities or other obligations under Environmental Laws, including the Release or threat of Release of Hazardous Materials, that could, singly or in the aggregate, have a Material Adverse Effect on the New Fortress Energy Parties and their subsidiaries, taken as a whole.</w:t>
      </w:r>
    </w:p>
    <w:p>
      <w:pPr>
        <w:spacing w:after="0" w:line="215" w:lineRule="exact"/>
        <w:rPr>
          <w:rFonts w:ascii="Arial" w:cs="Arial" w:eastAsia="Arial" w:hAnsi="Arial"/>
          <w:sz w:val="18"/>
          <w:szCs w:val="18"/>
          <w:color w:val="auto"/>
        </w:rPr>
      </w:pPr>
    </w:p>
    <w:p>
      <w:pPr>
        <w:jc w:val="both"/>
        <w:ind w:left="-540" w:firstLine="645"/>
        <w:spacing w:after="0" w:line="302" w:lineRule="auto"/>
        <w:tabs>
          <w:tab w:leader="none" w:pos="4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the knowledge of the New Fortress Energy Parties,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New Fortress Energy Parties and their subsidiaries, taken as a whole.</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 w:name="page24"/>
    <w:bookmarkEnd w:id="23"/>
    <w:p>
      <w:pPr>
        <w:jc w:val="both"/>
        <w:ind w:left="-320" w:firstLine="320"/>
        <w:spacing w:after="0" w:line="290" w:lineRule="auto"/>
        <w:tabs>
          <w:tab w:leader="none" w:pos="102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Each New Fortress Energy Party and each of their respective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by them (except for cases in which the failure to file or pay would not have a Material Adverse Effect, or, except as currently being contested in good faith and for which reserves required by U.S. GAAP have been created in the financial statements of the New Fortress Energy Parties), and no tax deficiency has been determined adversely to the New Fortress Energy Parties or any of their subsidiaries which has had (nor do the New Fortress Energy Parties or any of their respective subsidiaries have any notice or knowledge of any tax deficiency which could reasonably be expected to be determined adversely to the New Fortress Energy Parties or their respective subsidiaries and which could reasonably be expected to have) a Material Adverse Effect.</w:t>
      </w:r>
    </w:p>
    <w:p>
      <w:pPr>
        <w:spacing w:after="0" w:line="193" w:lineRule="exact"/>
        <w:rPr>
          <w:rFonts w:ascii="Arial" w:cs="Arial" w:eastAsia="Arial" w:hAnsi="Arial"/>
          <w:sz w:val="16"/>
          <w:szCs w:val="16"/>
          <w:color w:val="auto"/>
        </w:rPr>
      </w:pPr>
    </w:p>
    <w:p>
      <w:pPr>
        <w:jc w:val="both"/>
        <w:ind w:left="-320" w:firstLine="320"/>
        <w:spacing w:after="0" w:line="285" w:lineRule="auto"/>
        <w:tabs>
          <w:tab w:leader="none" w:pos="95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Except as would not reasonably be expected to result in a Material Adverse Effect on the New Fortress Energy Parties and their subsidiaries, taken as a whole, (i) each “employee benefit plan” (within the meaning of Section 3(3) of the Employee Retirement Security Act of 1974, as amended (“ERISA”)) for which the Company or any of its Subsidiaries would have, directly or indirectly (including as a result of being in a “controlled group” for purposes of Section 414 of the Internal Revenue Code of 1986, as amended (the “Code”) , any liability (each a “Plan”) has been maintained, and all required contributions to each Plan have been made, in compliance with its terms and with the requirements of applicable statutes, rules and regulations including ERISA and the Code; (ii) no prohibited transaction, within the meaning of Section 406 of ERISA or Section 4975 of the Code, or violation of fiduciary obligations,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Sections 412 and 430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of its Subsidiaries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that could reasonably be expected to cause the loss of such qualification.</w:t>
      </w:r>
    </w:p>
    <w:p>
      <w:pPr>
        <w:spacing w:after="0" w:line="204" w:lineRule="exact"/>
        <w:rPr>
          <w:rFonts w:ascii="Arial" w:cs="Arial" w:eastAsia="Arial" w:hAnsi="Arial"/>
          <w:sz w:val="16"/>
          <w:szCs w:val="16"/>
          <w:color w:val="auto"/>
        </w:rPr>
      </w:pPr>
    </w:p>
    <w:p>
      <w:pPr>
        <w:jc w:val="both"/>
        <w:ind w:left="-320" w:firstLine="320"/>
        <w:spacing w:after="0" w:line="279" w:lineRule="auto"/>
        <w:tabs>
          <w:tab w:leader="none" w:pos="103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The statistical and market-related data included in the Registration Statement, the General Disclosure Package and the Prospectus and the consolidated financial statements included in the Registration Statement, the General Disclosure Package and the Prospectus are based on or derived from sources that the New Fortress Energy Parties believe to be reliable in all material respects and, to the extent required, the Company has obtained the written consent to the use of such data from such sources.</w:t>
      </w:r>
    </w:p>
    <w:p>
      <w:pPr>
        <w:spacing w:after="0" w:line="37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125" w:right="239" w:bottom="1440" w:gutter="0" w:footer="0" w:header="0"/>
        </w:sectPr>
      </w:pPr>
    </w:p>
    <w:bookmarkStart w:id="24" w:name="page25"/>
    <w:bookmarkEnd w:id="24"/>
    <w:p>
      <w:pPr>
        <w:jc w:val="both"/>
        <w:ind w:firstLine="320"/>
        <w:spacing w:after="0" w:line="302" w:lineRule="auto"/>
        <w:tabs>
          <w:tab w:leader="none" w:pos="128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and immediately after giving effect to the offer and sale of the Securities as herein contemplated and the application of the proceeds therefrom as described under “Use of Proceeds” in each of the Registration Statement, the General Disclosure Package and the Prospectus, will not be, an “investment company” or a company “controlled” by an “investment company” within the meaning of the Investment Company Act of 1940, as amended, and the rules and regulations of the Commission thereunder.</w:t>
      </w:r>
    </w:p>
    <w:p>
      <w:pPr>
        <w:spacing w:after="0" w:line="154" w:lineRule="exact"/>
        <w:rPr>
          <w:rFonts w:ascii="Arial" w:cs="Arial" w:eastAsia="Arial" w:hAnsi="Arial"/>
          <w:sz w:val="16"/>
          <w:szCs w:val="16"/>
          <w:color w:val="auto"/>
        </w:rPr>
      </w:pPr>
    </w:p>
    <w:p>
      <w:pPr>
        <w:jc w:val="both"/>
        <w:ind w:firstLine="320"/>
        <w:spacing w:after="0" w:line="286" w:lineRule="auto"/>
        <w:tabs>
          <w:tab w:leader="none" w:pos="130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Authorization of Description of Laws and Documents</w:t>
      </w:r>
      <w:r>
        <w:rPr>
          <w:rFonts w:ascii="Arial" w:cs="Arial" w:eastAsia="Arial" w:hAnsi="Arial"/>
          <w:sz w:val="17"/>
          <w:szCs w:val="17"/>
          <w:color w:val="auto"/>
        </w:rPr>
        <w:t>. The statements set forth in each of the Registration Statement, the General Disclosure Package and the Prospectus under the captions “Material U.S. Federal Income Tax Considerations for Non-U.S. Holders,” insofar as they purport to summarize provisions of the laws and documents referred to therein, are accurate summaries in all material respects.</w:t>
      </w:r>
    </w:p>
    <w:p>
      <w:pPr>
        <w:spacing w:after="0" w:line="165" w:lineRule="exact"/>
        <w:rPr>
          <w:rFonts w:ascii="Arial" w:cs="Arial" w:eastAsia="Arial" w:hAnsi="Arial"/>
          <w:sz w:val="17"/>
          <w:szCs w:val="17"/>
          <w:color w:val="auto"/>
        </w:rPr>
      </w:pPr>
    </w:p>
    <w:p>
      <w:pPr>
        <w:jc w:val="both"/>
        <w:ind w:firstLine="320"/>
        <w:spacing w:after="0" w:line="257" w:lineRule="auto"/>
        <w:tabs>
          <w:tab w:leader="none" w:pos="132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described in the Registration Statement, the General Disclosure Package and the Prospectus, there are no contracts, agreements or understandings between the New Fortress Energy Parties and any person granting such person the right to require any New Fortress Energy Party to file a registration statement under the 1933 Act with respect to any securities of the New Fortress Energy Parties owned or to be owned by such person or to require the Company to include such securities in the securities registered pursuant to the Registration Statement.</w:t>
      </w:r>
    </w:p>
    <w:p>
      <w:pPr>
        <w:spacing w:after="0" w:line="215" w:lineRule="exact"/>
        <w:rPr>
          <w:rFonts w:ascii="Arial" w:cs="Arial" w:eastAsia="Arial" w:hAnsi="Arial"/>
          <w:sz w:val="18"/>
          <w:szCs w:val="18"/>
          <w:color w:val="auto"/>
        </w:rPr>
      </w:pPr>
    </w:p>
    <w:p>
      <w:pPr>
        <w:jc w:val="both"/>
        <w:ind w:firstLine="320"/>
        <w:spacing w:after="0" w:line="264" w:lineRule="auto"/>
        <w:tabs>
          <w:tab w:leader="none" w:pos="128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Broker</w:t>
      </w:r>
      <w:r>
        <w:rPr>
          <w:rFonts w:ascii="Arial" w:cs="Arial" w:eastAsia="Arial" w:hAnsi="Arial"/>
          <w:sz w:val="18"/>
          <w:szCs w:val="18"/>
          <w:color w:val="auto"/>
        </w:rPr>
        <w:t>. None of the New Fortress Energy Parties or any of their respective subsidiaries is a party to any contract, agreement or understanding with any person (other than this Agreement) that could give rise to a valid claim against any of them or the Underwriters for a brokerage commission, finder’s fee or like payment in connection with the offering and sale of the Securities.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u w:val="single" w:color="auto"/>
          <w:color w:val="auto"/>
        </w:rPr>
        <w:t>Absence of Manipulation</w:t>
      </w:r>
      <w:r>
        <w:rPr>
          <w:rFonts w:ascii="Arial" w:cs="Arial" w:eastAsia="Arial" w:hAnsi="Arial"/>
          <w:sz w:val="18"/>
          <w:szCs w:val="18"/>
          <w:color w:val="auto"/>
        </w:rPr>
        <w:t>. The New Fortress Energy Parties and their respective affiliates have not taken, directly or indirectly, any action designed to or that has constituted or that could reasonably be expected to cause or result in the stabilization or manipulation of the price of any security of the Company in connection with the offering of the Securities.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(xli) </w:t>
      </w:r>
      <w:r>
        <w:rPr>
          <w:rFonts w:ascii="Arial" w:cs="Arial" w:eastAsia="Arial" w:hAnsi="Arial"/>
          <w:sz w:val="17"/>
          <w:szCs w:val="17"/>
          <w:u w:val="single" w:color="auto"/>
          <w:color w:val="auto"/>
        </w:rPr>
        <w:t>Stabilization Safe Harbor</w:t>
      </w:r>
      <w:r>
        <w:rPr>
          <w:rFonts w:ascii="Arial" w:cs="Arial" w:eastAsia="Arial" w:hAnsi="Arial"/>
          <w:sz w:val="17"/>
          <w:szCs w:val="17"/>
          <w:color w:val="auto"/>
        </w:rPr>
        <w:t>. None of the New Fortress Energy Parties has taken any action or omitted to take any action (such as issuing any press release relating to any Securities without an appropriate legend) which may result in the loss by the Underwriters of the ability to rely on any stabilization safe harbor provided by the Financial Services Authority under the Financial Services Markets Act of 2000.</w:t>
      </w:r>
    </w:p>
    <w:p>
      <w:pPr>
        <w:spacing w:after="0" w:line="1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5" w:name="page26"/>
    <w:bookmarkEnd w:id="25"/>
    <w:p>
      <w:pPr>
        <w:jc w:val="both"/>
        <w:ind w:left="4" w:firstLine="324"/>
        <w:spacing w:after="0" w:line="284" w:lineRule="auto"/>
        <w:rPr>
          <w:sz w:val="20"/>
          <w:szCs w:val="20"/>
          <w:color w:val="auto"/>
        </w:rPr>
      </w:pPr>
      <w:r>
        <w:rPr>
          <w:rFonts w:ascii="Arial" w:cs="Arial" w:eastAsia="Arial" w:hAnsi="Arial"/>
          <w:sz w:val="16"/>
          <w:szCs w:val="16"/>
          <w:color w:val="auto"/>
        </w:rPr>
        <w:t xml:space="preserve">(xlii)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(A) None of the New Fortress Energy Parties nor any of their respective subsidiaries, nor, to the knowledge of the New Fortress Energy Parties after reasonable inquiry, any director, officer, or employee, agent, or representative of the New Fortress Energy Parties or of any of their respective subsidiaries,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 Official”) in order to influence official action, or to any person in violation of any applicable anti-corruption laws;</w:t>
      </w:r>
    </w:p>
    <w:p>
      <w:pPr>
        <w:spacing w:after="0" w:line="3" w:lineRule="exact"/>
        <w:rPr>
          <w:sz w:val="20"/>
          <w:szCs w:val="20"/>
          <w:color w:val="auto"/>
        </w:rPr>
      </w:pPr>
    </w:p>
    <w:p>
      <w:pPr>
        <w:jc w:val="both"/>
        <w:ind w:left="4" w:hanging="4"/>
        <w:spacing w:after="0" w:line="292" w:lineRule="auto"/>
        <w:tabs>
          <w:tab w:leader="none" w:pos="2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New Fortress Energy Parties and their respective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none of the New Fortress Energy Parties or any of their respective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63" w:lineRule="exact"/>
        <w:rPr>
          <w:sz w:val="20"/>
          <w:szCs w:val="20"/>
          <w:color w:val="auto"/>
        </w:rPr>
      </w:pPr>
    </w:p>
    <w:p>
      <w:pPr>
        <w:jc w:val="both"/>
        <w:ind w:left="4" w:firstLine="324"/>
        <w:spacing w:after="0" w:line="290" w:lineRule="auto"/>
        <w:rPr>
          <w:sz w:val="20"/>
          <w:szCs w:val="20"/>
          <w:color w:val="auto"/>
        </w:rPr>
      </w:pPr>
      <w:r>
        <w:rPr>
          <w:rFonts w:ascii="Arial" w:cs="Arial" w:eastAsia="Arial" w:hAnsi="Arial"/>
          <w:sz w:val="16"/>
          <w:szCs w:val="16"/>
          <w:color w:val="auto"/>
        </w:rPr>
        <w:t xml:space="preserve">(xliii)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each New Fortress Energy Party and each of their subsidiaries are and have been conducted at all times in material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New Fortress Energy Parties and their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New Fortress Energy Parties or any of their subsidiaries with respect to the Anti-Money Laundering Laws is pending or, to the knowledge of the New Fortress Energy Parties, threatened.</w:t>
      </w:r>
    </w:p>
    <w:p>
      <w:pPr>
        <w:spacing w:after="0" w:line="166" w:lineRule="exact"/>
        <w:rPr>
          <w:sz w:val="20"/>
          <w:szCs w:val="20"/>
          <w:color w:val="auto"/>
        </w:rPr>
      </w:pPr>
    </w:p>
    <w:p>
      <w:pPr>
        <w:jc w:val="both"/>
        <w:ind w:left="4" w:firstLine="324"/>
        <w:spacing w:after="0" w:line="268" w:lineRule="auto"/>
        <w:rPr>
          <w:sz w:val="20"/>
          <w:szCs w:val="20"/>
          <w:color w:val="auto"/>
        </w:rPr>
      </w:pPr>
      <w:r>
        <w:rPr>
          <w:rFonts w:ascii="Arial" w:cs="Arial" w:eastAsia="Arial" w:hAnsi="Arial"/>
          <w:sz w:val="17"/>
          <w:szCs w:val="17"/>
          <w:color w:val="auto"/>
        </w:rPr>
        <w:t xml:space="preserve">(xliv) </w:t>
      </w:r>
      <w:r>
        <w:rPr>
          <w:rFonts w:ascii="Arial" w:cs="Arial" w:eastAsia="Arial" w:hAnsi="Arial"/>
          <w:sz w:val="17"/>
          <w:szCs w:val="17"/>
          <w:u w:val="single" w:color="auto"/>
          <w:color w:val="auto"/>
        </w:rPr>
        <w:t>OFAC</w:t>
      </w:r>
      <w:r>
        <w:rPr>
          <w:rFonts w:ascii="Arial" w:cs="Arial" w:eastAsia="Arial" w:hAnsi="Arial"/>
          <w:sz w:val="17"/>
          <w:szCs w:val="17"/>
          <w:color w:val="auto"/>
        </w:rPr>
        <w:t>. (A) None of the New Fortress Energy Parties nor any of their respective subsidiaries, nor, to the knowledge of the New Fortress Energy Parties after reasonable inquiry, any director, officer, employee or agent of the New Fortress Energy Parties or any of their respective subsidiaries, is an individual or entity (“Person”) that is, or is owned or controlled by one or more Persons that are: (1) the subject of any sanctions administered or enforced by the U.S. Department of Treasury’s Office of Foreign Assets Control (“OFAC”), the United Nations Security Council (“UNSC”), the European Union (“EU”), Her Majesty’s Treasury (“HMT”), or other relevant sanctions authority (collectively, “Sanctions”), or (2) located, organized or resident in a country or territory that is the subject of Sanctions (including, without limitation, Crimea, Cuba, Iran, North Korea and Syria); (B) None of the New Fortress Energy Parties will, directly or indirectly, use the proceeds of the offering, or lend, contribute or otherwise make available such proceeds to any subsidiary, joint venture partner or other Person: (1) to fund or facilitate any activities or business of or with any Person or in any country or territory that, at the time of such funding or facilitation, is the subject of Sanctions; or (2) in any other manner that will result in a violation of Sanctions by any Person (including any Person participating in the offering, whether as underwriter, advisor, investor or otherwise); and (C) For the past five years, the New Fortress Energy Parties and their respective subsidiaries have not knowingly engaged in, and are not now knowingly engaged in, any dealings or transactions with any Person, or in any country or territory, that at the time of the dealing or transaction is or was the subject of Sanctions.</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26" w:name="page27"/>
    <w:bookmarkEnd w:id="26"/>
    <w:p>
      <w:pPr>
        <w:jc w:val="both"/>
        <w:ind w:firstLine="656"/>
        <w:spacing w:after="0" w:line="264" w:lineRule="auto"/>
        <w:tabs>
          <w:tab w:leader="none" w:pos="142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any New Fortress Energy Party or any of its subsidiaries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or to counsel for the Underwriters shall be deemed a representation and warranty by the New Fortress Energy Parties to each Underwriter as to the matters covered thereby.</w:t>
      </w:r>
    </w:p>
    <w:p>
      <w:pPr>
        <w:spacing w:after="0" w:line="20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52" w:lineRule="exact"/>
        <w:rPr>
          <w:sz w:val="20"/>
          <w:szCs w:val="20"/>
          <w:color w:val="auto"/>
        </w:rPr>
      </w:pPr>
    </w:p>
    <w:p>
      <w:pPr>
        <w:jc w:val="both"/>
        <w:ind w:firstLine="818"/>
        <w:spacing w:after="0" w:line="297" w:lineRule="auto"/>
        <w:tabs>
          <w:tab w:leader="none" w:pos="1419"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Initial Securities</w:t>
      </w:r>
      <w:r>
        <w:rPr>
          <w:rFonts w:ascii="Arial" w:cs="Arial" w:eastAsia="Arial" w:hAnsi="Arial"/>
          <w:sz w:val="16"/>
          <w:szCs w:val="16"/>
          <w:color w:val="auto"/>
        </w:rPr>
        <w:t>. On the basis of the representations and warranties herein contained and subject to the terms and conditions herein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the Company agrees to sell to each Underwriter and each Underwriter, severally and not jointly, agrees to purchase from the Company, at the price per share set forth in Schedule A, the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212" w:lineRule="exact"/>
        <w:rPr>
          <w:rFonts w:ascii="Arial" w:cs="Arial" w:eastAsia="Arial" w:hAnsi="Arial"/>
          <w:sz w:val="16"/>
          <w:szCs w:val="16"/>
          <w:color w:val="auto"/>
        </w:rPr>
      </w:pPr>
    </w:p>
    <w:p>
      <w:pPr>
        <w:jc w:val="both"/>
        <w:ind w:firstLine="656"/>
        <w:spacing w:after="0" w:line="288" w:lineRule="auto"/>
        <w:tabs>
          <w:tab w:leader="none" w:pos="14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Option Securities. In addition, on the basis of the representations and warranties herein contained and subject to the terms and conditions herein set forth, the Company hereby grants an option to the Underwriters, severally and not jointly, to purchase up to an additional 3,000,000 Class A Shares,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earlier than two or later than seven full business days after the exercise of said option, nor in any event prior to the Closing Time. If the option is exercised as to all or any portion of the Option Securities, each of the Underwriters, acting severally and not jointly, will purchase the number of Option Securities set forth in Schedule A opposite the name of such Underwriter, subject, in each case, to such adjustments as the Representatives in their sole discretion shall make to eliminate any sales or purchases of fractional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ind w:firstLine="656"/>
        <w:spacing w:after="0" w:line="276" w:lineRule="auto"/>
        <w:tabs>
          <w:tab w:leader="none" w:pos="14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Payment. Payment of the purchase price for, and delivery of certificates for, the Initial Securities shall be made at the offices of Skadden, Arps, Slate, Meagher &amp; Flom LLP, or at such other place as shall be agreed upon by the Representatives and the Company, at 10:00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20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such Option Securities shall be made at the above mentioned offices, or at such other place as shall be agreed upon by the Representatives and the Company, on each Date of Delivery as specified in the notice from the Representatives to the Company.</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Payment shall be made to the Company by wire transfer of immediately available funds to the bank account designated by the Company against delivery to the Representatives for the respective accounts of the Underwriters of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(as agreed among the Representatives)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23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Covenants of the New Fortress Energy Parties</w:t>
      </w:r>
      <w:r>
        <w:rPr>
          <w:rFonts w:ascii="Arial" w:cs="Arial" w:eastAsia="Arial" w:hAnsi="Arial"/>
          <w:sz w:val="17"/>
          <w:szCs w:val="17"/>
          <w:color w:val="auto"/>
        </w:rPr>
        <w:t>. The New Fortress Energy Parties, jointly and severally, covenant with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 as follows:</w:t>
      </w:r>
    </w:p>
    <w:p>
      <w:pPr>
        <w:spacing w:after="0" w:line="265" w:lineRule="exact"/>
        <w:rPr>
          <w:sz w:val="20"/>
          <w:szCs w:val="20"/>
          <w:color w:val="auto"/>
        </w:rPr>
      </w:pPr>
    </w:p>
    <w:p>
      <w:pPr>
        <w:jc w:val="both"/>
        <w:ind w:firstLine="656"/>
        <w:spacing w:after="0" w:line="288" w:lineRule="auto"/>
        <w:tabs>
          <w:tab w:leader="none" w:pos="1672" w:val="left"/>
        </w:tabs>
        <w:numPr>
          <w:ilvl w:val="1"/>
          <w:numId w:val="33"/>
        </w:numPr>
        <w:rPr>
          <w:rFonts w:ascii="Arial" w:cs="Arial" w:eastAsia="Arial" w:hAnsi="Arial"/>
          <w:sz w:val="16"/>
          <w:szCs w:val="16"/>
          <w:color w:val="auto"/>
        </w:rPr>
      </w:pPr>
      <w:r>
        <w:rPr>
          <w:rFonts w:ascii="Arial" w:cs="Arial" w:eastAsia="Arial" w:hAnsi="Arial"/>
          <w:sz w:val="16"/>
          <w:szCs w:val="16"/>
          <w:color w:val="auto"/>
        </w:rPr>
        <w:t>Compliance with Securities Regulations and Commission Requests. The Company, subject to Section 3(b), will comply with the requirements of Rule 430A, and will notify the Representatives as soon as practicable (i) when any post-effective amendment to the Registration Statement shall become effective or any amendment or supplement to the Prospectus shall have been filed, (ii) of the receipt of any comments from the Commission,</w:t>
      </w:r>
    </w:p>
    <w:p>
      <w:pPr>
        <w:jc w:val="both"/>
        <w:ind w:firstLine="8"/>
        <w:spacing w:after="0" w:line="287" w:lineRule="auto"/>
        <w:tabs>
          <w:tab w:leader="none" w:pos="3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The Company will make every commercially reasonable effort to prevent the issuance of any stop order, prevention or suspension and, if any such order is issued, to obtain the lifting thereof as soon as practicable.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8" w:name="page29"/>
    <w:bookmarkEnd w:id="28"/>
    <w:p>
      <w:pPr>
        <w:jc w:val="both"/>
        <w:ind w:firstLine="656"/>
        <w:spacing w:after="0" w:line="285" w:lineRule="auto"/>
        <w:tabs>
          <w:tab w:leader="none" w:pos="143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Continued Compliance with Securities Laws. The Company will comply with the 1933 Act and the 1933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w:t>
      </w:r>
    </w:p>
    <w:p>
      <w:pPr>
        <w:spacing w:after="0" w:line="231" w:lineRule="exact"/>
        <w:rPr>
          <w:rFonts w:ascii="Arial" w:cs="Arial" w:eastAsia="Arial" w:hAnsi="Arial"/>
          <w:sz w:val="16"/>
          <w:szCs w:val="16"/>
          <w:color w:val="auto"/>
        </w:rPr>
      </w:pPr>
    </w:p>
    <w:p>
      <w:pPr>
        <w:jc w:val="both"/>
        <w:ind w:firstLine="656"/>
        <w:spacing w:after="0" w:line="255" w:lineRule="auto"/>
        <w:tabs>
          <w:tab w:leader="none" w:pos="14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Delivery of Registration Statements. The Company has furnished or will deliver upon request to the Representatives and counsel for the Underwriters, without charge, conformed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upon request,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243" w:lineRule="exact"/>
        <w:rPr>
          <w:rFonts w:ascii="Arial" w:cs="Arial" w:eastAsia="Arial" w:hAnsi="Arial"/>
          <w:sz w:val="18"/>
          <w:szCs w:val="18"/>
          <w:color w:val="auto"/>
        </w:rPr>
      </w:pPr>
    </w:p>
    <w:p>
      <w:pPr>
        <w:jc w:val="both"/>
        <w:ind w:firstLine="656"/>
        <w:spacing w:after="0" w:line="293" w:lineRule="auto"/>
        <w:tabs>
          <w:tab w:leader="none" w:pos="13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Delivery of Prospectuses.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9" w:name="page30"/>
    <w:bookmarkEnd w:id="29"/>
    <w:p>
      <w:pPr>
        <w:jc w:val="both"/>
        <w:ind w:firstLine="656"/>
        <w:spacing w:after="0" w:line="297" w:lineRule="auto"/>
        <w:tabs>
          <w:tab w:leader="none" w:pos="15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Blue Sky Qualifications. The Company will cooperate with the Underwriters, to qualify the Securities for offering and sale under the applicable securities laws of such states and other jurisdictions (domestic or foreign) as the Representatives may designate and to maintain such qualifications in effect so long as required to complete the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any general consent or otherwise subject itself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212" w:lineRule="exact"/>
        <w:rPr>
          <w:rFonts w:ascii="Arial" w:cs="Arial" w:eastAsia="Arial" w:hAnsi="Arial"/>
          <w:sz w:val="16"/>
          <w:szCs w:val="16"/>
          <w:color w:val="auto"/>
        </w:rPr>
      </w:pPr>
    </w:p>
    <w:p>
      <w:pPr>
        <w:jc w:val="both"/>
        <w:ind w:firstLine="656"/>
        <w:spacing w:after="0" w:line="264" w:lineRule="auto"/>
        <w:tabs>
          <w:tab w:leader="none" w:pos="14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Rule 158. The Company will timely file such reports pursuant to the 1934 Act as are necessary in order to make generally available to its securityholders as soon as practicable an earnings statement for the purposes of, and to provide to the Underwriters the benefits contemplated by, the last paragraph of Section 11(a) of the 1933 Act.</w:t>
      </w:r>
    </w:p>
    <w:p>
      <w:pPr>
        <w:spacing w:after="0" w:line="235" w:lineRule="exact"/>
        <w:rPr>
          <w:rFonts w:ascii="Arial" w:cs="Arial" w:eastAsia="Arial" w:hAnsi="Arial"/>
          <w:sz w:val="18"/>
          <w:szCs w:val="18"/>
          <w:color w:val="auto"/>
        </w:rPr>
      </w:pPr>
    </w:p>
    <w:p>
      <w:pPr>
        <w:ind w:firstLine="656"/>
        <w:spacing w:after="0" w:line="277" w:lineRule="auto"/>
        <w:tabs>
          <w:tab w:leader="none" w:pos="15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Use of Proceeds. The Company will use the net proceeds received by it from the sale of the Securities in the manner specified in the Registration Statement, the General Disclosure Package and the Prospectus under “Use of Proceeds.”</w:t>
      </w:r>
    </w:p>
    <w:p>
      <w:pPr>
        <w:spacing w:after="0" w:line="224" w:lineRule="exact"/>
        <w:rPr>
          <w:rFonts w:ascii="Arial" w:cs="Arial" w:eastAsia="Arial" w:hAnsi="Arial"/>
          <w:sz w:val="18"/>
          <w:szCs w:val="18"/>
          <w:color w:val="auto"/>
        </w:rPr>
      </w:pPr>
    </w:p>
    <w:p>
      <w:pPr>
        <w:jc w:val="both"/>
        <w:ind w:firstLine="656"/>
        <w:spacing w:after="0" w:line="284" w:lineRule="auto"/>
        <w:tabs>
          <w:tab w:leader="none" w:pos="1439" w:val="left"/>
        </w:tabs>
        <w:numPr>
          <w:ilvl w:val="1"/>
          <w:numId w:val="36"/>
        </w:numPr>
        <w:rPr>
          <w:rFonts w:ascii="Arial" w:cs="Arial" w:eastAsia="Arial" w:hAnsi="Arial"/>
          <w:sz w:val="16"/>
          <w:szCs w:val="16"/>
          <w:color w:val="auto"/>
        </w:rPr>
      </w:pPr>
      <w:r>
        <w:rPr>
          <w:rFonts w:ascii="Arial" w:cs="Arial" w:eastAsia="Arial" w:hAnsi="Arial"/>
          <w:sz w:val="16"/>
          <w:szCs w:val="16"/>
          <w:color w:val="auto"/>
        </w:rPr>
        <w:t>Restriction on Sale of Securities. During a period of 180 days from the date of the Prospectus (the “Lock-Up Period”), the Company will not, without the prior written consent of Morgan Stanley, (i) directly or indirectly, offer, pledge, sell, contract to sell, sell any option or contract to purchase, purchase any option or contract to sell, grant any option, right or warrant to purchase or otherwise transfer or dispose of any Class A Shares or Class B Shares or any securities convertible into or exercisable or exchangeable for Class A Shares or Class B Shares (including, without limitation, NFI LLC Units) or file any registration statement under the 1933 Act with respect to any of the foregoing or (ii) enter into any swap or any other agreement or any transaction that transfers, in whole or in part, directly or indirectly, the economic consequence of ownership of the Class A Shares or the Class B Shares or any securities convertible into or exercisable or exchangeable for Class A Shares or Class B Shares, whether any such swap or transaction described in clause (i) or (ii) above is to be settled by delivery of Class A Shares, Class B Shares or such other securities, in cash or otherwise. The foregoing sentence shall not apply to</w:t>
      </w:r>
    </w:p>
    <w:p>
      <w:pPr>
        <w:spacing w:after="0" w:line="1" w:lineRule="exact"/>
        <w:rPr>
          <w:rFonts w:ascii="Arial" w:cs="Arial" w:eastAsia="Arial" w:hAnsi="Arial"/>
          <w:sz w:val="16"/>
          <w:szCs w:val="16"/>
          <w:color w:val="auto"/>
        </w:rPr>
      </w:pPr>
    </w:p>
    <w:p>
      <w:pPr>
        <w:jc w:val="both"/>
        <w:ind w:firstLine="8"/>
        <w:spacing w:after="0" w:line="267" w:lineRule="auto"/>
        <w:tabs>
          <w:tab w:leader="none" w:pos="313"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Securities to be sold hereunder, (B) any Class A Shares issued by the Company upon the exercise of an option or warrant or the conversion of a security outstanding on the date hereof or at the Closing Time after giving effect to the Transactions and referred to in the Registration Statement, the General Disclosure Package and the Prospectus, (C) any grants of Class A Shares, share options, restricted shares, notional units or other equity or equity-based securities to employees, directors, contractors, or other individuals eligible to receive awards pursuant to the terms of any plan in effect as of the Closing Time and described in the Registration Statement, General Disclosure Package and Prospectus, or the issuance of Class A Shares pursuant to the exercise, vesting, or settlement of any award granted pursuant to the Company’s equity incentive plans that are described in the Registration Statement, General Disclosure Package and Prospectus, (D) any Class A Shares issued pursuant to any non-employee director share plan or dividend reinvestment plan referred to in the Registration Statement, the General Disclosure Package and the Prospectus, and (E) any registration statement on Form S-8 under the 1933 Act with respect to the foregoing clauses (B), (C) and (D);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holders of Class A Shares issued pursuant to (B), (C) or (D) above agree to execute a lock-up letter described in Section 5(i) hereof (to the extent such holder has not previously signed a lock-up letter covering such Class A Shares) or such Class A Shares do not vest until after the expiry of the Lock-Up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0" w:name="page31"/>
    <w:bookmarkEnd w:id="30"/>
    <w:p>
      <w:pPr>
        <w:jc w:val="both"/>
        <w:ind w:firstLine="656"/>
        <w:spacing w:after="0" w:line="249" w:lineRule="auto"/>
        <w:tabs>
          <w:tab w:leader="none" w:pos="1462" w:val="left"/>
        </w:tabs>
        <w:numPr>
          <w:ilvl w:val="0"/>
          <w:numId w:val="38"/>
        </w:numPr>
        <w:rPr>
          <w:rFonts w:ascii="Arial" w:cs="Arial" w:eastAsia="Arial" w:hAnsi="Arial"/>
          <w:sz w:val="17"/>
          <w:szCs w:val="17"/>
          <w:color w:val="auto"/>
        </w:rPr>
      </w:pPr>
      <w:r>
        <w:rPr>
          <w:rFonts w:ascii="Arial" w:cs="Arial" w:eastAsia="Arial" w:hAnsi="Arial"/>
          <w:sz w:val="21"/>
          <w:szCs w:val="21"/>
          <w:color w:val="auto"/>
        </w:rPr>
        <w:t>If Morgan Stanley in its sole discretion, agrees to release or waive the restrictions set forth in a lock-up agreement described in Section 5(k)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240" w:lineRule="exact"/>
        <w:rPr>
          <w:rFonts w:ascii="Arial" w:cs="Arial" w:eastAsia="Arial" w:hAnsi="Arial"/>
          <w:sz w:val="17"/>
          <w:szCs w:val="17"/>
          <w:color w:val="auto"/>
        </w:rPr>
      </w:pPr>
    </w:p>
    <w:p>
      <w:pPr>
        <w:ind w:left="1440" w:hanging="784"/>
        <w:spacing w:after="0"/>
        <w:tabs>
          <w:tab w:leader="none" w:pos="1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Reporting Requirements. The Company, during the period when the Prospectus is (or, but for the exception afforded by Rule 172, would</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244" w:lineRule="exact"/>
        <w:rPr>
          <w:sz w:val="20"/>
          <w:szCs w:val="20"/>
          <w:color w:val="auto"/>
        </w:rPr>
      </w:pPr>
    </w:p>
    <w:p>
      <w:pPr>
        <w:jc w:val="both"/>
        <w:ind w:firstLine="656"/>
        <w:spacing w:after="0" w:line="286" w:lineRule="auto"/>
        <w:tabs>
          <w:tab w:leader="none" w:pos="146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Issuer Free Writing Prospectuses. The Company agrees that, unless it obtains the prior written consent of 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Each Underwriter represents that it has not made, and agrees that, without the prior consent of the Company, it will not make any offer relating to the Securities that would constitute a “free writing prospectus” required to be filed by the Company with the Commission or retained by the Company under Rule 433.</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ind w:left="660"/>
        <w:spacing w:after="0"/>
        <w:tabs>
          <w:tab w:leader="none" w:pos="18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79" w:lineRule="exact"/>
        <w:rPr>
          <w:sz w:val="20"/>
          <w:szCs w:val="20"/>
          <w:color w:val="auto"/>
        </w:rPr>
      </w:pPr>
    </w:p>
    <w:p>
      <w:pPr>
        <w:jc w:val="both"/>
        <w:ind w:firstLine="656"/>
        <w:spacing w:after="0" w:line="283" w:lineRule="auto"/>
        <w:tabs>
          <w:tab w:leader="none" w:pos="14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Expenses. The New Fortress Energy Parties will, jointly and severally, pay or cause to be paid all expenses incident to the performance of their obligations under this Agreement other than to the extent described in Section 4(b) below, including (i) the preparation, printing and filing of the Registration Statement (including financial statements and exhibits) as originally filed and of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for the Securities to the Underwriters, if any, including any stock or other transfer taxes and any stamp or other duties payable upon the sale, issuance or delivery of the Securities to the Underwriters, (iv) the fees and disbursements of the counsel, accountants and other advisors of the New Fortress Energy Parties, (v) the qualification of the Securities under securities laws in accordance with the provisions of Section 3(e) hereof, including filing fees and the reasonable and documented fees and disbursements of counsel for the Underwriters in connection therewith and in connection with the preparation of the Blue Sky Survey and any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such fees and disbursements of counsel shall not exceed $10,000</w:t>
      </w:r>
    </w:p>
    <w:p>
      <w:pPr>
        <w:spacing w:after="0" w:line="5" w:lineRule="exact"/>
        <w:rPr>
          <w:rFonts w:ascii="Arial" w:cs="Arial" w:eastAsia="Arial" w:hAnsi="Arial"/>
          <w:sz w:val="16"/>
          <w:szCs w:val="16"/>
          <w:color w:val="auto"/>
        </w:rPr>
      </w:pPr>
    </w:p>
    <w:p>
      <w:pPr>
        <w:jc w:val="both"/>
        <w:ind w:firstLine="8"/>
        <w:spacing w:after="0" w:line="281" w:lineRule="auto"/>
        <w:tabs>
          <w:tab w:leader="none" w:pos="3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reasonable and documented fees and expenses of any consultants engaged with the consent of the Company in connection with the road show presentations, travel and lodging expenses of the representatives of the Company (which, for the avoidance of doubt, does not include the Underwriters for purposes of this Section 4(a)(vii)) and officers of the Company and any such consultants, as well as one half (50%)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(such counsel fees not to exceed $35,000) and (ix) the fees and expenses incurred in connection with the listing of the Securities on the Nasdaq Global Select Market. It is understood that, except as provided in clause</w:t>
      </w:r>
    </w:p>
    <w:p>
      <w:pPr>
        <w:spacing w:after="0" w:line="5"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 of this Section 4, the Underwriters will pay all of their own costs and expenses, including the fees of their counsel, stock transfer taxes on resale of any of the Securities by them, and any advertising expenses connected with any offers they may make.</w:t>
      </w:r>
    </w:p>
    <w:p>
      <w:pPr>
        <w:spacing w:after="0" w:line="237" w:lineRule="exact"/>
        <w:rPr>
          <w:rFonts w:ascii="Arial" w:cs="Arial" w:eastAsia="Arial" w:hAnsi="Arial"/>
          <w:sz w:val="16"/>
          <w:szCs w:val="16"/>
          <w:color w:val="auto"/>
        </w:rPr>
      </w:pPr>
    </w:p>
    <w:p>
      <w:pPr>
        <w:jc w:val="both"/>
        <w:ind w:firstLine="656"/>
        <w:spacing w:after="0" w:line="286" w:lineRule="auto"/>
        <w:tabs>
          <w:tab w:leader="none" w:pos="1412" w:val="left"/>
        </w:tabs>
        <w:numPr>
          <w:ilvl w:val="1"/>
          <w:numId w:val="41"/>
        </w:numPr>
        <w:rPr>
          <w:rFonts w:ascii="Arial" w:cs="Arial" w:eastAsia="Arial" w:hAnsi="Arial"/>
          <w:sz w:val="17"/>
          <w:szCs w:val="17"/>
          <w:color w:val="auto"/>
        </w:rPr>
      </w:pPr>
      <w:r>
        <w:rPr>
          <w:rFonts w:ascii="Arial" w:cs="Arial" w:eastAsia="Arial" w:hAnsi="Arial"/>
          <w:sz w:val="17"/>
          <w:szCs w:val="17"/>
          <w:color w:val="auto"/>
        </w:rPr>
        <w:t>Termination of Agreement. If this Agreement is terminated by the Representatives in accordance with the provisions of Section 5, Section 9(a)(i) or (iii), or Section 11 hereof, the Company shall reimburse the Underwriters for all of their reasonable and documented out of pocket expenses that were actually incurred, including the reasonable fees and disbursements of counsel for the Underwriters.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New Fortress Energy Parties contained herein or in certificates of any officer of the New Fortress Energy Parties delivered pursuant to the provisions hereof, to the performance by the New Fortress Energy Parties of their respective covenants and other obligations hereunder, and to the following further conditions: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2" w:name="page33"/>
    <w:bookmarkEnd w:id="32"/>
    <w:p>
      <w:pPr>
        <w:jc w:val="both"/>
        <w:ind w:firstLine="656"/>
        <w:spacing w:after="0" w:line="271" w:lineRule="auto"/>
        <w:tabs>
          <w:tab w:leader="none" w:pos="1564"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Effectiveness of Registration Statement; </w:t>
      </w:r>
      <w:r>
        <w:rPr>
          <w:rFonts w:ascii="Arial" w:cs="Arial" w:eastAsia="Arial" w:hAnsi="Arial"/>
          <w:sz w:val="17"/>
          <w:szCs w:val="17"/>
          <w:i w:val="1"/>
          <w:iCs w:val="1"/>
          <w:color w:val="auto"/>
        </w:rPr>
        <w:t>Rule 430A Information</w:t>
      </w:r>
      <w:r>
        <w:rPr>
          <w:rFonts w:ascii="Arial" w:cs="Arial" w:eastAsia="Arial" w:hAnsi="Arial"/>
          <w:sz w:val="17"/>
          <w:szCs w:val="17"/>
          <w:color w:val="auto"/>
        </w:rPr>
        <w:t>. The Registration Statement, including any Rule 462(b)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knowledge of the New Fortress Energy Parties, threatened by the Commission;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232" w:lineRule="exact"/>
        <w:rPr>
          <w:rFonts w:ascii="Arial" w:cs="Arial" w:eastAsia="Arial" w:hAnsi="Arial"/>
          <w:sz w:val="17"/>
          <w:szCs w:val="17"/>
          <w:color w:val="auto"/>
        </w:rPr>
      </w:pPr>
    </w:p>
    <w:p>
      <w:pPr>
        <w:jc w:val="both"/>
        <w:ind w:firstLine="656"/>
        <w:spacing w:after="0" w:line="255" w:lineRule="auto"/>
        <w:tabs>
          <w:tab w:leader="none" w:pos="14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Opinion of Counsel for Company. At the Closing Time, the Representatives shall have received the opinion, dated the Closing Time, of Vinson &amp; Elkins L.L.P., counsel for the Company, in form and substance satisfactory to counsel for the Underwriters, together with signed or reproduced copies of such letter for each of the other Underwriters to the effect set forth in Exhibit A hereto.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243" w:lineRule="exact"/>
        <w:rPr>
          <w:rFonts w:ascii="Arial" w:cs="Arial" w:eastAsia="Arial" w:hAnsi="Arial"/>
          <w:sz w:val="18"/>
          <w:szCs w:val="18"/>
          <w:color w:val="auto"/>
        </w:rPr>
      </w:pPr>
    </w:p>
    <w:p>
      <w:pPr>
        <w:jc w:val="both"/>
        <w:ind w:firstLine="656"/>
        <w:spacing w:after="0" w:line="255" w:lineRule="auto"/>
        <w:tabs>
          <w:tab w:leader="none" w:pos="13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Opinion of Counsel for Underwriters. At the Closing Time, the Representatives shall have received the opinion, dated the Closing Time, of Skadden, Arps, Slate, Meagher &amp; Flom LLP, counsel for the Underwriters, together with signed or reproduced copies of such letter for each of the other Underwriters in form and substance satisfactory to the Underwriters.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243" w:lineRule="exact"/>
        <w:rPr>
          <w:rFonts w:ascii="Arial" w:cs="Arial" w:eastAsia="Arial" w:hAnsi="Arial"/>
          <w:sz w:val="18"/>
          <w:szCs w:val="18"/>
          <w:color w:val="auto"/>
        </w:rPr>
      </w:pPr>
    </w:p>
    <w:p>
      <w:pPr>
        <w:jc w:val="both"/>
        <w:ind w:firstLine="656"/>
        <w:spacing w:after="0" w:line="287" w:lineRule="auto"/>
        <w:tabs>
          <w:tab w:leader="none" w:pos="15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Officers’ Certificate. At the Closing Time, there shall not have been, since the date hereof or since the respective dates as of which information is given in the Registration Statement, the General Disclosure Package or the Prospectus, any material adverse change in the condition, financial or otherwise, or in the earnings or business affairs or business prospects of the New Fortress Energy Parties and their subsidiaries considered as one enterprise, whether or not arising in the ordinary course of business, and the Representatives shall have received a certificate of the Chief Executive Officer of the Company, in his capacity as such officer only, and of the chief financial or chief accounting officer of the Company, in their respective capacities as such officers only, dated the Closing Time, to the effect that (i) there has been no such material adverse change, (ii) the representations and warranties of the New Fortress Energy Parties in this Agreement are true and correct, in the case of representations and warranties which are qualified as to materiality, and true and correct in all material respects, in the case of representations and warranties that are not so qualified, with the same force and effect as though expressly made at and as of the Closing Time, (iii) the New Fortress Energy Parties have complied with all agreements and satisfied all conditions on their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threatened by the Commission.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3" w:name="page34"/>
    <w:bookmarkEnd w:id="33"/>
    <w:p>
      <w:pPr>
        <w:jc w:val="both"/>
        <w:ind w:firstLine="656"/>
        <w:spacing w:after="0" w:line="302" w:lineRule="auto"/>
        <w:tabs>
          <w:tab w:leader="none" w:pos="14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Accountant’s Comfort Letter. At the time of the execution of this Agreement, the Representatives shall have received from Ernst &amp; Young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208" w:lineRule="exact"/>
        <w:rPr>
          <w:rFonts w:ascii="Arial" w:cs="Arial" w:eastAsia="Arial" w:hAnsi="Arial"/>
          <w:sz w:val="16"/>
          <w:szCs w:val="16"/>
          <w:color w:val="auto"/>
        </w:rPr>
      </w:pPr>
    </w:p>
    <w:p>
      <w:pPr>
        <w:jc w:val="both"/>
        <w:ind w:firstLine="656"/>
        <w:spacing w:after="0" w:line="264" w:lineRule="auto"/>
        <w:tabs>
          <w:tab w:leader="none" w:pos="13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Bring-down Comfort Letter. At the Closing Time, the Representatives shall have received from Ernst &amp; Young LLP a letter, dated as of the Closing 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41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Chief Financial Officer’s Certificate. </w:t>
      </w:r>
      <w:r>
        <w:rPr>
          <w:rFonts w:ascii="Arial" w:cs="Arial" w:eastAsia="Arial" w:hAnsi="Arial"/>
          <w:sz w:val="18"/>
          <w:szCs w:val="18"/>
          <w:color w:val="auto"/>
        </w:rPr>
        <w:t>At each of the date hereof and the Closing Time, the Representatives shall have received a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Chief Financial Officer of the Company, in his capacity as such officer only, dated the date hereof or the Closing Time, respectively, to the effect set forth in Exhibit E.</w:t>
      </w:r>
    </w:p>
    <w:p>
      <w:pPr>
        <w:spacing w:after="0" w:line="235" w:lineRule="exact"/>
        <w:rPr>
          <w:rFonts w:ascii="Arial" w:cs="Arial" w:eastAsia="Arial" w:hAnsi="Arial"/>
          <w:sz w:val="18"/>
          <w:szCs w:val="18"/>
          <w:color w:val="auto"/>
        </w:rPr>
      </w:pPr>
    </w:p>
    <w:p>
      <w:pPr>
        <w:ind w:firstLine="656"/>
        <w:spacing w:after="0" w:line="277" w:lineRule="auto"/>
        <w:tabs>
          <w:tab w:leader="none" w:pos="1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Approval of Listing. At the Closing Time, the Securities shall have been approved for listing on the Nasdaq Global Select Market, subject only to official notice of issuance.</w:t>
      </w:r>
    </w:p>
    <w:p>
      <w:pPr>
        <w:spacing w:after="0" w:line="224" w:lineRule="exact"/>
        <w:rPr>
          <w:rFonts w:ascii="Arial" w:cs="Arial" w:eastAsia="Arial" w:hAnsi="Arial"/>
          <w:sz w:val="18"/>
          <w:szCs w:val="18"/>
          <w:color w:val="auto"/>
        </w:rPr>
      </w:pPr>
    </w:p>
    <w:p>
      <w:pPr>
        <w:ind w:right="20" w:firstLine="656"/>
        <w:spacing w:after="0" w:line="277" w:lineRule="auto"/>
        <w:tabs>
          <w:tab w:leader="none" w:pos="13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Objection. FINRA has confirmed that it has not raised any objection with respect to the fairness and reasonableness of the underwriting terms and arrangements relating to the offering of the Securities.</w:t>
      </w:r>
    </w:p>
    <w:p>
      <w:pPr>
        <w:spacing w:after="0" w:line="224" w:lineRule="exact"/>
        <w:rPr>
          <w:rFonts w:ascii="Arial" w:cs="Arial" w:eastAsia="Arial" w:hAnsi="Arial"/>
          <w:sz w:val="18"/>
          <w:szCs w:val="18"/>
          <w:color w:val="auto"/>
        </w:rPr>
      </w:pPr>
    </w:p>
    <w:p>
      <w:pPr>
        <w:ind w:firstLine="656"/>
        <w:spacing w:after="0" w:line="277" w:lineRule="auto"/>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Lock-up Agreements. At the date of this Agreement, the Representatives shall have received an agreement substantially in the form of Exhibit B hereto signed by the persons listed on Schedule D hereto.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4" w:name="page35"/>
    <w:bookmarkEnd w:id="34"/>
    <w:p>
      <w:pPr>
        <w:jc w:val="both"/>
        <w:ind w:firstLine="656"/>
        <w:spacing w:after="0" w:line="259" w:lineRule="auto"/>
        <w:tabs>
          <w:tab w:leader="none" w:pos="164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FinCEN Certificate. </w:t>
      </w:r>
      <w:r>
        <w:rPr>
          <w:rFonts w:ascii="Arial" w:cs="Arial" w:eastAsia="Arial" w:hAnsi="Arial"/>
          <w:sz w:val="18"/>
          <w:szCs w:val="18"/>
          <w:color w:val="auto"/>
        </w:rPr>
        <w:t>On or prior to the date of this Agreement, the Representatives shall have received a certificate satisfying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ownership due diligence requirements of the Financial Crimes Enforcement Network (“FinCEN”) from the Company, in form and substance satisfactory to the Representatives, along with such additional supporting documentation as the Representatives have requested in connection with the verification of the foregoing certificate.</w:t>
      </w:r>
    </w:p>
    <w:p>
      <w:pPr>
        <w:spacing w:after="0" w:line="240" w:lineRule="exact"/>
        <w:rPr>
          <w:rFonts w:ascii="Arial" w:cs="Arial" w:eastAsia="Arial" w:hAnsi="Arial"/>
          <w:sz w:val="18"/>
          <w:szCs w:val="18"/>
          <w:color w:val="auto"/>
        </w:rPr>
      </w:pPr>
    </w:p>
    <w:p>
      <w:pPr>
        <w:jc w:val="both"/>
        <w:ind w:firstLine="656"/>
        <w:spacing w:after="0" w:line="259"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Conditions to Purchase of Option Securities. In the event that the Underwriters exercise their option provided in Section 2(b) hereof to purchase all or any portion of the Option Securities, the representations and warranties of the New Fortress Energy Parties contained herein and the statements in any certificates furnished by the New Fortress Energy Parties and any of their subsidiaries hereunder shall be true and correct as of each Date of Delivery and, at the relevant Date of Delivery, the Representatives shall have received:</w:t>
      </w:r>
    </w:p>
    <w:p>
      <w:pPr>
        <w:spacing w:after="0" w:line="240" w:lineRule="exact"/>
        <w:rPr>
          <w:rFonts w:ascii="Arial" w:cs="Arial" w:eastAsia="Arial" w:hAnsi="Arial"/>
          <w:sz w:val="18"/>
          <w:szCs w:val="18"/>
          <w:color w:val="auto"/>
        </w:rPr>
      </w:pPr>
    </w:p>
    <w:p>
      <w:pPr>
        <w:jc w:val="both"/>
        <w:ind w:left="660" w:firstLine="645"/>
        <w:spacing w:after="0" w:line="264" w:lineRule="auto"/>
        <w:tabs>
          <w:tab w:leader="none" w:pos="208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Chief Executive Officer of the Company and of the chief financial or chief accounting officer of the Company confirming that the certificate delivered at the Closing Time pursuant to Section 5(d) hereof remains true and correct as of such Date of Delivery.</w:t>
      </w:r>
    </w:p>
    <w:p>
      <w:pPr>
        <w:spacing w:after="0" w:line="235" w:lineRule="exact"/>
        <w:rPr>
          <w:rFonts w:ascii="Arial" w:cs="Arial" w:eastAsia="Arial" w:hAnsi="Arial"/>
          <w:sz w:val="18"/>
          <w:szCs w:val="18"/>
          <w:color w:val="auto"/>
        </w:rPr>
      </w:pPr>
    </w:p>
    <w:p>
      <w:pPr>
        <w:jc w:val="both"/>
        <w:ind w:left="660" w:firstLine="645"/>
        <w:spacing w:after="0" w:line="286" w:lineRule="auto"/>
        <w:tabs>
          <w:tab w:leader="none" w:pos="2109"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Opinion of Counsel for Company</w:t>
      </w:r>
      <w:r>
        <w:rPr>
          <w:rFonts w:ascii="Arial" w:cs="Arial" w:eastAsia="Arial" w:hAnsi="Arial"/>
          <w:sz w:val="17"/>
          <w:szCs w:val="17"/>
          <w:color w:val="auto"/>
        </w:rPr>
        <w:t>. If requested by the Representatives, the favorable opinion of Vinson &amp; Elkins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219" w:lineRule="exact"/>
        <w:rPr>
          <w:rFonts w:ascii="Arial" w:cs="Arial" w:eastAsia="Arial" w:hAnsi="Arial"/>
          <w:sz w:val="17"/>
          <w:szCs w:val="17"/>
          <w:color w:val="auto"/>
        </w:rPr>
      </w:pPr>
    </w:p>
    <w:p>
      <w:pPr>
        <w:jc w:val="both"/>
        <w:ind w:left="660" w:right="20" w:firstLine="645"/>
        <w:spacing w:after="0" w:line="264" w:lineRule="auto"/>
        <w:tabs>
          <w:tab w:leader="none" w:pos="2294"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favorable opinion of Skadden, Arps, Slate, Meagher &amp; Flom LLP, counsel for the Underwriters, dated such Date of Delivery, relating to the Option Securities to be purchased on such Date of Delivery and otherwise to the same effect as the opinion required by Section 5(c) hereof.</w:t>
      </w:r>
    </w:p>
    <w:p>
      <w:pPr>
        <w:spacing w:after="0" w:line="235" w:lineRule="exact"/>
        <w:rPr>
          <w:rFonts w:ascii="Arial" w:cs="Arial" w:eastAsia="Arial" w:hAnsi="Arial"/>
          <w:sz w:val="18"/>
          <w:szCs w:val="18"/>
          <w:color w:val="auto"/>
        </w:rPr>
      </w:pPr>
    </w:p>
    <w:p>
      <w:pPr>
        <w:jc w:val="both"/>
        <w:ind w:left="660" w:firstLine="645"/>
        <w:spacing w:after="0" w:line="259" w:lineRule="auto"/>
        <w:tabs>
          <w:tab w:leader="none" w:pos="2257"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Section 5(f) hereof, except that the “specified date” in the letter furnished pursuant to this paragraph shall be a date not more than three business days prior to such Date of Delivery.</w:t>
      </w:r>
    </w:p>
    <w:p>
      <w:pPr>
        <w:spacing w:after="0" w:line="240" w:lineRule="exact"/>
        <w:rPr>
          <w:rFonts w:ascii="Arial" w:cs="Arial" w:eastAsia="Arial" w:hAnsi="Arial"/>
          <w:sz w:val="18"/>
          <w:szCs w:val="18"/>
          <w:color w:val="auto"/>
        </w:rPr>
      </w:pPr>
    </w:p>
    <w:p>
      <w:pPr>
        <w:ind w:left="660" w:right="20" w:firstLine="645"/>
        <w:spacing w:after="0" w:line="277" w:lineRule="auto"/>
        <w:tabs>
          <w:tab w:leader="none" w:pos="2261"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Chief Financial Officer’s Certificate.</w:t>
      </w:r>
      <w:r>
        <w:rPr>
          <w:rFonts w:ascii="Arial" w:cs="Arial" w:eastAsia="Arial" w:hAnsi="Arial"/>
          <w:sz w:val="18"/>
          <w:szCs w:val="18"/>
          <w:color w:val="auto"/>
        </w:rPr>
        <w:t xml:space="preserve"> If requested by the Representatives, a certificate of the Chief Financial Officer of the Company, in his capacity as such officer only, dated such Date of Delivery, to the effect set forth in Exhibit E.</w:t>
      </w:r>
    </w:p>
    <w:p>
      <w:pPr>
        <w:spacing w:after="0" w:line="224" w:lineRule="exact"/>
        <w:rPr>
          <w:rFonts w:ascii="Arial" w:cs="Arial" w:eastAsia="Arial" w:hAnsi="Arial"/>
          <w:sz w:val="18"/>
          <w:szCs w:val="18"/>
          <w:color w:val="auto"/>
        </w:rPr>
      </w:pPr>
    </w:p>
    <w:p>
      <w:pPr>
        <w:jc w:val="both"/>
        <w:ind w:firstLine="656"/>
        <w:spacing w:after="0" w:line="257" w:lineRule="auto"/>
        <w:tabs>
          <w:tab w:leader="none" w:pos="14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Documents. At the Closing Time and at each Date of Delivery (if any) counsel for the Underwriters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5" w:name="page36"/>
    <w:bookmarkEnd w:id="35"/>
    <w:p>
      <w:pPr>
        <w:jc w:val="both"/>
        <w:ind w:firstLine="656"/>
        <w:spacing w:after="0" w:line="297" w:lineRule="auto"/>
        <w:tabs>
          <w:tab w:leader="none" w:pos="141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15, 16 and 17 shall survive any such termination and remain in full force and effect.</w:t>
      </w:r>
    </w:p>
    <w:p>
      <w:pPr>
        <w:spacing w:after="0" w:line="21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79" w:lineRule="exact"/>
        <w:rPr>
          <w:sz w:val="20"/>
          <w:szCs w:val="20"/>
          <w:color w:val="auto"/>
        </w:rPr>
      </w:pPr>
    </w:p>
    <w:p>
      <w:pPr>
        <w:jc w:val="both"/>
        <w:ind w:firstLine="656"/>
        <w:spacing w:after="0" w:line="312" w:lineRule="auto"/>
        <w:tabs>
          <w:tab w:leader="none" w:pos="155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Indemnification of Underwriters. Each New Fortress Energy Party, jointly and severally, agrees to indemnify and hold harmless each Underwriter, its affiliates (as such term is defined in Rule 405 under the 1933 Act (each, an “Affiliate”)), its selling agents, officers, directors, employees and each person, if any, who controls any Underwriter within the meaning of Section 15 of the 1933 Act or Section 20 of the 1934 Act as follows:</w:t>
      </w:r>
    </w:p>
    <w:p>
      <w:pPr>
        <w:spacing w:after="0" w:line="200" w:lineRule="exact"/>
        <w:rPr>
          <w:rFonts w:ascii="Arial" w:cs="Arial" w:eastAsia="Arial" w:hAnsi="Arial"/>
          <w:sz w:val="16"/>
          <w:szCs w:val="16"/>
          <w:color w:val="auto"/>
        </w:rPr>
      </w:pPr>
    </w:p>
    <w:p>
      <w:pPr>
        <w:jc w:val="both"/>
        <w:ind w:left="660" w:firstLine="645"/>
        <w:spacing w:after="0" w:line="272" w:lineRule="auto"/>
        <w:tabs>
          <w:tab w:leader="none" w:pos="21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the General Disclosure Package, any road show as defined in Rule 433(h) under the Securities Act (a “road show”) or the Prospectus (or any amendment or supplement thereto), or the omission or alleged omission of a material fact necessary in order to make the statements therein, in the light of the circumstances under which they were made, not misleading;</w:t>
      </w:r>
    </w:p>
    <w:p>
      <w:pPr>
        <w:spacing w:after="0" w:line="231" w:lineRule="exact"/>
        <w:rPr>
          <w:rFonts w:ascii="Arial" w:cs="Arial" w:eastAsia="Arial" w:hAnsi="Arial"/>
          <w:sz w:val="17"/>
          <w:szCs w:val="17"/>
          <w:color w:val="auto"/>
        </w:rPr>
      </w:pPr>
    </w:p>
    <w:p>
      <w:pPr>
        <w:jc w:val="both"/>
        <w:ind w:left="660" w:firstLine="645"/>
        <w:spacing w:after="0" w:line="302" w:lineRule="auto"/>
        <w:tabs>
          <w:tab w:leader="none" w:pos="20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settlement is effected with the written consent of the New Fortress Energy Parties, which consent shall not be unreasonably withheld, conditioned or delayed;</w:t>
      </w:r>
    </w:p>
    <w:p>
      <w:pPr>
        <w:spacing w:after="0" w:line="208" w:lineRule="exact"/>
        <w:rPr>
          <w:rFonts w:ascii="Arial" w:cs="Arial" w:eastAsia="Arial" w:hAnsi="Arial"/>
          <w:sz w:val="16"/>
          <w:szCs w:val="16"/>
          <w:color w:val="auto"/>
        </w:rPr>
      </w:pPr>
    </w:p>
    <w:p>
      <w:pPr>
        <w:jc w:val="both"/>
        <w:ind w:left="660" w:firstLine="645"/>
        <w:spacing w:after="0" w:line="279" w:lineRule="auto"/>
        <w:tabs>
          <w:tab w:leader="none" w:pos="2145" w:val="left"/>
        </w:tabs>
        <w:numPr>
          <w:ilvl w:val="1"/>
          <w:numId w:val="46"/>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6" w:name="page37"/>
    <w:bookmarkEnd w:id="36"/>
    <w:p>
      <w:pPr>
        <w:ind w:right="46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indemnity provision shall not apply to any loss, liability, claim, damage or expense to the extent arising out of any untrue statement or omission or alleged untrue statement or omission made in the Registration Statement (or any amendment thereto), including the Rule 430A Information, any Issuer Free Writing Prospectus, any preliminary prospectus, the General Disclosure Package, roadshow or the Prospectus (or any amendment or supplement thereto) in reliance upon and in conformity with the Underwriter Information.</w:t>
      </w:r>
    </w:p>
    <w:p>
      <w:pPr>
        <w:spacing w:after="0" w:line="225" w:lineRule="exact"/>
        <w:rPr>
          <w:sz w:val="20"/>
          <w:szCs w:val="20"/>
          <w:color w:val="auto"/>
        </w:rPr>
      </w:pPr>
    </w:p>
    <w:p>
      <w:pPr>
        <w:jc w:val="both"/>
        <w:ind w:firstLine="656"/>
        <w:spacing w:after="0" w:line="272" w:lineRule="auto"/>
        <w:tabs>
          <w:tab w:leader="none" w:pos="16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Indemnification of New Fortress Energy Parties and Directors and Officers </w:t>
      </w:r>
      <w:r>
        <w:rPr>
          <w:rFonts w:ascii="Arial" w:cs="Arial" w:eastAsia="Arial" w:hAnsi="Arial"/>
          <w:sz w:val="17"/>
          <w:szCs w:val="17"/>
          <w:i w:val="1"/>
          <w:iCs w:val="1"/>
          <w:color w:val="auto"/>
        </w:rPr>
        <w:t>of the Company</w:t>
      </w:r>
      <w:r>
        <w:rPr>
          <w:rFonts w:ascii="Arial" w:cs="Arial" w:eastAsia="Arial" w:hAnsi="Arial"/>
          <w:sz w:val="17"/>
          <w:szCs w:val="17"/>
          <w:color w:val="auto"/>
        </w:rPr>
        <w:t>. Each Underwriter severally agrees to indemnify and hold harmless the New Fortress Energy Parties, each director of the Company and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any preliminary prospectus, the General Disclosure Package or the Prospectus (or any amendment or supplement thereto) or any Issuer Free Writing Prospectus or roadshow in reliance upon and in conformity with the Underwriter Information.</w:t>
      </w:r>
    </w:p>
    <w:p>
      <w:pPr>
        <w:spacing w:after="0" w:line="231" w:lineRule="exact"/>
        <w:rPr>
          <w:rFonts w:ascii="Arial" w:cs="Arial" w:eastAsia="Arial" w:hAnsi="Arial"/>
          <w:sz w:val="17"/>
          <w:szCs w:val="17"/>
          <w:color w:val="auto"/>
        </w:rPr>
      </w:pPr>
    </w:p>
    <w:p>
      <w:pPr>
        <w:jc w:val="both"/>
        <w:ind w:firstLine="656"/>
        <w:spacing w:after="0" w:line="284" w:lineRule="auto"/>
        <w:tabs>
          <w:tab w:leader="none" w:pos="15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Actions against Parties; Notification. Each indemnified party shall give notice in writing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expenses of more than one separate counsel (other than local counsel), reasonably approved by the indemnifying party (or by the Representatives in the case of Section 6(c)),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both"/>
        <w:ind w:firstLine="648"/>
        <w:spacing w:after="0" w:line="29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New Fortress Energy Parties,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New Fortress Energy Parties, on the one hand, and of the Underwriters,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relative benefits received by the New Fortress Energy Parties,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New Fortress Energy Parties,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relative fault of the New Fortress Energy Parties,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8" w:name="page39"/>
    <w:bookmarkEnd w:id="38"/>
    <w:p>
      <w:pPr>
        <w:jc w:val="both"/>
        <w:ind w:firstLine="648"/>
        <w:spacing w:after="0" w:line="293" w:lineRule="auto"/>
        <w:rPr>
          <w:sz w:val="20"/>
          <w:szCs w:val="20"/>
          <w:color w:val="auto"/>
        </w:rPr>
      </w:pPr>
      <w:r>
        <w:rPr>
          <w:rFonts w:ascii="Arial" w:cs="Arial" w:eastAsia="Arial" w:hAnsi="Arial"/>
          <w:sz w:val="16"/>
          <w:szCs w:val="16"/>
          <w:color w:val="auto"/>
        </w:rPr>
        <w:t>The New Fortress Energy Parties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officers, directors, employees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New Fortress Energy Parties. The Underwriters’ respective obligations to contribute pursuant to this Section 7 are several in proportion to the number of Securities set forth opposite their respective names in Schedule A hereto and not joint.</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any person controlling the Company and (ii) delivery of and payment for the Securities.</w:t>
      </w:r>
    </w:p>
    <w:p>
      <w:pPr>
        <w:spacing w:after="0" w:line="24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6" w:lineRule="auto"/>
        <w:tabs>
          <w:tab w:leader="none" w:pos="140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Termination. The Representatives may terminate this Agreement, by notice to the Company,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New Fortress Energy Parties and their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Amex Equities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(vi) if a banking moratorium has been declared by either Federal or New York authorities.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both"/>
        <w:ind w:firstLine="656"/>
        <w:spacing w:after="0" w:line="264" w:lineRule="auto"/>
        <w:tabs>
          <w:tab w:leader="none" w:pos="1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Liabilities. If this Agreement is terminated pursuant to this Section, such termination shall be without liability of any party to any other party except as provided in Section 4 hereof,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Sections 1, 6, 7, 8, 15, 16 and 17 shall survive such termination and remain in full force and effect.</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 hour period, then:</w:t>
      </w:r>
    </w:p>
    <w:p>
      <w:pPr>
        <w:spacing w:after="0" w:line="242" w:lineRule="exact"/>
        <w:rPr>
          <w:sz w:val="20"/>
          <w:szCs w:val="20"/>
          <w:color w:val="auto"/>
        </w:rPr>
      </w:pPr>
    </w:p>
    <w:p>
      <w:pPr>
        <w:jc w:val="both"/>
        <w:ind w:left="660" w:firstLine="645"/>
        <w:spacing w:after="0" w:line="286" w:lineRule="auto"/>
        <w:tabs>
          <w:tab w:leader="none" w:pos="201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219" w:lineRule="exact"/>
        <w:rPr>
          <w:rFonts w:ascii="Arial" w:cs="Arial" w:eastAsia="Arial" w:hAnsi="Arial"/>
          <w:sz w:val="17"/>
          <w:szCs w:val="17"/>
          <w:color w:val="auto"/>
        </w:rPr>
      </w:pPr>
    </w:p>
    <w:p>
      <w:pPr>
        <w:jc w:val="both"/>
        <w:ind w:left="660" w:firstLine="645"/>
        <w:spacing w:after="0" w:line="259" w:lineRule="auto"/>
        <w:tabs>
          <w:tab w:leader="none" w:pos="20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of the Company to sell, the Option Securities to be purchased and sold on such Date of Delivery shall terminate without liability on the part of any non-defaulting Underwriter.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Default by the Company</w:t>
      </w:r>
      <w:r>
        <w:rPr>
          <w:rFonts w:ascii="Arial" w:cs="Arial" w:eastAsia="Arial" w:hAnsi="Arial"/>
          <w:sz w:val="18"/>
          <w:szCs w:val="18"/>
          <w:color w:val="auto"/>
        </w:rPr>
        <w:t xml:space="preserve">. If the Company shall fail at the Closing Time or a Date of Delivery, as the case may be, to sell the number of Securities that it is obligated to sell hereunder, then this Agreement shall terminate without any liability on the part of any non-defaulting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provisions of Sections 1, 4, 6, 7, 8, 15, 16 and 17 shall remain in full force and effect. No action taken pursuant to this Section shall relieve the Company from liability, if any, in respect of such default.</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to the Underwriters shall be directed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Equity Syndicate Desk, with a copy to the Legal Department</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Syndicate Registration</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number: 1-646-291-1469</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Attenion: LCD-IBD</w:t>
      </w:r>
    </w:p>
    <w:p>
      <w:pPr>
        <w:spacing w:after="0" w:line="238"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Notices to the Company shall be directed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Fortress Energy LLC</w:t>
      </w:r>
    </w:p>
    <w:p>
      <w:pPr>
        <w:ind w:left="196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Cameron D. MacDougall, Esq.</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1" w:name="page42"/>
    <w:bookmarkEnd w:id="41"/>
    <w:p>
      <w:pPr>
        <w:ind w:left="19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David P. Oelman; E. Ramey Layne</w:t>
      </w:r>
    </w:p>
    <w:p>
      <w:pPr>
        <w:spacing w:after="0" w:line="2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New Fortress Energy Parties, severally and jointly, acknowledge and agree that (a) the purchase and sale of the Securities pursuant to this Agreement, including the determination of the initial public offering price of the Securities and any related discounts and commissions, is an arm’s-length commercial transaction between the New Fortress Energy Parties, on the one hand, and the several Underwriters, on the other hand, (b) in connection with the offering of the Securities and the process leading thereto, each Underwriter is and has been acting solely as a principal and is not the agent or fiduciary of the New Fortress Energy Parties, any of their subsidiaries, or their respective shareholders, creditors, employees or any other party, (c) no Underwriter has assumed or will assume an advisory or fiduciary responsibility in favor of the New Fortress Energy Parties with respect to the offering of the Securities or the process leading thereto (irrespective of whether such Underwriter has advised or is currently advising either of the New Fortress Energy Parties or any of their subsidiaries on other matters) and no Underwriter has any obligation to the New Fortress Energy Parties with respect to the offering of the Securities except the obligations expressly set forth in this Agreement, (d) the Underwriters and their respective affiliates may be engaged in a broad range of transactions that involve interests that differ from those of the New Fortress Energy Parties, and (e) the Underwriters have not provided any legal, accounting, regulatory or tax advice with respect to the offering of the Securities and the New Fortress Energy Parties have consulted their own respective legal, accounting, regulatory and tax advisors to the extent they deemed appropriate. The New Fortress Energy Parties hereby waive any claims that the New Fortress Energy Parties may have against the Underwriters with respect to any breach of fiduciary duty in connection with the Securities.</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each inure to the benefit of and be binding upon the Underwriters and the New Fortress Energy Parties and their respective successors. Nothing expressed or mentioned in this Agreement is intended or shall be construed to give any person, firm or corporation, other than the Underwriters and the New Fortress Energy Parties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New Fortress Energy Parties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SHAREHOLDERS AND AFFILIATES), NFI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2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Recognition of the U.S. Special Resolutions Regimes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97" w:lineRule="auto"/>
        <w:tabs>
          <w:tab w:leader="none" w:pos="1564"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(as defined below) becomes subject to a proceeding under (i) the Federal Deposit Insurance Act and the regulations promulgated thereunder or (ii) Title II of the Dodd-Frank Wall Street Reform and Consumer Protection Act and the regulations promulgated thereunder (each, a “U.S. Special Resolution Regime”), the transfer from such Underwriter of this Agreement, and any interest and obligation in or under this Agreement, will be effective to the same extent as the transfer would be effective under the applicable U.S. Special Resolution Regime if this Agreement, and any such interest and obligation, were governed by the laws of the United States or a state of the United States.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3" w:name="page44"/>
    <w:bookmarkEnd w:id="43"/>
    <w:p>
      <w:pPr>
        <w:jc w:val="both"/>
        <w:ind w:firstLine="656"/>
        <w:spacing w:after="0" w:line="259" w:lineRule="auto"/>
        <w:tabs>
          <w:tab w:leader="none" w:pos="14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r>
        <w:rPr>
          <w:rFonts w:ascii="Arial" w:cs="Arial" w:eastAsia="Arial" w:hAnsi="Arial"/>
          <w:sz w:val="18"/>
          <w:szCs w:val="18"/>
          <w:i w:val="1"/>
          <w:iCs w:val="1"/>
          <w:color w:val="auto"/>
        </w:rPr>
        <w: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Section 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“BHC Act Affiliate” of a party means an “affiliate” (as such term is defined under, and interpreted in accordance with, 12 U.S.C. 1841(k))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“Covered Entity” means any of the following:</w:t>
      </w:r>
    </w:p>
    <w:p>
      <w:pPr>
        <w:spacing w:after="0" w:line="252" w:lineRule="exact"/>
        <w:rPr>
          <w:sz w:val="20"/>
          <w:szCs w:val="20"/>
          <w:color w:val="auto"/>
        </w:rPr>
      </w:pPr>
    </w:p>
    <w:p>
      <w:pPr>
        <w:ind w:left="1460" w:hanging="642"/>
        <w:spacing w:after="0"/>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52" w:lineRule="exact"/>
        <w:rPr>
          <w:rFonts w:ascii="Arial" w:cs="Arial" w:eastAsia="Arial" w:hAnsi="Arial"/>
          <w:sz w:val="18"/>
          <w:szCs w:val="18"/>
          <w:color w:val="auto"/>
        </w:rPr>
      </w:pPr>
    </w:p>
    <w:p>
      <w:pPr>
        <w:ind w:left="1460" w:hanging="642"/>
        <w:spacing w:after="0"/>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52" w:lineRule="exact"/>
        <w:rPr>
          <w:rFonts w:ascii="Arial" w:cs="Arial" w:eastAsia="Arial" w:hAnsi="Arial"/>
          <w:sz w:val="18"/>
          <w:szCs w:val="18"/>
          <w:color w:val="auto"/>
        </w:rPr>
      </w:pPr>
    </w:p>
    <w:p>
      <w:pPr>
        <w:ind w:left="1460" w:hanging="642"/>
        <w:spacing w:after="0"/>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4" w:name="page45"/>
    <w:bookmarkEnd w:id="44"/>
    <w:p>
      <w:pPr>
        <w:jc w:val="both"/>
        <w:ind w:firstLine="648"/>
        <w:spacing w:after="0" w:line="264"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and the New Fortress Energy Parties in accordance with its terms.</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INTERMEDIATE,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New Fortress Energy LLC, its sole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jc w:val="right"/>
        <w:ind w:right="7699"/>
        <w:spacing w:after="0"/>
        <w:rPr>
          <w:sz w:val="20"/>
          <w:szCs w:val="20"/>
          <w:color w:val="auto"/>
        </w:rPr>
      </w:pPr>
      <w:r>
        <w:rPr>
          <w:rFonts w:ascii="Arial" w:cs="Arial" w:eastAsia="Arial" w:hAnsi="Arial"/>
          <w:sz w:val="17"/>
          <w:szCs w:val="17"/>
          <w:color w:val="auto"/>
        </w:rPr>
        <w:t>CONFIRMED AND ACCEPTED,</w:t>
      </w:r>
    </w:p>
    <w:p>
      <w:pPr>
        <w:spacing w:after="0" w:line="35" w:lineRule="exact"/>
        <w:rPr>
          <w:sz w:val="20"/>
          <w:szCs w:val="20"/>
          <w:color w:val="auto"/>
        </w:rPr>
      </w:pPr>
    </w:p>
    <w:p>
      <w:pPr>
        <w:jc w:val="right"/>
        <w:ind w:right="7679"/>
        <w:spacing w:after="0"/>
        <w:rPr>
          <w:sz w:val="20"/>
          <w:szCs w:val="20"/>
          <w:color w:val="auto"/>
        </w:rPr>
      </w:pPr>
      <w:r>
        <w:rPr>
          <w:rFonts w:ascii="Arial" w:cs="Arial" w:eastAsia="Arial" w:hAnsi="Arial"/>
          <w:sz w:val="17"/>
          <w:szCs w:val="17"/>
          <w:color w:val="auto"/>
        </w:rPr>
        <w:t>as of the date first above written: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Guha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097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Guha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097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P. Kisling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Timothy P. Kisling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Kotkin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Rebecca Kotkin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other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A hereto.</w:t>
      </w:r>
    </w:p>
    <w:p>
      <w:pPr>
        <w:spacing w:after="0" w:line="238"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6" w:name="page47"/>
    <w:bookmarkEnd w:id="46"/>
    <w:p>
      <w:pPr>
        <w:ind w:left="5140"/>
        <w:spacing w:after="0"/>
        <w:rPr>
          <w:sz w:val="20"/>
          <w:szCs w:val="20"/>
          <w:color w:val="auto"/>
        </w:rPr>
      </w:pPr>
      <w:r>
        <w:rPr>
          <w:rFonts w:ascii="Arial" w:cs="Arial" w:eastAsia="Arial" w:hAnsi="Arial"/>
          <w:sz w:val="18"/>
          <w:szCs w:val="18"/>
          <w:b w:val="1"/>
          <w:bCs w:val="1"/>
          <w:color w:val="auto"/>
        </w:rPr>
        <w:t>SCHEDULE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price per share for the Securities shall be $14.00.</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purchase price per share for the Securities to be paid by the several Underwriters shall be $13.195, being an amount equal to the initial public offering price set forth above less $0.805 per share, subject to adjustment in accordance with Section 2(b) for dividends or distributions declared by the Company and payable on the Initial Securities but not payable on the Option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9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Number of</w:t>
            </w:r>
          </w:p>
        </w:tc>
        <w:tc>
          <w:tcPr>
            <w:tcW w:w="2720" w:type="dxa"/>
            <w:vAlign w:val="bottom"/>
          </w:tcPr>
          <w:p>
            <w:pPr>
              <w:jc w:val="center"/>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82"/>
        </w:trPr>
        <w:tc>
          <w:tcPr>
            <w:tcW w:w="5720" w:type="dxa"/>
            <w:vAlign w:val="bottom"/>
            <w:gridSpan w:val="2"/>
          </w:tcPr>
          <w:p>
            <w:pPr>
              <w:spacing w:after="0"/>
              <w:rPr>
                <w:sz w:val="20"/>
                <w:szCs w:val="20"/>
                <w:color w:val="auto"/>
              </w:rPr>
            </w:pPr>
            <w:r>
              <w:rPr>
                <w:rFonts w:ascii="Arial" w:cs="Arial" w:eastAsia="Arial" w:hAnsi="Arial"/>
                <w:sz w:val="14"/>
                <w:szCs w:val="14"/>
                <w:color w:val="auto"/>
              </w:rPr>
              <w:t>Name of Underwriter</w:t>
            </w:r>
          </w:p>
        </w:tc>
        <w:tc>
          <w:tcPr>
            <w:tcW w:w="29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Initial Securities</w:t>
            </w:r>
          </w:p>
        </w:tc>
        <w:tc>
          <w:tcPr>
            <w:tcW w:w="2720" w:type="dxa"/>
            <w:vAlign w:val="bottom"/>
          </w:tcPr>
          <w:p>
            <w:pPr>
              <w:jc w:val="center"/>
              <w:spacing w:after="0"/>
              <w:rPr>
                <w:sz w:val="20"/>
                <w:szCs w:val="20"/>
                <w:color w:val="auto"/>
              </w:rPr>
            </w:pPr>
            <w:r>
              <w:rPr>
                <w:rFonts w:ascii="Arial" w:cs="Arial" w:eastAsia="Arial" w:hAnsi="Arial"/>
                <w:sz w:val="14"/>
                <w:szCs w:val="14"/>
                <w:color w:val="auto"/>
                <w:w w:val="93"/>
              </w:rPr>
              <w:t>Option Securities</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24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Barclays Capital Inc.</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4,000,000</w:t>
            </w:r>
          </w:p>
        </w:tc>
        <w:tc>
          <w:tcPr>
            <w:tcW w:w="2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2,200,000</w:t>
            </w:r>
          </w:p>
        </w:tc>
        <w:tc>
          <w:tcPr>
            <w:tcW w:w="24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2,200,000</w:t>
            </w:r>
          </w:p>
        </w:tc>
        <w:tc>
          <w:tcPr>
            <w:tcW w:w="2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2,200,000</w:t>
            </w:r>
          </w:p>
        </w:tc>
        <w:tc>
          <w:tcPr>
            <w:tcW w:w="24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Allen &amp; Company LLC</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2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1,200,000</w:t>
            </w:r>
          </w:p>
        </w:tc>
        <w:tc>
          <w:tcPr>
            <w:tcW w:w="24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Stifel, Nicolaus &amp; Company, Incorporated</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1,200,000</w:t>
            </w:r>
          </w:p>
        </w:tc>
        <w:tc>
          <w:tcPr>
            <w:tcW w:w="24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180,000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20,000,000</w:t>
            </w:r>
          </w:p>
        </w:tc>
        <w:tc>
          <w:tcPr>
            <w:tcW w:w="24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center"/>
        <w:ind w:right="-1003"/>
        <w:spacing w:after="0"/>
        <w:rPr>
          <w:sz w:val="20"/>
          <w:szCs w:val="20"/>
          <w:color w:val="auto"/>
        </w:rPr>
      </w:pPr>
      <w:r>
        <w:rPr>
          <w:rFonts w:ascii="Arial" w:cs="Arial" w:eastAsia="Arial" w:hAnsi="Arial"/>
          <w:sz w:val="18"/>
          <w:szCs w:val="18"/>
          <w:b w:val="1"/>
          <w:bCs w:val="1"/>
          <w:color w:val="auto"/>
        </w:rPr>
        <w:t>SCHEDULE B-1</w:t>
      </w:r>
    </w:p>
    <w:p>
      <w:pPr>
        <w:spacing w:after="0" w:line="229" w:lineRule="exact"/>
        <w:rPr>
          <w:sz w:val="20"/>
          <w:szCs w:val="20"/>
          <w:color w:val="auto"/>
        </w:rPr>
      </w:pPr>
    </w:p>
    <w:p>
      <w:pPr>
        <w:ind w:left="5003"/>
        <w:spacing w:after="0"/>
        <w:rPr>
          <w:sz w:val="20"/>
          <w:szCs w:val="20"/>
          <w:color w:val="auto"/>
        </w:rPr>
      </w:pPr>
      <w:r>
        <w:rPr>
          <w:rFonts w:ascii="Arial" w:cs="Arial" w:eastAsia="Arial" w:hAnsi="Arial"/>
          <w:sz w:val="18"/>
          <w:szCs w:val="18"/>
          <w:u w:val="single" w:color="auto"/>
          <w:color w:val="auto"/>
        </w:rPr>
        <w:t>Pricing Terms</w:t>
      </w:r>
    </w:p>
    <w:p>
      <w:pPr>
        <w:spacing w:after="0" w:line="252" w:lineRule="exact"/>
        <w:rPr>
          <w:sz w:val="20"/>
          <w:szCs w:val="20"/>
          <w:color w:val="auto"/>
        </w:rPr>
      </w:pPr>
    </w:p>
    <w:p>
      <w:pPr>
        <w:ind w:left="583" w:hanging="583"/>
        <w:spacing w:after="0"/>
        <w:tabs>
          <w:tab w:leader="none" w:pos="5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is selling 20,000,000 Class A Shares.</w:t>
      </w:r>
    </w:p>
    <w:p>
      <w:pPr>
        <w:spacing w:after="0" w:line="252" w:lineRule="exact"/>
        <w:rPr>
          <w:rFonts w:ascii="Arial" w:cs="Arial" w:eastAsia="Arial" w:hAnsi="Arial"/>
          <w:sz w:val="18"/>
          <w:szCs w:val="18"/>
          <w:color w:val="auto"/>
        </w:rPr>
      </w:pPr>
    </w:p>
    <w:p>
      <w:pPr>
        <w:ind w:left="583" w:hanging="583"/>
        <w:spacing w:after="0"/>
        <w:tabs>
          <w:tab w:leader="none" w:pos="58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to purchase up to an additional 3,000,000 Class A Shares.</w:t>
      </w:r>
    </w:p>
    <w:p>
      <w:pPr>
        <w:spacing w:after="0" w:line="275" w:lineRule="exact"/>
        <w:rPr>
          <w:rFonts w:ascii="Arial" w:cs="Arial" w:eastAsia="Arial" w:hAnsi="Arial"/>
          <w:sz w:val="16"/>
          <w:szCs w:val="16"/>
          <w:color w:val="auto"/>
        </w:rPr>
      </w:pPr>
    </w:p>
    <w:p>
      <w:pPr>
        <w:ind w:left="583" w:hanging="583"/>
        <w:spacing w:after="0"/>
        <w:tabs>
          <w:tab w:leader="none" w:pos="5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initial public offering price per share for the Securities shall be $14.00.</w:t>
      </w:r>
    </w:p>
    <w:p>
      <w:pPr>
        <w:spacing w:after="0" w:line="200" w:lineRule="exact"/>
        <w:rPr>
          <w:sz w:val="20"/>
          <w:szCs w:val="20"/>
          <w:color w:val="auto"/>
        </w:rPr>
      </w:pPr>
    </w:p>
    <w:p>
      <w:pPr>
        <w:spacing w:after="0" w:line="228" w:lineRule="exact"/>
        <w:rPr>
          <w:sz w:val="20"/>
          <w:szCs w:val="20"/>
          <w:color w:val="auto"/>
        </w:rPr>
      </w:pPr>
    </w:p>
    <w:p>
      <w:pPr>
        <w:ind w:left="5123"/>
        <w:spacing w:after="0"/>
        <w:rPr>
          <w:sz w:val="20"/>
          <w:szCs w:val="20"/>
          <w:color w:val="auto"/>
        </w:rPr>
      </w:pPr>
      <w:r>
        <w:rPr>
          <w:rFonts w:ascii="Arial" w:cs="Arial" w:eastAsia="Arial" w:hAnsi="Arial"/>
          <w:sz w:val="18"/>
          <w:szCs w:val="18"/>
          <w:color w:val="auto"/>
        </w:rPr>
        <w:t>Sch.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22"/>
          </w:cols>
          <w:pgMar w:left="437" w:top="121" w:right="1440"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72" w:hanging="672"/>
        <w:spacing w:after="0"/>
        <w:tabs>
          <w:tab w:leader="none" w:pos="6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Free Writing Prospectus filed on January 25, 2019.</w:t>
      </w:r>
    </w:p>
    <w:p>
      <w:pPr>
        <w:spacing w:after="0" w:line="59" w:lineRule="exact"/>
        <w:rPr>
          <w:rFonts w:ascii="Arial" w:cs="Arial" w:eastAsia="Arial" w:hAnsi="Arial"/>
          <w:sz w:val="16"/>
          <w:szCs w:val="16"/>
          <w:color w:val="auto"/>
        </w:rPr>
      </w:pPr>
    </w:p>
    <w:p>
      <w:pPr>
        <w:ind w:left="672" w:hanging="672"/>
        <w:spacing w:after="0"/>
        <w:tabs>
          <w:tab w:leader="none" w:pos="6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Free Writing Prospectus filed on January 29, 2019.</w:t>
      </w:r>
    </w:p>
    <w:p>
      <w:pPr>
        <w:spacing w:after="0" w:line="20" w:lineRule="exact"/>
        <w:rPr>
          <w:sz w:val="20"/>
          <w:szCs w:val="20"/>
          <w:color w:val="auto"/>
        </w:rPr>
      </w:pPr>
      <w:r>
        <w:rPr>
          <w:sz w:val="20"/>
          <w:szCs w:val="20"/>
          <w:color w:val="auto"/>
        </w:rPr>
        <w:br w:type="column"/>
      </w:r>
    </w:p>
    <w:p>
      <w:pPr>
        <w:jc w:val="center"/>
        <w:ind w:right="3559"/>
        <w:spacing w:after="0"/>
        <w:rPr>
          <w:sz w:val="20"/>
          <w:szCs w:val="20"/>
          <w:color w:val="auto"/>
        </w:rPr>
      </w:pPr>
      <w:r>
        <w:rPr>
          <w:rFonts w:ascii="Arial" w:cs="Arial" w:eastAsia="Arial" w:hAnsi="Arial"/>
          <w:sz w:val="18"/>
          <w:szCs w:val="18"/>
          <w:b w:val="1"/>
          <w:bCs w:val="1"/>
          <w:color w:val="auto"/>
        </w:rPr>
        <w:t>SCHEDULE B-2</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Writing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352" w:space="400"/>
            <w:col w:w="5459"/>
          </w:cols>
          <w:pgMar w:left="248" w:top="121" w:right="1440" w:bottom="1440" w:gutter="0" w:footer="0" w:header="0"/>
        </w:sectPr>
      </w:pPr>
    </w:p>
    <w:bookmarkStart w:id="49" w:name="page50"/>
    <w:bookmarkEnd w:id="49"/>
    <w:p>
      <w:pPr>
        <w:jc w:val="center"/>
        <w:ind w:right="-868"/>
        <w:spacing w:after="0"/>
        <w:rPr>
          <w:sz w:val="20"/>
          <w:szCs w:val="20"/>
          <w:color w:val="auto"/>
        </w:rPr>
      </w:pPr>
      <w:r>
        <w:rPr>
          <w:rFonts w:ascii="Arial" w:cs="Arial" w:eastAsia="Arial" w:hAnsi="Arial"/>
          <w:sz w:val="18"/>
          <w:szCs w:val="18"/>
          <w:b w:val="1"/>
          <w:bCs w:val="1"/>
          <w:color w:val="auto"/>
        </w:rPr>
        <w:t>SCHEDULE C</w:t>
      </w:r>
    </w:p>
    <w:p>
      <w:pPr>
        <w:spacing w:after="0" w:line="229" w:lineRule="exact"/>
        <w:rPr>
          <w:sz w:val="20"/>
          <w:szCs w:val="20"/>
          <w:color w:val="auto"/>
        </w:rPr>
      </w:pPr>
    </w:p>
    <w:p>
      <w:pPr>
        <w:jc w:val="right"/>
        <w:ind w:right="2219"/>
        <w:spacing w:after="0"/>
        <w:rPr>
          <w:sz w:val="20"/>
          <w:szCs w:val="20"/>
          <w:color w:val="auto"/>
        </w:rPr>
      </w:pPr>
      <w:r>
        <w:rPr>
          <w:rFonts w:ascii="Arial" w:cs="Arial" w:eastAsia="Arial" w:hAnsi="Arial"/>
          <w:sz w:val="18"/>
          <w:szCs w:val="18"/>
          <w:u w:val="single" w:color="auto"/>
          <w:color w:val="auto"/>
        </w:rPr>
        <w:t>List of Distributed Written Testing-The-Water Communications</w:t>
      </w:r>
    </w:p>
    <w:p>
      <w:pPr>
        <w:spacing w:after="0" w:line="200" w:lineRule="exact"/>
        <w:rPr>
          <w:sz w:val="20"/>
          <w:szCs w:val="20"/>
          <w:color w:val="auto"/>
        </w:rPr>
      </w:pPr>
    </w:p>
    <w:p>
      <w:pPr>
        <w:spacing w:after="0" w:line="295" w:lineRule="exact"/>
        <w:rPr>
          <w:sz w:val="20"/>
          <w:szCs w:val="20"/>
          <w:color w:val="auto"/>
        </w:rPr>
      </w:pPr>
    </w:p>
    <w:p>
      <w:pPr>
        <w:ind w:left="5068" w:right="4199" w:hanging="5068"/>
        <w:spacing w:after="0" w:line="601" w:lineRule="auto"/>
        <w:tabs>
          <w:tab w:leader="none" w:pos="325" w:val="left"/>
        </w:tabs>
        <w:numPr>
          <w:ilvl w:val="0"/>
          <w:numId w:val="56"/>
        </w:numPr>
        <w:rPr>
          <w:rFonts w:ascii="Arial" w:cs="Arial" w:eastAsia="Arial" w:hAnsi="Arial"/>
          <w:sz w:val="15"/>
          <w:szCs w:val="15"/>
          <w:color w:val="auto"/>
        </w:rPr>
      </w:pPr>
      <w:r>
        <w:rPr>
          <w:rFonts w:ascii="Arial" w:cs="Arial" w:eastAsia="Arial" w:hAnsi="Arial"/>
          <w:sz w:val="15"/>
          <w:szCs w:val="15"/>
          <w:color w:val="auto"/>
        </w:rPr>
        <w:t>Testing the Water Presentation delivered November 8, 9 and 12, 2018. 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309245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50" w:name="page51"/>
    <w:bookmarkEnd w:id="50"/>
    <w:p>
      <w:pPr>
        <w:jc w:val="center"/>
        <w:ind w:right="-1220"/>
        <w:spacing w:after="0"/>
        <w:rPr>
          <w:sz w:val="20"/>
          <w:szCs w:val="20"/>
          <w:color w:val="auto"/>
        </w:rPr>
      </w:pPr>
      <w:r>
        <w:rPr>
          <w:rFonts w:ascii="Arial" w:cs="Arial" w:eastAsia="Arial" w:hAnsi="Arial"/>
          <w:sz w:val="18"/>
          <w:szCs w:val="18"/>
          <w:b w:val="1"/>
          <w:bCs w:val="1"/>
          <w:color w:val="auto"/>
        </w:rPr>
        <w:t>SCHEDULE D</w:t>
      </w:r>
    </w:p>
    <w:p>
      <w:pPr>
        <w:spacing w:after="0" w:line="256" w:lineRule="exact"/>
        <w:rPr>
          <w:sz w:val="20"/>
          <w:szCs w:val="20"/>
          <w:color w:val="auto"/>
        </w:rPr>
      </w:pPr>
    </w:p>
    <w:p>
      <w:pPr>
        <w:jc w:val="right"/>
        <w:ind w:right="2799"/>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Wesley R. Edens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Randal A. Nardone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 Utsler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S. Guinta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William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J. Mack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Wilkinson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J. Grain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Desmond Iain Catterall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Katherine Wanner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Fortress Equity Partners (A) LP</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Sch.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83" w:lineRule="exact"/>
        <w:rPr>
          <w:sz w:val="20"/>
          <w:szCs w:val="20"/>
          <w:color w:val="auto"/>
        </w:rPr>
      </w:pPr>
    </w:p>
    <w:p>
      <w:pPr>
        <w:ind w:firstLine="579"/>
        <w:spacing w:after="0" w:line="257" w:lineRule="auto"/>
        <w:tabs>
          <w:tab w:leader="none" w:pos="13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New Fortress Energy Parties has been duly formed and is validly existing as a limited liability company and is in good standing under the laws of the State of Delaware with full limited liability company, power and authority necessary to own or lease its properties and to conduct its business, in each case, as described in the Registration Statement, the General Disclosure Package and the Prospectus. Each of the New Fortress Energy Parties is duly registered or qualified to transact business as a foreign limited liability company under the laws of each jurisdiction set forth opposite its name on Annex I.</w:t>
      </w:r>
    </w:p>
    <w:p>
      <w:pPr>
        <w:spacing w:after="0" w:line="242" w:lineRule="exact"/>
        <w:rPr>
          <w:rFonts w:ascii="Arial" w:cs="Arial" w:eastAsia="Arial" w:hAnsi="Arial"/>
          <w:sz w:val="18"/>
          <w:szCs w:val="18"/>
          <w:color w:val="auto"/>
        </w:rPr>
      </w:pPr>
    </w:p>
    <w:p>
      <w:pPr>
        <w:ind w:right="200" w:firstLine="579"/>
        <w:spacing w:after="0" w:line="302" w:lineRule="auto"/>
        <w:tabs>
          <w:tab w:leader="none" w:pos="13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Material Subsidiary listed on Annex I is validly existing as a limited liability company and is in good standing under the laws of its respective jurisdiction of formation with full limited liability company power and authority necessary to own or lease its properties and to conduct its business, in each case, as described in the Registration Statement, the General Disclosure Package and the Prospectus. Each Material Subsidiary is duly registered or qualified to transact business as a foreign limited liability company under the laws of each jurisdiction set forth opposite its name on Annex I.</w:t>
      </w:r>
    </w:p>
    <w:p>
      <w:pPr>
        <w:spacing w:after="0" w:line="208" w:lineRule="exact"/>
        <w:rPr>
          <w:rFonts w:ascii="Arial" w:cs="Arial" w:eastAsia="Arial" w:hAnsi="Arial"/>
          <w:sz w:val="16"/>
          <w:szCs w:val="16"/>
          <w:color w:val="auto"/>
        </w:rPr>
      </w:pPr>
    </w:p>
    <w:p>
      <w:pPr>
        <w:ind w:right="160" w:firstLine="579"/>
        <w:spacing w:after="0" w:line="285" w:lineRule="auto"/>
        <w:tabs>
          <w:tab w:leader="none" w:pos="13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After giving effect to the Transactions, the Company owns such equity interests in NFI as are described in the Registration Statement, the General Disclosure Package and the Prospectus; such equity interests (a) have been duly authorized and validly issued in accordance with the NFI LLC Agreement and are fully paid and non-assessable (except as such non-assessability may be limited by Sections 18-607 and 18-804 of the DLLCA)) and (b) are owned by the Company free and clear of all Liens (other than Liens arising under or in connection with the Credit Agreement) in respect of which a financing statement under the Uniform Commercial Code of the State of Delaware naming the Company as debtor is on file in the office of the Secretary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w w:val="97"/>
              </w:rPr>
              <w:t>State of the State of Delaware as of</w:t>
            </w:r>
          </w:p>
        </w:tc>
        <w:tc>
          <w:tcPr>
            <w:tcW w:w="74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41" w:lineRule="exact"/>
        <w:rPr>
          <w:sz w:val="20"/>
          <w:szCs w:val="20"/>
          <w:color w:val="auto"/>
        </w:rPr>
      </w:pPr>
    </w:p>
    <w:p>
      <w:pPr>
        <w:ind w:right="40" w:firstLine="579"/>
        <w:spacing w:after="0" w:line="257" w:lineRule="auto"/>
        <w:tabs>
          <w:tab w:leader="none" w:pos="13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Securities to be issued and sold by the Company to the Underwriters under the Agreement have been duly authorized in accordance with the Company Organizational Documents and, when issued and delivered by the Company to the Underwriters upon payment therefor in accordance with the Agreement, will be validly issued in accordance with the Company Organizational Documents, fully paid and non-assessable and will not be subject to any preemptive or similar rights arising under the DLLCA, the Company’s Organizational Documents or any agreement filed as an exhibit to the Registration Statement.</w:t>
      </w:r>
    </w:p>
    <w:p>
      <w:pPr>
        <w:spacing w:after="0" w:line="242" w:lineRule="exact"/>
        <w:rPr>
          <w:rFonts w:ascii="Arial" w:cs="Arial" w:eastAsia="Arial" w:hAnsi="Arial"/>
          <w:sz w:val="18"/>
          <w:szCs w:val="18"/>
          <w:color w:val="auto"/>
        </w:rPr>
      </w:pPr>
    </w:p>
    <w:p>
      <w:pPr>
        <w:ind w:right="140" w:firstLine="579"/>
        <w:spacing w:after="0" w:line="277" w:lineRule="auto"/>
        <w:tabs>
          <w:tab w:leader="none" w:pos="13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Class B Shares have been duly authorized and validly issued in accordance with the Company Organizational Documents and will be fully paid and nonassessable.</w:t>
      </w:r>
    </w:p>
    <w:p>
      <w:pPr>
        <w:spacing w:after="0" w:line="224" w:lineRule="exact"/>
        <w:rPr>
          <w:rFonts w:ascii="Arial" w:cs="Arial" w:eastAsia="Arial" w:hAnsi="Arial"/>
          <w:sz w:val="18"/>
          <w:szCs w:val="18"/>
          <w:color w:val="auto"/>
        </w:rPr>
      </w:pPr>
    </w:p>
    <w:p>
      <w:pPr>
        <w:ind w:right="40" w:firstLine="579"/>
        <w:spacing w:after="0" w:line="293" w:lineRule="auto"/>
        <w:tabs>
          <w:tab w:leader="none" w:pos="1354"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General Disclosure Package and the Prospectus, there are no persons with registration rights or other similar rights created pursuant to the Company Organizational Documents or any agreement filed as an exhibit to the Registration Statement to have any securities registered pursuant to the Registration Statement or registered by the Company under the Securities Act or otherwise; and, except as set forth in the Registration Statement, the General Disclosure Package and the Prospectus, there are no outstanding options, warrants or other rights to purchase or agreements or other obligations to issue, or convert any obligations into or exchange any securities for, shares of or ownership interests in the Company created pursuant to the Company Organizational Documents or any agreement filed as an exhibit to the Registration Statement.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ind w:left="-8" w:right="40" w:firstLine="579"/>
        <w:spacing w:after="0" w:line="286" w:lineRule="auto"/>
        <w:tabs>
          <w:tab w:leader="none" w:pos="1346"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execution and delivery of the Agreement and the Transaction Documents (as defined below) by the New Fortress Energy Parties does not, and the performance by the New Fortress Energy Parties of their obligations under the Agreement and the Transaction Documents, the offering, issuance and sale of the Securities by the Company pursuant to the terms of the Agreement, the issuance of the Class B Shares to New Fortress Energy Holdings LLC and the application of the proceeds from the sale of the Securities as described under the heading “Use of Proceeds” in the Registration Statement, the General Disclosure Package and the Prospectus will not, (i) result in a breach or default (or an event that, with notice or lapse of time or both, would constitute such a default) under any agreement that is filed as an exhibit to the Registration Statement; (ii) violate the provisions of the Company Organizational Documents, the NFI LLC Agreement or the organizational documents of the Material Subsidiaries listed on Annex I; (iii) violate any federal or New York statute, rule or regulation applicable to the New Fortress Energy Parties or the DLLCA or result in a breach of, or constitute a default under, any judgment, decree or order of any state or federal court or other governmental state or federal court or other governmental authority known by us to be binding on the New Fortress Energy Parties or the Material Subsidiaries as of the date hereof, or (iv) result in the creation of any additional Lien upon any property or assets of the New Fortress Energy Parties or their subsidiaries under the Credit Agreement except, with respect to clauses (i), (iii) and (iv), as would not, individually or in the aggregate, reasonably be expected to have a Material Adverse Effect; it being understood that we express no opinion in clause (iii) of this paragraph (7) with respect to any federal or state securities laws and other anti-fraud laws, rules or regulations.</w:t>
      </w:r>
    </w:p>
    <w:p>
      <w:pPr>
        <w:spacing w:after="0" w:line="228" w:lineRule="exact"/>
        <w:rPr>
          <w:rFonts w:ascii="Arial" w:cs="Arial" w:eastAsia="Arial" w:hAnsi="Arial"/>
          <w:sz w:val="16"/>
          <w:szCs w:val="16"/>
          <w:color w:val="auto"/>
        </w:rPr>
      </w:pPr>
    </w:p>
    <w:p>
      <w:pPr>
        <w:ind w:left="1352" w:hanging="781"/>
        <w:spacing w:after="0"/>
        <w:tabs>
          <w:tab w:leader="none" w:pos="13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Agreement has been duly authorized, executed and delivered by the New Fortress Energy Parties.</w:t>
      </w:r>
    </w:p>
    <w:p>
      <w:pPr>
        <w:spacing w:after="0" w:line="279" w:lineRule="exact"/>
        <w:rPr>
          <w:rFonts w:ascii="Arial" w:cs="Arial" w:eastAsia="Arial" w:hAnsi="Arial"/>
          <w:sz w:val="18"/>
          <w:szCs w:val="18"/>
          <w:color w:val="auto"/>
        </w:rPr>
      </w:pPr>
    </w:p>
    <w:p>
      <w:pPr>
        <w:ind w:left="1352" w:hanging="781"/>
        <w:spacing w:after="0"/>
        <w:tabs>
          <w:tab w:leader="none" w:pos="13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Transactions have been duly authorized by the New Fortress Energy Parties.</w:t>
      </w:r>
    </w:p>
    <w:p>
      <w:pPr>
        <w:spacing w:after="0" w:line="279" w:lineRule="exact"/>
        <w:rPr>
          <w:rFonts w:ascii="Arial" w:cs="Arial" w:eastAsia="Arial" w:hAnsi="Arial"/>
          <w:sz w:val="18"/>
          <w:szCs w:val="18"/>
          <w:color w:val="auto"/>
        </w:rPr>
      </w:pPr>
    </w:p>
    <w:p>
      <w:pPr>
        <w:ind w:left="-8" w:firstLine="579"/>
        <w:spacing w:after="0" w:line="286" w:lineRule="auto"/>
        <w:tabs>
          <w:tab w:leader="none" w:pos="1328" w:val="left"/>
        </w:tabs>
        <w:numPr>
          <w:ilvl w:val="1"/>
          <w:numId w:val="59"/>
        </w:numPr>
        <w:rPr>
          <w:rFonts w:ascii="Arial" w:cs="Arial" w:eastAsia="Arial" w:hAnsi="Arial"/>
          <w:sz w:val="16"/>
          <w:szCs w:val="16"/>
          <w:color w:val="auto"/>
        </w:rPr>
      </w:pPr>
      <w:r>
        <w:rPr>
          <w:rFonts w:ascii="Arial" w:cs="Arial" w:eastAsia="Arial" w:hAnsi="Arial"/>
          <w:sz w:val="16"/>
          <w:szCs w:val="16"/>
          <w:color w:val="auto"/>
        </w:rPr>
        <w:t>Each of the Company Organizational Documents, the NFI LLC Agreement, the Contribution Agreement and the Shareholders’ Agreement (each a “</w:t>
      </w:r>
      <w:r>
        <w:rPr>
          <w:rFonts w:ascii="Arial" w:cs="Arial" w:eastAsia="Arial" w:hAnsi="Arial"/>
          <w:sz w:val="16"/>
          <w:szCs w:val="16"/>
          <w:b w:val="1"/>
          <w:bCs w:val="1"/>
          <w:i w:val="1"/>
          <w:iCs w:val="1"/>
          <w:color w:val="auto"/>
        </w:rPr>
        <w:t>Transaction Document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has been duly authorized, executed and delivered by the New Fortress Energy Parties and, assuming the due authorization, execution and delivery by other parties thereto, constitutes a valid and legally binding agreement of each New Fortress Energy Party, enforceable against each such New Fortress Energy Party in accordance with its terms, except as enforceability may be limited by</w:t>
      </w:r>
    </w:p>
    <w:p>
      <w:pPr>
        <w:spacing w:after="0" w:line="1" w:lineRule="exact"/>
        <w:rPr>
          <w:rFonts w:ascii="Arial" w:cs="Arial" w:eastAsia="Arial" w:hAnsi="Arial"/>
          <w:sz w:val="16"/>
          <w:szCs w:val="16"/>
          <w:color w:val="auto"/>
        </w:rPr>
      </w:pPr>
    </w:p>
    <w:p>
      <w:pPr>
        <w:jc w:val="both"/>
        <w:ind w:left="-8" w:right="140" w:firstLine="8"/>
        <w:spacing w:after="0" w:line="255" w:lineRule="auto"/>
        <w:tabs>
          <w:tab w:leader="none" w:pos="2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applicable bankruptcy, insolvency, fraudulent transfer, reorganization, moratorium or similar laws affecting the enforcement of creditors’ rights generally or by equitable principles (whether considered in a proceeding at law or in equity) relating to enforceability and (ii) public policy, applicable law relating to fiduciary duties and indemnification and an implied covenant of good faith and fair dealing.</w:t>
      </w:r>
    </w:p>
    <w:p>
      <w:pPr>
        <w:spacing w:after="0" w:line="15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52" w:right="259" w:bottom="1440" w:gutter="0" w:footer="0" w:header="0"/>
        </w:sectPr>
      </w:pPr>
    </w:p>
    <w:bookmarkStart w:id="53" w:name="page54"/>
    <w:bookmarkEnd w:id="53"/>
    <w:p>
      <w:pPr>
        <w:ind w:left="-20" w:firstLine="579"/>
        <w:spacing w:after="0" w:line="289" w:lineRule="auto"/>
        <w:tabs>
          <w:tab w:leader="none" w:pos="1309"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consent, approval, authorization or order of, registration or qualification with any federal or New York court or governmental agency or any Delaware court or governmental agency acting pursuant to the DLLCA is required to be obtained or made by the New Fortress Energy Parties for the execution, delivery and performance by the New Fortress Energy Parties of the Agreement and the Transaction Documents, the compliance by the New Fortress Energy Parties with the terms thereof, the consummation of the transactions contemplated by the Agreement and the Transaction Documents, the issuance and sale of Securities by the Company being delivered on the date hereof pursuant to the Agreement and the issuance of the Class B Shares to New Fortress Energy Holdings LLC, except (i) as have been obtained or made, (ii) for the registration of the offering and sale of the Securities under the Securities Act, (iii) for such consents, approvals, authorizations, orders, registrations or qualifications as may be required under applicable federal or state securities laws and the approval by FINRA of the underwriting terms and arrangements in connection with the purchase and distribution of the Securities by the Underwriters or (iv) for such consents that, if not obtained, have not or would not, in the aggregate, reasonably be expected to have a Material Adverse Effect.</w:t>
      </w:r>
    </w:p>
    <w:p>
      <w:pPr>
        <w:spacing w:after="0" w:line="220" w:lineRule="exact"/>
        <w:rPr>
          <w:rFonts w:ascii="Arial" w:cs="Arial" w:eastAsia="Arial" w:hAnsi="Arial"/>
          <w:sz w:val="16"/>
          <w:szCs w:val="16"/>
          <w:color w:val="auto"/>
        </w:rPr>
      </w:pPr>
    </w:p>
    <w:p>
      <w:pPr>
        <w:ind w:left="-20" w:right="240" w:firstLine="579"/>
        <w:spacing w:after="0" w:line="259" w:lineRule="auto"/>
        <w:tabs>
          <w:tab w:leader="none" w:pos="13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under the Securities Act; to our knowledge, no stop order suspending the effectiveness of the Registration Statement has been issued and no proceedings for that purpose have been instituted or threatened by the Commission; and any required filing of the Prospectus pursuant to Rule 424(b) under the Securities Act has been made in the manner and within the time period required by such rule.</w:t>
      </w:r>
    </w:p>
    <w:p>
      <w:pPr>
        <w:spacing w:after="0" w:line="240" w:lineRule="exact"/>
        <w:rPr>
          <w:rFonts w:ascii="Arial" w:cs="Arial" w:eastAsia="Arial" w:hAnsi="Arial"/>
          <w:sz w:val="18"/>
          <w:szCs w:val="18"/>
          <w:color w:val="auto"/>
        </w:rPr>
      </w:pPr>
    </w:p>
    <w:p>
      <w:pPr>
        <w:ind w:left="-20" w:right="60" w:firstLine="579"/>
        <w:spacing w:after="0" w:line="297" w:lineRule="auto"/>
        <w:tabs>
          <w:tab w:leader="none" w:pos="131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statements set forth in the Registration Statement, the General Disclosure Package and the Prospectus under the headings “Business— Government Regulation,” “Description of Shares,” “Certain Relationships and Related Party Transactions” and “Material U.S. Federal Income Tax Considerations For Non-U.S. Holders,” and in the Registration Statement in Item 14, to the extent that they constitute descriptions or summaries of the terms of the Class A Shares or the documents referred to therein, or refer to statements of federal law, the laws of the State of Delaware or legal conclusions or summarize the material U.S. Federal Income Tax consequences to non-U.S. holders (as defined therein), are accurate in all material respects.</w:t>
      </w:r>
    </w:p>
    <w:p>
      <w:pPr>
        <w:spacing w:after="0" w:line="212" w:lineRule="exact"/>
        <w:rPr>
          <w:rFonts w:ascii="Arial" w:cs="Arial" w:eastAsia="Arial" w:hAnsi="Arial"/>
          <w:sz w:val="16"/>
          <w:szCs w:val="16"/>
          <w:color w:val="auto"/>
        </w:rPr>
      </w:pPr>
    </w:p>
    <w:p>
      <w:pPr>
        <w:ind w:left="-20" w:right="280" w:firstLine="579"/>
        <w:spacing w:after="0" w:line="259" w:lineRule="auto"/>
        <w:tabs>
          <w:tab w:leader="none" w:pos="13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pursuant to the terms of the Agreement and application of the net proceeds therefrom as described in the Registration Statement, the General Disclosure Package and the Prospectus under the caption “Use of Proceeds,” will not be, required to register as an “investment company,” as such term is defined in the Investment Company Act and the rules and regulations of the Commission thereunder.</w:t>
      </w:r>
    </w:p>
    <w:p>
      <w:pPr>
        <w:spacing w:after="0" w:line="240" w:lineRule="exact"/>
        <w:rPr>
          <w:rFonts w:ascii="Arial" w:cs="Arial" w:eastAsia="Arial" w:hAnsi="Arial"/>
          <w:sz w:val="18"/>
          <w:szCs w:val="18"/>
          <w:color w:val="auto"/>
        </w:rPr>
      </w:pPr>
    </w:p>
    <w:p>
      <w:pPr>
        <w:ind w:left="-20" w:right="20" w:firstLine="579"/>
        <w:spacing w:after="0" w:line="257" w:lineRule="auto"/>
        <w:tabs>
          <w:tab w:leader="none" w:pos="13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Registration Statement, as of the Effective Date and the Prospectus, when filed with the Commission pursuant to Rule 424(b) and at the Closing Date (in each case other than (i) the financial statements and related schedules, including the notes and schedules thereto and the auditor’s report thereon, (ii) the other financial data derived therefrom and (iii) other financial data, in each case included in or omitted from the Registration Statement and the Prospectus, as to which we express no opinion), appeared on its face to comply as to form in all material respects with the requirements of the Securities 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lock-up from directors, officers or other shareholders pursuant to Section 5(k)]</w:t>
      </w:r>
    </w:p>
    <w:p>
      <w:pPr>
        <w:spacing w:after="0" w:line="2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January 30,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Schedule A hereto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Morgan Stanley &amp; Co. LLC</w:t>
            </w:r>
          </w:p>
        </w:tc>
      </w:tr>
      <w:tr>
        <w:trPr>
          <w:trHeight w:val="216"/>
        </w:trPr>
        <w:tc>
          <w:tcPr>
            <w:tcW w:w="440" w:type="dxa"/>
            <w:vAlign w:val="bottom"/>
          </w:tcPr>
          <w:p>
            <w:pPr>
              <w:spacing w:after="0"/>
              <w:rPr>
                <w:sz w:val="18"/>
                <w:szCs w:val="18"/>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1585 Broadway</w:t>
            </w:r>
          </w:p>
        </w:tc>
      </w:tr>
      <w:tr>
        <w:trPr>
          <w:trHeight w:val="230"/>
        </w:trPr>
        <w:tc>
          <w:tcPr>
            <w:tcW w:w="44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New York, New York 10036</w:t>
            </w:r>
          </w:p>
        </w:tc>
      </w:tr>
      <w:tr>
        <w:trPr>
          <w:trHeight w:val="445"/>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Barclays Capital Inc.</w:t>
            </w:r>
          </w:p>
        </w:tc>
      </w:tr>
      <w:tr>
        <w:trPr>
          <w:trHeight w:val="216"/>
        </w:trPr>
        <w:tc>
          <w:tcPr>
            <w:tcW w:w="440" w:type="dxa"/>
            <w:vAlign w:val="bottom"/>
          </w:tcPr>
          <w:p>
            <w:pPr>
              <w:spacing w:after="0"/>
              <w:rPr>
                <w:sz w:val="18"/>
                <w:szCs w:val="18"/>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745 Seventh Avenue</w:t>
            </w:r>
          </w:p>
        </w:tc>
      </w:tr>
      <w:tr>
        <w:trPr>
          <w:trHeight w:val="230"/>
        </w:trPr>
        <w:tc>
          <w:tcPr>
            <w:tcW w:w="44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New York, NY 10019</w:t>
            </w:r>
          </w:p>
        </w:tc>
      </w:tr>
      <w:tr>
        <w:trPr>
          <w:trHeight w:val="472"/>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860" w:type="dxa"/>
            <w:vAlign w:val="bottom"/>
            <w:gridSpan w:val="2"/>
          </w:tcPr>
          <w:p>
            <w:pPr>
              <w:ind w:left="32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440" w:type="dxa"/>
            <w:vAlign w:val="bottom"/>
          </w:tcPr>
          <w:p>
            <w:pPr>
              <w:spacing w:after="0"/>
              <w:rPr>
                <w:sz w:val="18"/>
                <w:szCs w:val="18"/>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388 Greenwich Street</w:t>
            </w:r>
          </w:p>
        </w:tc>
      </w:tr>
      <w:tr>
        <w:trPr>
          <w:trHeight w:val="230"/>
        </w:trPr>
        <w:tc>
          <w:tcPr>
            <w:tcW w:w="44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New York, New York 10013</w:t>
            </w:r>
          </w:p>
        </w:tc>
      </w:tr>
      <w:tr>
        <w:trPr>
          <w:trHeight w:val="445"/>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440" w:type="dxa"/>
            <w:vAlign w:val="bottom"/>
          </w:tcPr>
          <w:p>
            <w:pPr>
              <w:spacing w:after="0"/>
              <w:rPr>
                <w:sz w:val="18"/>
                <w:szCs w:val="18"/>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Eleven Madison Avenue</w:t>
            </w:r>
          </w:p>
        </w:tc>
      </w:tr>
      <w:tr>
        <w:trPr>
          <w:trHeight w:val="230"/>
        </w:trPr>
        <w:tc>
          <w:tcPr>
            <w:tcW w:w="440" w:type="dxa"/>
            <w:vAlign w:val="bottom"/>
          </w:tcPr>
          <w:p>
            <w:pPr>
              <w:spacing w:after="0"/>
              <w:rPr>
                <w:sz w:val="20"/>
                <w:szCs w:val="20"/>
                <w:color w:val="auto"/>
              </w:rPr>
            </w:pPr>
          </w:p>
        </w:tc>
        <w:tc>
          <w:tcPr>
            <w:tcW w:w="4860" w:type="dxa"/>
            <w:vAlign w:val="bottom"/>
            <w:gridSpan w:val="2"/>
          </w:tcPr>
          <w:p>
            <w:pPr>
              <w:ind w:left="220"/>
              <w:spacing w:after="0"/>
              <w:rPr>
                <w:sz w:val="20"/>
                <w:szCs w:val="20"/>
                <w:color w:val="auto"/>
              </w:rPr>
            </w:pPr>
            <w:r>
              <w:rPr>
                <w:rFonts w:ascii="Arial" w:cs="Arial" w:eastAsia="Arial" w:hAnsi="Arial"/>
                <w:sz w:val="18"/>
                <w:szCs w:val="18"/>
                <w:color w:val="auto"/>
              </w:rPr>
              <w:t>New York, NY 10010-3629</w:t>
            </w:r>
          </w:p>
        </w:tc>
      </w:tr>
      <w:tr>
        <w:trPr>
          <w:trHeight w:val="446"/>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Re: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Proposed Public Offering by New Fortress Energy LLC</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Sirs or Madames: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undersigned, a shareholder and/or an officer and/or director of New Fortress Energy LLC, a Delaware limited liability company (the “Company”), understands that Morgan Stanley &amp; Co. LLC (“Morgan Stanley”), Barclays Capital Inc., Citigroup Global Markets Inc. and Credit Suisse Securities (USA) LLC (collectively, the “Representatives”) propose to enter into an Underwriting Agreement (the “Underwriting Agreement”) with the Company and New Fortress Intermediate LLC, a Delaware limited liability company (“NFI” and together with the Company, the “New Fortress Energy Parties”) providing for the public offering of Class A shares (the “Securities”) representing limited liability company interests of the Company (the “Class A Shares”). In recognition of the benefit that such an offering will confer upon the undersigned as a shareholder and/or an officer and/or director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days from the date of the Underwriting Agreement (subject to extensions as discussed below), the undersigned will not, without the prior written consent of Morgan Stanley, directly or indirectly, (i) offer, pledge, sell, contract to sell, sell any option or contract to purchase, purchase any option or contract to sell, grant any option, right or warrant for the sale of, or otherwise dispose of or transfer any Class A Shares, Class B shares representing limited liability company interests of the Company (“Class B Shares”) or any securities convertible into or exchangeable or exercisable for Class A Shares or Class B Shares (including without limitation, shares or limited liability company interests in New Fortress Intermediate LLC),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Class A Shares, Class B Shares or other Lock-Up Securities, in cash or otherwise. If the undersigned is an officer or director of the Company, the undersigned further agrees that the foregoing provisions shall be equally applicable to any issuer-directed Class A Shares the undersigned may purchase in the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both"/>
        <w:ind w:firstLine="648"/>
        <w:spacing w:after="0" w:line="291" w:lineRule="auto"/>
        <w:rPr>
          <w:sz w:val="20"/>
          <w:szCs w:val="20"/>
          <w:color w:val="auto"/>
        </w:rPr>
      </w:pPr>
      <w:r>
        <w:rPr>
          <w:rFonts w:ascii="Arial" w:cs="Arial" w:eastAsia="Arial" w:hAnsi="Arial"/>
          <w:sz w:val="16"/>
          <w:szCs w:val="16"/>
          <w:color w:val="auto"/>
        </w:rPr>
        <w:t>If the undersigned is an officer or director of the Company, (1) Morgan Stanley agrees that, at least three business days before the effective date of any release or waiver of the foregoing restrictions in connection with a transfer of Lock-Up Securities, Morgan Stanley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Morgan Stanley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letter to the extent and for the duration that such terms remain in effect at the time of the transfer.</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and subject to the conditions below, the undersigned may transfer the Lock-Up Securities without the prior written consent of Morgan Stanley, provided that, (1) with respect to (i), (ii), (iii) and (iv) (irrespective of whether such transfer involves a disposition of value, to the extent permitted by this Agreement), Morgan Stanley receives a signed lock-up agreement for the balance of the lockup period from each donee, trustee, distributee, or transferee, as the case may be, (2) any transfer described under (i), (ii) or (iii) below shall not involve a disposition for value, (3) the transfers described in (i), (ii), (iii) and (iv) (irrespective of whether such transfer involves a disposition of value, to the extent permitted by this Agreement) are not required to be reported with the Securities and Exchange Commission on Form 4 in accordance with Section 16 of the Securities Exchange Act of 1934, as amended (the “Exchange Act”), (4) in the case of (i), (ii), (iii) and (iv), the undersigned does not otherwise voluntarily effect any public filing or report regarding such transfers (other than a filing on Form 5 made after the expiration of the 180-day period referred to above) and (5) in the case of a transfer described in (v), (a) any securities received upon such exercise shall be subject to this agreement, (b) no filing under Section 16 of the Exchange Act, or other public announcement, shall be voluntarily made during the Lock-Up Period and (c) any filing required to be made pursuant to Section 16 of the Exchange Act shall clearly indicate that the filing relates to the circumstances described in clause (v), irrespective of whether such transfer involves a disposition of value, to the extent permitted by this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undersigned or the immediate family of the undersigned (for purposes of this agreement, “immediate family” shall mean any relationship by blood, marriage or adoption, not more remote than first cousin);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distribution to limited partners, members or stockholders of the undersigned;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the undersigned; or</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Company in connection with the net exercise or net settlement of an award granted under a compensatory plan of the Company adopted prior to the Public Offering.</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the undersigned may establish a trading plan pursuant to Rule 10b5-1 under the Exchange Act for the transfer of Class A Shares during the Lock-Up Period, provided that (i) such plan does not provide for the transfer of Class A Shares during the Lock-Up Period and (ii) to the extent a public announcement or filing under the Exchange Act, if any, is required of or voluntarily made by the Company regarding the establishment of such plan, such announcement or filing shall include a statement to the effect that no transfer of Class A Shares may be made under such plan during the Lock-Up Period.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the undersigned may sell Class A Shares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agreement shall lapse and become null and void if (i) prior to entering the Underwriting Agreement, the Company notifies Morgan Stanley in writing that the Company does not intend to proceed with the offering of the Class A Shares through Morgan Stanley and files an application to withdraw the registration statement related to the offering, (ii) the Company and the Representatives have not entered into the Underwriting Agreement on or before February 15, 2019, or (iii) for any reason the Underwriting Agreement is terminated prior to the Closing Time (as defined therein).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color w:val="auto"/>
        </w:rPr>
        <w:t>[REMAINDER OF THIS PAGE LEFT INTENTIONALLY BLANK]</w:t>
      </w:r>
    </w:p>
    <w:p>
      <w:pPr>
        <w:sectPr>
          <w:pgSz w:w="11900" w:h="16838" w:orient="portrait"/>
          <w:cols w:equalWidth="0" w:num="1">
            <w:col w:w="9019"/>
          </w:cols>
          <w:pgMar w:left="1440" w:top="368"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56515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type w:val="continuous"/>
        </w:sectPr>
      </w:pPr>
    </w:p>
    <w:bookmarkStart w:id="58" w:name="page59"/>
    <w:bookmarkEnd w:id="58"/>
    <w:p>
      <w:pPr>
        <w:ind w:left="3960"/>
        <w:spacing w:after="0"/>
        <w:rPr>
          <w:sz w:val="20"/>
          <w:szCs w:val="20"/>
          <w:color w:val="auto"/>
        </w:rPr>
      </w:pPr>
      <w:r>
        <w:rPr>
          <w:rFonts w:ascii="Arial" w:cs="Arial" w:eastAsia="Arial" w:hAnsi="Arial"/>
          <w:sz w:val="16"/>
          <w:szCs w:val="16"/>
          <w:color w:val="auto"/>
        </w:rPr>
        <w:t>Very truly yours,</w:t>
      </w:r>
    </w:p>
    <w:p>
      <w:pPr>
        <w:spacing w:after="0" w:line="24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29210</wp:posOffset>
            </wp:positionV>
            <wp:extent cx="34048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ISSUED PURSUANT TO SECTION 3(i)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New Fortress Energy LLC (the “Company”) announced today that Morgan Stanley, the lead book-running manager in the Company’s recent public sale</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Class A shares, is [waiving] [releasing] a lock-up restriction with respect to Class A shares of the Company held by [certain officers or directors] [an officer or director] of the Company. The [waiver] [release] will take effect on , 20 , and the shares may be sold on or after such date.</w:t>
      </w:r>
    </w:p>
    <w:p>
      <w:pPr>
        <w:spacing w:after="0" w:line="21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3.1</w:t>
      </w:r>
    </w:p>
    <w:p>
      <w:pPr>
        <w:spacing w:after="0" w:line="21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FIRST AMENDED AND RESTATED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NEW FORTRESS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72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42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TABLE OF CONTENTS</w:t>
            </w:r>
          </w:p>
        </w:tc>
        <w:tc>
          <w:tcPr>
            <w:tcW w:w="1960" w:type="dxa"/>
            <w:vAlign w:val="bottom"/>
          </w:tcPr>
          <w:p>
            <w:pPr>
              <w:spacing w:after="0"/>
              <w:rPr>
                <w:sz w:val="20"/>
                <w:szCs w:val="20"/>
                <w:color w:val="auto"/>
              </w:rPr>
            </w:pPr>
          </w:p>
        </w:tc>
      </w:tr>
      <w:tr>
        <w:trPr>
          <w:trHeight w:val="472"/>
        </w:trPr>
        <w:tc>
          <w:tcPr>
            <w:tcW w:w="1040" w:type="dxa"/>
            <w:vAlign w:val="bottom"/>
          </w:tcPr>
          <w:p>
            <w:pPr>
              <w:spacing w:after="0"/>
              <w:rPr>
                <w:sz w:val="24"/>
                <w:szCs w:val="24"/>
                <w:color w:val="auto"/>
              </w:rPr>
            </w:pPr>
          </w:p>
        </w:tc>
        <w:tc>
          <w:tcPr>
            <w:tcW w:w="8420" w:type="dxa"/>
            <w:vAlign w:val="bottom"/>
          </w:tcPr>
          <w:p>
            <w:pPr>
              <w:jc w:val="center"/>
              <w:ind w:left="830"/>
              <w:spacing w:after="0"/>
              <w:rPr>
                <w:sz w:val="20"/>
                <w:szCs w:val="20"/>
                <w:color w:val="auto"/>
              </w:rPr>
            </w:pPr>
            <w:r>
              <w:rPr>
                <w:rFonts w:ascii="Arial" w:cs="Arial" w:eastAsia="Arial" w:hAnsi="Arial"/>
                <w:sz w:val="22"/>
                <w:szCs w:val="22"/>
                <w:color w:val="auto"/>
                <w:w w:val="96"/>
              </w:rPr>
              <w:t>ARTICLE I</w:t>
            </w:r>
          </w:p>
        </w:tc>
        <w:tc>
          <w:tcPr>
            <w:tcW w:w="19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20" w:type="dxa"/>
            <w:vAlign w:val="bottom"/>
          </w:tcPr>
          <w:p>
            <w:pPr>
              <w:jc w:val="center"/>
              <w:ind w:left="850"/>
              <w:spacing w:after="0"/>
              <w:rPr>
                <w:sz w:val="20"/>
                <w:szCs w:val="20"/>
                <w:color w:val="auto"/>
              </w:rPr>
            </w:pPr>
            <w:r>
              <w:rPr>
                <w:rFonts w:ascii="Arial" w:cs="Arial" w:eastAsia="Arial" w:hAnsi="Arial"/>
                <w:sz w:val="18"/>
                <w:szCs w:val="18"/>
                <w:color w:val="auto"/>
                <w:w w:val="98"/>
              </w:rPr>
              <w:t>DEFINITIONS</w:t>
            </w:r>
          </w:p>
        </w:tc>
        <w:tc>
          <w:tcPr>
            <w:tcW w:w="1960" w:type="dxa"/>
            <w:vAlign w:val="bottom"/>
          </w:tcPr>
          <w:p>
            <w:pPr>
              <w:spacing w:after="0"/>
              <w:rPr>
                <w:sz w:val="20"/>
                <w:szCs w:val="20"/>
                <w:color w:val="auto"/>
              </w:rPr>
            </w:pPr>
          </w:p>
        </w:tc>
      </w:tr>
      <w:tr>
        <w:trPr>
          <w:trHeight w:val="418"/>
        </w:trPr>
        <w:tc>
          <w:tcPr>
            <w:tcW w:w="1040" w:type="dxa"/>
            <w:vAlign w:val="bottom"/>
          </w:tcPr>
          <w:p>
            <w:pPr>
              <w:ind w:left="20"/>
              <w:spacing w:after="0"/>
              <w:rPr>
                <w:sz w:val="20"/>
                <w:szCs w:val="20"/>
                <w:color w:val="auto"/>
              </w:rPr>
            </w:pPr>
            <w:r>
              <w:rPr>
                <w:rFonts w:ascii="Arial" w:cs="Arial" w:eastAsia="Arial" w:hAnsi="Arial"/>
                <w:sz w:val="18"/>
                <w:szCs w:val="18"/>
                <w:color w:val="auto"/>
              </w:rPr>
              <w:t>Section 1.1</w:t>
            </w:r>
          </w:p>
        </w:tc>
        <w:tc>
          <w:tcPr>
            <w:tcW w:w="84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Section 1.2</w:t>
            </w:r>
          </w:p>
        </w:tc>
        <w:tc>
          <w:tcPr>
            <w:tcW w:w="842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634"/>
        </w:trPr>
        <w:tc>
          <w:tcPr>
            <w:tcW w:w="1040" w:type="dxa"/>
            <w:vAlign w:val="bottom"/>
          </w:tcPr>
          <w:p>
            <w:pPr>
              <w:spacing w:after="0"/>
              <w:rPr>
                <w:sz w:val="24"/>
                <w:szCs w:val="24"/>
                <w:color w:val="auto"/>
              </w:rPr>
            </w:pPr>
          </w:p>
        </w:tc>
        <w:tc>
          <w:tcPr>
            <w:tcW w:w="8420" w:type="dxa"/>
            <w:vAlign w:val="bottom"/>
          </w:tcPr>
          <w:p>
            <w:pPr>
              <w:jc w:val="center"/>
              <w:ind w:left="850"/>
              <w:spacing w:after="0"/>
              <w:rPr>
                <w:sz w:val="20"/>
                <w:szCs w:val="20"/>
                <w:color w:val="auto"/>
              </w:rPr>
            </w:pPr>
            <w:r>
              <w:rPr>
                <w:rFonts w:ascii="Arial" w:cs="Arial" w:eastAsia="Arial" w:hAnsi="Arial"/>
                <w:sz w:val="18"/>
                <w:szCs w:val="18"/>
                <w:color w:val="auto"/>
              </w:rPr>
              <w:t>ARTICLE II</w:t>
            </w:r>
          </w:p>
        </w:tc>
        <w:tc>
          <w:tcPr>
            <w:tcW w:w="19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20" w:type="dxa"/>
            <w:vAlign w:val="bottom"/>
          </w:tcPr>
          <w:p>
            <w:pPr>
              <w:jc w:val="center"/>
              <w:ind w:left="830"/>
              <w:spacing w:after="0"/>
              <w:rPr>
                <w:sz w:val="20"/>
                <w:szCs w:val="20"/>
                <w:color w:val="auto"/>
              </w:rPr>
            </w:pPr>
            <w:r>
              <w:rPr>
                <w:rFonts w:ascii="Arial" w:cs="Arial" w:eastAsia="Arial" w:hAnsi="Arial"/>
                <w:sz w:val="18"/>
                <w:szCs w:val="18"/>
                <w:color w:val="auto"/>
                <w:w w:val="97"/>
              </w:rPr>
              <w:t>ORGANIZATION</w:t>
            </w:r>
          </w:p>
        </w:tc>
        <w:tc>
          <w:tcPr>
            <w:tcW w:w="196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2.1</w:t>
            </w:r>
          </w:p>
        </w:tc>
        <w:tc>
          <w:tcPr>
            <w:tcW w:w="8420" w:type="dxa"/>
            <w:vAlign w:val="bottom"/>
          </w:tcPr>
          <w:p>
            <w:pPr>
              <w:ind w:left="120"/>
              <w:spacing w:after="0"/>
              <w:rPr>
                <w:sz w:val="20"/>
                <w:szCs w:val="20"/>
                <w:color w:val="auto"/>
              </w:rPr>
            </w:pPr>
            <w:r>
              <w:rPr>
                <w:rFonts w:ascii="Arial" w:cs="Arial" w:eastAsia="Arial" w:hAnsi="Arial"/>
                <w:sz w:val="18"/>
                <w:szCs w:val="18"/>
                <w:color w:val="auto"/>
              </w:rPr>
              <w:t>Formation</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2.2</w:t>
            </w:r>
          </w:p>
        </w:tc>
        <w:tc>
          <w:tcPr>
            <w:tcW w:w="8420" w:type="dxa"/>
            <w:vAlign w:val="bottom"/>
          </w:tcPr>
          <w:p>
            <w:pPr>
              <w:ind w:left="120"/>
              <w:spacing w:after="0"/>
              <w:rPr>
                <w:sz w:val="20"/>
                <w:szCs w:val="20"/>
                <w:color w:val="auto"/>
              </w:rPr>
            </w:pPr>
            <w:r>
              <w:rPr>
                <w:rFonts w:ascii="Arial" w:cs="Arial" w:eastAsia="Arial" w:hAnsi="Arial"/>
                <w:sz w:val="18"/>
                <w:szCs w:val="18"/>
                <w:color w:val="auto"/>
              </w:rPr>
              <w:t>Name</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2.3</w:t>
            </w:r>
          </w:p>
        </w:tc>
        <w:tc>
          <w:tcPr>
            <w:tcW w:w="8420" w:type="dxa"/>
            <w:vAlign w:val="bottom"/>
          </w:tcPr>
          <w:p>
            <w:pPr>
              <w:ind w:left="120"/>
              <w:spacing w:after="0"/>
              <w:rPr>
                <w:sz w:val="20"/>
                <w:szCs w:val="20"/>
                <w:color w:val="auto"/>
              </w:rPr>
            </w:pPr>
            <w:r>
              <w:rPr>
                <w:rFonts w:ascii="Arial" w:cs="Arial" w:eastAsia="Arial" w:hAnsi="Arial"/>
                <w:sz w:val="18"/>
                <w:szCs w:val="18"/>
                <w:color w:val="auto"/>
              </w:rPr>
              <w:t>Registered Office; Registered Agent; Principal Office; Other Offices</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2.4</w:t>
            </w:r>
          </w:p>
        </w:tc>
        <w:tc>
          <w:tcPr>
            <w:tcW w:w="8420" w:type="dxa"/>
            <w:vAlign w:val="bottom"/>
          </w:tcPr>
          <w:p>
            <w:pPr>
              <w:ind w:left="120"/>
              <w:spacing w:after="0"/>
              <w:rPr>
                <w:sz w:val="20"/>
                <w:szCs w:val="20"/>
                <w:color w:val="auto"/>
              </w:rPr>
            </w:pPr>
            <w:r>
              <w:rPr>
                <w:rFonts w:ascii="Arial" w:cs="Arial" w:eastAsia="Arial" w:hAnsi="Arial"/>
                <w:sz w:val="18"/>
                <w:szCs w:val="18"/>
                <w:color w:val="auto"/>
              </w:rPr>
              <w:t>Purposes</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2.5</w:t>
            </w:r>
          </w:p>
        </w:tc>
        <w:tc>
          <w:tcPr>
            <w:tcW w:w="8420" w:type="dxa"/>
            <w:vAlign w:val="bottom"/>
          </w:tcPr>
          <w:p>
            <w:pPr>
              <w:ind w:left="120"/>
              <w:spacing w:after="0"/>
              <w:rPr>
                <w:sz w:val="20"/>
                <w:szCs w:val="20"/>
                <w:color w:val="auto"/>
              </w:rPr>
            </w:pPr>
            <w:r>
              <w:rPr>
                <w:rFonts w:ascii="Arial" w:cs="Arial" w:eastAsia="Arial" w:hAnsi="Arial"/>
                <w:sz w:val="18"/>
                <w:szCs w:val="18"/>
                <w:color w:val="auto"/>
              </w:rPr>
              <w:t>Powers</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2.6</w:t>
            </w:r>
          </w:p>
        </w:tc>
        <w:tc>
          <w:tcPr>
            <w:tcW w:w="8420" w:type="dxa"/>
            <w:vAlign w:val="bottom"/>
          </w:tcPr>
          <w:p>
            <w:pPr>
              <w:ind w:left="120"/>
              <w:spacing w:after="0"/>
              <w:rPr>
                <w:sz w:val="20"/>
                <w:szCs w:val="20"/>
                <w:color w:val="auto"/>
              </w:rPr>
            </w:pPr>
            <w:r>
              <w:rPr>
                <w:rFonts w:ascii="Arial" w:cs="Arial" w:eastAsia="Arial" w:hAnsi="Arial"/>
                <w:sz w:val="18"/>
                <w:szCs w:val="18"/>
                <w:color w:val="auto"/>
              </w:rPr>
              <w:t>Term</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2.7</w:t>
            </w:r>
          </w:p>
        </w:tc>
        <w:tc>
          <w:tcPr>
            <w:tcW w:w="8420" w:type="dxa"/>
            <w:vAlign w:val="bottom"/>
          </w:tcPr>
          <w:p>
            <w:pPr>
              <w:ind w:left="120"/>
              <w:spacing w:after="0"/>
              <w:rPr>
                <w:sz w:val="20"/>
                <w:szCs w:val="20"/>
                <w:color w:val="auto"/>
              </w:rPr>
            </w:pPr>
            <w:r>
              <w:rPr>
                <w:rFonts w:ascii="Arial" w:cs="Arial" w:eastAsia="Arial" w:hAnsi="Arial"/>
                <w:sz w:val="18"/>
                <w:szCs w:val="18"/>
                <w:color w:val="auto"/>
              </w:rPr>
              <w:t>Title to Company Assets</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45"/>
        </w:trPr>
        <w:tc>
          <w:tcPr>
            <w:tcW w:w="1040" w:type="dxa"/>
            <w:vAlign w:val="bottom"/>
          </w:tcPr>
          <w:p>
            <w:pPr>
              <w:spacing w:after="0"/>
              <w:rPr>
                <w:sz w:val="24"/>
                <w:szCs w:val="24"/>
                <w:color w:val="auto"/>
              </w:rPr>
            </w:pPr>
          </w:p>
        </w:tc>
        <w:tc>
          <w:tcPr>
            <w:tcW w:w="8420" w:type="dxa"/>
            <w:vAlign w:val="bottom"/>
          </w:tcPr>
          <w:p>
            <w:pPr>
              <w:jc w:val="center"/>
              <w:ind w:left="830"/>
              <w:spacing w:after="0"/>
              <w:rPr>
                <w:sz w:val="20"/>
                <w:szCs w:val="20"/>
                <w:color w:val="auto"/>
              </w:rPr>
            </w:pPr>
            <w:r>
              <w:rPr>
                <w:rFonts w:ascii="Arial" w:cs="Arial" w:eastAsia="Arial" w:hAnsi="Arial"/>
                <w:sz w:val="18"/>
                <w:szCs w:val="18"/>
                <w:color w:val="auto"/>
              </w:rPr>
              <w:t>ARTICLE III</w:t>
            </w:r>
          </w:p>
        </w:tc>
        <w:tc>
          <w:tcPr>
            <w:tcW w:w="19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20" w:type="dxa"/>
            <w:vAlign w:val="bottom"/>
          </w:tcPr>
          <w:p>
            <w:pPr>
              <w:jc w:val="center"/>
              <w:ind w:left="830"/>
              <w:spacing w:after="0"/>
              <w:rPr>
                <w:sz w:val="20"/>
                <w:szCs w:val="20"/>
                <w:color w:val="auto"/>
              </w:rPr>
            </w:pPr>
            <w:r>
              <w:rPr>
                <w:rFonts w:ascii="Arial" w:cs="Arial" w:eastAsia="Arial" w:hAnsi="Arial"/>
                <w:sz w:val="18"/>
                <w:szCs w:val="18"/>
                <w:color w:val="auto"/>
                <w:w w:val="96"/>
              </w:rPr>
              <w:t>MEMBERS AND SHARES</w:t>
            </w:r>
          </w:p>
        </w:tc>
        <w:tc>
          <w:tcPr>
            <w:tcW w:w="196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3.1</w:t>
            </w:r>
          </w:p>
        </w:tc>
        <w:tc>
          <w:tcPr>
            <w:tcW w:w="8420" w:type="dxa"/>
            <w:vAlign w:val="bottom"/>
          </w:tcPr>
          <w:p>
            <w:pPr>
              <w:ind w:left="120"/>
              <w:spacing w:after="0"/>
              <w:rPr>
                <w:sz w:val="20"/>
                <w:szCs w:val="20"/>
                <w:color w:val="auto"/>
              </w:rPr>
            </w:pPr>
            <w:r>
              <w:rPr>
                <w:rFonts w:ascii="Arial" w:cs="Arial" w:eastAsia="Arial" w:hAnsi="Arial"/>
                <w:sz w:val="18"/>
                <w:szCs w:val="18"/>
                <w:color w:val="auto"/>
              </w:rPr>
              <w:t>Members</w:t>
            </w: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3.2</w:t>
            </w:r>
          </w:p>
        </w:tc>
        <w:tc>
          <w:tcPr>
            <w:tcW w:w="8420" w:type="dxa"/>
            <w:vAlign w:val="bottom"/>
          </w:tcPr>
          <w:p>
            <w:pPr>
              <w:ind w:left="120"/>
              <w:spacing w:after="0"/>
              <w:rPr>
                <w:sz w:val="20"/>
                <w:szCs w:val="20"/>
                <w:color w:val="auto"/>
              </w:rPr>
            </w:pPr>
            <w:r>
              <w:rPr>
                <w:rFonts w:ascii="Arial" w:cs="Arial" w:eastAsia="Arial" w:hAnsi="Arial"/>
                <w:sz w:val="18"/>
                <w:szCs w:val="18"/>
                <w:color w:val="auto"/>
              </w:rPr>
              <w:t>Authorization to Issue Shares</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3.3</w:t>
            </w:r>
          </w:p>
        </w:tc>
        <w:tc>
          <w:tcPr>
            <w:tcW w:w="8420" w:type="dxa"/>
            <w:vAlign w:val="bottom"/>
          </w:tcPr>
          <w:p>
            <w:pPr>
              <w:ind w:left="120"/>
              <w:spacing w:after="0"/>
              <w:rPr>
                <w:sz w:val="20"/>
                <w:szCs w:val="20"/>
                <w:color w:val="auto"/>
              </w:rPr>
            </w:pPr>
            <w:r>
              <w:rPr>
                <w:rFonts w:ascii="Arial" w:cs="Arial" w:eastAsia="Arial" w:hAnsi="Arial"/>
                <w:sz w:val="18"/>
                <w:szCs w:val="18"/>
                <w:color w:val="auto"/>
              </w:rPr>
              <w:t>Certificates and Transfer</w:t>
            </w:r>
          </w:p>
        </w:tc>
        <w:tc>
          <w:tcPr>
            <w:tcW w:w="1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3.4</w:t>
            </w:r>
          </w:p>
        </w:tc>
        <w:tc>
          <w:tcPr>
            <w:tcW w:w="8420" w:type="dxa"/>
            <w:vAlign w:val="bottom"/>
          </w:tcPr>
          <w:p>
            <w:pPr>
              <w:ind w:left="120"/>
              <w:spacing w:after="0"/>
              <w:rPr>
                <w:sz w:val="20"/>
                <w:szCs w:val="20"/>
                <w:color w:val="auto"/>
              </w:rPr>
            </w:pPr>
            <w:r>
              <w:rPr>
                <w:rFonts w:ascii="Arial" w:cs="Arial" w:eastAsia="Arial" w:hAnsi="Arial"/>
                <w:sz w:val="18"/>
                <w:szCs w:val="18"/>
                <w:color w:val="auto"/>
              </w:rPr>
              <w:t>Record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3.5</w:t>
            </w:r>
          </w:p>
        </w:tc>
        <w:tc>
          <w:tcPr>
            <w:tcW w:w="8420" w:type="dxa"/>
            <w:vAlign w:val="bottom"/>
          </w:tcPr>
          <w:p>
            <w:pPr>
              <w:ind w:left="120"/>
              <w:spacing w:after="0"/>
              <w:rPr>
                <w:sz w:val="20"/>
                <w:szCs w:val="20"/>
                <w:color w:val="auto"/>
              </w:rPr>
            </w:pPr>
            <w:r>
              <w:rPr>
                <w:rFonts w:ascii="Arial" w:cs="Arial" w:eastAsia="Arial" w:hAnsi="Arial"/>
                <w:sz w:val="18"/>
                <w:szCs w:val="18"/>
                <w:color w:val="auto"/>
              </w:rPr>
              <w:t>Splits and Combinations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3.6</w:t>
            </w:r>
          </w:p>
        </w:tc>
        <w:tc>
          <w:tcPr>
            <w:tcW w:w="8420" w:type="dxa"/>
            <w:vAlign w:val="bottom"/>
          </w:tcPr>
          <w:p>
            <w:pPr>
              <w:ind w:left="120"/>
              <w:spacing w:after="0"/>
              <w:rPr>
                <w:sz w:val="20"/>
                <w:szCs w:val="20"/>
                <w:color w:val="auto"/>
              </w:rPr>
            </w:pPr>
            <w:r>
              <w:rPr>
                <w:rFonts w:ascii="Arial" w:cs="Arial" w:eastAsia="Arial" w:hAnsi="Arial"/>
                <w:sz w:val="18"/>
                <w:szCs w:val="18"/>
                <w:color w:val="auto"/>
              </w:rPr>
              <w:t>Class B Shares</w:t>
            </w:r>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3.7</w:t>
            </w:r>
          </w:p>
        </w:tc>
        <w:tc>
          <w:tcPr>
            <w:tcW w:w="8420" w:type="dxa"/>
            <w:vAlign w:val="bottom"/>
          </w:tcPr>
          <w:p>
            <w:pPr>
              <w:ind w:left="120"/>
              <w:spacing w:after="0"/>
              <w:rPr>
                <w:sz w:val="20"/>
                <w:szCs w:val="20"/>
                <w:color w:val="auto"/>
              </w:rPr>
            </w:pPr>
            <w:r>
              <w:rPr>
                <w:rFonts w:ascii="Arial" w:cs="Arial" w:eastAsia="Arial" w:hAnsi="Arial"/>
                <w:sz w:val="18"/>
                <w:szCs w:val="18"/>
                <w:color w:val="auto"/>
              </w:rPr>
              <w:t>Rights of Members</w:t>
            </w: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45"/>
        </w:trPr>
        <w:tc>
          <w:tcPr>
            <w:tcW w:w="1040" w:type="dxa"/>
            <w:vAlign w:val="bottom"/>
          </w:tcPr>
          <w:p>
            <w:pPr>
              <w:spacing w:after="0"/>
              <w:rPr>
                <w:sz w:val="24"/>
                <w:szCs w:val="24"/>
                <w:color w:val="auto"/>
              </w:rPr>
            </w:pPr>
          </w:p>
        </w:tc>
        <w:tc>
          <w:tcPr>
            <w:tcW w:w="8420" w:type="dxa"/>
            <w:vAlign w:val="bottom"/>
          </w:tcPr>
          <w:p>
            <w:pPr>
              <w:jc w:val="center"/>
              <w:ind w:left="830"/>
              <w:spacing w:after="0"/>
              <w:rPr>
                <w:sz w:val="20"/>
                <w:szCs w:val="20"/>
                <w:color w:val="auto"/>
              </w:rPr>
            </w:pPr>
            <w:r>
              <w:rPr>
                <w:rFonts w:ascii="Arial" w:cs="Arial" w:eastAsia="Arial" w:hAnsi="Arial"/>
                <w:sz w:val="18"/>
                <w:szCs w:val="18"/>
                <w:color w:val="auto"/>
                <w:w w:val="99"/>
              </w:rPr>
              <w:t>ARTICLE IV</w:t>
            </w:r>
          </w:p>
        </w:tc>
        <w:tc>
          <w:tcPr>
            <w:tcW w:w="19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20" w:type="dxa"/>
            <w:vAlign w:val="bottom"/>
          </w:tcPr>
          <w:p>
            <w:pPr>
              <w:jc w:val="center"/>
              <w:ind w:left="850"/>
              <w:spacing w:after="0"/>
              <w:rPr>
                <w:sz w:val="20"/>
                <w:szCs w:val="20"/>
                <w:color w:val="auto"/>
              </w:rPr>
            </w:pPr>
            <w:r>
              <w:rPr>
                <w:rFonts w:ascii="Arial" w:cs="Arial" w:eastAsia="Arial" w:hAnsi="Arial"/>
                <w:sz w:val="18"/>
                <w:szCs w:val="18"/>
                <w:color w:val="auto"/>
                <w:w w:val="97"/>
              </w:rPr>
              <w:t>DISTRIBUTIONS</w:t>
            </w:r>
          </w:p>
        </w:tc>
        <w:tc>
          <w:tcPr>
            <w:tcW w:w="196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4.1</w:t>
            </w:r>
          </w:p>
        </w:tc>
        <w:tc>
          <w:tcPr>
            <w:tcW w:w="842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4.2</w:t>
            </w:r>
          </w:p>
        </w:tc>
        <w:tc>
          <w:tcPr>
            <w:tcW w:w="8420" w:type="dxa"/>
            <w:vAlign w:val="bottom"/>
          </w:tcPr>
          <w:p>
            <w:pPr>
              <w:ind w:left="120"/>
              <w:spacing w:after="0"/>
              <w:rPr>
                <w:sz w:val="20"/>
                <w:szCs w:val="20"/>
                <w:color w:val="auto"/>
              </w:rPr>
            </w:pPr>
            <w:r>
              <w:rPr>
                <w:rFonts w:ascii="Arial" w:cs="Arial" w:eastAsia="Arial" w:hAnsi="Arial"/>
                <w:sz w:val="18"/>
                <w:szCs w:val="18"/>
                <w:color w:val="auto"/>
              </w:rPr>
              <w:t>Distributions on Liquidation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4.3</w:t>
            </w:r>
          </w:p>
        </w:tc>
        <w:tc>
          <w:tcPr>
            <w:tcW w:w="8420" w:type="dxa"/>
            <w:vAlign w:val="bottom"/>
          </w:tcPr>
          <w:p>
            <w:pPr>
              <w:ind w:left="120"/>
              <w:spacing w:after="0"/>
              <w:rPr>
                <w:sz w:val="20"/>
                <w:szCs w:val="20"/>
                <w:color w:val="auto"/>
              </w:rPr>
            </w:pPr>
            <w:r>
              <w:rPr>
                <w:rFonts w:ascii="Arial" w:cs="Arial" w:eastAsia="Arial" w:hAnsi="Arial"/>
                <w:sz w:val="18"/>
                <w:szCs w:val="18"/>
                <w:color w:val="auto"/>
              </w:rPr>
              <w:t>Record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45"/>
        </w:trPr>
        <w:tc>
          <w:tcPr>
            <w:tcW w:w="1040" w:type="dxa"/>
            <w:vAlign w:val="bottom"/>
          </w:tcPr>
          <w:p>
            <w:pPr>
              <w:spacing w:after="0"/>
              <w:rPr>
                <w:sz w:val="24"/>
                <w:szCs w:val="24"/>
                <w:color w:val="auto"/>
              </w:rPr>
            </w:pPr>
          </w:p>
        </w:tc>
        <w:tc>
          <w:tcPr>
            <w:tcW w:w="8420" w:type="dxa"/>
            <w:vAlign w:val="bottom"/>
          </w:tcPr>
          <w:p>
            <w:pPr>
              <w:jc w:val="center"/>
              <w:ind w:left="850"/>
              <w:spacing w:after="0"/>
              <w:rPr>
                <w:sz w:val="20"/>
                <w:szCs w:val="20"/>
                <w:color w:val="auto"/>
              </w:rPr>
            </w:pPr>
            <w:r>
              <w:rPr>
                <w:rFonts w:ascii="Arial" w:cs="Arial" w:eastAsia="Arial" w:hAnsi="Arial"/>
                <w:sz w:val="18"/>
                <w:szCs w:val="18"/>
                <w:color w:val="auto"/>
                <w:w w:val="98"/>
              </w:rPr>
              <w:t>ARTICLE V</w:t>
            </w:r>
          </w:p>
        </w:tc>
        <w:tc>
          <w:tcPr>
            <w:tcW w:w="19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20" w:type="dxa"/>
            <w:vAlign w:val="bottom"/>
          </w:tcPr>
          <w:p>
            <w:pPr>
              <w:jc w:val="center"/>
              <w:ind w:left="830"/>
              <w:spacing w:after="0"/>
              <w:rPr>
                <w:sz w:val="20"/>
                <w:szCs w:val="20"/>
                <w:color w:val="auto"/>
              </w:rPr>
            </w:pPr>
            <w:r>
              <w:rPr>
                <w:rFonts w:ascii="Arial" w:cs="Arial" w:eastAsia="Arial" w:hAnsi="Arial"/>
                <w:sz w:val="18"/>
                <w:szCs w:val="18"/>
                <w:color w:val="auto"/>
                <w:w w:val="96"/>
              </w:rPr>
              <w:t>MANAGEMENT AND OPERATION OF BUSINESS</w:t>
            </w:r>
          </w:p>
        </w:tc>
        <w:tc>
          <w:tcPr>
            <w:tcW w:w="196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5.1</w:t>
            </w:r>
          </w:p>
        </w:tc>
        <w:tc>
          <w:tcPr>
            <w:tcW w:w="8420" w:type="dxa"/>
            <w:vAlign w:val="bottom"/>
          </w:tcPr>
          <w:p>
            <w:pPr>
              <w:ind w:left="120"/>
              <w:spacing w:after="0"/>
              <w:rPr>
                <w:sz w:val="20"/>
                <w:szCs w:val="20"/>
                <w:color w:val="auto"/>
              </w:rPr>
            </w:pPr>
            <w:r>
              <w:rPr>
                <w:rFonts w:ascii="Arial" w:cs="Arial" w:eastAsia="Arial" w:hAnsi="Arial"/>
                <w:sz w:val="18"/>
                <w:szCs w:val="18"/>
                <w:color w:val="auto"/>
              </w:rPr>
              <w:t>Power and Authority of Board of Directors</w:t>
            </w:r>
          </w:p>
        </w:tc>
        <w:tc>
          <w:tcPr>
            <w:tcW w:w="1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w:t>
            </w:r>
          </w:p>
        </w:tc>
        <w:tc>
          <w:tcPr>
            <w:tcW w:w="8420" w:type="dxa"/>
            <w:vAlign w:val="bottom"/>
          </w:tcPr>
          <w:p>
            <w:pPr>
              <w:ind w:left="120"/>
              <w:spacing w:after="0"/>
              <w:rPr>
                <w:sz w:val="20"/>
                <w:szCs w:val="20"/>
                <w:color w:val="auto"/>
              </w:rPr>
            </w:pPr>
            <w:r>
              <w:rPr>
                <w:rFonts w:ascii="Arial" w:cs="Arial" w:eastAsia="Arial" w:hAnsi="Arial"/>
                <w:sz w:val="18"/>
                <w:szCs w:val="18"/>
                <w:color w:val="auto"/>
              </w:rPr>
              <w:t>Number, Qualification and Term of Office of Directors</w:t>
            </w: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5.3</w:t>
            </w:r>
          </w:p>
        </w:tc>
        <w:tc>
          <w:tcPr>
            <w:tcW w:w="8420" w:type="dxa"/>
            <w:vAlign w:val="bottom"/>
          </w:tcPr>
          <w:p>
            <w:pPr>
              <w:ind w:left="120"/>
              <w:spacing w:after="0"/>
              <w:rPr>
                <w:sz w:val="20"/>
                <w:szCs w:val="20"/>
                <w:color w:val="auto"/>
              </w:rPr>
            </w:pPr>
            <w:r>
              <w:rPr>
                <w:rFonts w:ascii="Arial" w:cs="Arial" w:eastAsia="Arial" w:hAnsi="Arial"/>
                <w:sz w:val="18"/>
                <w:szCs w:val="18"/>
                <w:color w:val="auto"/>
              </w:rPr>
              <w:t>Election of Directors</w:t>
            </w: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5.4</w:t>
            </w:r>
          </w:p>
        </w:tc>
        <w:tc>
          <w:tcPr>
            <w:tcW w:w="8420" w:type="dxa"/>
            <w:vAlign w:val="bottom"/>
          </w:tcPr>
          <w:p>
            <w:pPr>
              <w:ind w:left="120"/>
              <w:spacing w:after="0"/>
              <w:rPr>
                <w:sz w:val="20"/>
                <w:szCs w:val="20"/>
                <w:color w:val="auto"/>
              </w:rPr>
            </w:pPr>
            <w:r>
              <w:rPr>
                <w:rFonts w:ascii="Arial" w:cs="Arial" w:eastAsia="Arial" w:hAnsi="Arial"/>
                <w:sz w:val="18"/>
                <w:szCs w:val="18"/>
                <w:color w:val="auto"/>
              </w:rPr>
              <w:t>Removal</w:t>
            </w: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5.5</w:t>
            </w:r>
          </w:p>
        </w:tc>
        <w:tc>
          <w:tcPr>
            <w:tcW w:w="8420" w:type="dxa"/>
            <w:vAlign w:val="bottom"/>
          </w:tcPr>
          <w:p>
            <w:pPr>
              <w:ind w:left="120"/>
              <w:spacing w:after="0"/>
              <w:rPr>
                <w:sz w:val="20"/>
                <w:szCs w:val="20"/>
                <w:color w:val="auto"/>
              </w:rPr>
            </w:pPr>
            <w:r>
              <w:rPr>
                <w:rFonts w:ascii="Arial" w:cs="Arial" w:eastAsia="Arial" w:hAnsi="Arial"/>
                <w:sz w:val="18"/>
                <w:szCs w:val="18"/>
                <w:color w:val="auto"/>
              </w:rPr>
              <w:t>Resignations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5.6</w:t>
            </w:r>
          </w:p>
        </w:tc>
        <w:tc>
          <w:tcPr>
            <w:tcW w:w="8420" w:type="dxa"/>
            <w:vAlign w:val="bottom"/>
          </w:tcPr>
          <w:p>
            <w:pPr>
              <w:ind w:left="120"/>
              <w:spacing w:after="0"/>
              <w:rPr>
                <w:sz w:val="20"/>
                <w:szCs w:val="20"/>
                <w:color w:val="auto"/>
              </w:rPr>
            </w:pPr>
            <w:r>
              <w:rPr>
                <w:rFonts w:ascii="Arial" w:cs="Arial" w:eastAsia="Arial" w:hAnsi="Arial"/>
                <w:sz w:val="18"/>
                <w:szCs w:val="18"/>
                <w:color w:val="auto"/>
              </w:rPr>
              <w:t>Vacancies</w:t>
            </w: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5.7</w:t>
            </w:r>
          </w:p>
        </w:tc>
        <w:tc>
          <w:tcPr>
            <w:tcW w:w="8420" w:type="dxa"/>
            <w:vAlign w:val="bottom"/>
          </w:tcPr>
          <w:p>
            <w:pPr>
              <w:ind w:left="120"/>
              <w:spacing w:after="0"/>
              <w:rPr>
                <w:sz w:val="20"/>
                <w:szCs w:val="20"/>
                <w:color w:val="auto"/>
              </w:rPr>
            </w:pPr>
            <w:r>
              <w:rPr>
                <w:rFonts w:ascii="Arial" w:cs="Arial" w:eastAsia="Arial" w:hAnsi="Arial"/>
                <w:sz w:val="18"/>
                <w:szCs w:val="18"/>
                <w:color w:val="auto"/>
              </w:rPr>
              <w:t>Nomination of Directors</w:t>
            </w: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5.8</w:t>
            </w:r>
          </w:p>
        </w:tc>
        <w:tc>
          <w:tcPr>
            <w:tcW w:w="8420" w:type="dxa"/>
            <w:vAlign w:val="bottom"/>
          </w:tcPr>
          <w:p>
            <w:pPr>
              <w:ind w:left="120"/>
              <w:spacing w:after="0"/>
              <w:rPr>
                <w:sz w:val="20"/>
                <w:szCs w:val="20"/>
                <w:color w:val="auto"/>
              </w:rPr>
            </w:pPr>
            <w:r>
              <w:rPr>
                <w:rFonts w:ascii="Arial" w:cs="Arial" w:eastAsia="Arial" w:hAnsi="Arial"/>
                <w:sz w:val="18"/>
                <w:szCs w:val="18"/>
                <w:color w:val="auto"/>
              </w:rPr>
              <w:t>Chairman of Meetings</w:t>
            </w:r>
          </w:p>
        </w:tc>
        <w:tc>
          <w:tcPr>
            <w:tcW w:w="1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5.9</w:t>
            </w:r>
          </w:p>
        </w:tc>
        <w:tc>
          <w:tcPr>
            <w:tcW w:w="8420" w:type="dxa"/>
            <w:vAlign w:val="bottom"/>
          </w:tcPr>
          <w:p>
            <w:pPr>
              <w:ind w:left="120"/>
              <w:spacing w:after="0"/>
              <w:rPr>
                <w:sz w:val="20"/>
                <w:szCs w:val="20"/>
                <w:color w:val="auto"/>
              </w:rPr>
            </w:pPr>
            <w:r>
              <w:rPr>
                <w:rFonts w:ascii="Arial" w:cs="Arial" w:eastAsia="Arial" w:hAnsi="Arial"/>
                <w:sz w:val="18"/>
                <w:szCs w:val="18"/>
                <w:color w:val="auto"/>
              </w:rPr>
              <w:t>Place of Meetings</w:t>
            </w:r>
          </w:p>
        </w:tc>
        <w:tc>
          <w:tcPr>
            <w:tcW w:w="1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5.10</w:t>
            </w:r>
          </w:p>
        </w:tc>
        <w:tc>
          <w:tcPr>
            <w:tcW w:w="8420" w:type="dxa"/>
            <w:vAlign w:val="bottom"/>
          </w:tcPr>
          <w:p>
            <w:pPr>
              <w:ind w:left="120"/>
              <w:spacing w:after="0"/>
              <w:rPr>
                <w:sz w:val="20"/>
                <w:szCs w:val="20"/>
                <w:color w:val="auto"/>
              </w:rPr>
            </w:pPr>
            <w:r>
              <w:rPr>
                <w:rFonts w:ascii="Arial" w:cs="Arial" w:eastAsia="Arial" w:hAnsi="Arial"/>
                <w:sz w:val="18"/>
                <w:szCs w:val="18"/>
                <w:color w:val="auto"/>
              </w:rPr>
              <w:t>Regular Meetings</w:t>
            </w:r>
          </w:p>
        </w:tc>
        <w:tc>
          <w:tcPr>
            <w:tcW w:w="1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35"/>
        </w:trPr>
        <w:tc>
          <w:tcPr>
            <w:tcW w:w="1040" w:type="dxa"/>
            <w:vAlign w:val="bottom"/>
          </w:tcPr>
          <w:p>
            <w:pPr>
              <w:spacing w:after="0"/>
              <w:rPr>
                <w:sz w:val="24"/>
                <w:szCs w:val="24"/>
                <w:color w:val="auto"/>
              </w:rPr>
            </w:pPr>
          </w:p>
        </w:tc>
        <w:tc>
          <w:tcPr>
            <w:tcW w:w="8420" w:type="dxa"/>
            <w:vAlign w:val="bottom"/>
          </w:tcPr>
          <w:p>
            <w:pPr>
              <w:jc w:val="center"/>
              <w:ind w:left="830"/>
              <w:spacing w:after="0"/>
              <w:rPr>
                <w:sz w:val="20"/>
                <w:szCs w:val="20"/>
                <w:color w:val="auto"/>
              </w:rPr>
            </w:pPr>
            <w:r>
              <w:rPr>
                <w:rFonts w:ascii="Arial" w:cs="Arial" w:eastAsia="Arial" w:hAnsi="Arial"/>
                <w:sz w:val="18"/>
                <w:szCs w:val="18"/>
                <w:color w:val="auto"/>
                <w:w w:val="99"/>
              </w:rPr>
              <w:t>1</w:t>
            </w:r>
          </w:p>
        </w:tc>
        <w:tc>
          <w:tcPr>
            <w:tcW w:w="1960" w:type="dxa"/>
            <w:vAlign w:val="bottom"/>
          </w:tcPr>
          <w:p>
            <w:pPr>
              <w:spacing w:after="0"/>
              <w:rPr>
                <w:sz w:val="24"/>
                <w:szCs w:val="24"/>
                <w:color w:val="auto"/>
              </w:rPr>
            </w:pPr>
          </w:p>
        </w:tc>
      </w:tr>
      <w:tr>
        <w:trPr>
          <w:trHeight w:val="61"/>
        </w:trPr>
        <w:tc>
          <w:tcPr>
            <w:tcW w:w="1040" w:type="dxa"/>
            <w:vAlign w:val="bottom"/>
            <w:tcBorders>
              <w:bottom w:val="single" w:sz="8" w:color="auto"/>
            </w:tcBorders>
          </w:tcPr>
          <w:p>
            <w:pPr>
              <w:spacing w:after="0"/>
              <w:rPr>
                <w:sz w:val="5"/>
                <w:szCs w:val="5"/>
                <w:color w:val="auto"/>
              </w:rPr>
            </w:pPr>
          </w:p>
        </w:tc>
        <w:tc>
          <w:tcPr>
            <w:tcW w:w="842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5.11</w:t>
            </w:r>
          </w:p>
        </w:tc>
        <w:tc>
          <w:tcPr>
            <w:tcW w:w="8460" w:type="dxa"/>
            <w:vAlign w:val="bottom"/>
          </w:tcPr>
          <w:p>
            <w:pPr>
              <w:ind w:left="120"/>
              <w:spacing w:after="0"/>
              <w:rPr>
                <w:sz w:val="20"/>
                <w:szCs w:val="20"/>
                <w:color w:val="auto"/>
              </w:rPr>
            </w:pPr>
            <w:r>
              <w:rPr>
                <w:rFonts w:ascii="Arial" w:cs="Arial" w:eastAsia="Arial" w:hAnsi="Arial"/>
                <w:sz w:val="18"/>
                <w:szCs w:val="18"/>
                <w:color w:val="auto"/>
              </w:rPr>
              <w:t>Special Meetings; Notice</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5.12</w:t>
            </w:r>
          </w:p>
        </w:tc>
        <w:tc>
          <w:tcPr>
            <w:tcW w:w="8460" w:type="dxa"/>
            <w:vAlign w:val="bottom"/>
          </w:tcPr>
          <w:p>
            <w:pPr>
              <w:ind w:left="120"/>
              <w:spacing w:after="0"/>
              <w:rPr>
                <w:sz w:val="20"/>
                <w:szCs w:val="20"/>
                <w:color w:val="auto"/>
              </w:rPr>
            </w:pPr>
            <w:r>
              <w:rPr>
                <w:rFonts w:ascii="Arial" w:cs="Arial" w:eastAsia="Arial" w:hAnsi="Arial"/>
                <w:sz w:val="18"/>
                <w:szCs w:val="18"/>
                <w:color w:val="auto"/>
              </w:rPr>
              <w:t>Action Without Meeting</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5.13</w:t>
            </w:r>
          </w:p>
        </w:tc>
        <w:tc>
          <w:tcPr>
            <w:tcW w:w="8460" w:type="dxa"/>
            <w:vAlign w:val="bottom"/>
          </w:tcPr>
          <w:p>
            <w:pPr>
              <w:ind w:left="120"/>
              <w:spacing w:after="0"/>
              <w:rPr>
                <w:sz w:val="20"/>
                <w:szCs w:val="20"/>
                <w:color w:val="auto"/>
              </w:rPr>
            </w:pPr>
            <w:r>
              <w:rPr>
                <w:rFonts w:ascii="Arial" w:cs="Arial" w:eastAsia="Arial" w:hAnsi="Arial"/>
                <w:sz w:val="18"/>
                <w:szCs w:val="18"/>
                <w:color w:val="auto"/>
              </w:rPr>
              <w:t>Conference Telephone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5.14</w:t>
            </w:r>
          </w:p>
        </w:tc>
        <w:tc>
          <w:tcPr>
            <w:tcW w:w="8460" w:type="dxa"/>
            <w:vAlign w:val="bottom"/>
          </w:tcPr>
          <w:p>
            <w:pPr>
              <w:ind w:left="120"/>
              <w:spacing w:after="0"/>
              <w:rPr>
                <w:sz w:val="20"/>
                <w:szCs w:val="20"/>
                <w:color w:val="auto"/>
              </w:rPr>
            </w:pPr>
            <w:r>
              <w:rPr>
                <w:rFonts w:ascii="Arial" w:cs="Arial" w:eastAsia="Arial" w:hAnsi="Arial"/>
                <w:sz w:val="18"/>
                <w:szCs w:val="18"/>
                <w:color w:val="auto"/>
              </w:rPr>
              <w:t>Quorum</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5.15</w:t>
            </w:r>
          </w:p>
        </w:tc>
        <w:tc>
          <w:tcPr>
            <w:tcW w:w="8460" w:type="dxa"/>
            <w:vAlign w:val="bottom"/>
          </w:tcPr>
          <w:p>
            <w:pPr>
              <w:ind w:left="120"/>
              <w:spacing w:after="0"/>
              <w:rPr>
                <w:sz w:val="20"/>
                <w:szCs w:val="20"/>
                <w:color w:val="auto"/>
              </w:rPr>
            </w:pPr>
            <w:r>
              <w:rPr>
                <w:rFonts w:ascii="Arial" w:cs="Arial" w:eastAsia="Arial" w:hAnsi="Arial"/>
                <w:sz w:val="18"/>
                <w:szCs w:val="18"/>
                <w:color w:val="auto"/>
              </w:rPr>
              <w:t>Committees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5.16</w:t>
            </w:r>
          </w:p>
        </w:tc>
        <w:tc>
          <w:tcPr>
            <w:tcW w:w="8460" w:type="dxa"/>
            <w:vAlign w:val="bottom"/>
          </w:tcPr>
          <w:p>
            <w:pPr>
              <w:ind w:left="120"/>
              <w:spacing w:after="0"/>
              <w:rPr>
                <w:sz w:val="20"/>
                <w:szCs w:val="20"/>
                <w:color w:val="auto"/>
              </w:rPr>
            </w:pPr>
            <w:r>
              <w:rPr>
                <w:rFonts w:ascii="Arial" w:cs="Arial" w:eastAsia="Arial" w:hAnsi="Arial"/>
                <w:sz w:val="18"/>
                <w:szCs w:val="18"/>
                <w:color w:val="auto"/>
              </w:rPr>
              <w:t>Alternate Members of Committees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5.17</w:t>
            </w:r>
          </w:p>
        </w:tc>
        <w:tc>
          <w:tcPr>
            <w:tcW w:w="8460" w:type="dxa"/>
            <w:vAlign w:val="bottom"/>
          </w:tcPr>
          <w:p>
            <w:pPr>
              <w:ind w:left="120"/>
              <w:spacing w:after="0"/>
              <w:rPr>
                <w:sz w:val="20"/>
                <w:szCs w:val="20"/>
                <w:color w:val="auto"/>
              </w:rPr>
            </w:pPr>
            <w:r>
              <w:rPr>
                <w:rFonts w:ascii="Arial" w:cs="Arial" w:eastAsia="Arial" w:hAnsi="Arial"/>
                <w:sz w:val="18"/>
                <w:szCs w:val="18"/>
                <w:color w:val="auto"/>
              </w:rPr>
              <w:t>Minutes of Committees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5.18</w:t>
            </w:r>
          </w:p>
        </w:tc>
        <w:tc>
          <w:tcPr>
            <w:tcW w:w="8460" w:type="dxa"/>
            <w:vAlign w:val="bottom"/>
          </w:tcPr>
          <w:p>
            <w:pPr>
              <w:ind w:left="120"/>
              <w:spacing w:after="0"/>
              <w:rPr>
                <w:sz w:val="20"/>
                <w:szCs w:val="20"/>
                <w:color w:val="auto"/>
              </w:rPr>
            </w:pPr>
            <w:r>
              <w:rPr>
                <w:rFonts w:ascii="Arial" w:cs="Arial" w:eastAsia="Arial" w:hAnsi="Arial"/>
                <w:sz w:val="18"/>
                <w:szCs w:val="18"/>
                <w:color w:val="auto"/>
              </w:rPr>
              <w:t>Remuneration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5.19</w:t>
            </w:r>
          </w:p>
        </w:tc>
        <w:tc>
          <w:tcPr>
            <w:tcW w:w="8460" w:type="dxa"/>
            <w:vAlign w:val="bottom"/>
          </w:tcPr>
          <w:p>
            <w:pPr>
              <w:ind w:left="120"/>
              <w:spacing w:after="0"/>
              <w:rPr>
                <w:sz w:val="20"/>
                <w:szCs w:val="20"/>
                <w:color w:val="auto"/>
              </w:rPr>
            </w:pPr>
            <w:r>
              <w:rPr>
                <w:rFonts w:ascii="Arial" w:cs="Arial" w:eastAsia="Arial" w:hAnsi="Arial"/>
                <w:sz w:val="18"/>
                <w:szCs w:val="18"/>
                <w:color w:val="auto"/>
              </w:rPr>
              <w:t>Exculpation, Indemnification, Advances and Insurance</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5.20</w:t>
            </w:r>
          </w:p>
        </w:tc>
        <w:tc>
          <w:tcPr>
            <w:tcW w:w="8460" w:type="dxa"/>
            <w:vAlign w:val="bottom"/>
          </w:tcPr>
          <w:p>
            <w:pPr>
              <w:ind w:left="120"/>
              <w:spacing w:after="0"/>
              <w:rPr>
                <w:sz w:val="20"/>
                <w:szCs w:val="20"/>
                <w:color w:val="auto"/>
              </w:rPr>
            </w:pPr>
            <w:r>
              <w:rPr>
                <w:rFonts w:ascii="Arial" w:cs="Arial" w:eastAsia="Arial" w:hAnsi="Arial"/>
                <w:sz w:val="18"/>
                <w:szCs w:val="18"/>
                <w:color w:val="auto"/>
              </w:rPr>
              <w:t>Resolution of Conflicts of Interest; Standards of Conduct and Modification of Duties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5.21</w:t>
            </w:r>
          </w:p>
        </w:tc>
        <w:tc>
          <w:tcPr>
            <w:tcW w:w="8460" w:type="dxa"/>
            <w:vAlign w:val="bottom"/>
          </w:tcPr>
          <w:p>
            <w:pPr>
              <w:ind w:left="120"/>
              <w:spacing w:after="0"/>
              <w:rPr>
                <w:sz w:val="20"/>
                <w:szCs w:val="20"/>
                <w:color w:val="auto"/>
              </w:rPr>
            </w:pPr>
            <w:r>
              <w:rPr>
                <w:rFonts w:ascii="Arial" w:cs="Arial" w:eastAsia="Arial" w:hAnsi="Arial"/>
                <w:sz w:val="18"/>
                <w:szCs w:val="18"/>
                <w:color w:val="auto"/>
              </w:rPr>
              <w:t>Certificate of 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5.22</w:t>
            </w:r>
          </w:p>
        </w:tc>
        <w:tc>
          <w:tcPr>
            <w:tcW w:w="8460" w:type="dxa"/>
            <w:vAlign w:val="bottom"/>
          </w:tcPr>
          <w:p>
            <w:pPr>
              <w:ind w:left="120"/>
              <w:spacing w:after="0"/>
              <w:rPr>
                <w:sz w:val="20"/>
                <w:szCs w:val="20"/>
                <w:color w:val="auto"/>
              </w:rPr>
            </w:pPr>
            <w:r>
              <w:rPr>
                <w:rFonts w:ascii="Arial" w:cs="Arial" w:eastAsia="Arial" w:hAnsi="Arial"/>
                <w:sz w:val="18"/>
                <w:szCs w:val="18"/>
                <w:color w:val="auto"/>
              </w:rPr>
              <w:t>Officers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5.23</w:t>
            </w:r>
          </w:p>
        </w:tc>
        <w:tc>
          <w:tcPr>
            <w:tcW w:w="8460" w:type="dxa"/>
            <w:vAlign w:val="bottom"/>
          </w:tcPr>
          <w:p>
            <w:pPr>
              <w:ind w:left="120"/>
              <w:spacing w:after="0"/>
              <w:rPr>
                <w:sz w:val="20"/>
                <w:szCs w:val="20"/>
                <w:color w:val="auto"/>
              </w:rPr>
            </w:pPr>
            <w:r>
              <w:rPr>
                <w:rFonts w:ascii="Arial" w:cs="Arial" w:eastAsia="Arial" w:hAnsi="Arial"/>
                <w:sz w:val="18"/>
                <w:szCs w:val="18"/>
                <w:color w:val="auto"/>
              </w:rPr>
              <w:t>Duties of Officers and Directors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5.24</w:t>
            </w:r>
          </w:p>
        </w:tc>
        <w:tc>
          <w:tcPr>
            <w:tcW w:w="8460" w:type="dxa"/>
            <w:vAlign w:val="bottom"/>
          </w:tcPr>
          <w:p>
            <w:pPr>
              <w:ind w:left="120"/>
              <w:spacing w:after="0"/>
              <w:rPr>
                <w:sz w:val="20"/>
                <w:szCs w:val="20"/>
                <w:color w:val="auto"/>
              </w:rPr>
            </w:pPr>
            <w:r>
              <w:rPr>
                <w:rFonts w:ascii="Arial" w:cs="Arial" w:eastAsia="Arial" w:hAnsi="Arial"/>
                <w:sz w:val="18"/>
                <w:szCs w:val="18"/>
                <w:color w:val="auto"/>
              </w:rPr>
              <w:t>Outside Activities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5.25</w:t>
            </w:r>
          </w:p>
        </w:tc>
        <w:tc>
          <w:tcPr>
            <w:tcW w:w="8460" w:type="dxa"/>
            <w:vAlign w:val="bottom"/>
          </w:tcPr>
          <w:p>
            <w:pPr>
              <w:ind w:left="120"/>
              <w:spacing w:after="0"/>
              <w:rPr>
                <w:sz w:val="20"/>
                <w:szCs w:val="20"/>
                <w:color w:val="auto"/>
              </w:rPr>
            </w:pPr>
            <w:r>
              <w:rPr>
                <w:rFonts w:ascii="Arial" w:cs="Arial" w:eastAsia="Arial" w:hAnsi="Arial"/>
                <w:sz w:val="18"/>
                <w:szCs w:val="18"/>
                <w:color w:val="auto"/>
              </w:rPr>
              <w:t>Reliance by Third Parties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5.26</w:t>
            </w:r>
          </w:p>
        </w:tc>
        <w:tc>
          <w:tcPr>
            <w:tcW w:w="8460" w:type="dxa"/>
            <w:vAlign w:val="bottom"/>
          </w:tcPr>
          <w:p>
            <w:pPr>
              <w:ind w:left="120"/>
              <w:spacing w:after="0"/>
              <w:rPr>
                <w:sz w:val="20"/>
                <w:szCs w:val="20"/>
                <w:color w:val="auto"/>
              </w:rPr>
            </w:pPr>
            <w:r>
              <w:rPr>
                <w:rFonts w:ascii="Arial" w:cs="Arial" w:eastAsia="Arial" w:hAnsi="Arial"/>
                <w:sz w:val="18"/>
                <w:szCs w:val="18"/>
                <w:color w:val="auto"/>
              </w:rPr>
              <w:t>Consent Rights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45"/>
        </w:trPr>
        <w:tc>
          <w:tcPr>
            <w:tcW w:w="1040" w:type="dxa"/>
            <w:vAlign w:val="bottom"/>
          </w:tcPr>
          <w:p>
            <w:pPr>
              <w:spacing w:after="0"/>
              <w:rPr>
                <w:sz w:val="24"/>
                <w:szCs w:val="24"/>
                <w:color w:val="auto"/>
              </w:rPr>
            </w:pPr>
          </w:p>
        </w:tc>
        <w:tc>
          <w:tcPr>
            <w:tcW w:w="8460" w:type="dxa"/>
            <w:vAlign w:val="bottom"/>
          </w:tcPr>
          <w:p>
            <w:pPr>
              <w:jc w:val="center"/>
              <w:ind w:left="790"/>
              <w:spacing w:after="0"/>
              <w:rPr>
                <w:sz w:val="20"/>
                <w:szCs w:val="20"/>
                <w:color w:val="auto"/>
              </w:rPr>
            </w:pPr>
            <w:r>
              <w:rPr>
                <w:rFonts w:ascii="Arial" w:cs="Arial" w:eastAsia="Arial" w:hAnsi="Arial"/>
                <w:sz w:val="18"/>
                <w:szCs w:val="18"/>
                <w:color w:val="auto"/>
                <w:w w:val="99"/>
              </w:rPr>
              <w:t>ARTICLE VI</w:t>
            </w:r>
          </w:p>
        </w:tc>
        <w:tc>
          <w:tcPr>
            <w:tcW w:w="19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60" w:type="dxa"/>
            <w:vAlign w:val="bottom"/>
          </w:tcPr>
          <w:p>
            <w:pPr>
              <w:jc w:val="center"/>
              <w:ind w:left="790"/>
              <w:spacing w:after="0"/>
              <w:rPr>
                <w:sz w:val="20"/>
                <w:szCs w:val="20"/>
                <w:color w:val="auto"/>
              </w:rPr>
            </w:pPr>
            <w:r>
              <w:rPr>
                <w:rFonts w:ascii="Arial" w:cs="Arial" w:eastAsia="Arial" w:hAnsi="Arial"/>
                <w:sz w:val="18"/>
                <w:szCs w:val="18"/>
                <w:color w:val="auto"/>
                <w:w w:val="94"/>
              </w:rPr>
              <w:t>BOOKS, RECORDS, ACCOUNTING AND REPORTS</w:t>
            </w:r>
          </w:p>
        </w:tc>
        <w:tc>
          <w:tcPr>
            <w:tcW w:w="192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6.1</w:t>
            </w:r>
          </w:p>
        </w:tc>
        <w:tc>
          <w:tcPr>
            <w:tcW w:w="8460" w:type="dxa"/>
            <w:vAlign w:val="bottom"/>
          </w:tcPr>
          <w:p>
            <w:pPr>
              <w:ind w:left="120"/>
              <w:spacing w:after="0"/>
              <w:rPr>
                <w:sz w:val="20"/>
                <w:szCs w:val="20"/>
                <w:color w:val="auto"/>
              </w:rPr>
            </w:pPr>
            <w:r>
              <w:rPr>
                <w:rFonts w:ascii="Arial" w:cs="Arial" w:eastAsia="Arial" w:hAnsi="Arial"/>
                <w:sz w:val="18"/>
                <w:szCs w:val="18"/>
                <w:color w:val="auto"/>
              </w:rPr>
              <w:t>Records and Accounting</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6.2</w:t>
            </w:r>
          </w:p>
        </w:tc>
        <w:tc>
          <w:tcPr>
            <w:tcW w:w="84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6.3</w:t>
            </w:r>
          </w:p>
        </w:tc>
        <w:tc>
          <w:tcPr>
            <w:tcW w:w="8460" w:type="dxa"/>
            <w:vAlign w:val="bottom"/>
          </w:tcPr>
          <w:p>
            <w:pPr>
              <w:ind w:left="120"/>
              <w:spacing w:after="0"/>
              <w:rPr>
                <w:sz w:val="20"/>
                <w:szCs w:val="20"/>
                <w:color w:val="auto"/>
              </w:rPr>
            </w:pPr>
            <w:r>
              <w:rPr>
                <w:rFonts w:ascii="Arial" w:cs="Arial" w:eastAsia="Arial" w:hAnsi="Arial"/>
                <w:sz w:val="18"/>
                <w:szCs w:val="18"/>
                <w:color w:val="auto"/>
              </w:rPr>
              <w:t>Reports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45"/>
        </w:trPr>
        <w:tc>
          <w:tcPr>
            <w:tcW w:w="1040" w:type="dxa"/>
            <w:vAlign w:val="bottom"/>
          </w:tcPr>
          <w:p>
            <w:pPr>
              <w:spacing w:after="0"/>
              <w:rPr>
                <w:sz w:val="24"/>
                <w:szCs w:val="24"/>
                <w:color w:val="auto"/>
              </w:rPr>
            </w:pPr>
          </w:p>
        </w:tc>
        <w:tc>
          <w:tcPr>
            <w:tcW w:w="8460" w:type="dxa"/>
            <w:vAlign w:val="bottom"/>
          </w:tcPr>
          <w:p>
            <w:pPr>
              <w:jc w:val="center"/>
              <w:ind w:left="810"/>
              <w:spacing w:after="0"/>
              <w:rPr>
                <w:sz w:val="20"/>
                <w:szCs w:val="20"/>
                <w:color w:val="auto"/>
              </w:rPr>
            </w:pPr>
            <w:r>
              <w:rPr>
                <w:rFonts w:ascii="Arial" w:cs="Arial" w:eastAsia="Arial" w:hAnsi="Arial"/>
                <w:sz w:val="18"/>
                <w:szCs w:val="18"/>
                <w:color w:val="auto"/>
              </w:rPr>
              <w:t>ARTICLE VII</w:t>
            </w:r>
          </w:p>
        </w:tc>
        <w:tc>
          <w:tcPr>
            <w:tcW w:w="19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60" w:type="dxa"/>
            <w:vAlign w:val="bottom"/>
          </w:tcPr>
          <w:p>
            <w:pPr>
              <w:jc w:val="center"/>
              <w:ind w:left="790"/>
              <w:spacing w:after="0"/>
              <w:rPr>
                <w:sz w:val="20"/>
                <w:szCs w:val="20"/>
                <w:color w:val="auto"/>
              </w:rPr>
            </w:pPr>
            <w:r>
              <w:rPr>
                <w:rFonts w:ascii="Arial" w:cs="Arial" w:eastAsia="Arial" w:hAnsi="Arial"/>
                <w:sz w:val="18"/>
                <w:szCs w:val="18"/>
                <w:color w:val="auto"/>
                <w:w w:val="96"/>
              </w:rPr>
              <w:t>TAX MATTERS</w:t>
            </w:r>
          </w:p>
        </w:tc>
        <w:tc>
          <w:tcPr>
            <w:tcW w:w="192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7.1</w:t>
            </w:r>
          </w:p>
        </w:tc>
        <w:tc>
          <w:tcPr>
            <w:tcW w:w="8460" w:type="dxa"/>
            <w:vAlign w:val="bottom"/>
          </w:tcPr>
          <w:p>
            <w:pPr>
              <w:ind w:left="120"/>
              <w:spacing w:after="0"/>
              <w:rPr>
                <w:sz w:val="20"/>
                <w:szCs w:val="20"/>
                <w:color w:val="auto"/>
              </w:rPr>
            </w:pPr>
            <w:r>
              <w:rPr>
                <w:rFonts w:ascii="Arial" w:cs="Arial" w:eastAsia="Arial" w:hAnsi="Arial"/>
                <w:sz w:val="18"/>
                <w:szCs w:val="18"/>
                <w:color w:val="auto"/>
              </w:rPr>
              <w:t>Tax Elections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7.2</w:t>
            </w:r>
          </w:p>
        </w:tc>
        <w:tc>
          <w:tcPr>
            <w:tcW w:w="846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45"/>
        </w:trPr>
        <w:tc>
          <w:tcPr>
            <w:tcW w:w="1040" w:type="dxa"/>
            <w:vAlign w:val="bottom"/>
          </w:tcPr>
          <w:p>
            <w:pPr>
              <w:spacing w:after="0"/>
              <w:rPr>
                <w:sz w:val="24"/>
                <w:szCs w:val="24"/>
                <w:color w:val="auto"/>
              </w:rPr>
            </w:pPr>
          </w:p>
        </w:tc>
        <w:tc>
          <w:tcPr>
            <w:tcW w:w="8460" w:type="dxa"/>
            <w:vAlign w:val="bottom"/>
          </w:tcPr>
          <w:p>
            <w:pPr>
              <w:jc w:val="center"/>
              <w:ind w:left="790"/>
              <w:spacing w:after="0"/>
              <w:rPr>
                <w:sz w:val="20"/>
                <w:szCs w:val="20"/>
                <w:color w:val="auto"/>
              </w:rPr>
            </w:pPr>
            <w:r>
              <w:rPr>
                <w:rFonts w:ascii="Arial" w:cs="Arial" w:eastAsia="Arial" w:hAnsi="Arial"/>
                <w:sz w:val="18"/>
                <w:szCs w:val="18"/>
                <w:color w:val="auto"/>
              </w:rPr>
              <w:t>ARTICLE VIII</w:t>
            </w:r>
          </w:p>
        </w:tc>
        <w:tc>
          <w:tcPr>
            <w:tcW w:w="19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60" w:type="dxa"/>
            <w:vAlign w:val="bottom"/>
          </w:tcPr>
          <w:p>
            <w:pPr>
              <w:jc w:val="center"/>
              <w:ind w:left="790"/>
              <w:spacing w:after="0"/>
              <w:rPr>
                <w:sz w:val="20"/>
                <w:szCs w:val="20"/>
                <w:color w:val="auto"/>
              </w:rPr>
            </w:pPr>
            <w:r>
              <w:rPr>
                <w:rFonts w:ascii="Arial" w:cs="Arial" w:eastAsia="Arial" w:hAnsi="Arial"/>
                <w:sz w:val="18"/>
                <w:szCs w:val="18"/>
                <w:color w:val="auto"/>
                <w:w w:val="98"/>
              </w:rPr>
              <w:t>DISSOLUTION AND LIQUIDATION</w:t>
            </w:r>
          </w:p>
        </w:tc>
        <w:tc>
          <w:tcPr>
            <w:tcW w:w="192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8.1</w:t>
            </w:r>
          </w:p>
        </w:tc>
        <w:tc>
          <w:tcPr>
            <w:tcW w:w="8460" w:type="dxa"/>
            <w:vAlign w:val="bottom"/>
          </w:tcPr>
          <w:p>
            <w:pPr>
              <w:ind w:left="120"/>
              <w:spacing w:after="0"/>
              <w:rPr>
                <w:sz w:val="20"/>
                <w:szCs w:val="20"/>
                <w:color w:val="auto"/>
              </w:rPr>
            </w:pPr>
            <w:r>
              <w:rPr>
                <w:rFonts w:ascii="Arial" w:cs="Arial" w:eastAsia="Arial" w:hAnsi="Arial"/>
                <w:sz w:val="18"/>
                <w:szCs w:val="18"/>
                <w:color w:val="auto"/>
              </w:rPr>
              <w:t>Dissolution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8.2</w:t>
            </w:r>
          </w:p>
        </w:tc>
        <w:tc>
          <w:tcPr>
            <w:tcW w:w="8460" w:type="dxa"/>
            <w:vAlign w:val="bottom"/>
          </w:tcPr>
          <w:p>
            <w:pPr>
              <w:ind w:left="120"/>
              <w:spacing w:after="0"/>
              <w:rPr>
                <w:sz w:val="20"/>
                <w:szCs w:val="20"/>
                <w:color w:val="auto"/>
              </w:rPr>
            </w:pPr>
            <w:r>
              <w:rPr>
                <w:rFonts w:ascii="Arial" w:cs="Arial" w:eastAsia="Arial" w:hAnsi="Arial"/>
                <w:sz w:val="18"/>
                <w:szCs w:val="18"/>
                <w:color w:val="auto"/>
              </w:rPr>
              <w:t>Liquidator</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8.3</w:t>
            </w:r>
          </w:p>
        </w:tc>
        <w:tc>
          <w:tcPr>
            <w:tcW w:w="8460" w:type="dxa"/>
            <w:vAlign w:val="bottom"/>
          </w:tcPr>
          <w:p>
            <w:pPr>
              <w:ind w:left="120"/>
              <w:spacing w:after="0"/>
              <w:rPr>
                <w:sz w:val="20"/>
                <w:szCs w:val="20"/>
                <w:color w:val="auto"/>
              </w:rPr>
            </w:pPr>
            <w:r>
              <w:rPr>
                <w:rFonts w:ascii="Arial" w:cs="Arial" w:eastAsia="Arial" w:hAnsi="Arial"/>
                <w:sz w:val="18"/>
                <w:szCs w:val="18"/>
                <w:color w:val="auto"/>
              </w:rPr>
              <w:t>Liquidation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8.4</w:t>
            </w:r>
          </w:p>
        </w:tc>
        <w:tc>
          <w:tcPr>
            <w:tcW w:w="8460" w:type="dxa"/>
            <w:vAlign w:val="bottom"/>
          </w:tcPr>
          <w:p>
            <w:pPr>
              <w:ind w:left="120"/>
              <w:spacing w:after="0"/>
              <w:rPr>
                <w:sz w:val="20"/>
                <w:szCs w:val="20"/>
                <w:color w:val="auto"/>
              </w:rPr>
            </w:pPr>
            <w:r>
              <w:rPr>
                <w:rFonts w:ascii="Arial" w:cs="Arial" w:eastAsia="Arial" w:hAnsi="Arial"/>
                <w:sz w:val="18"/>
                <w:szCs w:val="18"/>
                <w:color w:val="auto"/>
              </w:rPr>
              <w:t>Cancellation of Certificate of 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8.5</w:t>
            </w:r>
          </w:p>
        </w:tc>
        <w:tc>
          <w:tcPr>
            <w:tcW w:w="8460" w:type="dxa"/>
            <w:vAlign w:val="bottom"/>
          </w:tcPr>
          <w:p>
            <w:pPr>
              <w:ind w:left="120"/>
              <w:spacing w:after="0"/>
              <w:rPr>
                <w:sz w:val="20"/>
                <w:szCs w:val="20"/>
                <w:color w:val="auto"/>
              </w:rPr>
            </w:pPr>
            <w:r>
              <w:rPr>
                <w:rFonts w:ascii="Arial" w:cs="Arial" w:eastAsia="Arial" w:hAnsi="Arial"/>
                <w:sz w:val="18"/>
                <w:szCs w:val="18"/>
                <w:color w:val="auto"/>
              </w:rPr>
              <w:t>Return of Contributions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8.6</w:t>
            </w:r>
          </w:p>
        </w:tc>
        <w:tc>
          <w:tcPr>
            <w:tcW w:w="8460" w:type="dxa"/>
            <w:vAlign w:val="bottom"/>
          </w:tcPr>
          <w:p>
            <w:pPr>
              <w:ind w:left="120"/>
              <w:spacing w:after="0"/>
              <w:rPr>
                <w:sz w:val="20"/>
                <w:szCs w:val="20"/>
                <w:color w:val="auto"/>
              </w:rPr>
            </w:pPr>
            <w:r>
              <w:rPr>
                <w:rFonts w:ascii="Arial" w:cs="Arial" w:eastAsia="Arial" w:hAnsi="Arial"/>
                <w:sz w:val="18"/>
                <w:szCs w:val="18"/>
                <w:color w:val="auto"/>
              </w:rPr>
              <w:t>Waiver of Partition</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5"/>
        </w:trPr>
        <w:tc>
          <w:tcPr>
            <w:tcW w:w="1040" w:type="dxa"/>
            <w:vAlign w:val="bottom"/>
          </w:tcPr>
          <w:p>
            <w:pPr>
              <w:spacing w:after="0"/>
              <w:rPr>
                <w:sz w:val="24"/>
                <w:szCs w:val="24"/>
                <w:color w:val="auto"/>
              </w:rPr>
            </w:pPr>
          </w:p>
        </w:tc>
        <w:tc>
          <w:tcPr>
            <w:tcW w:w="8460" w:type="dxa"/>
            <w:vAlign w:val="bottom"/>
          </w:tcPr>
          <w:p>
            <w:pPr>
              <w:jc w:val="center"/>
              <w:ind w:left="790"/>
              <w:spacing w:after="0"/>
              <w:rPr>
                <w:sz w:val="20"/>
                <w:szCs w:val="20"/>
                <w:color w:val="auto"/>
              </w:rPr>
            </w:pPr>
            <w:r>
              <w:rPr>
                <w:rFonts w:ascii="Arial" w:cs="Arial" w:eastAsia="Arial" w:hAnsi="Arial"/>
                <w:sz w:val="18"/>
                <w:szCs w:val="18"/>
                <w:color w:val="auto"/>
                <w:w w:val="99"/>
              </w:rPr>
              <w:t>ARTICLE IX</w:t>
            </w:r>
          </w:p>
        </w:tc>
        <w:tc>
          <w:tcPr>
            <w:tcW w:w="19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60" w:type="dxa"/>
            <w:vAlign w:val="bottom"/>
          </w:tcPr>
          <w:p>
            <w:pPr>
              <w:jc w:val="center"/>
              <w:ind w:left="810"/>
              <w:spacing w:after="0"/>
              <w:rPr>
                <w:sz w:val="20"/>
                <w:szCs w:val="20"/>
                <w:color w:val="auto"/>
              </w:rPr>
            </w:pPr>
            <w:r>
              <w:rPr>
                <w:rFonts w:ascii="Arial" w:cs="Arial" w:eastAsia="Arial" w:hAnsi="Arial"/>
                <w:sz w:val="18"/>
                <w:szCs w:val="18"/>
                <w:color w:val="auto"/>
                <w:w w:val="98"/>
              </w:rPr>
              <w:t>AMENDMENT OF AGREEMENT</w:t>
            </w:r>
          </w:p>
        </w:tc>
        <w:tc>
          <w:tcPr>
            <w:tcW w:w="192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9.1</w:t>
            </w:r>
          </w:p>
        </w:tc>
        <w:tc>
          <w:tcPr>
            <w:tcW w:w="8460" w:type="dxa"/>
            <w:vAlign w:val="bottom"/>
          </w:tcPr>
          <w:p>
            <w:pPr>
              <w:ind w:left="120"/>
              <w:spacing w:after="0"/>
              <w:rPr>
                <w:sz w:val="20"/>
                <w:szCs w:val="20"/>
                <w:color w:val="auto"/>
              </w:rPr>
            </w:pPr>
            <w:r>
              <w:rPr>
                <w:rFonts w:ascii="Arial" w:cs="Arial" w:eastAsia="Arial" w:hAnsi="Arial"/>
                <w:sz w:val="18"/>
                <w:szCs w:val="18"/>
                <w:color w:val="auto"/>
              </w:rPr>
              <w:t>General</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9.2</w:t>
            </w:r>
          </w:p>
        </w:tc>
        <w:tc>
          <w:tcPr>
            <w:tcW w:w="8460" w:type="dxa"/>
            <w:vAlign w:val="bottom"/>
          </w:tcPr>
          <w:p>
            <w:pPr>
              <w:ind w:left="120"/>
              <w:spacing w:after="0"/>
              <w:rPr>
                <w:sz w:val="20"/>
                <w:szCs w:val="20"/>
                <w:color w:val="auto"/>
              </w:rPr>
            </w:pPr>
            <w:r>
              <w:rPr>
                <w:rFonts w:ascii="Arial" w:cs="Arial" w:eastAsia="Arial" w:hAnsi="Arial"/>
                <w:sz w:val="18"/>
                <w:szCs w:val="18"/>
                <w:color w:val="auto"/>
              </w:rPr>
              <w:t>Super-Majority Amendments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9.3</w:t>
            </w:r>
          </w:p>
        </w:tc>
        <w:tc>
          <w:tcPr>
            <w:tcW w:w="8460" w:type="dxa"/>
            <w:vAlign w:val="bottom"/>
          </w:tcPr>
          <w:p>
            <w:pPr>
              <w:ind w:left="120"/>
              <w:spacing w:after="0"/>
              <w:rPr>
                <w:sz w:val="20"/>
                <w:szCs w:val="20"/>
                <w:color w:val="auto"/>
              </w:rPr>
            </w:pPr>
            <w:r>
              <w:rPr>
                <w:rFonts w:ascii="Arial" w:cs="Arial" w:eastAsia="Arial" w:hAnsi="Arial"/>
                <w:sz w:val="18"/>
                <w:szCs w:val="18"/>
                <w:color w:val="auto"/>
              </w:rPr>
              <w:t>Amendments to be Adopted Solely by the Board of Directors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9.4</w:t>
            </w:r>
          </w:p>
        </w:tc>
        <w:tc>
          <w:tcPr>
            <w:tcW w:w="8460" w:type="dxa"/>
            <w:vAlign w:val="bottom"/>
          </w:tcPr>
          <w:p>
            <w:pPr>
              <w:ind w:left="120"/>
              <w:spacing w:after="0"/>
              <w:rPr>
                <w:sz w:val="20"/>
                <w:szCs w:val="20"/>
                <w:color w:val="auto"/>
              </w:rPr>
            </w:pPr>
            <w:r>
              <w:rPr>
                <w:rFonts w:ascii="Arial" w:cs="Arial" w:eastAsia="Arial" w:hAnsi="Arial"/>
                <w:sz w:val="18"/>
                <w:szCs w:val="18"/>
                <w:color w:val="auto"/>
              </w:rPr>
              <w:t>Amendment Requirements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608"/>
        </w:trPr>
        <w:tc>
          <w:tcPr>
            <w:tcW w:w="1040" w:type="dxa"/>
            <w:vAlign w:val="bottom"/>
          </w:tcPr>
          <w:p>
            <w:pPr>
              <w:spacing w:after="0"/>
              <w:rPr>
                <w:sz w:val="24"/>
                <w:szCs w:val="24"/>
                <w:color w:val="auto"/>
              </w:rPr>
            </w:pPr>
          </w:p>
        </w:tc>
        <w:tc>
          <w:tcPr>
            <w:tcW w:w="8460" w:type="dxa"/>
            <w:vAlign w:val="bottom"/>
          </w:tcPr>
          <w:p>
            <w:pPr>
              <w:jc w:val="center"/>
              <w:ind w:left="790"/>
              <w:spacing w:after="0"/>
              <w:rPr>
                <w:sz w:val="20"/>
                <w:szCs w:val="20"/>
                <w:color w:val="auto"/>
              </w:rPr>
            </w:pPr>
            <w:r>
              <w:rPr>
                <w:rFonts w:ascii="Arial" w:cs="Arial" w:eastAsia="Arial" w:hAnsi="Arial"/>
                <w:sz w:val="18"/>
                <w:szCs w:val="18"/>
                <w:color w:val="auto"/>
                <w:w w:val="99"/>
              </w:rPr>
              <w:t>2</w:t>
            </w:r>
          </w:p>
        </w:tc>
        <w:tc>
          <w:tcPr>
            <w:tcW w:w="1920" w:type="dxa"/>
            <w:vAlign w:val="bottom"/>
          </w:tcPr>
          <w:p>
            <w:pPr>
              <w:spacing w:after="0"/>
              <w:rPr>
                <w:sz w:val="24"/>
                <w:szCs w:val="24"/>
                <w:color w:val="auto"/>
              </w:rPr>
            </w:pPr>
          </w:p>
        </w:tc>
      </w:tr>
      <w:tr>
        <w:trPr>
          <w:trHeight w:val="61"/>
        </w:trPr>
        <w:tc>
          <w:tcPr>
            <w:tcW w:w="1040" w:type="dxa"/>
            <w:vAlign w:val="bottom"/>
            <w:tcBorders>
              <w:bottom w:val="single" w:sz="8" w:color="auto"/>
            </w:tcBorders>
          </w:tcPr>
          <w:p>
            <w:pPr>
              <w:spacing w:after="0"/>
              <w:rPr>
                <w:sz w:val="5"/>
                <w:szCs w:val="5"/>
                <w:color w:val="auto"/>
              </w:rPr>
            </w:pPr>
          </w:p>
        </w:tc>
        <w:tc>
          <w:tcPr>
            <w:tcW w:w="846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MERGER, CONSOLIDATION OR CONVERSION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9360" w:type="dxa"/>
            <w:vAlign w:val="bottom"/>
          </w:tcPr>
          <w:p>
            <w:pPr>
              <w:ind w:left="80"/>
              <w:spacing w:after="0"/>
              <w:rPr>
                <w:sz w:val="20"/>
                <w:szCs w:val="20"/>
                <w:color w:val="auto"/>
              </w:rPr>
            </w:pPr>
            <w:r>
              <w:rPr>
                <w:rFonts w:ascii="Arial" w:cs="Arial" w:eastAsia="Arial" w:hAnsi="Arial"/>
                <w:sz w:val="18"/>
                <w:szCs w:val="18"/>
                <w:color w:val="auto"/>
              </w:rPr>
              <w:t>Authority</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10.2</w:t>
            </w:r>
          </w:p>
        </w:tc>
        <w:tc>
          <w:tcPr>
            <w:tcW w:w="9360" w:type="dxa"/>
            <w:vAlign w:val="bottom"/>
          </w:tcPr>
          <w:p>
            <w:pPr>
              <w:ind w:left="80"/>
              <w:spacing w:after="0"/>
              <w:rPr>
                <w:sz w:val="20"/>
                <w:szCs w:val="20"/>
                <w:color w:val="auto"/>
              </w:rPr>
            </w:pPr>
            <w:r>
              <w:rPr>
                <w:rFonts w:ascii="Arial" w:cs="Arial" w:eastAsia="Arial" w:hAnsi="Arial"/>
                <w:sz w:val="18"/>
                <w:szCs w:val="18"/>
                <w:color w:val="auto"/>
              </w:rPr>
              <w:t>Procedure for Merger, Consolidation or Conversion</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10.3</w:t>
            </w:r>
          </w:p>
        </w:tc>
        <w:tc>
          <w:tcPr>
            <w:tcW w:w="9360" w:type="dxa"/>
            <w:vAlign w:val="bottom"/>
          </w:tcPr>
          <w:p>
            <w:pPr>
              <w:ind w:left="80"/>
              <w:spacing w:after="0"/>
              <w:rPr>
                <w:sz w:val="20"/>
                <w:szCs w:val="20"/>
                <w:color w:val="auto"/>
              </w:rPr>
            </w:pPr>
            <w:r>
              <w:rPr>
                <w:rFonts w:ascii="Arial" w:cs="Arial" w:eastAsia="Arial" w:hAnsi="Arial"/>
                <w:sz w:val="18"/>
                <w:szCs w:val="18"/>
                <w:color w:val="auto"/>
              </w:rPr>
              <w:t>Approval by Members of Merger, Consolidation or Conversion or Sales of Substantially All of the Company’s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10.4</w:t>
            </w:r>
          </w:p>
        </w:tc>
        <w:tc>
          <w:tcPr>
            <w:tcW w:w="9360" w:type="dxa"/>
            <w:vAlign w:val="bottom"/>
          </w:tcPr>
          <w:p>
            <w:pPr>
              <w:ind w:left="80"/>
              <w:spacing w:after="0"/>
              <w:rPr>
                <w:sz w:val="20"/>
                <w:szCs w:val="20"/>
                <w:color w:val="auto"/>
              </w:rPr>
            </w:pPr>
            <w:r>
              <w:rPr>
                <w:rFonts w:ascii="Arial" w:cs="Arial" w:eastAsia="Arial" w:hAnsi="Arial"/>
                <w:sz w:val="18"/>
                <w:szCs w:val="18"/>
                <w:color w:val="auto"/>
              </w:rPr>
              <w:t>Certificate of Merger</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10.5</w:t>
            </w:r>
          </w:p>
        </w:tc>
        <w:tc>
          <w:tcPr>
            <w:tcW w:w="9360" w:type="dxa"/>
            <w:vAlign w:val="bottom"/>
          </w:tcPr>
          <w:p>
            <w:pPr>
              <w:ind w:left="80"/>
              <w:spacing w:after="0"/>
              <w:rPr>
                <w:sz w:val="20"/>
                <w:szCs w:val="20"/>
                <w:color w:val="auto"/>
              </w:rPr>
            </w:pPr>
            <w:r>
              <w:rPr>
                <w:rFonts w:ascii="Arial" w:cs="Arial" w:eastAsia="Arial" w:hAnsi="Arial"/>
                <w:sz w:val="18"/>
                <w:szCs w:val="18"/>
                <w:color w:val="auto"/>
              </w:rPr>
              <w:t>Effect of Merger</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45"/>
        </w:trPr>
        <w:tc>
          <w:tcPr>
            <w:tcW w:w="1080" w:type="dxa"/>
            <w:vAlign w:val="bottom"/>
          </w:tcPr>
          <w:p>
            <w:pPr>
              <w:spacing w:after="0"/>
              <w:rPr>
                <w:sz w:val="24"/>
                <w:szCs w:val="24"/>
                <w:color w:val="auto"/>
              </w:rPr>
            </w:pPr>
          </w:p>
        </w:tc>
        <w:tc>
          <w:tcPr>
            <w:tcW w:w="9360" w:type="dxa"/>
            <w:vAlign w:val="bottom"/>
          </w:tcPr>
          <w:p>
            <w:pPr>
              <w:jc w:val="center"/>
              <w:ind w:right="10"/>
              <w:spacing w:after="0"/>
              <w:rPr>
                <w:sz w:val="20"/>
                <w:szCs w:val="20"/>
                <w:color w:val="auto"/>
              </w:rPr>
            </w:pPr>
            <w:r>
              <w:rPr>
                <w:rFonts w:ascii="Arial" w:cs="Arial" w:eastAsia="Arial" w:hAnsi="Arial"/>
                <w:sz w:val="18"/>
                <w:szCs w:val="18"/>
                <w:color w:val="auto"/>
                <w:w w:val="99"/>
              </w:rPr>
              <w:t>ARTICLE XI</w:t>
            </w:r>
          </w:p>
        </w:tc>
        <w:tc>
          <w:tcPr>
            <w:tcW w:w="9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360" w:type="dxa"/>
            <w:vAlign w:val="bottom"/>
          </w:tcPr>
          <w:p>
            <w:pPr>
              <w:jc w:val="center"/>
              <w:ind w:right="10"/>
              <w:spacing w:after="0"/>
              <w:rPr>
                <w:sz w:val="20"/>
                <w:szCs w:val="20"/>
                <w:color w:val="auto"/>
              </w:rPr>
            </w:pPr>
            <w:r>
              <w:rPr>
                <w:rFonts w:ascii="Arial" w:cs="Arial" w:eastAsia="Arial" w:hAnsi="Arial"/>
                <w:sz w:val="18"/>
                <w:szCs w:val="18"/>
                <w:color w:val="auto"/>
                <w:w w:val="97"/>
              </w:rPr>
              <w:t>MEMBER MEETINGS</w:t>
            </w:r>
          </w:p>
        </w:tc>
        <w:tc>
          <w:tcPr>
            <w:tcW w:w="98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11.1</w:t>
            </w:r>
          </w:p>
        </w:tc>
        <w:tc>
          <w:tcPr>
            <w:tcW w:w="9360" w:type="dxa"/>
            <w:vAlign w:val="bottom"/>
          </w:tcPr>
          <w:p>
            <w:pPr>
              <w:ind w:left="80"/>
              <w:spacing w:after="0"/>
              <w:rPr>
                <w:sz w:val="20"/>
                <w:szCs w:val="20"/>
                <w:color w:val="auto"/>
              </w:rPr>
            </w:pPr>
            <w:r>
              <w:rPr>
                <w:rFonts w:ascii="Arial" w:cs="Arial" w:eastAsia="Arial" w:hAnsi="Arial"/>
                <w:sz w:val="18"/>
                <w:szCs w:val="18"/>
                <w:color w:val="auto"/>
              </w:rPr>
              <w:t>Member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11.2</w:t>
            </w:r>
          </w:p>
        </w:tc>
        <w:tc>
          <w:tcPr>
            <w:tcW w:w="9360" w:type="dxa"/>
            <w:vAlign w:val="bottom"/>
          </w:tcPr>
          <w:p>
            <w:pPr>
              <w:ind w:left="80"/>
              <w:spacing w:after="0"/>
              <w:rPr>
                <w:sz w:val="20"/>
                <w:szCs w:val="20"/>
                <w:color w:val="auto"/>
              </w:rPr>
            </w:pPr>
            <w:r>
              <w:rPr>
                <w:rFonts w:ascii="Arial" w:cs="Arial" w:eastAsia="Arial" w:hAnsi="Arial"/>
                <w:sz w:val="18"/>
                <w:szCs w:val="18"/>
                <w:color w:val="auto"/>
              </w:rPr>
              <w:t>Notice of Meetings of Members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11.3</w:t>
            </w:r>
          </w:p>
        </w:tc>
        <w:tc>
          <w:tcPr>
            <w:tcW w:w="9360" w:type="dxa"/>
            <w:vAlign w:val="bottom"/>
          </w:tcPr>
          <w:p>
            <w:pPr>
              <w:ind w:left="80"/>
              <w:spacing w:after="0"/>
              <w:rPr>
                <w:sz w:val="20"/>
                <w:szCs w:val="20"/>
                <w:color w:val="auto"/>
              </w:rPr>
            </w:pPr>
            <w:r>
              <w:rPr>
                <w:rFonts w:ascii="Arial" w:cs="Arial" w:eastAsia="Arial" w:hAnsi="Arial"/>
                <w:sz w:val="18"/>
                <w:szCs w:val="18"/>
                <w:color w:val="auto"/>
              </w:rPr>
              <w:t>Record Date</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11.4</w:t>
            </w:r>
          </w:p>
        </w:tc>
        <w:tc>
          <w:tcPr>
            <w:tcW w:w="9360" w:type="dxa"/>
            <w:vAlign w:val="bottom"/>
          </w:tcPr>
          <w:p>
            <w:pPr>
              <w:ind w:left="80"/>
              <w:spacing w:after="0"/>
              <w:rPr>
                <w:sz w:val="20"/>
                <w:szCs w:val="20"/>
                <w:color w:val="auto"/>
              </w:rPr>
            </w:pPr>
            <w:r>
              <w:rPr>
                <w:rFonts w:ascii="Arial" w:cs="Arial" w:eastAsia="Arial" w:hAnsi="Arial"/>
                <w:sz w:val="18"/>
                <w:szCs w:val="18"/>
                <w:color w:val="auto"/>
              </w:rPr>
              <w:t>Adjournment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11.5</w:t>
            </w:r>
          </w:p>
        </w:tc>
        <w:tc>
          <w:tcPr>
            <w:tcW w:w="9360" w:type="dxa"/>
            <w:vAlign w:val="bottom"/>
          </w:tcPr>
          <w:p>
            <w:pPr>
              <w:ind w:left="80"/>
              <w:spacing w:after="0"/>
              <w:rPr>
                <w:sz w:val="20"/>
                <w:szCs w:val="20"/>
                <w:color w:val="auto"/>
              </w:rPr>
            </w:pPr>
            <w:r>
              <w:rPr>
                <w:rFonts w:ascii="Arial" w:cs="Arial" w:eastAsia="Arial" w:hAnsi="Arial"/>
                <w:sz w:val="18"/>
                <w:szCs w:val="18"/>
                <w:color w:val="auto"/>
              </w:rPr>
              <w:t>Waiver of Notice; Approval of Meeting</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11.6</w:t>
            </w:r>
          </w:p>
        </w:tc>
        <w:tc>
          <w:tcPr>
            <w:tcW w:w="9360" w:type="dxa"/>
            <w:vAlign w:val="bottom"/>
          </w:tcPr>
          <w:p>
            <w:pPr>
              <w:ind w:left="80"/>
              <w:spacing w:after="0"/>
              <w:rPr>
                <w:sz w:val="20"/>
                <w:szCs w:val="20"/>
                <w:color w:val="auto"/>
              </w:rPr>
            </w:pPr>
            <w:r>
              <w:rPr>
                <w:rFonts w:ascii="Arial" w:cs="Arial" w:eastAsia="Arial" w:hAnsi="Arial"/>
                <w:sz w:val="18"/>
                <w:szCs w:val="18"/>
                <w:color w:val="auto"/>
              </w:rPr>
              <w:t>Quorum; Required Vote for Member Action; Voting for Directors</w:t>
            </w: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11.7</w:t>
            </w:r>
          </w:p>
        </w:tc>
        <w:tc>
          <w:tcPr>
            <w:tcW w:w="9360" w:type="dxa"/>
            <w:vAlign w:val="bottom"/>
          </w:tcPr>
          <w:p>
            <w:pPr>
              <w:ind w:left="80"/>
              <w:spacing w:after="0"/>
              <w:rPr>
                <w:sz w:val="20"/>
                <w:szCs w:val="20"/>
                <w:color w:val="auto"/>
              </w:rPr>
            </w:pPr>
            <w:r>
              <w:rPr>
                <w:rFonts w:ascii="Arial" w:cs="Arial" w:eastAsia="Arial" w:hAnsi="Arial"/>
                <w:sz w:val="18"/>
                <w:szCs w:val="18"/>
                <w:color w:val="auto"/>
              </w:rPr>
              <w:t>Conduct of a Meeting; Member Lists</w:t>
            </w: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11.8</w:t>
            </w:r>
          </w:p>
        </w:tc>
        <w:tc>
          <w:tcPr>
            <w:tcW w:w="9360" w:type="dxa"/>
            <w:vAlign w:val="bottom"/>
          </w:tcPr>
          <w:p>
            <w:pPr>
              <w:ind w:left="80"/>
              <w:spacing w:after="0"/>
              <w:rPr>
                <w:sz w:val="20"/>
                <w:szCs w:val="20"/>
                <w:color w:val="auto"/>
              </w:rPr>
            </w:pPr>
            <w:r>
              <w:rPr>
                <w:rFonts w:ascii="Arial" w:cs="Arial" w:eastAsia="Arial" w:hAnsi="Arial"/>
                <w:sz w:val="18"/>
                <w:szCs w:val="18"/>
                <w:color w:val="auto"/>
              </w:rPr>
              <w:t>Action Without a Meeting</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11.9</w:t>
            </w:r>
          </w:p>
        </w:tc>
        <w:tc>
          <w:tcPr>
            <w:tcW w:w="9360" w:type="dxa"/>
            <w:vAlign w:val="bottom"/>
          </w:tcPr>
          <w:p>
            <w:pPr>
              <w:ind w:left="80"/>
              <w:spacing w:after="0"/>
              <w:rPr>
                <w:sz w:val="20"/>
                <w:szCs w:val="20"/>
                <w:color w:val="auto"/>
              </w:rPr>
            </w:pPr>
            <w:r>
              <w:rPr>
                <w:rFonts w:ascii="Arial" w:cs="Arial" w:eastAsia="Arial" w:hAnsi="Arial"/>
                <w:sz w:val="18"/>
                <w:szCs w:val="18"/>
                <w:color w:val="auto"/>
              </w:rPr>
              <w:t>Voting and Other Rights</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11.10</w:t>
            </w:r>
          </w:p>
        </w:tc>
        <w:tc>
          <w:tcPr>
            <w:tcW w:w="9360" w:type="dxa"/>
            <w:vAlign w:val="bottom"/>
          </w:tcPr>
          <w:p>
            <w:pPr>
              <w:ind w:left="80"/>
              <w:spacing w:after="0"/>
              <w:rPr>
                <w:sz w:val="20"/>
                <w:szCs w:val="20"/>
                <w:color w:val="auto"/>
              </w:rPr>
            </w:pPr>
            <w:r>
              <w:rPr>
                <w:rFonts w:ascii="Arial" w:cs="Arial" w:eastAsia="Arial" w:hAnsi="Arial"/>
                <w:sz w:val="18"/>
                <w:szCs w:val="18"/>
                <w:color w:val="auto"/>
              </w:rPr>
              <w:t>Proxies and Voting</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11.11</w:t>
            </w:r>
          </w:p>
        </w:tc>
        <w:tc>
          <w:tcPr>
            <w:tcW w:w="9360" w:type="dxa"/>
            <w:vAlign w:val="bottom"/>
          </w:tcPr>
          <w:p>
            <w:pPr>
              <w:ind w:left="80"/>
              <w:spacing w:after="0"/>
              <w:rPr>
                <w:sz w:val="20"/>
                <w:szCs w:val="20"/>
                <w:color w:val="auto"/>
              </w:rPr>
            </w:pPr>
            <w:r>
              <w:rPr>
                <w:rFonts w:ascii="Arial" w:cs="Arial" w:eastAsia="Arial" w:hAnsi="Arial"/>
                <w:sz w:val="18"/>
                <w:szCs w:val="18"/>
                <w:color w:val="auto"/>
              </w:rPr>
              <w:t>Notice of Member Business and Nominations</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45"/>
        </w:trPr>
        <w:tc>
          <w:tcPr>
            <w:tcW w:w="1080" w:type="dxa"/>
            <w:vAlign w:val="bottom"/>
          </w:tcPr>
          <w:p>
            <w:pPr>
              <w:spacing w:after="0"/>
              <w:rPr>
                <w:sz w:val="24"/>
                <w:szCs w:val="24"/>
                <w:color w:val="auto"/>
              </w:rPr>
            </w:pPr>
          </w:p>
        </w:tc>
        <w:tc>
          <w:tcPr>
            <w:tcW w:w="9360" w:type="dxa"/>
            <w:vAlign w:val="bottom"/>
          </w:tcPr>
          <w:p>
            <w:pPr>
              <w:jc w:val="center"/>
              <w:spacing w:after="0"/>
              <w:rPr>
                <w:sz w:val="20"/>
                <w:szCs w:val="20"/>
                <w:color w:val="auto"/>
              </w:rPr>
            </w:pPr>
            <w:r>
              <w:rPr>
                <w:rFonts w:ascii="Arial" w:cs="Arial" w:eastAsia="Arial" w:hAnsi="Arial"/>
                <w:sz w:val="18"/>
                <w:szCs w:val="18"/>
                <w:color w:val="auto"/>
              </w:rPr>
              <w:t>ARTICLE XII</w:t>
            </w:r>
          </w:p>
        </w:tc>
        <w:tc>
          <w:tcPr>
            <w:tcW w:w="9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360" w:type="dxa"/>
            <w:vAlign w:val="bottom"/>
          </w:tcPr>
          <w:p>
            <w:pPr>
              <w:jc w:val="center"/>
              <w:ind w:right="10"/>
              <w:spacing w:after="0"/>
              <w:rPr>
                <w:sz w:val="20"/>
                <w:szCs w:val="20"/>
                <w:color w:val="auto"/>
              </w:rPr>
            </w:pPr>
            <w:r>
              <w:rPr>
                <w:rFonts w:ascii="Arial" w:cs="Arial" w:eastAsia="Arial" w:hAnsi="Arial"/>
                <w:sz w:val="18"/>
                <w:szCs w:val="18"/>
                <w:color w:val="auto"/>
                <w:w w:val="95"/>
              </w:rPr>
              <w:t>GENERAL PROVISIONS</w:t>
            </w:r>
          </w:p>
        </w:tc>
        <w:tc>
          <w:tcPr>
            <w:tcW w:w="98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12.1</w:t>
            </w:r>
          </w:p>
        </w:tc>
        <w:tc>
          <w:tcPr>
            <w:tcW w:w="9360" w:type="dxa"/>
            <w:vAlign w:val="bottom"/>
          </w:tcPr>
          <w:p>
            <w:pPr>
              <w:ind w:left="80"/>
              <w:spacing w:after="0"/>
              <w:rPr>
                <w:sz w:val="20"/>
                <w:szCs w:val="20"/>
                <w:color w:val="auto"/>
              </w:rPr>
            </w:pPr>
            <w:r>
              <w:rPr>
                <w:rFonts w:ascii="Arial" w:cs="Arial" w:eastAsia="Arial" w:hAnsi="Arial"/>
                <w:sz w:val="18"/>
                <w:szCs w:val="18"/>
                <w:color w:val="auto"/>
              </w:rPr>
              <w:t>Addresses and Notices</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12.2</w:t>
            </w:r>
          </w:p>
        </w:tc>
        <w:tc>
          <w:tcPr>
            <w:tcW w:w="9360" w:type="dxa"/>
            <w:vAlign w:val="bottom"/>
          </w:tcPr>
          <w:p>
            <w:pPr>
              <w:ind w:left="80"/>
              <w:spacing w:after="0"/>
              <w:rPr>
                <w:sz w:val="20"/>
                <w:szCs w:val="20"/>
                <w:color w:val="auto"/>
              </w:rPr>
            </w:pPr>
            <w:r>
              <w:rPr>
                <w:rFonts w:ascii="Arial" w:cs="Arial" w:eastAsia="Arial" w:hAnsi="Arial"/>
                <w:sz w:val="18"/>
                <w:szCs w:val="18"/>
                <w:color w:val="auto"/>
              </w:rPr>
              <w:t>Further Action</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12.3</w:t>
            </w:r>
          </w:p>
        </w:tc>
        <w:tc>
          <w:tcPr>
            <w:tcW w:w="9360" w:type="dxa"/>
            <w:vAlign w:val="bottom"/>
          </w:tcPr>
          <w:p>
            <w:pPr>
              <w:ind w:left="80"/>
              <w:spacing w:after="0"/>
              <w:rPr>
                <w:sz w:val="20"/>
                <w:szCs w:val="20"/>
                <w:color w:val="auto"/>
              </w:rPr>
            </w:pPr>
            <w:r>
              <w:rPr>
                <w:rFonts w:ascii="Arial" w:cs="Arial" w:eastAsia="Arial" w:hAnsi="Arial"/>
                <w:sz w:val="18"/>
                <w:szCs w:val="18"/>
                <w:color w:val="auto"/>
              </w:rPr>
              <w:t>Binding Effect</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12.4</w:t>
            </w:r>
          </w:p>
        </w:tc>
        <w:tc>
          <w:tcPr>
            <w:tcW w:w="9360" w:type="dxa"/>
            <w:vAlign w:val="bottom"/>
          </w:tcPr>
          <w:p>
            <w:pPr>
              <w:ind w:left="80"/>
              <w:spacing w:after="0"/>
              <w:rPr>
                <w:sz w:val="20"/>
                <w:szCs w:val="20"/>
                <w:color w:val="auto"/>
              </w:rPr>
            </w:pPr>
            <w:r>
              <w:rPr>
                <w:rFonts w:ascii="Arial" w:cs="Arial" w:eastAsia="Arial" w:hAnsi="Arial"/>
                <w:sz w:val="18"/>
                <w:szCs w:val="18"/>
                <w:color w:val="auto"/>
              </w:rPr>
              <w:t>Integration</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12.5</w:t>
            </w:r>
          </w:p>
        </w:tc>
        <w:tc>
          <w:tcPr>
            <w:tcW w:w="9360" w:type="dxa"/>
            <w:vAlign w:val="bottom"/>
          </w:tcPr>
          <w:p>
            <w:pPr>
              <w:ind w:left="80"/>
              <w:spacing w:after="0"/>
              <w:rPr>
                <w:sz w:val="20"/>
                <w:szCs w:val="20"/>
                <w:color w:val="auto"/>
              </w:rPr>
            </w:pPr>
            <w:r>
              <w:rPr>
                <w:rFonts w:ascii="Arial" w:cs="Arial" w:eastAsia="Arial" w:hAnsi="Arial"/>
                <w:sz w:val="18"/>
                <w:szCs w:val="18"/>
                <w:color w:val="auto"/>
              </w:rPr>
              <w:t>Creditors</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12.6</w:t>
            </w:r>
          </w:p>
        </w:tc>
        <w:tc>
          <w:tcPr>
            <w:tcW w:w="9360" w:type="dxa"/>
            <w:vAlign w:val="bottom"/>
          </w:tcPr>
          <w:p>
            <w:pPr>
              <w:ind w:left="80"/>
              <w:spacing w:after="0"/>
              <w:rPr>
                <w:sz w:val="20"/>
                <w:szCs w:val="20"/>
                <w:color w:val="auto"/>
              </w:rPr>
            </w:pPr>
            <w:r>
              <w:rPr>
                <w:rFonts w:ascii="Arial" w:cs="Arial" w:eastAsia="Arial" w:hAnsi="Arial"/>
                <w:sz w:val="18"/>
                <w:szCs w:val="18"/>
                <w:color w:val="auto"/>
              </w:rPr>
              <w:t>Waiver</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12.7</w:t>
            </w:r>
          </w:p>
        </w:tc>
        <w:tc>
          <w:tcPr>
            <w:tcW w:w="9360" w:type="dxa"/>
            <w:vAlign w:val="bottom"/>
          </w:tcPr>
          <w:p>
            <w:pPr>
              <w:ind w:left="80"/>
              <w:spacing w:after="0"/>
              <w:rPr>
                <w:sz w:val="20"/>
                <w:szCs w:val="20"/>
                <w:color w:val="auto"/>
              </w:rPr>
            </w:pPr>
            <w:r>
              <w:rPr>
                <w:rFonts w:ascii="Arial" w:cs="Arial" w:eastAsia="Arial" w:hAnsi="Arial"/>
                <w:sz w:val="18"/>
                <w:szCs w:val="18"/>
                <w:color w:val="auto"/>
              </w:rPr>
              <w:t>Third-Party Beneficiaries</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12.8</w:t>
            </w:r>
          </w:p>
        </w:tc>
        <w:tc>
          <w:tcPr>
            <w:tcW w:w="93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12.9</w:t>
            </w:r>
          </w:p>
        </w:tc>
        <w:tc>
          <w:tcPr>
            <w:tcW w:w="9360" w:type="dxa"/>
            <w:vAlign w:val="bottom"/>
          </w:tcPr>
          <w:p>
            <w:pPr>
              <w:ind w:left="80"/>
              <w:spacing w:after="0"/>
              <w:rPr>
                <w:sz w:val="20"/>
                <w:szCs w:val="20"/>
                <w:color w:val="auto"/>
              </w:rPr>
            </w:pPr>
            <w:r>
              <w:rPr>
                <w:rFonts w:ascii="Arial" w:cs="Arial" w:eastAsia="Arial" w:hAnsi="Arial"/>
                <w:sz w:val="18"/>
                <w:szCs w:val="18"/>
                <w:color w:val="auto"/>
              </w:rPr>
              <w:t>Applicable Law</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12.10</w:t>
            </w:r>
          </w:p>
        </w:tc>
        <w:tc>
          <w:tcPr>
            <w:tcW w:w="9360" w:type="dxa"/>
            <w:vAlign w:val="bottom"/>
          </w:tcPr>
          <w:p>
            <w:pPr>
              <w:ind w:left="80"/>
              <w:spacing w:after="0"/>
              <w:rPr>
                <w:sz w:val="20"/>
                <w:szCs w:val="20"/>
                <w:color w:val="auto"/>
              </w:rPr>
            </w:pPr>
            <w:r>
              <w:rPr>
                <w:rFonts w:ascii="Arial" w:cs="Arial" w:eastAsia="Arial" w:hAnsi="Arial"/>
                <w:sz w:val="18"/>
                <w:szCs w:val="18"/>
                <w:color w:val="auto"/>
              </w:rPr>
              <w:t>Invalidity of Provisions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12.11</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Members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12.12</w:t>
            </w:r>
          </w:p>
        </w:tc>
        <w:tc>
          <w:tcPr>
            <w:tcW w:w="9360" w:type="dxa"/>
            <w:vAlign w:val="bottom"/>
          </w:tcPr>
          <w:p>
            <w:pPr>
              <w:ind w:left="80"/>
              <w:spacing w:after="0"/>
              <w:rPr>
                <w:sz w:val="20"/>
                <w:szCs w:val="20"/>
                <w:color w:val="auto"/>
              </w:rPr>
            </w:pPr>
            <w:r>
              <w:rPr>
                <w:rFonts w:ascii="Arial" w:cs="Arial" w:eastAsia="Arial" w:hAnsi="Arial"/>
                <w:sz w:val="18"/>
                <w:szCs w:val="18"/>
                <w:color w:val="auto"/>
              </w:rPr>
              <w:t>Facsimile Signatures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878"/>
        </w:trPr>
        <w:tc>
          <w:tcPr>
            <w:tcW w:w="1080" w:type="dxa"/>
            <w:vAlign w:val="bottom"/>
          </w:tcPr>
          <w:p>
            <w:pPr>
              <w:spacing w:after="0"/>
              <w:rPr>
                <w:sz w:val="24"/>
                <w:szCs w:val="24"/>
                <w:color w:val="auto"/>
              </w:rPr>
            </w:pPr>
          </w:p>
        </w:tc>
        <w:tc>
          <w:tcPr>
            <w:tcW w:w="9360" w:type="dxa"/>
            <w:vAlign w:val="bottom"/>
          </w:tcPr>
          <w:p>
            <w:pPr>
              <w:jc w:val="center"/>
              <w:ind w:right="10"/>
              <w:spacing w:after="0"/>
              <w:rPr>
                <w:sz w:val="20"/>
                <w:szCs w:val="20"/>
                <w:color w:val="auto"/>
              </w:rPr>
            </w:pPr>
            <w:r>
              <w:rPr>
                <w:rFonts w:ascii="Arial" w:cs="Arial" w:eastAsia="Arial" w:hAnsi="Arial"/>
                <w:sz w:val="18"/>
                <w:szCs w:val="18"/>
                <w:color w:val="auto"/>
                <w:w w:val="99"/>
              </w:rPr>
              <w:t>3</w:t>
            </w:r>
          </w:p>
        </w:tc>
        <w:tc>
          <w:tcPr>
            <w:tcW w:w="980" w:type="dxa"/>
            <w:vAlign w:val="bottom"/>
          </w:tcPr>
          <w:p>
            <w:pPr>
              <w:spacing w:after="0"/>
              <w:rPr>
                <w:sz w:val="24"/>
                <w:szCs w:val="24"/>
                <w:color w:val="auto"/>
              </w:rPr>
            </w:pPr>
          </w:p>
        </w:tc>
      </w:tr>
      <w:tr>
        <w:trPr>
          <w:trHeight w:val="61"/>
        </w:trPr>
        <w:tc>
          <w:tcPr>
            <w:tcW w:w="1080" w:type="dxa"/>
            <w:vAlign w:val="bottom"/>
            <w:tcBorders>
              <w:bottom w:val="single" w:sz="8" w:color="auto"/>
            </w:tcBorders>
          </w:tcPr>
          <w:p>
            <w:pPr>
              <w:spacing w:after="0"/>
              <w:rPr>
                <w:sz w:val="5"/>
                <w:szCs w:val="5"/>
                <w:color w:val="auto"/>
              </w:rPr>
            </w:pPr>
          </w:p>
        </w:tc>
        <w:tc>
          <w:tcPr>
            <w:tcW w:w="9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FIRST AMENDED AND RESTATED LIMITED LIABILITY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AGREEMENT OF NEW FORTRESS ENERGY LLC</w:t>
      </w:r>
    </w:p>
    <w:p>
      <w:pPr>
        <w:spacing w:after="0" w:line="238" w:lineRule="exact"/>
        <w:rPr>
          <w:sz w:val="20"/>
          <w:szCs w:val="20"/>
          <w:color w:val="auto"/>
        </w:rPr>
      </w:pPr>
    </w:p>
    <w:p>
      <w:pPr>
        <w:jc w:val="both"/>
        <w:ind w:firstLine="696"/>
        <w:spacing w:after="0" w:line="308" w:lineRule="auto"/>
        <w:rPr>
          <w:sz w:val="20"/>
          <w:szCs w:val="20"/>
          <w:color w:val="auto"/>
        </w:rPr>
      </w:pPr>
      <w:r>
        <w:rPr>
          <w:rFonts w:ascii="Arial" w:cs="Arial" w:eastAsia="Arial" w:hAnsi="Arial"/>
          <w:sz w:val="17"/>
          <w:szCs w:val="17"/>
          <w:color w:val="auto"/>
        </w:rPr>
        <w:t xml:space="preserve">This FIRST AMENDED AND RESTATED LIMITED LIABILITY COMPANY AGREEMENT OF NEW FORTRESS ENERGY LLC, is dated as of February 4, 2019. Capitalized terms used herein without definition shall have the respective meanings ascribed thereto in </w:t>
      </w:r>
      <w:r>
        <w:rPr>
          <w:rFonts w:ascii="Arial" w:cs="Arial" w:eastAsia="Arial" w:hAnsi="Arial"/>
          <w:sz w:val="17"/>
          <w:szCs w:val="17"/>
          <w:u w:val="single" w:color="auto"/>
          <w:color w:val="auto"/>
        </w:rPr>
        <w:t>Section 1.1.</w:t>
      </w:r>
    </w:p>
    <w:p>
      <w:pPr>
        <w:spacing w:after="0" w:line="174" w:lineRule="exact"/>
        <w:rPr>
          <w:sz w:val="20"/>
          <w:szCs w:val="20"/>
          <w:color w:val="auto"/>
        </w:rPr>
      </w:pPr>
    </w:p>
    <w:p>
      <w:pPr>
        <w:jc w:val="both"/>
        <w:ind w:firstLine="693"/>
        <w:spacing w:after="0" w:line="264" w:lineRule="auto"/>
        <w:rPr>
          <w:sz w:val="20"/>
          <w:szCs w:val="20"/>
          <w:color w:val="auto"/>
        </w:rPr>
      </w:pPr>
      <w:r>
        <w:rPr>
          <w:rFonts w:ascii="Arial" w:cs="Arial" w:eastAsia="Arial" w:hAnsi="Arial"/>
          <w:sz w:val="18"/>
          <w:szCs w:val="18"/>
          <w:color w:val="auto"/>
        </w:rPr>
        <w:t>WHEREAS, the Company was formed under the Delaware Act pursuant to a certificate of formation filed with the Secretary of State of the State of Delaware on August 6, 2018, and a Limited Liability Company Agreement of New Fortress Energy LLC, dated as of August 6, 2018 (the “</w:t>
      </w:r>
      <w:r>
        <w:rPr>
          <w:rFonts w:ascii="Arial" w:cs="Arial" w:eastAsia="Arial" w:hAnsi="Arial"/>
          <w:sz w:val="18"/>
          <w:szCs w:val="18"/>
          <w:b w:val="1"/>
          <w:bCs w:val="1"/>
          <w:u w:val="single" w:color="auto"/>
          <w:color w:val="auto"/>
        </w:rPr>
        <w:t>Original LLC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Company have authorized and approved an amendment and restatement of the Original LLC Agreement on the terms set forth herein.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the limited liability company agreement of the Company is hereby amended and restated to read in its entirety as follows:</w:t>
      </w:r>
    </w:p>
    <w:p>
      <w:pPr>
        <w:spacing w:after="0" w:line="28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61" w:lineRule="exact"/>
        <w:rPr>
          <w:sz w:val="20"/>
          <w:szCs w:val="20"/>
          <w:color w:val="auto"/>
        </w:rPr>
      </w:pPr>
    </w:p>
    <w:p>
      <w:pPr>
        <w:jc w:val="both"/>
        <w:ind w:firstLine="726"/>
        <w:spacing w:after="0" w:line="28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definitions shall be for all purposes, unless otherwise clearly indicated to the contrary, applied to the terms used in this Agreement.</w:t>
      </w:r>
    </w:p>
    <w:p>
      <w:pPr>
        <w:spacing w:after="0" w:line="193" w:lineRule="exact"/>
        <w:rPr>
          <w:sz w:val="20"/>
          <w:szCs w:val="20"/>
          <w:color w:val="auto"/>
        </w:rPr>
      </w:pPr>
    </w:p>
    <w:p>
      <w:pPr>
        <w:ind w:right="20" w:firstLine="58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97" w:lineRule="exact"/>
        <w:rPr>
          <w:sz w:val="20"/>
          <w:szCs w:val="20"/>
          <w:color w:val="auto"/>
        </w:rPr>
      </w:pPr>
    </w:p>
    <w:p>
      <w:pPr>
        <w:ind w:firstLine="87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Amended and Restated Limited Liability Company Agreement of New Fortress Energy LLC, as it may be amended, supplemented or restated from time to time.</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79" w:lineRule="exact"/>
        <w:rPr>
          <w:sz w:val="20"/>
          <w:szCs w:val="20"/>
          <w:color w:val="auto"/>
        </w:rPr>
      </w:pPr>
    </w:p>
    <w:p>
      <w:pPr>
        <w:ind w:right="2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216" w:lineRule="exact"/>
        <w:rPr>
          <w:sz w:val="20"/>
          <w:szCs w:val="20"/>
          <w:color w:val="auto"/>
        </w:rPr>
      </w:pPr>
    </w:p>
    <w:p>
      <w:pPr>
        <w:ind w:right="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Contribution</w:t>
      </w:r>
      <w:r>
        <w:rPr>
          <w:rFonts w:ascii="Arial" w:cs="Arial" w:eastAsia="Arial" w:hAnsi="Arial"/>
          <w:sz w:val="18"/>
          <w:szCs w:val="18"/>
          <w:color w:val="auto"/>
        </w:rPr>
        <w:t>” means any cash, cash equivalents or the value of contributed property that a Member contributes to the Company pursuant to this Agreement.</w:t>
      </w:r>
    </w:p>
    <w:p>
      <w:pPr>
        <w:spacing w:after="0" w:line="216" w:lineRule="exact"/>
        <w:rPr>
          <w:sz w:val="20"/>
          <w:szCs w:val="20"/>
          <w:color w:val="auto"/>
        </w:rPr>
      </w:pPr>
    </w:p>
    <w:p>
      <w:pPr>
        <w:ind w:right="2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means a certificate in such form as may be adopted by the Board of Directors, issued by the Company evidencing ownership of one or more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firstLine="842"/>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 of Formation</w:t>
      </w:r>
      <w:r>
        <w:rPr>
          <w:rFonts w:ascii="Arial" w:cs="Arial" w:eastAsia="Arial" w:hAnsi="Arial"/>
          <w:sz w:val="18"/>
          <w:szCs w:val="18"/>
          <w:color w:val="auto"/>
        </w:rPr>
        <w:t xml:space="preserve">” means the Certificate of Formation of the Company filed with the Secretary of State of the State of Delaware as referenced in </w:t>
      </w:r>
      <w:r>
        <w:rPr>
          <w:rFonts w:ascii="Arial" w:cs="Arial" w:eastAsia="Arial" w:hAnsi="Arial"/>
          <w:sz w:val="18"/>
          <w:szCs w:val="18"/>
          <w:u w:val="single" w:color="auto"/>
          <w:color w:val="auto"/>
        </w:rPr>
        <w:t>Section 5.21</w:t>
      </w:r>
      <w:r>
        <w:rPr>
          <w:rFonts w:ascii="Arial" w:cs="Arial" w:eastAsia="Arial" w:hAnsi="Arial"/>
          <w:sz w:val="18"/>
          <w:szCs w:val="18"/>
          <w:color w:val="auto"/>
        </w:rPr>
        <w:t>, as such Certificate of Formation may be amended, supplemented or restated from time to time.</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Chairman of the Board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52" w:lineRule="exact"/>
        <w:rPr>
          <w:sz w:val="20"/>
          <w:szCs w:val="20"/>
          <w:color w:val="auto"/>
        </w:rPr>
      </w:pPr>
    </w:p>
    <w:p>
      <w:pPr>
        <w:ind w:right="40" w:firstLine="70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means the first to occur of the following events: (i) the sale of all or substantially all of the assets of the Company to any Person (or group of Persons acting in concert), other than to (x) the Consenting Entities or their Affiliates or (y) any employee benefit plan (or trust forming a part thereof) maintained by the Company or its Affiliates or other Person of which a majority of its voting power or other equity securities is owned, directly or indirectly, by the Company (any Person described in the foregoing clauses (x) or (y), an “</w:t>
      </w:r>
      <w:r>
        <w:rPr>
          <w:rFonts w:ascii="Arial" w:cs="Arial" w:eastAsia="Arial" w:hAnsi="Arial"/>
          <w:sz w:val="17"/>
          <w:szCs w:val="17"/>
          <w:b w:val="1"/>
          <w:bCs w:val="1"/>
          <w:u w:val="single" w:color="auto"/>
          <w:color w:val="auto"/>
        </w:rPr>
        <w:t>Affiliated Person</w:t>
      </w:r>
      <w:r>
        <w:rPr>
          <w:rFonts w:ascii="Arial" w:cs="Arial" w:eastAsia="Arial" w:hAnsi="Arial"/>
          <w:sz w:val="17"/>
          <w:szCs w:val="17"/>
          <w:color w:val="auto"/>
        </w:rPr>
        <w:t>”); (ii) a sale of Shares by either (x) the Company or (y) the Initial Member or its Affiliates to a Person (or group of Persons acting in concert), or a merger, consolidation or similar transaction involving the Company, in any case, that results in more than 50% of the Shares of the Company (or any resulting company after a merger) being held by a Person (or group of Persons acting in concert) that does not include an Affiliated Person; or (iii) any event that results in the Initial Member and its respective Affiliates or such employee benefit plan ceasing to hold the ability to elect a majority of the members of the Board.“</w:t>
      </w:r>
      <w:r>
        <w:rPr>
          <w:rFonts w:ascii="Arial" w:cs="Arial" w:eastAsia="Arial" w:hAnsi="Arial"/>
          <w:sz w:val="17"/>
          <w:szCs w:val="17"/>
          <w:b w:val="1"/>
          <w:bCs w:val="1"/>
          <w:u w:val="single" w:color="auto"/>
          <w:color w:val="auto"/>
        </w:rPr>
        <w:t>Class A Share</w:t>
      </w:r>
      <w:r>
        <w:rPr>
          <w:rFonts w:ascii="Arial" w:cs="Arial" w:eastAsia="Arial" w:hAnsi="Arial"/>
          <w:sz w:val="17"/>
          <w:szCs w:val="17"/>
          <w:color w:val="auto"/>
        </w:rPr>
        <w:t>” means a Share in the Company designated as a “Class A Share.”</w:t>
      </w:r>
    </w:p>
    <w:p>
      <w:pPr>
        <w:spacing w:after="0" w:line="22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Share</w:t>
      </w:r>
      <w:r>
        <w:rPr>
          <w:rFonts w:ascii="Arial" w:cs="Arial" w:eastAsia="Arial" w:hAnsi="Arial"/>
          <w:sz w:val="18"/>
          <w:szCs w:val="18"/>
          <w:color w:val="auto"/>
        </w:rPr>
        <w:t>” means a Share in the Company designated as a “Class B Share.”</w:t>
      </w:r>
    </w:p>
    <w:p>
      <w:pPr>
        <w:spacing w:after="0" w:line="279" w:lineRule="exact"/>
        <w:rPr>
          <w:sz w:val="20"/>
          <w:szCs w:val="20"/>
          <w:color w:val="auto"/>
        </w:rPr>
      </w:pPr>
    </w:p>
    <w:p>
      <w:pPr>
        <w:ind w:right="22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means the first date on which Class A Shares are delivered by the Company to the Underwriters pursuant to the provisions of the Underwriting Agreement.</w:t>
      </w:r>
    </w:p>
    <w:p>
      <w:pPr>
        <w:spacing w:after="0" w:line="216" w:lineRule="exact"/>
        <w:rPr>
          <w:sz w:val="20"/>
          <w:szCs w:val="20"/>
          <w:color w:val="auto"/>
        </w:rPr>
      </w:pPr>
    </w:p>
    <w:p>
      <w:pPr>
        <w:ind w:right="24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U.S. Internal Revenue Code of 1986, as amended and in effect from time to time. Any reference herein to a specific section or sections of the Code shall be deemed to include a reference to any corresponding provision of any successor law.</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United States Securities and Exchange Commission.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Shares</w:t>
      </w:r>
      <w:r>
        <w:rPr>
          <w:rFonts w:ascii="Arial" w:cs="Arial" w:eastAsia="Arial" w:hAnsi="Arial"/>
          <w:sz w:val="16"/>
          <w:szCs w:val="16"/>
          <w:color w:val="auto"/>
        </w:rPr>
        <w:t>” means any Shares that are not Preferred Shares, and for the avoidance of doubt includes Class A Shares and Class B Shares.</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New Fortress Energy LLC, a Delaware limited liability company, and any successors thereto.</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Group</w:t>
      </w:r>
      <w:r>
        <w:rPr>
          <w:rFonts w:ascii="Arial" w:cs="Arial" w:eastAsia="Arial" w:hAnsi="Arial"/>
          <w:sz w:val="18"/>
          <w:szCs w:val="18"/>
          <w:color w:val="auto"/>
        </w:rPr>
        <w:t>” means the Company and each Subsidiary of the Company.</w:t>
      </w:r>
    </w:p>
    <w:p>
      <w:pPr>
        <w:spacing w:after="0" w:line="279" w:lineRule="exact"/>
        <w:rPr>
          <w:sz w:val="20"/>
          <w:szCs w:val="20"/>
          <w:color w:val="auto"/>
        </w:rPr>
      </w:pPr>
    </w:p>
    <w:p>
      <w:pPr>
        <w:ind w:right="24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Conflicts Committee</w:t>
      </w:r>
      <w:r>
        <w:rPr>
          <w:rFonts w:ascii="Arial" w:cs="Arial" w:eastAsia="Arial" w:hAnsi="Arial"/>
          <w:sz w:val="18"/>
          <w:szCs w:val="18"/>
          <w:color w:val="auto"/>
        </w:rPr>
        <w:t>” means a committee of the Board of Directors composed solely of two (2) or more Independent Directors who are not (a) officers or employees of the Company or any Subsidiary of the Company or (b) directors, officers or employees of any Affiliate of the Company or its Subsidiaries (other than the Company Group).</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Consenting Entities</w:t>
      </w:r>
      <w:r>
        <w:rPr>
          <w:rFonts w:ascii="Arial" w:cs="Arial" w:eastAsia="Arial" w:hAnsi="Arial"/>
          <w:sz w:val="18"/>
          <w:szCs w:val="18"/>
          <w:color w:val="auto"/>
        </w:rPr>
        <w:t>” means NFE WE LLC and NFE RN LLC.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6" w:name="page67"/>
    <w:bookmarkEnd w:id="66"/>
    <w:p>
      <w:pPr>
        <w:ind w:right="2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Delaware Act</w:t>
      </w:r>
      <w:r>
        <w:rPr>
          <w:rFonts w:ascii="Arial" w:cs="Arial" w:eastAsia="Arial" w:hAnsi="Arial"/>
          <w:sz w:val="18"/>
          <w:szCs w:val="18"/>
          <w:color w:val="auto"/>
        </w:rPr>
        <w:t>” means the Delaware Limited Liability Company Act, 6 Del. C. Section 18-101, et seq., as amended, supplemented or restated from time to time, and any successor to such statute.</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Depositary</w:t>
      </w:r>
      <w:r>
        <w:rPr>
          <w:rFonts w:ascii="Arial" w:cs="Arial" w:eastAsia="Arial" w:hAnsi="Arial"/>
          <w:sz w:val="16"/>
          <w:szCs w:val="16"/>
          <w:color w:val="auto"/>
        </w:rPr>
        <w:t>” means, with respect to any Shares issued in global form, The Depository Trust Company and its successors and permitted assigns.</w:t>
      </w:r>
    </w:p>
    <w:p>
      <w:pPr>
        <w:spacing w:after="0" w:line="302" w:lineRule="exact"/>
        <w:rPr>
          <w:sz w:val="20"/>
          <w:szCs w:val="20"/>
          <w:color w:val="auto"/>
        </w:rPr>
      </w:pPr>
    </w:p>
    <w:p>
      <w:pPr>
        <w:ind w:right="1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means the General Corporation Law of the State of Delaware, 8 Del. C. Section 101, et seq., as amended, supplemented or restated from time to time, and any successor to such statute.</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 means a member of the Board of Directors of the Company.</w:t>
      </w:r>
    </w:p>
    <w:p>
      <w:pPr>
        <w:spacing w:after="0" w:line="279" w:lineRule="exact"/>
        <w:rPr>
          <w:sz w:val="20"/>
          <w:szCs w:val="20"/>
          <w:color w:val="auto"/>
        </w:rPr>
      </w:pPr>
    </w:p>
    <w:p>
      <w:pPr>
        <w:ind w:right="2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supplemented or restated from time to time and any successor to such statute, and the rules and regulations promulgated thereunder.</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FEP</w:t>
      </w:r>
      <w:r>
        <w:rPr>
          <w:rFonts w:ascii="Arial" w:cs="Arial" w:eastAsia="Arial" w:hAnsi="Arial"/>
          <w:sz w:val="18"/>
          <w:szCs w:val="18"/>
          <w:color w:val="auto"/>
        </w:rPr>
        <w:t>” means Fortress Equity Partners, L.P.</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Action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12.9(c)</w:t>
      </w:r>
      <w:r>
        <w:rPr>
          <w:rFonts w:ascii="Arial" w:cs="Arial" w:eastAsia="Arial" w:hAnsi="Arial"/>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FSC Enforcement Action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12.9(c)</w:t>
      </w:r>
      <w:r>
        <w:rPr>
          <w:rFonts w:ascii="Arial" w:cs="Arial" w:eastAsia="Arial" w:hAnsi="Arial"/>
          <w:sz w:val="18"/>
          <w:szCs w:val="18"/>
          <w:color w:val="auto"/>
        </w:rPr>
        <w:t>.</w:t>
      </w:r>
    </w:p>
    <w:p>
      <w:pPr>
        <w:spacing w:after="0" w:line="252" w:lineRule="exact"/>
        <w:rPr>
          <w:sz w:val="20"/>
          <w:szCs w:val="20"/>
          <w:color w:val="auto"/>
        </w:rPr>
      </w:pPr>
    </w:p>
    <w:p>
      <w:pPr>
        <w:ind w:firstLine="59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Entity</w:t>
      </w:r>
      <w:r>
        <w:rPr>
          <w:rFonts w:ascii="Arial" w:cs="Arial" w:eastAsia="Arial" w:hAnsi="Arial"/>
          <w:sz w:val="18"/>
          <w:szCs w:val="18"/>
          <w:color w:val="auto"/>
        </w:rPr>
        <w:t>” means any court, administrative agency, regulatory body, commission or other governmental authority, board, bureau or instrumentality, domestic or foreign and any subdivision thereof.</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Group Member</w:t>
      </w:r>
      <w:r>
        <w:rPr>
          <w:rFonts w:ascii="Arial" w:cs="Arial" w:eastAsia="Arial" w:hAnsi="Arial"/>
          <w:sz w:val="18"/>
          <w:szCs w:val="18"/>
          <w:color w:val="auto"/>
        </w:rPr>
        <w:t>” means a member of the Company Group.</w:t>
      </w:r>
    </w:p>
    <w:p>
      <w:pPr>
        <w:spacing w:after="0" w:line="252" w:lineRule="exact"/>
        <w:rPr>
          <w:sz w:val="20"/>
          <w:szCs w:val="20"/>
          <w:color w:val="auto"/>
        </w:rPr>
      </w:pPr>
    </w:p>
    <w:p>
      <w:pPr>
        <w:ind w:right="100" w:firstLine="49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Group Member Agreement</w:t>
      </w:r>
      <w:r>
        <w:rPr>
          <w:rFonts w:ascii="Arial" w:cs="Arial" w:eastAsia="Arial" w:hAnsi="Arial"/>
          <w:sz w:val="16"/>
          <w:szCs w:val="16"/>
          <w:color w:val="auto"/>
        </w:rPr>
        <w:t>” means the partnership agreement of any Group Member that is a limited or general partnership, the limited liability company agreement of any Group Member, other than the Company,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supplemented or restated from time to time.</w:t>
      </w:r>
    </w:p>
    <w:p>
      <w:pPr>
        <w:spacing w:after="0" w:line="208" w:lineRule="exact"/>
        <w:rPr>
          <w:sz w:val="20"/>
          <w:szCs w:val="20"/>
          <w:color w:val="auto"/>
        </w:rPr>
      </w:pPr>
    </w:p>
    <w:p>
      <w:pPr>
        <w:ind w:right="200" w:firstLine="70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Person</w:t>
      </w:r>
      <w:r>
        <w:rPr>
          <w:rFonts w:ascii="Arial" w:cs="Arial" w:eastAsia="Arial" w:hAnsi="Arial"/>
          <w:sz w:val="18"/>
          <w:szCs w:val="18"/>
          <w:color w:val="auto"/>
        </w:rPr>
        <w:t xml:space="preserve">” means (a) any Person who is or was a Director or Officer of the Company, (b) any Person who is or was serving at the request of the Company as an officer, director, member, manager, partner, fiduciary or trustee of another Person (including any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Person shall not be an Indemnified Person by reason of providing, on a fee-for-services basis, trustee, fiduciary or custodial services, (c) FEP and Fortress Investment Group LLC and their respective Affiliates, (d) the Consenting Entities and their respective Affiliates and (e) any Person the Board of Directors designates as an “Indemnified Person” for purposes of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67" w:name="page68"/>
    <w:bookmarkEnd w:id="67"/>
    <w:p>
      <w:pPr>
        <w:ind w:right="12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Independent Director</w:t>
      </w:r>
      <w:r>
        <w:rPr>
          <w:rFonts w:ascii="Arial" w:cs="Arial" w:eastAsia="Arial" w:hAnsi="Arial"/>
          <w:sz w:val="18"/>
          <w:szCs w:val="18"/>
          <w:color w:val="auto"/>
        </w:rPr>
        <w:t>” means a Director who meets the then current independence and other standards required of audit committee members established by the Exchange Act and the rules and regulations of the Commission thereunder and by each National Securities Exchange on which Shares are listed for trading.</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Member</w:t>
      </w:r>
      <w:r>
        <w:rPr>
          <w:rFonts w:ascii="Arial" w:cs="Arial" w:eastAsia="Arial" w:hAnsi="Arial"/>
          <w:sz w:val="18"/>
          <w:szCs w:val="18"/>
          <w:color w:val="auto"/>
        </w:rPr>
        <w:t>” means New Fortress Holdings.</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the Class A Shares to be sold in the IPO.</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means the initial offering and sale of Class A Shares to the public, as described in the Registration Statement.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Liquidation Date</w:t>
      </w:r>
      <w:r>
        <w:rPr>
          <w:rFonts w:ascii="Arial" w:cs="Arial" w:eastAsia="Arial" w:hAnsi="Arial"/>
          <w:sz w:val="18"/>
          <w:szCs w:val="18"/>
          <w:color w:val="auto"/>
        </w:rPr>
        <w:t>” means the date on which an event giving rise to the dissolution of the Company occurs.</w:t>
      </w:r>
    </w:p>
    <w:p>
      <w:pPr>
        <w:spacing w:after="0" w:line="279" w:lineRule="exact"/>
        <w:rPr>
          <w:sz w:val="20"/>
          <w:szCs w:val="20"/>
          <w:color w:val="auto"/>
        </w:rPr>
      </w:pPr>
    </w:p>
    <w:p>
      <w:pPr>
        <w:ind w:right="4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Liquidator</w:t>
      </w:r>
      <w:r>
        <w:rPr>
          <w:rFonts w:ascii="Arial" w:cs="Arial" w:eastAsia="Arial" w:hAnsi="Arial"/>
          <w:sz w:val="18"/>
          <w:szCs w:val="18"/>
          <w:color w:val="auto"/>
        </w:rPr>
        <w:t xml:space="preserve">” means one or more Persons selected by the Board of Directors to perform the functions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as liquidating trustee of the Company within the meaning of the Delaware Act.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LLC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w:t>
      </w:r>
      <w:r>
        <w:rPr>
          <w:rFonts w:ascii="Arial" w:cs="Arial" w:eastAsia="Arial" w:hAnsi="Arial"/>
          <w:sz w:val="18"/>
          <w:szCs w:val="18"/>
          <w:color w:val="auto"/>
        </w:rPr>
        <w:t>” means each member of the Company.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National Securities Exchange</w:t>
      </w:r>
      <w:r>
        <w:rPr>
          <w:rFonts w:ascii="Arial" w:cs="Arial" w:eastAsia="Arial" w:hAnsi="Arial"/>
          <w:sz w:val="18"/>
          <w:szCs w:val="18"/>
          <w:color w:val="auto"/>
        </w:rPr>
        <w:t>” means an exchange registered with the Commission under Section 6(a) of the Exchange Act.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Fortress Holdings</w:t>
      </w:r>
      <w:r>
        <w:rPr>
          <w:rFonts w:ascii="Arial" w:cs="Arial" w:eastAsia="Arial" w:hAnsi="Arial"/>
          <w:sz w:val="18"/>
          <w:szCs w:val="18"/>
          <w:color w:val="auto"/>
        </w:rPr>
        <w:t>” means New Fortress Energy Holdings LLC, a Delaware limited liability company.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Fortress Intermediate</w:t>
      </w:r>
      <w:r>
        <w:rPr>
          <w:rFonts w:ascii="Arial" w:cs="Arial" w:eastAsia="Arial" w:hAnsi="Arial"/>
          <w:sz w:val="18"/>
          <w:szCs w:val="18"/>
          <w:color w:val="auto"/>
        </w:rPr>
        <w:t>” means New Fortress Intermediate LLC, a Delaware limited liability company.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5.22(a)</w:t>
      </w:r>
      <w:r>
        <w:rPr>
          <w:rFonts w:ascii="Arial" w:cs="Arial" w:eastAsia="Arial" w:hAnsi="Arial"/>
          <w:sz w:val="18"/>
          <w:szCs w:val="18"/>
          <w:color w:val="auto"/>
        </w:rPr>
        <w:t>.</w:t>
      </w:r>
    </w:p>
    <w:p>
      <w:pPr>
        <w:spacing w:after="0" w:line="279" w:lineRule="exact"/>
        <w:rPr>
          <w:sz w:val="20"/>
          <w:szCs w:val="20"/>
          <w:color w:val="auto"/>
        </w:rPr>
      </w:pPr>
    </w:p>
    <w:p>
      <w:pPr>
        <w:ind w:right="10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w:t>
      </w:r>
      <w:r>
        <w:rPr>
          <w:rFonts w:ascii="Arial" w:cs="Arial" w:eastAsia="Arial" w:hAnsi="Arial"/>
          <w:sz w:val="18"/>
          <w:szCs w:val="18"/>
          <w:color w:val="auto"/>
        </w:rPr>
        <w:t>” means, with respect to Shares, all Shares that are issued by the Company and reflected as outstanding on the Company’s books and records as of the date of determination.</w:t>
      </w:r>
    </w:p>
    <w:p>
      <w:pPr>
        <w:spacing w:after="0" w:line="216" w:lineRule="exact"/>
        <w:rPr>
          <w:sz w:val="20"/>
          <w:szCs w:val="20"/>
          <w:color w:val="auto"/>
        </w:rPr>
      </w:pPr>
    </w:p>
    <w:p>
      <w:pPr>
        <w:ind w:firstLine="70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Percentage Interest</w:t>
      </w:r>
      <w:r>
        <w:rPr>
          <w:rFonts w:ascii="Arial" w:cs="Arial" w:eastAsia="Arial" w:hAnsi="Arial"/>
          <w:sz w:val="18"/>
          <w:szCs w:val="18"/>
          <w:color w:val="auto"/>
        </w:rPr>
        <w:t>” means, as of any date of determination, (i) as to any Class A Shares, the product obtained by multiplying (a) 100% less the percentage applicable to the Shares referred to in clause (iii) by (b) the quotient obtained by dividing (x) the number of such Class A Shares by (y) the total number of all Outstanding Class A Shares, (ii) as to any Class B Shares, 0%, and (iii) as to any other Shares, the percentage established for such Shares by the Board of Directors as a part of the issuance of such Shares.</w:t>
      </w:r>
    </w:p>
    <w:p>
      <w:pPr>
        <w:spacing w:after="0" w:line="234" w:lineRule="exact"/>
        <w:rPr>
          <w:sz w:val="20"/>
          <w:szCs w:val="20"/>
          <w:color w:val="auto"/>
        </w:rPr>
      </w:pPr>
    </w:p>
    <w:p>
      <w:pPr>
        <w:ind w:right="80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8" w:right="259" w:bottom="1440" w:gutter="0" w:footer="0" w:header="0"/>
        </w:sectPr>
      </w:pPr>
    </w:p>
    <w:bookmarkStart w:id="68" w:name="page69"/>
    <w:bookmarkEnd w:id="68"/>
    <w:p>
      <w:pPr>
        <w:ind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Preferred Shares</w:t>
      </w:r>
      <w:r>
        <w:rPr>
          <w:rFonts w:ascii="Arial" w:cs="Arial" w:eastAsia="Arial" w:hAnsi="Arial"/>
          <w:sz w:val="18"/>
          <w:szCs w:val="18"/>
          <w:color w:val="auto"/>
        </w:rPr>
        <w:t>” means a class of Shares that entitles the Record Holders thereof to a preference or priority over the Record Holders of any other class of Shares in (i) the right to share profits or losses or items thereof, (ii) the right to share in Company distributions, or (iii) rights upon dissolution or liquidation of the Company.</w:t>
      </w:r>
    </w:p>
    <w:p>
      <w:pPr>
        <w:spacing w:after="0" w:line="230" w:lineRule="exact"/>
        <w:rPr>
          <w:sz w:val="20"/>
          <w:szCs w:val="20"/>
          <w:color w:val="auto"/>
        </w:rPr>
      </w:pPr>
    </w:p>
    <w:p>
      <w:pPr>
        <w:ind w:right="4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Quarter</w:t>
      </w:r>
      <w:r>
        <w:rPr>
          <w:rFonts w:ascii="Arial" w:cs="Arial" w:eastAsia="Arial" w:hAnsi="Arial"/>
          <w:sz w:val="18"/>
          <w:szCs w:val="18"/>
          <w:color w:val="auto"/>
        </w:rPr>
        <w:t>” means, unless the context requires otherwise, a fiscal quarter, or, with respect to the first fiscal quarter after the Closing Date, the portion of such fiscal quarter after the Closing Date, of the Company.</w:t>
      </w:r>
    </w:p>
    <w:p>
      <w:pPr>
        <w:spacing w:after="0" w:line="216" w:lineRule="exact"/>
        <w:rPr>
          <w:sz w:val="20"/>
          <w:szCs w:val="20"/>
          <w:color w:val="auto"/>
        </w:rPr>
      </w:pPr>
    </w:p>
    <w:p>
      <w:pPr>
        <w:jc w:val="both"/>
        <w:ind w:right="14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Record Date</w:t>
      </w:r>
      <w:r>
        <w:rPr>
          <w:rFonts w:ascii="Arial" w:cs="Arial" w:eastAsia="Arial" w:hAnsi="Arial"/>
          <w:sz w:val="18"/>
          <w:szCs w:val="18"/>
          <w:color w:val="auto"/>
        </w:rPr>
        <w:t>” means the date established by the Board of Directors for determining (a) the identity of the Record Holders entitled to notice of, or to vote at, any meeting of Members or entitled to exercise rights in respect of any lawful action of Members or (b) the identity of Record Holders entitled to receive any report or distribution or to participate in any offer.</w:t>
      </w:r>
    </w:p>
    <w:p>
      <w:pPr>
        <w:spacing w:after="0" w:line="230" w:lineRule="exact"/>
        <w:rPr>
          <w:sz w:val="20"/>
          <w:szCs w:val="20"/>
          <w:color w:val="auto"/>
        </w:rPr>
      </w:pPr>
    </w:p>
    <w:p>
      <w:pPr>
        <w:ind w:firstLine="702"/>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Record Holder</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Company has caused to be kept as of the opening of business on such Business Day.</w:t>
      </w:r>
    </w:p>
    <w:p>
      <w:pPr>
        <w:spacing w:after="0" w:line="196" w:lineRule="exact"/>
        <w:rPr>
          <w:sz w:val="20"/>
          <w:szCs w:val="20"/>
          <w:color w:val="auto"/>
        </w:rPr>
      </w:pPr>
    </w:p>
    <w:p>
      <w:pPr>
        <w:jc w:val="both"/>
        <w:ind w:right="2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the Registration Statement on Form S-1 (Registration No. 333-228339) as it has been or as it may be amended or supplemented from time to time, filed by the Company with the Commission under the Securities Act to register the offering and sale of the Class A Shares in the IPO.</w:t>
      </w:r>
    </w:p>
    <w:p>
      <w:pPr>
        <w:spacing w:after="0" w:line="230" w:lineRule="exact"/>
        <w:rPr>
          <w:sz w:val="20"/>
          <w:szCs w:val="20"/>
          <w:color w:val="auto"/>
        </w:rPr>
      </w:pPr>
    </w:p>
    <w:p>
      <w:pPr>
        <w:ind w:right="1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supplemented or restated from time to time and any successor to such statute, and the rules and regulations promulgated thereunder.</w:t>
      </w:r>
    </w:p>
    <w:p>
      <w:pPr>
        <w:spacing w:after="0" w:line="216" w:lineRule="exact"/>
        <w:rPr>
          <w:sz w:val="20"/>
          <w:szCs w:val="20"/>
          <w:color w:val="auto"/>
        </w:rPr>
      </w:pPr>
    </w:p>
    <w:p>
      <w:pPr>
        <w:ind w:right="220" w:firstLine="702"/>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w:t>
      </w:r>
      <w:r>
        <w:rPr>
          <w:rFonts w:ascii="Arial" w:cs="Arial" w:eastAsia="Arial" w:hAnsi="Arial"/>
          <w:sz w:val="16"/>
          <w:szCs w:val="16"/>
          <w:color w:val="auto"/>
        </w:rPr>
        <w:t>” means a share issued by the Company that evidences a Member’s rights, powers and duties with respect to the Company pursuant to this Agreement and the Delaware Act. Shares may be Common Shares or Preferred Shares, and may be issued in different classes or series.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 Designation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 Majority</w:t>
      </w:r>
      <w:r>
        <w:rPr>
          <w:rFonts w:ascii="Arial" w:cs="Arial" w:eastAsia="Arial" w:hAnsi="Arial"/>
          <w:sz w:val="17"/>
          <w:szCs w:val="17"/>
          <w:color w:val="auto"/>
        </w:rPr>
        <w:t>” means a majority of the total votes that may be cast in the election of Directors by holders of all Outstanding Voting Shares.</w:t>
      </w:r>
    </w:p>
    <w:p>
      <w:pPr>
        <w:spacing w:after="0" w:line="291" w:lineRule="exact"/>
        <w:rPr>
          <w:sz w:val="20"/>
          <w:szCs w:val="20"/>
          <w:color w:val="auto"/>
        </w:rPr>
      </w:pPr>
    </w:p>
    <w:p>
      <w:pPr>
        <w:ind w:right="70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Shareholders Agreement</w:t>
      </w:r>
      <w:r>
        <w:rPr>
          <w:rFonts w:ascii="Arial" w:cs="Arial" w:eastAsia="Arial" w:hAnsi="Arial"/>
          <w:sz w:val="18"/>
          <w:szCs w:val="18"/>
          <w:color w:val="auto"/>
        </w:rPr>
        <w:t>” means the Shareholders Agreement expected to be entered into by and among New Fortress Holdings and the Company in connection with the IPO.</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Solicitation Notice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11.11(c)</w:t>
      </w:r>
      <w:r>
        <w:rPr>
          <w:rFonts w:ascii="Arial" w:cs="Arial" w:eastAsia="Arial" w:hAnsi="Arial"/>
          <w:sz w:val="18"/>
          <w:szCs w:val="18"/>
          <w:color w:val="auto"/>
        </w:rPr>
        <w:t>.</w:t>
      </w:r>
    </w:p>
    <w:p>
      <w:pPr>
        <w:spacing w:after="0" w:line="279" w:lineRule="exact"/>
        <w:rPr>
          <w:sz w:val="20"/>
          <w:szCs w:val="20"/>
          <w:color w:val="auto"/>
        </w:rPr>
      </w:pPr>
    </w:p>
    <w:p>
      <w:pPr>
        <w:jc w:val="both"/>
        <w:ind w:right="240" w:firstLine="70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Special Approval</w:t>
      </w:r>
      <w:r>
        <w:rPr>
          <w:rFonts w:ascii="Arial" w:cs="Arial" w:eastAsia="Arial" w:hAnsi="Arial"/>
          <w:sz w:val="17"/>
          <w:szCs w:val="17"/>
          <w:color w:val="auto"/>
        </w:rPr>
        <w:t>” means, with respect to any transaction, activity, arrangement or circumstance, that (i) it has been specifically approved by a majority of the members of the Conflicts Committee, or (ii) it complies with any rules or guidelines established by the Conflicts Committee with respect to categories of transactions, activities, arrangements or circumstances that are deemed approved by the Conflicts Committee.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69" w:name="page70"/>
    <w:bookmarkEnd w:id="69"/>
    <w:p>
      <w:pPr>
        <w:ind w:right="100" w:firstLine="702"/>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with respect to any Person, as of any date of determination, any other Person as to which such Person owns or otherwise controls, directly or indirectly, more than 50% of the voting shares or other similar interests or a sole general partner interest or managing member or similar interest of such Person. For the avoidance of doubt, New Fortress Intermediate and its Subsidiaries shall be deemed to be Subsidiaries of the Company.</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Surviving Business Entity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10.2(a)(ii)</w:t>
      </w:r>
      <w:r>
        <w:rPr>
          <w:rFonts w:ascii="Arial" w:cs="Arial" w:eastAsia="Arial" w:hAnsi="Arial"/>
          <w:sz w:val="18"/>
          <w:szCs w:val="18"/>
          <w:color w:val="auto"/>
        </w:rPr>
        <w:t>.</w:t>
      </w:r>
    </w:p>
    <w:p>
      <w:pPr>
        <w:spacing w:after="0" w:line="279" w:lineRule="exact"/>
        <w:rPr>
          <w:sz w:val="20"/>
          <w:szCs w:val="20"/>
          <w:color w:val="auto"/>
        </w:rPr>
      </w:pPr>
    </w:p>
    <w:p>
      <w:pPr>
        <w:ind w:right="18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means, with respect to a Share, a transaction by which the Record Holder of a Share assigns such Share to another Person who is or becomes a Member, and includes a sale, assignment, gift, exchange or any other disposition by law or otherwise, including any transfer upon foreclosure of any pledge, encumbrance, hypothecation or mortgage.</w:t>
      </w:r>
    </w:p>
    <w:p>
      <w:pPr>
        <w:spacing w:after="0" w:line="230" w:lineRule="exact"/>
        <w:rPr>
          <w:sz w:val="20"/>
          <w:szCs w:val="20"/>
          <w:color w:val="auto"/>
        </w:rPr>
      </w:pPr>
    </w:p>
    <w:p>
      <w:pPr>
        <w:ind w:right="12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 Agent</w:t>
      </w:r>
      <w:r>
        <w:rPr>
          <w:rFonts w:ascii="Arial" w:cs="Arial" w:eastAsia="Arial" w:hAnsi="Arial"/>
          <w:sz w:val="18"/>
          <w:szCs w:val="18"/>
          <w:color w:val="auto"/>
        </w:rPr>
        <w:t xml:space="preserve">” means, with respect to any class of Shares, such bank, trust company or other Person (including the Company or one of its Affiliates) as shall be appointed from time to time by the Company to act as registrar and transfer agent for such class of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Transfer Agent is specifically designated for such class of Shares, the Company shall act in such capacity.</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means each Person named as an underwriter in the Underwriting Agreement who is obligated to purchase Class A Shares pursuant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61" w:lineRule="exact"/>
        <w:rPr>
          <w:sz w:val="20"/>
          <w:szCs w:val="20"/>
          <w:color w:val="auto"/>
        </w:rPr>
      </w:pPr>
    </w:p>
    <w:p>
      <w:pPr>
        <w:ind w:right="32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Underwriting Agreement</w:t>
      </w:r>
      <w:r>
        <w:rPr>
          <w:rFonts w:ascii="Arial" w:cs="Arial" w:eastAsia="Arial" w:hAnsi="Arial"/>
          <w:sz w:val="18"/>
          <w:szCs w:val="18"/>
          <w:color w:val="auto"/>
        </w:rPr>
        <w:t>” means the Underwriting Agreement expected to be entered into by the Company providing for the sale of Class A Shares in the IPO.</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 GAAP</w:t>
      </w:r>
      <w:r>
        <w:rPr>
          <w:rFonts w:ascii="Arial" w:cs="Arial" w:eastAsia="Arial" w:hAnsi="Arial"/>
          <w:sz w:val="18"/>
          <w:szCs w:val="18"/>
          <w:color w:val="auto"/>
        </w:rPr>
        <w:t>” means United States generally accepted accounting principles, as in effect from time to time, consistently applied.</w:t>
      </w:r>
    </w:p>
    <w:p>
      <w:pPr>
        <w:spacing w:after="0" w:line="279" w:lineRule="exact"/>
        <w:rPr>
          <w:sz w:val="20"/>
          <w:szCs w:val="20"/>
          <w:color w:val="auto"/>
        </w:rPr>
      </w:pPr>
    </w:p>
    <w:p>
      <w:pPr>
        <w:ind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Voting Shares</w:t>
      </w:r>
      <w:r>
        <w:rPr>
          <w:rFonts w:ascii="Arial" w:cs="Arial" w:eastAsia="Arial" w:hAnsi="Arial"/>
          <w:sz w:val="18"/>
          <w:szCs w:val="18"/>
          <w:color w:val="auto"/>
        </w:rPr>
        <w:t>” means the Class A Shares, the Class B Shares and any other class of Shares issued after the date of this Agreement that entitles the Record Holder thereof to vote on any matter submitted for consent or approval of Members under this Agreement.</w:t>
      </w:r>
    </w:p>
    <w:p>
      <w:pPr>
        <w:spacing w:after="0" w:line="216" w:lineRule="exact"/>
        <w:rPr>
          <w:sz w:val="20"/>
          <w:szCs w:val="20"/>
          <w:color w:val="auto"/>
        </w:rPr>
      </w:pPr>
    </w:p>
    <w:p>
      <w:pPr>
        <w:ind w:right="260" w:firstLine="675"/>
        <w:spacing w:after="0" w:line="26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Unless the context requires otherwise: (a) any pronoun used in this Agreement shall include the corresponding masculine, feminine or neuter forms; (b) references to Articles and Sections refer to Articles and Sections of this Agreement; and (c) the term “include” or “includes” means includes, without limitation, and “including” means including, without limitation.</w:t>
      </w:r>
    </w:p>
    <w:p>
      <w:pPr>
        <w:spacing w:after="0" w:line="23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ORGANIZATION</w:t>
      </w:r>
    </w:p>
    <w:p>
      <w:pPr>
        <w:spacing w:after="0" w:line="261" w:lineRule="exact"/>
        <w:rPr>
          <w:sz w:val="20"/>
          <w:szCs w:val="20"/>
          <w:color w:val="auto"/>
        </w:rPr>
      </w:pPr>
    </w:p>
    <w:p>
      <w:pPr>
        <w:ind w:right="40" w:firstLine="675"/>
        <w:spacing w:after="0" w:line="282"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Formation</w:t>
      </w:r>
      <w:r>
        <w:rPr>
          <w:rFonts w:ascii="Arial" w:cs="Arial" w:eastAsia="Arial" w:hAnsi="Arial"/>
          <w:sz w:val="18"/>
          <w:szCs w:val="18"/>
          <w:color w:val="auto"/>
        </w:rPr>
        <w:t>. The Company has been formed as a limited liability company pursuant to the provisions of the Delaware Act. Except as expressly provided to the contrary in this Agreement, the rights, duties (including fiduciary duties), liabilities and obligations of the Members and the administration, dissolution and termination of the Company shall be governed by the Delaware Act.</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48" w:right="279" w:bottom="1440" w:gutter="0" w:footer="0" w:header="0"/>
        </w:sectPr>
      </w:pPr>
    </w:p>
    <w:bookmarkStart w:id="70" w:name="page71"/>
    <w:bookmarkEnd w:id="70"/>
    <w:p>
      <w:pPr>
        <w:jc w:val="both"/>
        <w:ind w:firstLine="648"/>
        <w:spacing w:after="0" w:line="303"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b w:val="1"/>
          <w:bCs w:val="1"/>
          <w:u w:val="single" w:color="auto"/>
          <w:color w:val="auto"/>
        </w:rPr>
        <w:t>Name</w:t>
      </w:r>
      <w:r>
        <w:rPr>
          <w:rFonts w:ascii="Arial" w:cs="Arial" w:eastAsia="Arial" w:hAnsi="Arial"/>
          <w:sz w:val="16"/>
          <w:szCs w:val="16"/>
          <w:color w:val="auto"/>
        </w:rPr>
        <w:t>. The name of the Company shall be “New Fortress Energy LLC.” The Company’s business may be conducted under any other name or names, as determined by the Board of Directors. The words “Limited Liability Company,” “LLC,” or similar words or letters shall be included in the Company’s name where necessary for the purpose of complying with the laws of any jurisdiction that so requires. The Board of Directors may change the name of the Company at any time and from time to time and shall notify the Members of such change in the next regular communication to the Members.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b w:val="1"/>
          <w:bCs w:val="1"/>
          <w:u w:val="single" w:color="auto"/>
          <w:color w:val="auto"/>
        </w:rPr>
        <w:t>Registered Office; Registered Agent; Principal Office; Other Offices</w:t>
      </w:r>
      <w:r>
        <w:rPr>
          <w:rFonts w:ascii="Arial" w:cs="Arial" w:eastAsia="Arial" w:hAnsi="Arial"/>
          <w:sz w:val="17"/>
          <w:szCs w:val="17"/>
          <w:color w:val="auto"/>
        </w:rPr>
        <w:t>. Unless and until changed by the Board of Directors, the registered office of the Company in the State of Delaware shall be located at Corporation Trust Center, 1209 Orange Street, Wilmington, Delaware 19801, and the registered agent for service of process on the Company in the State of Delaware at such registered office shall be The Corporation Trust Company. The principal office of the Company shall be located at 111 W.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10011 or such other place as the Board of Directors may from time to time designate by notice to the Members. The Company may maintain offices at such other place or places within or outside the State of Delaware as the Board of Directors determines to be necessary or appropriate.</w:t>
      </w:r>
    </w:p>
    <w:p>
      <w:pPr>
        <w:spacing w:after="0" w:line="2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b w:val="1"/>
          <w:bCs w:val="1"/>
          <w:u w:val="single" w:color="auto"/>
          <w:color w:val="auto"/>
        </w:rPr>
        <w:t>Purposes</w:t>
      </w:r>
      <w:r>
        <w:rPr>
          <w:rFonts w:ascii="Arial" w:cs="Arial" w:eastAsia="Arial" w:hAnsi="Arial"/>
          <w:sz w:val="16"/>
          <w:szCs w:val="16"/>
          <w:color w:val="auto"/>
        </w:rPr>
        <w:t>. The purposes of the Company shall be to (a) promote, conduct or engage in, directly or indirectly, any business, purpose or activity that lawfully may be conducted by a limited liability company organized pursuant to the Delaware Act, (b) acquire, hold and dispose of interests in any corporation, partnership, joint venture, limited liability company or other entity, and, in connection therewith, to exercise all of the rights and powers conferred upon the Company with respect to its interests therein, and (c) conduct any and all activities related or incidental to the foregoing purposes.</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Powers</w:t>
      </w:r>
      <w:r>
        <w:rPr>
          <w:rFonts w:ascii="Arial" w:cs="Arial" w:eastAsia="Arial" w:hAnsi="Arial"/>
          <w:sz w:val="18"/>
          <w:szCs w:val="18"/>
          <w:color w:val="auto"/>
        </w:rPr>
        <w:t xml:space="preserve">. The Company shall be empowered to do any and all acts and things necessary and appropriate for the furtherance and accomplishment of the purposes described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16" w:lineRule="exact"/>
        <w:rPr>
          <w:sz w:val="20"/>
          <w:szCs w:val="20"/>
          <w:color w:val="auto"/>
        </w:rPr>
      </w:pPr>
    </w:p>
    <w:p>
      <w:pPr>
        <w:ind w:right="80" w:firstLine="675"/>
        <w:spacing w:after="0" w:line="347"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xml:space="preserve">. The Company’s term shall be perpetual, unless and until it is dissolved in accordance with the provisions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The existence of the Company as a separate legal entity shall continue until the cancellation of the Certificate of Formation as provided in the Delaware Act.</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u w:val="single" w:color="auto"/>
          <w:color w:val="auto"/>
        </w:rPr>
        <w:t>Title to Company Assets</w:t>
      </w:r>
      <w:r>
        <w:rPr>
          <w:rFonts w:ascii="Arial" w:cs="Arial" w:eastAsia="Arial" w:hAnsi="Arial"/>
          <w:sz w:val="18"/>
          <w:szCs w:val="18"/>
          <w:color w:val="auto"/>
        </w:rPr>
        <w:t>. Title to Company assets, whether real, personal or mixed and whether tangible or intangible, shall be deemed to be owned by the Company as an entity, and no Member, Director or Officer, individually or collectively, shall have any ownership interest in such Company assets or any portion thereof. Title to any or all of the Company assets may be held in the name of the Company or one or more nominees, as the Board of Directors may determine. All Company assets shall be recorded as the property of the Company in its books and records, irrespective of the name in which record title to such Company assets is held.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 AND SHARES</w:t>
      </w:r>
    </w:p>
    <w:p>
      <w:pPr>
        <w:spacing w:after="0" w:line="26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b w:val="1"/>
          <w:bCs w:val="1"/>
          <w:u w:val="single" w:color="auto"/>
          <w:color w:val="auto"/>
        </w:rPr>
        <w:t>Members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86" w:lineRule="auto"/>
        <w:tabs>
          <w:tab w:leader="none" w:pos="21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 Person shall be admitted as a Member and shall become bound by the terms of this Agreement if such Person purchases or otherwise lawfully acquires any Share and becomes the Record Holder of such Share in accordance with the provisions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A Person may become a Record Holder without the consent or approval of any of the Members. A Person may not become a Member without acquiring a Share.</w:t>
      </w:r>
    </w:p>
    <w:p>
      <w:pPr>
        <w:spacing w:after="0" w:line="219" w:lineRule="exact"/>
        <w:rPr>
          <w:rFonts w:ascii="Arial" w:cs="Arial" w:eastAsia="Arial" w:hAnsi="Arial"/>
          <w:sz w:val="17"/>
          <w:szCs w:val="17"/>
          <w:color w:val="auto"/>
        </w:rPr>
      </w:pPr>
    </w:p>
    <w:p>
      <w:pPr>
        <w:jc w:val="both"/>
        <w:ind w:firstLine="1305"/>
        <w:spacing w:after="0" w:line="286" w:lineRule="auto"/>
        <w:tabs>
          <w:tab w:leader="none" w:pos="208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name and mailing address of each Record Holder shall be listed on the books and records of the Company maintained for such purpose by the Company or the Transfer Agent. The Secretary of the Company shall update the books and records of the Company from time to time as necessary to reflect accurately the information therein (or shall cause the Transfer Agent to do so, as applicable).</w:t>
      </w:r>
    </w:p>
    <w:p>
      <w:pPr>
        <w:spacing w:after="0" w:line="219" w:lineRule="exact"/>
        <w:rPr>
          <w:rFonts w:ascii="Arial" w:cs="Arial" w:eastAsia="Arial" w:hAnsi="Arial"/>
          <w:sz w:val="17"/>
          <w:szCs w:val="17"/>
          <w:color w:val="auto"/>
        </w:rPr>
      </w:pPr>
    </w:p>
    <w:p>
      <w:pPr>
        <w:jc w:val="both"/>
        <w:ind w:firstLine="1305"/>
        <w:spacing w:after="0" w:line="264" w:lineRule="auto"/>
        <w:tabs>
          <w:tab w:leader="none" w:pos="21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otherwise provided in the Delaware Act, the debts, obligations and liabilities of the Company, whether arising in contract, tort or otherwise, shall be solely the debts, obligations and liabilities of the Company, and the Members shall not be obligated personally for any such debt, obligation or liability of the Company solely by reason of being a Member of the Company.</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0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Articles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Members may not be expelled from or removed as Members of the Company. Members shall not have any right to withdraw from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when a transferee of a Member’s Shares becomes a Record Holder of such Shares, such transferring Member shall cease to be a member of the Company with respect to the Shares so transferred.</w:t>
      </w:r>
    </w:p>
    <w:p>
      <w:pPr>
        <w:spacing w:after="0" w:line="235" w:lineRule="exact"/>
        <w:rPr>
          <w:rFonts w:ascii="Arial" w:cs="Arial" w:eastAsia="Arial" w:hAnsi="Arial"/>
          <w:sz w:val="18"/>
          <w:szCs w:val="18"/>
          <w:color w:val="auto"/>
        </w:rPr>
      </w:pPr>
    </w:p>
    <w:p>
      <w:pPr>
        <w:jc w:val="both"/>
        <w:ind w:firstLine="1305"/>
        <w:spacing w:after="0" w:line="273" w:lineRule="auto"/>
        <w:tabs>
          <w:tab w:leader="none" w:pos="205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Except to the extent expressly provided in this Agreement (including any Share Designation): (i) no Member shall be entitled to the withdrawal or return of its Capital Contribution, except to the extent, if any, that distributions made pursuant to this Agreement or upon dissolution of the Company may be considered as such by law and then only to the extent provided for in this Agreement; (ii) no Member shall have priority over any other Member either as to the return of Capital Contributions or as to profits, losses or distributions; (iii) no interest shall be paid by the Company on Capital Contributions; and (iv) no Member, in its capacity as such, shall participate in the operation or management of the Company’s business, transact any business in the Company’s name or have the power to sign documents for or otherwise bind the Company by reason of being a Member.</w:t>
      </w:r>
    </w:p>
    <w:p>
      <w:pPr>
        <w:spacing w:after="0" w:line="232" w:lineRule="exact"/>
        <w:rPr>
          <w:rFonts w:ascii="Arial" w:cs="Arial" w:eastAsia="Arial" w:hAnsi="Arial"/>
          <w:sz w:val="17"/>
          <w:szCs w:val="17"/>
          <w:color w:val="auto"/>
        </w:rPr>
      </w:pPr>
    </w:p>
    <w:p>
      <w:pPr>
        <w:jc w:val="both"/>
        <w:ind w:firstLine="1305"/>
        <w:spacing w:after="0" w:line="302" w:lineRule="auto"/>
        <w:tabs>
          <w:tab w:leader="none" w:pos="2044"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Member shall be entitled to and may have business interests and engage in business activities in addition to those relating to the Company, including business interests and activities in direct competition with the Company Group and none of the same shall constitute a breach of this Agreement or any duty (including fiduciary duties) otherwise existing at law, in equity or otherwise to any Company Group Member or Member. Neither the Company nor any of the other Members shall have any rights by virtue of this Agreement in any such business interests or activities of any Member.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2" w:name="page73"/>
    <w:bookmarkEnd w:id="72"/>
    <w:p>
      <w:pPr>
        <w:ind w:left="660"/>
        <w:spacing w:after="0"/>
        <w:tabs>
          <w:tab w:leader="none" w:pos="19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b w:val="1"/>
          <w:bCs w:val="1"/>
          <w:u w:val="single" w:color="auto"/>
          <w:color w:val="auto"/>
        </w:rPr>
        <w:t>Authorization to Issue Shares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73" w:lineRule="auto"/>
        <w:tabs>
          <w:tab w:leader="none" w:pos="1982"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Company may issue Shares, and options, rights, warrants and appreciation rights relating to Shares, for any Company purpose at any time and from time to time to such Persons for such consideration (which may be cash, property, services or any other lawful consideration) or for no consideration and on such terms and conditions as the Board of Directors or its delegees shall determine, all without the approval of any Members, notwithstanding any provision of </w:t>
      </w:r>
      <w:r>
        <w:rPr>
          <w:rFonts w:ascii="Arial" w:cs="Arial" w:eastAsia="Arial" w:hAnsi="Arial"/>
          <w:sz w:val="17"/>
          <w:szCs w:val="17"/>
          <w:u w:val="single" w:color="auto"/>
          <w:color w:val="auto"/>
        </w:rPr>
        <w:t>Sections 7.1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7.2</w:t>
      </w:r>
      <w:r>
        <w:rPr>
          <w:rFonts w:ascii="Arial" w:cs="Arial" w:eastAsia="Arial" w:hAnsi="Arial"/>
          <w:sz w:val="17"/>
          <w:szCs w:val="17"/>
          <w:color w:val="auto"/>
        </w:rPr>
        <w:t>. Each Share shall have the rights and be governed by the provisions set forth in this Agreement (including any Share Designation). Except to the extent expressly provided in this Agreement (including any Share Designation), no Shares shall entitle any Member to any preemptive, preferential, or similar rights with respect to the issuance of Shares.</w:t>
      </w:r>
    </w:p>
    <w:p>
      <w:pPr>
        <w:spacing w:after="0" w:line="232" w:lineRule="exact"/>
        <w:rPr>
          <w:rFonts w:ascii="Arial" w:cs="Arial" w:eastAsia="Arial" w:hAnsi="Arial"/>
          <w:sz w:val="17"/>
          <w:szCs w:val="17"/>
          <w:color w:val="auto"/>
        </w:rPr>
      </w:pPr>
    </w:p>
    <w:p>
      <w:pPr>
        <w:jc w:val="both"/>
        <w:ind w:firstLine="1305"/>
        <w:spacing w:after="0" w:line="255" w:lineRule="auto"/>
        <w:tabs>
          <w:tab w:leader="none" w:pos="20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the date of this Agreement, two classes of Shares have been designated: Class A Shares and Class B Shares. As of the date of this Agreement, the Initial Member holds an aggregate of 147,058,824 Class B Shares. The Class A Shares and the Class B Shares shall entitle the Record Holders thereof to one vote per Share on any and all matters submitted for the consent or approval of Members generally. The Company and New Fortress Holdings entered into the Shareholders Agreement, which sets forth certain agreements among them, including with respect to the selection of nominees for the Board of Directors, limitations on the transfer of the Class B Shares, and the registration of the Class A Shares issuable upon the redemption of the Class B Shares under the Securities Act.</w:t>
      </w:r>
    </w:p>
    <w:p>
      <w:pPr>
        <w:spacing w:after="0" w:line="247" w:lineRule="exact"/>
        <w:rPr>
          <w:rFonts w:ascii="Arial" w:cs="Arial" w:eastAsia="Arial" w:hAnsi="Arial"/>
          <w:sz w:val="18"/>
          <w:szCs w:val="18"/>
          <w:color w:val="auto"/>
        </w:rPr>
      </w:pPr>
    </w:p>
    <w:p>
      <w:pPr>
        <w:jc w:val="both"/>
        <w:ind w:firstLine="1305"/>
        <w:spacing w:after="0" w:line="285" w:lineRule="auto"/>
        <w:tabs>
          <w:tab w:leader="none" w:pos="20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In addition to the Class A Shares and the Class B Shares Outstanding on the date hereof, and without the consent or approval of any Members, additional Shares may be issued by the Company in one or more classes, with such designations, preferences, rights, powers and duties (which may be junior to, equivalent to, or senior or superior to, any existing classes of Shares), as shall be fixed by the Board of Directors and reflected in a written action or actions approved by the Board of Directors in compliance with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Share Designation</w:t>
      </w:r>
      <w:r>
        <w:rPr>
          <w:rFonts w:ascii="Arial" w:cs="Arial" w:eastAsia="Arial" w:hAnsi="Arial"/>
          <w:sz w:val="16"/>
          <w:szCs w:val="16"/>
          <w:color w:val="auto"/>
        </w:rPr>
        <w:t>”), including (i) the right to share Company profits and losses or items thereof; (ii) the right to share in Company distributions, the dates distributions will be payable and whether distributions with respect to such series or class will be cumulative or non-cumulative; (iii) rights upon dissolution and liquidation of the Company; (iv) whether, and the terms and conditions upon which, the Company may redeem the Shares; (v) whether such Shares are issued with the privilege of conversion or exchange and, if so, the conversion or exchange price or prices or rate or rates, or any adjustments thereto, the date or dates on which, or the period or periods during which, the shares will be convertible or exchangeable and all other terms and conditions upon which the conversion or exchange may be made; (vi) the terms and conditions upon which such Shares will be issued, evidenced by certificates and assigned or transferred; (vii) the method for determining the Percentage Interest, if any, applicable to such Shares; (viii) the terms and amounts of any sinking fund provided for the purchase or redemption of Shares of the class or series; (ix) whether there will be restrictions on the issuance of Shares of the same class or series or any other class or series; and (x) the right, if any, of the holder of each such Share to vote on Company matters, including matters relating to the relative rights, preferences and privileges of such Shares. A Share Designation (or any resolution of the Board of Directors amending any Share Designation) shall be effective when a duly executed original of the same is delivered to the Secretary of the Company for inclusion among the permanent records of the Company, and shall be annexed to, and constitute part of, this Agreement. Unless otherwise provided in the applicable Share Designation, the Board of Directors may at any time increase or decrease the amount of Preferred Shares of any class or series, but not below the number of Preferred Shares of such class or series then Outstanding.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3" w:name="page74"/>
    <w:bookmarkEnd w:id="73"/>
    <w:p>
      <w:pPr>
        <w:jc w:val="both"/>
        <w:ind w:firstLine="1305"/>
        <w:spacing w:after="0" w:line="279" w:lineRule="auto"/>
        <w:tabs>
          <w:tab w:leader="none" w:pos="2114"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Company is authorized to issue an unlimited number of Shares in one or more classes, or one or more series of any such classes, with such designations, preferences, rights, powers and duties (which may be senior to existing classes and series of Shares), as shall be fixed by the Board of Directors. All Shares issued pursuant to, and in accordance with the requirements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validly issued Shares in the Company, except to the extent otherwise provided in the Delaware Act or this Agreement (including any Share Designation).</w:t>
      </w:r>
    </w:p>
    <w:p>
      <w:pPr>
        <w:spacing w:after="0" w:line="225" w:lineRule="exact"/>
        <w:rPr>
          <w:rFonts w:ascii="Arial" w:cs="Arial" w:eastAsia="Arial" w:hAnsi="Arial"/>
          <w:sz w:val="17"/>
          <w:szCs w:val="17"/>
          <w:color w:val="auto"/>
        </w:rPr>
      </w:pPr>
    </w:p>
    <w:p>
      <w:pPr>
        <w:jc w:val="both"/>
        <w:ind w:firstLine="1305"/>
        <w:spacing w:after="0" w:line="264" w:lineRule="auto"/>
        <w:tabs>
          <w:tab w:leader="none" w:pos="20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Board of Directors may, without the consent or approval of any Members, amend this Agreement and make any filings under the Delaware Act or otherwise to the extent the Board of Directors determines that it is necessary or desirable in order to effectuate any issuance of Shares pursuant to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including, without limitation, an amendment of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3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b w:val="1"/>
          <w:bCs w:val="1"/>
          <w:u w:val="single" w:color="auto"/>
          <w:color w:val="auto"/>
        </w:rPr>
        <w:t>Certificates and Transfer</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86" w:lineRule="auto"/>
        <w:tabs>
          <w:tab w:leader="none" w:pos="200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unless the Board of Directors shall determine otherwise in respect of some or all of any or all classes of Shares, Shares shall not be evidenced by certificates. Certificates that are issued shall be executed on behalf of the Company by the Chairman of the Board, President, Chief Executive Officer or any Executive Vice President or Vice President and the Chief Financial Officer or the Secretary or any Assistant Secretary of the Company. No Certificate for a class of Shares shall be valid for any purpose until it has been countersigned by the Transfer Agent for such class of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Board of Directors elects to cause the Company to issue Shares of such class in global form, the Certificate shall be valid upon receipt of a certificate from the Transfer Agent certifying that the Shares have been duly registered in accordance with the directions of the Company. The shares of the Company shall be entered in the books of the Company as they are issued and shall exhibit the holder’s name and number of shares. The shares of the Company shall be transferred on the books of the Company, which may be maintained by a third-party registrar or the Transfer Agent, by the holder thereof in person or by his attorney, upon surrender for cancellation of certificates for at least the same number of shares, with an assignment and power of transfer endorsed thereon or attached thereto, duly executed, with such proof of the authenticity of the signature as the Company or its agents may reasonably require or upon receipt of proper transfer instructions from the registered holder of uncertificated shares and upon compliance with appropriate procedures for transferring shares in uncertificated form, at which time the Company shall issue a new certificate to the person entitled thereto (if the Shares are then represented by certificates), cancel the old certificate and record the transaction upon its books.</w:t>
      </w:r>
    </w:p>
    <w:p>
      <w:pPr>
        <w:spacing w:after="0" w:line="228" w:lineRule="exact"/>
        <w:rPr>
          <w:rFonts w:ascii="Arial" w:cs="Arial" w:eastAsia="Arial" w:hAnsi="Arial"/>
          <w:sz w:val="16"/>
          <w:szCs w:val="16"/>
          <w:color w:val="auto"/>
        </w:rPr>
      </w:pPr>
    </w:p>
    <w:p>
      <w:pPr>
        <w:jc w:val="both"/>
        <w:ind w:firstLine="1305"/>
        <w:spacing w:after="0" w:line="273" w:lineRule="auto"/>
        <w:tabs>
          <w:tab w:leader="none" w:pos="19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By acceptance of the transfer of any Share, each transferee of a Share (including any nominee holder or an agent or representative acquiring such Shares for the account of another Person) (i) shall be admitted to the Company as a Member with respect to the Shares so transferred to such transferee when any such transfer or admission is reflected in the books and records of the Company, (ii) shall be deemed to agree to be bound by the terms of this Agreement, (iii) shall become the Record Holder of the Shares so transferred, (iv) grants powers of attorney to the Officers of the Company and any Liquidator of the Company, as specified herein, and (v) makes the consents and waivers contained in this Agreement. The transfer of any Shares and the admission of any new Member shall not constitute an amendment to this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4" w:name="page75"/>
    <w:bookmarkEnd w:id="74"/>
    <w:p>
      <w:pPr>
        <w:jc w:val="both"/>
        <w:ind w:firstLine="1359"/>
        <w:spacing w:after="0" w:line="259" w:lineRule="auto"/>
        <w:tabs>
          <w:tab w:leader="none" w:pos="19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certificated share shall be signed, countersigned and registered in the manner required by law. In case any officer, the Transfer Agent or registrar who has signed or whose facsimile signature has been placed upon a certificate has ceased to be such officer, transfer agent or registrar before such certificate is issued, it may be issued by the Company with the same effect as if he were such officer, transfer agent or registrar at the date of issue.</w:t>
      </w:r>
    </w:p>
    <w:p>
      <w:pPr>
        <w:spacing w:after="0" w:line="240" w:lineRule="exact"/>
        <w:rPr>
          <w:rFonts w:ascii="Arial" w:cs="Arial" w:eastAsia="Arial" w:hAnsi="Arial"/>
          <w:sz w:val="18"/>
          <w:szCs w:val="18"/>
          <w:color w:val="auto"/>
        </w:rPr>
      </w:pPr>
    </w:p>
    <w:p>
      <w:pPr>
        <w:jc w:val="both"/>
        <w:ind w:firstLine="1305"/>
        <w:spacing w:after="0" w:line="268" w:lineRule="auto"/>
        <w:tabs>
          <w:tab w:leader="none" w:pos="2047"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any mutilated Certificate is surrendered to the Transfer Agent, the appropriate Officers on behalf of the Company shall execute, and the Transfer Agent shall countersign and deliver in exchange therefor, a new Certificate evidencing the same number and class or series of Shares as the Certificate so surrendered. The appropriate Officers on behalf of the Company shall execute, and the Transfer Agent shall countersign and deliver, a new Certificate in place of any Certificate previously issued if the Record Holder of the Certificate: (i) makes proof by affidavit, in form and substance satisfactory to the Company, that a previously issued Certificate has been lost, destroyed or stolen; (ii) requests the issuance of a new Certificate before the Company has notice that the Certificate has been acquired by a purchaser for value in good faith and without notice of an adverse claim; (iii) if requested by the Company, delivers to the Company a bond, in form and substance satisfactory to the Company, with surety or sureties and with fixed or open penalty as the Company may direct to indemnify the Company and the Transfer Agent against any claim that may be made on account of the alleged loss, destruction or theft of the Certificate; and (iv) satisfies any other reasonable requirements imposed by the Company. If a Member fails to notify the Company within a reasonable time after he has notice of the loss, destruction or theft of a Certificate, and a transfer of the Shares represented by the Certificate is registered before the Company or the Transfer Agent receives such notification, the Member shall be precluded from making any claim against the Company or the Transfer Agent for such transfer or for a new Certificate. As a condition to the issuance of any new Certificate under this Section, the Company may require the payment of a sum sufficient to cover any tax or other governmental charge that may be imposed in relation thereto and any other expenses (including the fees and expenses of the Transfer Agent) reasonably connected therewith.</w:t>
      </w:r>
    </w:p>
    <w:p>
      <w:pPr>
        <w:spacing w:after="0" w:line="239" w:lineRule="exact"/>
        <w:rPr>
          <w:rFonts w:ascii="Arial" w:cs="Arial" w:eastAsia="Arial" w:hAnsi="Arial"/>
          <w:sz w:val="17"/>
          <w:szCs w:val="17"/>
          <w:color w:val="auto"/>
        </w:rPr>
      </w:pPr>
    </w:p>
    <w:p>
      <w:pPr>
        <w:jc w:val="both"/>
        <w:ind w:firstLine="1305"/>
        <w:spacing w:after="0" w:line="264" w:lineRule="auto"/>
        <w:tabs>
          <w:tab w:leader="none" w:pos="19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Board shall have the power and authority to make all such rules and regulations concerning the issue, transfer and registration or the replacement of certificates for Shares of the Company. The Company may enter into additional agreements with Shareholders to restrict the transfer of Shares of the Corporation in any manner not prohibited by the Delaware Act.</w:t>
      </w:r>
    </w:p>
    <w:p>
      <w:pPr>
        <w:spacing w:after="0" w:line="235" w:lineRule="exact"/>
        <w:rPr>
          <w:rFonts w:ascii="Arial" w:cs="Arial" w:eastAsia="Arial" w:hAnsi="Arial"/>
          <w:sz w:val="18"/>
          <w:szCs w:val="18"/>
          <w:color w:val="auto"/>
        </w:rPr>
      </w:pPr>
    </w:p>
    <w:p>
      <w:pPr>
        <w:ind w:firstLine="1305"/>
        <w:spacing w:after="0" w:line="277" w:lineRule="auto"/>
        <w:tabs>
          <w:tab w:leader="none" w:pos="20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contained in this Agreement shall preclude the settlement of any transactions involving Shares entered into through the facilities of any National Securities Exchange on which such Shares are listed for trading.</w:t>
      </w:r>
    </w:p>
    <w:p>
      <w:pPr>
        <w:spacing w:after="0" w:line="224" w:lineRule="exact"/>
        <w:rPr>
          <w:rFonts w:ascii="Arial" w:cs="Arial" w:eastAsia="Arial" w:hAnsi="Arial"/>
          <w:sz w:val="18"/>
          <w:szCs w:val="18"/>
          <w:color w:val="auto"/>
        </w:rPr>
      </w:pPr>
    </w:p>
    <w:p>
      <w:pPr>
        <w:ind w:firstLine="1305"/>
        <w:spacing w:after="0" w:line="277" w:lineRule="auto"/>
        <w:tabs>
          <w:tab w:leader="none" w:pos="21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the foregoing, no Class B Shares may be transferred unless a corresponding number of units in New Fortress Intermediate are transferred therewith in accordance with the LLC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5" w:name="page76"/>
    <w:bookmarkEnd w:id="75"/>
    <w:p>
      <w:pPr>
        <w:ind w:right="20" w:firstLine="1305"/>
        <w:spacing w:after="0" w:line="277" w:lineRule="auto"/>
        <w:tabs>
          <w:tab w:leader="none" w:pos="21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the foregoing, the Initial Member may transfer its Shares in its sole discretion, free of any duty (including any duty as a Director of the Company) to the Company or the other Members.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b w:val="1"/>
          <w:bCs w:val="1"/>
          <w:u w:val="single" w:color="auto"/>
          <w:color w:val="auto"/>
        </w:rPr>
        <w:t>Record Holders</w:t>
      </w:r>
      <w:r>
        <w:rPr>
          <w:rFonts w:ascii="Arial" w:cs="Arial" w:eastAsia="Arial" w:hAnsi="Arial"/>
          <w:sz w:val="18"/>
          <w:szCs w:val="18"/>
          <w:color w:val="auto"/>
        </w:rPr>
        <w:t>. The Company shall be entitled to recognize the Record Holder as the owner of a Share and, accordingly, shall not be bound to recognize any equitable or other claim to or interest in such Share on the part of any other Person, regardless of whether the Company shall have actual or other notice thereof, except as otherwise provided by law or any applicable rule, regulation, guideline or requirement of any National Securities Exchange on which such Shares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Shares, as between the Company on the one hand, and such other Persons on the other, such representative Person shall be the Record Holder of such Shares.</w:t>
      </w:r>
    </w:p>
    <w:p>
      <w:pPr>
        <w:spacing w:after="0" w:line="24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b w:val="1"/>
          <w:bCs w:val="1"/>
          <w:u w:val="single" w:color="auto"/>
          <w:color w:val="auto"/>
        </w:rPr>
        <w:t>Splits and Combinations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59" w:lineRule="auto"/>
        <w:tabs>
          <w:tab w:leader="none" w:pos="20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Company may make a pro rata distribution of Shares of any class or series to all Record Holders of such class or series of Shares, or may effect a subdivision or combination of Shares of any class or series so long as, after any such event and subject to the effect of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below, each Member shall have the same Percentage Interest in the Company as before such event, and any amounts calculated on a per Share basis or stated as a number of Shares are proportionately adjusted.</w:t>
      </w:r>
    </w:p>
    <w:p>
      <w:pPr>
        <w:spacing w:after="0" w:line="240" w:lineRule="exact"/>
        <w:rPr>
          <w:rFonts w:ascii="Arial" w:cs="Arial" w:eastAsia="Arial" w:hAnsi="Arial"/>
          <w:sz w:val="18"/>
          <w:szCs w:val="18"/>
          <w:color w:val="auto"/>
        </w:rPr>
      </w:pPr>
    </w:p>
    <w:p>
      <w:pPr>
        <w:jc w:val="both"/>
        <w:ind w:firstLine="1305"/>
        <w:spacing w:after="0" w:line="264" w:lineRule="auto"/>
        <w:tabs>
          <w:tab w:leader="none" w:pos="20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Whenever such a distribution, subdivision or combination of Shares is declared, the Board of Directors shall select a Record Date as of which the distribution, subdivision or combination shall be effective and shall send notice thereof at least 20 days prior to such Record Date to each Record Holder as of a date not more than 10 days prior to the date of such notice.</w:t>
      </w:r>
    </w:p>
    <w:p>
      <w:pPr>
        <w:spacing w:after="0" w:line="235" w:lineRule="exact"/>
        <w:rPr>
          <w:rFonts w:ascii="Arial" w:cs="Arial" w:eastAsia="Arial" w:hAnsi="Arial"/>
          <w:sz w:val="18"/>
          <w:szCs w:val="18"/>
          <w:color w:val="auto"/>
        </w:rPr>
      </w:pPr>
    </w:p>
    <w:p>
      <w:pPr>
        <w:jc w:val="both"/>
        <w:ind w:firstLine="1305"/>
        <w:spacing w:after="0" w:line="257" w:lineRule="auto"/>
        <w:tabs>
          <w:tab w:leader="none" w:pos="20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Promptly following any such distribution, subdivision or combination, the Company may issue Certificates to the Record Holders of Shares as of the applicable Record Date representing the new number of Shares held by such Record Holders, or the Board of Directors may adopt such other procedures that it determines to be necessary or appropriate to reflect such changes. If any such combination results in a smaller total number of Shares Outstanding, the Company shall require, as a condition to the delivery to a Record Holder of such new Certificate, the surrender of any Certificate held by such Record Holder immediately prior to such Record Date.</w:t>
      </w:r>
    </w:p>
    <w:p>
      <w:pPr>
        <w:spacing w:after="0" w:line="242" w:lineRule="exact"/>
        <w:rPr>
          <w:rFonts w:ascii="Arial" w:cs="Arial" w:eastAsia="Arial" w:hAnsi="Arial"/>
          <w:sz w:val="18"/>
          <w:szCs w:val="18"/>
          <w:color w:val="auto"/>
        </w:rPr>
      </w:pPr>
    </w:p>
    <w:p>
      <w:pPr>
        <w:jc w:val="both"/>
        <w:ind w:firstLine="1305"/>
        <w:spacing w:after="0" w:line="264" w:lineRule="auto"/>
        <w:tabs>
          <w:tab w:leader="none" w:pos="21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not issue fractional Shares upon any distribution, subdivision or combination of Shares. If a distribution, subdivision or combination of Shares would otherwise result in the issuance of fractional Shares, each fractional Share shall be rounded to the nearest whole Share (and a 0.5 Share shall be rounded to the next higher Share).</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b w:val="1"/>
          <w:bCs w:val="1"/>
          <w:u w:val="single" w:color="auto"/>
          <w:color w:val="auto"/>
        </w:rPr>
        <w:t>Class B Shares</w:t>
      </w:r>
      <w:r>
        <w:rPr>
          <w:rFonts w:ascii="Arial" w:cs="Arial" w:eastAsia="Arial" w:hAnsi="Arial"/>
          <w:sz w:val="16"/>
          <w:szCs w:val="16"/>
          <w:color w:val="auto"/>
        </w:rPr>
        <w:t>. Class B Shares shall be exchangeable for Class A Shares on the terms and subject to the conditions set forth in the Amended and Restated Limited Liability Agreement of New Fortress Intermediate, as it may be amended, restated, supplemented and otherwise modified from time to time (the “</w:t>
      </w:r>
      <w:r>
        <w:rPr>
          <w:rFonts w:ascii="Arial" w:cs="Arial" w:eastAsia="Arial" w:hAnsi="Arial"/>
          <w:sz w:val="16"/>
          <w:szCs w:val="16"/>
          <w:b w:val="1"/>
          <w:bCs w:val="1"/>
          <w:u w:val="single" w:color="auto"/>
          <w:color w:val="auto"/>
        </w:rPr>
        <w:t>LLC Agreement</w:t>
      </w:r>
      <w:r>
        <w:rPr>
          <w:rFonts w:ascii="Arial" w:cs="Arial" w:eastAsia="Arial" w:hAnsi="Arial"/>
          <w:sz w:val="16"/>
          <w:szCs w:val="16"/>
          <w:color w:val="auto"/>
          <w:highlight w:val="white"/>
        </w:rPr>
        <w:t>”). The Company will at all times reserve and keep available out of its authorized but unissued Class A Shares,</w:t>
      </w:r>
      <w:r>
        <w:rPr>
          <w:rFonts w:ascii="Arial" w:cs="Arial" w:eastAsia="Arial" w:hAnsi="Arial"/>
          <w:sz w:val="16"/>
          <w:szCs w:val="16"/>
          <w:color w:val="auto"/>
        </w:rPr>
        <w:t xml:space="preserve"> solely for the purpose of issuance upon redemption of the outstanding Class B Shares for Class A Shares pursuant to the LLC Agreement, such number of Class A Shares that shall be issuable upon any such redemption pursuant to the LLC Agreement; provided that nothing contained herein shall be construed to preclude New Fortress Intermediate or the Company from satisfying its rights or obligations in respect of any such redemption of Class B Shares pursuant to the LLC Agreement by delivering to the holder of Class B Shares upon such redemption, cash in lieu of Class A Shares in the amount permitted by and provided in the LLC Agreement or Class A Shares which are held in the treasury of the Company. All Class A Shares that shall be issued upon any such redemption will, upon issuance in accordance with the LLC Agreement, be validly issued, fully paid and non-assessable.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6" w:name="page77"/>
    <w:bookmarkEnd w:id="76"/>
    <w:p>
      <w:pPr>
        <w:ind w:left="660"/>
        <w:spacing w:after="0"/>
        <w:tabs>
          <w:tab w:leader="none" w:pos="198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b w:val="1"/>
          <w:bCs w:val="1"/>
          <w:u w:val="single" w:color="auto"/>
          <w:color w:val="auto"/>
        </w:rPr>
        <w:t>Rights of Members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86" w:lineRule="auto"/>
        <w:tabs>
          <w:tab w:leader="none" w:pos="2077"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Member shall have the right, for a purpose that is reasonably related, as determined by the Board of Directors, to such Member’s interest as a Member in the Company, upon reasonable written demand stating the purpose of such demand and at such Member’s own expense, to obtain the following documents (which shall be deemed satisfied by virtue of the Company publicly filing such documents via EDGAR):</w:t>
      </w:r>
    </w:p>
    <w:p>
      <w:pPr>
        <w:spacing w:after="0" w:line="219" w:lineRule="exact"/>
        <w:rPr>
          <w:rFonts w:ascii="Arial" w:cs="Arial" w:eastAsia="Arial" w:hAnsi="Arial"/>
          <w:sz w:val="17"/>
          <w:szCs w:val="17"/>
          <w:color w:val="auto"/>
        </w:rPr>
      </w:pPr>
    </w:p>
    <w:p>
      <w:pPr>
        <w:ind w:firstLine="1953"/>
        <w:spacing w:after="0" w:line="277" w:lineRule="auto"/>
        <w:tabs>
          <w:tab w:leader="none" w:pos="272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Company’s most recent annual report and any subsequent quarterly or periodic reports required to be filed with the Commission pursuant to Section 13 of the Securities Exchange Act;</w:t>
      </w:r>
    </w:p>
    <w:p>
      <w:pPr>
        <w:spacing w:after="0" w:line="224" w:lineRule="exact"/>
        <w:rPr>
          <w:rFonts w:ascii="Arial" w:cs="Arial" w:eastAsia="Arial" w:hAnsi="Arial"/>
          <w:sz w:val="18"/>
          <w:szCs w:val="18"/>
          <w:color w:val="auto"/>
        </w:rPr>
      </w:pPr>
    </w:p>
    <w:p>
      <w:pPr>
        <w:ind w:left="2660" w:hanging="707"/>
        <w:spacing w:after="0"/>
        <w:tabs>
          <w:tab w:leader="none" w:pos="2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copy of other publicly available documents that the Company has filed with the Commission; and</w:t>
      </w:r>
    </w:p>
    <w:p>
      <w:pPr>
        <w:spacing w:after="0" w:line="279" w:lineRule="exact"/>
        <w:rPr>
          <w:rFonts w:ascii="Arial" w:cs="Arial" w:eastAsia="Arial" w:hAnsi="Arial"/>
          <w:sz w:val="18"/>
          <w:szCs w:val="18"/>
          <w:color w:val="auto"/>
        </w:rPr>
      </w:pPr>
    </w:p>
    <w:p>
      <w:pPr>
        <w:ind w:firstLine="1953"/>
        <w:spacing w:after="0" w:line="342" w:lineRule="auto"/>
        <w:tabs>
          <w:tab w:leader="none" w:pos="2809" w:val="left"/>
        </w:tabs>
        <w:numPr>
          <w:ilvl w:val="1"/>
          <w:numId w:val="71"/>
        </w:numPr>
        <w:rPr>
          <w:rFonts w:ascii="Arial" w:cs="Arial" w:eastAsia="Arial" w:hAnsi="Arial"/>
          <w:sz w:val="16"/>
          <w:szCs w:val="16"/>
          <w:color w:val="auto"/>
        </w:rPr>
      </w:pPr>
      <w:r>
        <w:rPr>
          <w:rFonts w:ascii="Arial" w:cs="Arial" w:eastAsia="Arial" w:hAnsi="Arial"/>
          <w:sz w:val="16"/>
          <w:szCs w:val="16"/>
          <w:color w:val="auto"/>
        </w:rPr>
        <w:t>a copy of this Agreement and the Certificate of Formation and all amendments thereto, together with copies of the executed copies of all powers of attorney pursuant to which this Agreement, the Certificate of Formation and all amendments thereto have been executed.</w:t>
      </w:r>
    </w:p>
    <w:p>
      <w:pPr>
        <w:spacing w:after="0" w:line="177" w:lineRule="exact"/>
        <w:rPr>
          <w:rFonts w:ascii="Arial" w:cs="Arial" w:eastAsia="Arial" w:hAnsi="Arial"/>
          <w:sz w:val="16"/>
          <w:szCs w:val="16"/>
          <w:color w:val="auto"/>
        </w:rPr>
      </w:pPr>
    </w:p>
    <w:p>
      <w:pPr>
        <w:jc w:val="both"/>
        <w:ind w:right="20" w:firstLine="1305"/>
        <w:spacing w:after="0" w:line="259" w:lineRule="auto"/>
        <w:tabs>
          <w:tab w:leader="none" w:pos="20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rights pursuant to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replace in their entirety any rights to information provided for in Section 18-305 of the Delaware Act and each of the Members, each other Person who acquires an interest in a Share and each other Person bound by this Agreement hereby agrees to the fullest extent permitted by law that they do not have any rights as Members to receive any information either pursuant to Section 18-305 of the Delaware Act or otherwise except for the information identified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firstLine="1305"/>
        <w:spacing w:after="0" w:line="257" w:lineRule="auto"/>
        <w:tabs>
          <w:tab w:leader="none" w:pos="20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Company may keep confidential from the Members, for such period of time as the Board of Directors deems reasonable, (i) any information that the Board of Directors reasonably believes to be in the nature of trade secrets or (ii) other information the disclosure of which the Board of Directors believes (A) is not in the best interests of the Company Group, (B) could damage the Company Group or its business or (C) that any Group Member is required by law or by agreement with any third party to keep confidential (other than agreements with Affiliates of the Company the primary purpose of which is to circumvent the obligations set forth in this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6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b w:val="1"/>
          <w:bCs w:val="1"/>
          <w:u w:val="single" w:color="auto"/>
          <w:color w:val="auto"/>
        </w:rPr>
        <w:t>Distributions</w:t>
      </w:r>
      <w:r>
        <w:rPr>
          <w:rFonts w:ascii="Arial" w:cs="Arial" w:eastAsia="Arial" w:hAnsi="Arial"/>
          <w:sz w:val="16"/>
          <w:szCs w:val="16"/>
          <w:color w:val="auto"/>
        </w:rPr>
        <w:t>. Subject to the prior rights and preferences, if any, applicable to Preferred Shares or any series thereof, the holders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of Class A Shares shall be entitled to receive ratably in proportion to the number of Class A Shares held by them such dividends and distributions (payable in cash, stock or otherwise), if any, as may be declared thereon by the Board of Directors at any time and from time to time out of any funds of the Company legally available therefor. Dividends and other distributions shall not be declared or paid on the Class B Shares unless (i) the dividend consists of Class B Shares or of rights, options, warrants or other securities convertible or exercisable into or exchangeable for Class B Shares paid proportionally with respect to each outstanding Class B Share and (ii) a dividend consisting of Class A Shares or of rights, options, warrants or other securities convertible or exercisable into or exchangeable for Class A Shares on equivalent terms is simultaneously paid to the holders of Class A Shares. If dividends are declared on the Class A Shares or the Class B Shares that are payable in Common Shares, or securities convertible into, or exercisable or exchangeable for Common Shares, the dividends payable to the holders of Class A Shares shall be paid only in Class A Shares (or securities convertible into, or exercisable or exchangeable for Class A Shares), the dividends payable to the holders of Class B Shares shall be paid only in Class B Shares (or securities convertible into, or exercisable or exchangeable for Class B Shares), and such dividends shall be paid in the same number of shares (or fraction thereof) on a per share basis of the Class A Shares and Class B Shares, respectively (or securities convertible into, or exercisable or exchangeable for the same number of shares (or fraction thereof) on a per share basis of the Class A Shares and Class B Shares, respectively). In no event shall either Class A Shares or Class B Shares be split, divided, or combined unless the outstanding shares of the other class shall be proportionately split, divided or combined.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Distributions on Liquidation</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in the event of the dissolution and liquidation of the Company, all receipts received during or after the end of any quarter in which the Liquidation Date occurs shall be applied and distributed solely in accordance with, and subject to the terms and conditions of,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b w:val="1"/>
          <w:bCs w:val="1"/>
          <w:u w:val="single" w:color="auto"/>
          <w:color w:val="auto"/>
        </w:rPr>
        <w:t>Record Holders</w:t>
      </w:r>
      <w:r>
        <w:rPr>
          <w:rFonts w:ascii="Arial" w:cs="Arial" w:eastAsia="Arial" w:hAnsi="Arial"/>
          <w:sz w:val="18"/>
          <w:szCs w:val="18"/>
          <w:color w:val="auto"/>
        </w:rPr>
        <w:t>. Each distribution in respect of a Class A Share shall be paid by the Company, directly or through the Transfer Agent or through any other Person or agent, only to the Record Holder of such Class A Share as of the Record Date set for such distribution. Such payment shall constitute full payment and satisfaction of the Company’s liability in respect of such payment, regardless of any claim of any Person who may have an interest in such payment by reason of an assignment or otherwise.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OPERATION OF BUSINESS</w:t>
      </w:r>
    </w:p>
    <w:p>
      <w:pPr>
        <w:spacing w:after="0" w:line="2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b w:val="1"/>
          <w:bCs w:val="1"/>
          <w:u w:val="single" w:color="auto"/>
          <w:color w:val="auto"/>
        </w:rPr>
        <w:t>Power and Authority of Board of Directors</w:t>
      </w:r>
      <w:r>
        <w:rPr>
          <w:rFonts w:ascii="Arial" w:cs="Arial" w:eastAsia="Arial" w:hAnsi="Arial"/>
          <w:sz w:val="17"/>
          <w:szCs w:val="17"/>
          <w:color w:val="auto"/>
        </w:rPr>
        <w:t>. Except as otherwise expressly provided in this Agreement, the business and affairs of the Company shall be managed by or under the direction of a board of directors (the “</w:t>
      </w:r>
      <w:r>
        <w:rPr>
          <w:rFonts w:ascii="Arial" w:cs="Arial" w:eastAsia="Arial" w:hAnsi="Arial"/>
          <w:sz w:val="17"/>
          <w:szCs w:val="17"/>
          <w:b w:val="1"/>
          <w:bCs w:val="1"/>
          <w:u w:val="single" w:color="auto"/>
          <w:color w:val="auto"/>
        </w:rPr>
        <w:t>Board of Directors</w:t>
      </w:r>
      <w:r>
        <w:rPr>
          <w:rFonts w:ascii="Arial" w:cs="Arial" w:eastAsia="Arial" w:hAnsi="Arial"/>
          <w:sz w:val="17"/>
          <w:szCs w:val="17"/>
          <w:color w:val="auto"/>
        </w:rPr>
        <w:t xml:space="preserve">”). As provided in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the Board of Directors shall have the power and authority to appoint Officers of the Company. The Directors shall constitute “managers” within the meaning of the Delaware Act. No Member, by virtue of its status as such, shall have any management power over the business and affairs of the Company or actual or apparent authority to enter into, execute or deliver contracts on behalf of, or to otherwise bind, the Company. Except as otherwise expressly provided in this Agreement and subject to Section 5.26, in addition to the powers that now or hereafter can be granted to managers under the Delaware Act and to all other powers granted under any other provision of this Agreement, the Board of Directors shall have full power and authority to do, and to direct the Officers to do, all things and on such terms as it determines to be necessary or appropriate to conduct the business of the Company, to exercise all powers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to effectuate the purposes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including the following: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both"/>
        <w:ind w:firstLine="1305"/>
        <w:spacing w:after="0" w:line="264" w:lineRule="auto"/>
        <w:tabs>
          <w:tab w:leader="none" w:pos="21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Shares, and the incurring of any other obligations;</w:t>
      </w:r>
    </w:p>
    <w:p>
      <w:pPr>
        <w:spacing w:after="0" w:line="235" w:lineRule="exact"/>
        <w:rPr>
          <w:rFonts w:ascii="Arial" w:cs="Arial" w:eastAsia="Arial" w:hAnsi="Arial"/>
          <w:sz w:val="18"/>
          <w:szCs w:val="18"/>
          <w:color w:val="auto"/>
        </w:rPr>
      </w:pPr>
    </w:p>
    <w:p>
      <w:pPr>
        <w:ind w:firstLine="1305"/>
        <w:spacing w:after="0" w:line="277" w:lineRule="auto"/>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Company;</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19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Company or the merger or other combination of the Company with or into another Person (subject, however, to any prior approval of Members that may be required by this Agreement);</w:t>
      </w:r>
    </w:p>
    <w:p>
      <w:pPr>
        <w:spacing w:after="0" w:line="235" w:lineRule="exact"/>
        <w:rPr>
          <w:rFonts w:ascii="Arial" w:cs="Arial" w:eastAsia="Arial" w:hAnsi="Arial"/>
          <w:sz w:val="18"/>
          <w:szCs w:val="18"/>
          <w:color w:val="auto"/>
        </w:rPr>
      </w:pPr>
    </w:p>
    <w:p>
      <w:pPr>
        <w:jc w:val="both"/>
        <w:ind w:firstLine="1305"/>
        <w:spacing w:after="0" w:line="259" w:lineRule="auto"/>
        <w:tabs>
          <w:tab w:leader="none" w:pos="21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use of the assets of the Company (including cash on hand) for any purpose consistent with the terms of this Agreement, including the financing of the conduct of the operations of the Company and its Subsidiaries; the lending of funds to other Persons (including other Group Members); the repayment of obligations of the Company and its Subsidiaries; and the making of capital contributions to any Member of the Company or any of its Subsidiaries;</w:t>
      </w:r>
    </w:p>
    <w:p>
      <w:pPr>
        <w:spacing w:after="0" w:line="240" w:lineRule="exact"/>
        <w:rPr>
          <w:rFonts w:ascii="Arial" w:cs="Arial" w:eastAsia="Arial" w:hAnsi="Arial"/>
          <w:sz w:val="18"/>
          <w:szCs w:val="18"/>
          <w:color w:val="auto"/>
        </w:rPr>
      </w:pPr>
    </w:p>
    <w:p>
      <w:pPr>
        <w:ind w:firstLine="1305"/>
        <w:spacing w:after="0" w:line="277" w:lineRule="auto"/>
        <w:tabs>
          <w:tab w:leader="none" w:pos="21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conveyances or other instruments (including instruments that limit the liability of the Company under contractual arrangements to all or particular assets of the Company);</w:t>
      </w:r>
    </w:p>
    <w:p>
      <w:pPr>
        <w:spacing w:after="0" w:line="224" w:lineRule="exact"/>
        <w:rPr>
          <w:rFonts w:ascii="Arial" w:cs="Arial" w:eastAsia="Arial" w:hAnsi="Arial"/>
          <w:sz w:val="18"/>
          <w:szCs w:val="18"/>
          <w:color w:val="auto"/>
        </w:rPr>
      </w:pPr>
    </w:p>
    <w:p>
      <w:pPr>
        <w:ind w:left="2020" w:hanging="715"/>
        <w:spacing w:after="0"/>
        <w:tabs>
          <w:tab w:leader="none" w:pos="2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declaration and payment of distributions of cash or other assets to Members;</w:t>
      </w:r>
    </w:p>
    <w:p>
      <w:pPr>
        <w:spacing w:after="0" w:line="279" w:lineRule="exact"/>
        <w:rPr>
          <w:rFonts w:ascii="Arial" w:cs="Arial" w:eastAsia="Arial" w:hAnsi="Arial"/>
          <w:sz w:val="18"/>
          <w:szCs w:val="18"/>
          <w:color w:val="auto"/>
        </w:rPr>
      </w:pPr>
    </w:p>
    <w:p>
      <w:pPr>
        <w:jc w:val="both"/>
        <w:ind w:firstLine="1305"/>
        <w:spacing w:after="0" w:line="264" w:lineRule="auto"/>
        <w:tabs>
          <w:tab w:leader="none" w:pos="2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selection and dismissal of officers, employees, agents, outside attorneys, accountants, consultants and contractors and the determination of their compensation and other terms of employment or hiring, and the creation and operation of employee benefit plans, employee programs and employee practices;</w:t>
      </w:r>
    </w:p>
    <w:p>
      <w:pPr>
        <w:spacing w:after="0" w:line="235" w:lineRule="exact"/>
        <w:rPr>
          <w:rFonts w:ascii="Arial" w:cs="Arial" w:eastAsia="Arial" w:hAnsi="Arial"/>
          <w:sz w:val="18"/>
          <w:szCs w:val="18"/>
          <w:color w:val="auto"/>
        </w:rPr>
      </w:pPr>
    </w:p>
    <w:p>
      <w:pPr>
        <w:ind w:left="2060" w:hanging="755"/>
        <w:spacing w:after="0"/>
        <w:tabs>
          <w:tab w:leader="none" w:pos="2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maintenance of insurance for the benefit of the Company Group and the Indemnified Persons;</w:t>
      </w:r>
    </w:p>
    <w:p>
      <w:pPr>
        <w:spacing w:after="0" w:line="279" w:lineRule="exact"/>
        <w:rPr>
          <w:rFonts w:ascii="Arial" w:cs="Arial" w:eastAsia="Arial" w:hAnsi="Arial"/>
          <w:sz w:val="18"/>
          <w:szCs w:val="18"/>
          <w:color w:val="auto"/>
        </w:rPr>
      </w:pPr>
    </w:p>
    <w:p>
      <w:pPr>
        <w:ind w:firstLine="1305"/>
        <w:spacing w:after="0" w:line="277" w:lineRule="auto"/>
        <w:tabs>
          <w:tab w:leader="none" w:pos="2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formation of, or acquisition or disposition of an interest in, and the contribution of property and the making of loans to, any limited or general partnership, joint venture, corporation, limited liability company or other entity or arrangement;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9" w:name="page80"/>
    <w:bookmarkEnd w:id="79"/>
    <w:p>
      <w:pPr>
        <w:jc w:val="both"/>
        <w:ind w:firstLine="1305"/>
        <w:spacing w:after="0" w:line="264" w:lineRule="auto"/>
        <w:tabs>
          <w:tab w:leader="none" w:pos="20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control of any matters affecting the rights and obligations of the Company, including the bringing and defending of actions at law or in equity and otherwise engaging in the conduct of litigation, arbitration or remediation, and the incurring of legal expense and the settlement of claims and litigation;</w:t>
      </w:r>
    </w:p>
    <w:p>
      <w:pPr>
        <w:spacing w:after="0" w:line="235" w:lineRule="exact"/>
        <w:rPr>
          <w:rFonts w:ascii="Arial" w:cs="Arial" w:eastAsia="Arial" w:hAnsi="Arial"/>
          <w:sz w:val="18"/>
          <w:szCs w:val="18"/>
          <w:color w:val="auto"/>
        </w:rPr>
      </w:pPr>
    </w:p>
    <w:p>
      <w:pPr>
        <w:ind w:left="2060" w:hanging="755"/>
        <w:spacing w:after="0"/>
        <w:tabs>
          <w:tab w:leader="none" w:pos="2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279" w:lineRule="exact"/>
        <w:rPr>
          <w:rFonts w:ascii="Arial" w:cs="Arial" w:eastAsia="Arial" w:hAnsi="Arial"/>
          <w:sz w:val="18"/>
          <w:szCs w:val="18"/>
          <w:color w:val="auto"/>
        </w:rPr>
      </w:pPr>
    </w:p>
    <w:p>
      <w:pPr>
        <w:ind w:firstLine="1305"/>
        <w:spacing w:after="0" w:line="277" w:lineRule="auto"/>
        <w:tabs>
          <w:tab w:leader="none" w:pos="20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entering into of listing agreements with any National Securities Exchange and the delisting of some or all of the Shares from, or requesting that trading be suspended on, any such exchange;</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issuance, sale or other disposition, and the purchase or other acquisition, of Shares or options, rights, warrants or appreciation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relating to Shares;</w:t>
      </w:r>
    </w:p>
    <w:p>
      <w:pPr>
        <w:spacing w:after="0" w:line="264" w:lineRule="exact"/>
        <w:rPr>
          <w:rFonts w:ascii="Arial" w:cs="Arial" w:eastAsia="Arial" w:hAnsi="Arial"/>
          <w:sz w:val="16"/>
          <w:szCs w:val="16"/>
          <w:color w:val="auto"/>
        </w:rPr>
      </w:pPr>
    </w:p>
    <w:p>
      <w:pPr>
        <w:ind w:left="2060" w:hanging="755"/>
        <w:spacing w:after="0"/>
        <w:tabs>
          <w:tab w:leader="none" w:pos="2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undertaking of any action in connection with the Company’s interest or participation in any Group Member;</w:t>
      </w:r>
    </w:p>
    <w:p>
      <w:pPr>
        <w:spacing w:after="0" w:line="279" w:lineRule="exact"/>
        <w:rPr>
          <w:rFonts w:ascii="Arial" w:cs="Arial" w:eastAsia="Arial" w:hAnsi="Arial"/>
          <w:sz w:val="18"/>
          <w:szCs w:val="18"/>
          <w:color w:val="auto"/>
        </w:rPr>
      </w:pPr>
    </w:p>
    <w:p>
      <w:pPr>
        <w:ind w:firstLine="1305"/>
        <w:spacing w:after="0" w:line="342" w:lineRule="auto"/>
        <w:tabs>
          <w:tab w:leader="none" w:pos="2019"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registration of any offer, issuance, sale or resale of Shares or other securities issued or to be issued by the Company under the Securities Act and any other applicable securities laws (including any resale of Shares or other securities by Members or other securityholders); and</w:t>
      </w:r>
    </w:p>
    <w:p>
      <w:pPr>
        <w:spacing w:after="0" w:line="177" w:lineRule="exact"/>
        <w:rPr>
          <w:rFonts w:ascii="Arial" w:cs="Arial" w:eastAsia="Arial" w:hAnsi="Arial"/>
          <w:sz w:val="16"/>
          <w:szCs w:val="16"/>
          <w:color w:val="auto"/>
        </w:rPr>
      </w:pPr>
    </w:p>
    <w:p>
      <w:pPr>
        <w:ind w:left="2060" w:hanging="755"/>
        <w:spacing w:after="0"/>
        <w:tabs>
          <w:tab w:leader="none" w:pos="2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execution and delivery of agreements with Affiliates of the Company to render services to a Group Member.</w:t>
      </w:r>
    </w:p>
    <w:p>
      <w:pPr>
        <w:spacing w:after="0" w:line="2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b w:val="1"/>
          <w:bCs w:val="1"/>
          <w:u w:val="single" w:color="auto"/>
          <w:color w:val="auto"/>
        </w:rPr>
        <w:t>Number, Qualification and Term of Office of Directors</w:t>
      </w:r>
      <w:r>
        <w:rPr>
          <w:rFonts w:ascii="Arial" w:cs="Arial" w:eastAsia="Arial" w:hAnsi="Arial"/>
          <w:sz w:val="16"/>
          <w:szCs w:val="16"/>
          <w:color w:val="auto"/>
        </w:rPr>
        <w:t xml:space="preserve">. The number of Directors which constitutes the whole Board of Directors is eight at the time of the execution of this Agreement and upon completion of the IPO. The number of Directors which shall constitute the whole Board of Directors shall be determined from time to time by resolution adopted by a majority of the Board of Directors then in office,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the completion of the IPO and for so long as New Fortress Holdings shall have the right to designate nominees to the Board of Directors under the Shareholders Agreement, the number of Directors may not be increased without the consent of New Fortress Holdings. The Directors shall be divided into three classes, designated Class I, Class II and Class III. Each class shall consist, as nearly as may be possible, of one-third of the total number of Directors constituting the whole Board of Directors. At the time of the execution of this Agreement, the Class I Directors shall be Katherine E. Wanner and Matthew Wilkinson, the Class II Directors shall be David J. Grain and C. William Griffin, and the Class III Directors shall be Wesley R. Edens, Randal A. Nardone and John J. Mack. At the time of the execution of this Agreement, the Class I Directors shall have a term expiring at the 2020 annual meeting of Members, the Class II Directors shall have a term expiring at the 2021 annual meeting of Members, and the Class III Directors shall have a term expiring at the 2022 annual meeting of Members. Each Director shall hold office until his successor is elected or appointed and qualified, or until his or her earlier death, resignation or removal.</w:t>
      </w:r>
    </w:p>
    <w:p>
      <w:pPr>
        <w:spacing w:after="0" w:line="21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b w:val="1"/>
          <w:bCs w:val="1"/>
          <w:u w:val="single" w:color="auto"/>
          <w:color w:val="auto"/>
        </w:rPr>
        <w:t>Election of Directors</w:t>
      </w:r>
      <w:r>
        <w:rPr>
          <w:rFonts w:ascii="Arial" w:cs="Arial" w:eastAsia="Arial" w:hAnsi="Arial"/>
          <w:sz w:val="16"/>
          <w:szCs w:val="16"/>
          <w:color w:val="auto"/>
        </w:rPr>
        <w:t xml:space="preserve">. At each succeeding annual meeting of Members beginning in 2020, successors to the class of Directors whose term expires at that annual meeting shall be elected for a three (3)-year term and until their successors are duly elected or appointed and qualified.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or from the death, resignation or removal from office of a Director or other cause shall hold office for a term that shall coincide with the remaining term of that class, but in no case will a decrease in the number of Directors shorten the term of any incumbent Director. Directors need not be Members. The Directors shall be elected at the annual meeting of Members, except as provided in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each Director elected shall hold office until the third succeeding meeting next after such Director’s election and until such Director’s successor is duly elected and qualified, or until such Director’s death or until such Director resigns or is removed in the manner hereinafter provided. Directors shall be elected by a plurality of the votes of Outstanding Voting Shares present in person or represented by proxy and entitled to vote on the election of Directors at any annual or special meeting of Members.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0" w:name="page81"/>
    <w:bookmarkEnd w:id="80"/>
    <w:p>
      <w:pPr>
        <w:jc w:val="both"/>
        <w:ind w:firstLine="648"/>
        <w:spacing w:after="0" w:line="266"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Removal</w:t>
      </w:r>
      <w:r>
        <w:rPr>
          <w:rFonts w:ascii="Arial" w:cs="Arial" w:eastAsia="Arial" w:hAnsi="Arial"/>
          <w:sz w:val="18"/>
          <w:szCs w:val="18"/>
          <w:color w:val="auto"/>
        </w:rPr>
        <w:t xml:space="preserve">. Any Director or the whole Board of Directors may be removed, with or without cause, at any time, by the affirmative vote of holders of a Share Majority, given at an annual meeting or at a special meeting of Members called for that purpose. The vacancy in the Board of Directors caused by any such removal shall be filled by the Board of Directors as provided in </w:t>
      </w:r>
      <w:r>
        <w:rPr>
          <w:rFonts w:ascii="Arial" w:cs="Arial" w:eastAsia="Arial" w:hAnsi="Arial"/>
          <w:sz w:val="18"/>
          <w:szCs w:val="18"/>
          <w:u w:val="single" w:color="auto"/>
          <w:color w:val="auto"/>
        </w:rPr>
        <w:t>Section 5.6.</w:t>
      </w:r>
    </w:p>
    <w:p>
      <w:pPr>
        <w:spacing w:after="0" w:line="23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b w:val="1"/>
          <w:bCs w:val="1"/>
          <w:u w:val="single" w:color="auto"/>
          <w:color w:val="auto"/>
        </w:rPr>
        <w:t>Resignations</w:t>
      </w:r>
      <w:r>
        <w:rPr>
          <w:rFonts w:ascii="Arial" w:cs="Arial" w:eastAsia="Arial" w:hAnsi="Arial"/>
          <w:sz w:val="16"/>
          <w:szCs w:val="16"/>
          <w:color w:val="auto"/>
        </w:rPr>
        <w:t xml:space="preserve">. Any Director may resign at any time by giving notice of such Director’s resignation in writing or by electronic transmission to the Chairman or any Co-Chairman of the Board, if there be one, the Chief Executive Officer or the Secretary of the Company. Any such resignation shall take effect at the time specified therein, or if the time when it shall become effective shall not be specified therein, then it shall take effect immediately upon its receipt by the Company. Unless otherwise specified therein, the acceptance of such resignation shall not be necessary to make it effective. The vacancy in the Board of Directors caused by any such resignation shall be filled by the Board of Directors as provided in </w:t>
      </w:r>
      <w:r>
        <w:rPr>
          <w:rFonts w:ascii="Arial" w:cs="Arial" w:eastAsia="Arial" w:hAnsi="Arial"/>
          <w:sz w:val="16"/>
          <w:szCs w:val="16"/>
          <w:u w:val="single" w:color="auto"/>
          <w:color w:val="auto"/>
        </w:rPr>
        <w:t>Section 5.6.</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b w:val="1"/>
          <w:bCs w:val="1"/>
          <w:u w:val="single" w:color="auto"/>
          <w:color w:val="auto"/>
        </w:rPr>
        <w:t>Vacancies</w:t>
      </w:r>
      <w:r>
        <w:rPr>
          <w:rFonts w:ascii="Arial" w:cs="Arial" w:eastAsia="Arial" w:hAnsi="Arial"/>
          <w:sz w:val="16"/>
          <w:szCs w:val="16"/>
          <w:color w:val="auto"/>
        </w:rPr>
        <w:t xml:space="preserve">. Unless otherwise required by law, any vacancy on the Board of Directors that results from newly created Directorships resulting from any increase in the authorized number of Directors may be filled by a majority of the Directors then in office,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quorum is present, and any other vacancies may be filled by a majority of the Directors then in office, though less than a quorum, or by a sole remaining Director. Any Director of any class elected to fill a vacancy resulting from an increase in the number of Directors of such class shall hold office for a term that shall coincide with the remaining term of that class and until such Director’s successor is duly elected or appointed and qualified, or until his or her earlier death, resignation or removal. Any Director elected to fill a vacancy not resulting from an increase in the number of Directors shall have the same remaining term as that of such Director’s predecessor and until such Director’s successor is duly elected or appointed and qualified, or until his or her earlier death, resignation or removal. If there are no Directors in office, then an election of Directors may be held in the manner provided by the Delaware Act.</w:t>
      </w:r>
    </w:p>
    <w:p>
      <w:pPr>
        <w:spacing w:after="0" w:line="214" w:lineRule="exact"/>
        <w:rPr>
          <w:sz w:val="20"/>
          <w:szCs w:val="20"/>
          <w:color w:val="auto"/>
        </w:rPr>
      </w:pPr>
    </w:p>
    <w:p>
      <w:pPr>
        <w:jc w:val="both"/>
        <w:ind w:firstLine="668"/>
        <w:spacing w:after="0" w:line="26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u w:val="single" w:color="auto"/>
          <w:color w:val="auto"/>
        </w:rPr>
        <w:t>Nomination of Directors</w:t>
      </w:r>
      <w:r>
        <w:rPr>
          <w:rFonts w:ascii="Arial" w:cs="Arial" w:eastAsia="Arial" w:hAnsi="Arial"/>
          <w:sz w:val="18"/>
          <w:szCs w:val="18"/>
          <w:color w:val="auto"/>
        </w:rPr>
        <w:t xml:space="preserve">. Only persons who are nominated in accordance with the procedures set forth in </w:t>
      </w:r>
      <w:r>
        <w:rPr>
          <w:rFonts w:ascii="Arial" w:cs="Arial" w:eastAsia="Arial" w:hAnsi="Arial"/>
          <w:sz w:val="18"/>
          <w:szCs w:val="18"/>
          <w:u w:val="single" w:color="auto"/>
          <w:color w:val="auto"/>
        </w:rPr>
        <w:t>Section 11.11(b)</w:t>
      </w:r>
      <w:r>
        <w:rPr>
          <w:rFonts w:ascii="Arial" w:cs="Arial" w:eastAsia="Arial" w:hAnsi="Arial"/>
          <w:sz w:val="18"/>
          <w:szCs w:val="18"/>
          <w:color w:val="auto"/>
        </w:rPr>
        <w:t xml:space="preserve"> shall be eligible for election as Directors of the Company, except as may be otherwise provided in any Share Designation with respect to the right of Members of any class of Shares to nominate and elect a specified number of Directors in certain circumstances.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1" w:name="page82"/>
    <w:bookmarkEnd w:id="81"/>
    <w:p>
      <w:pPr>
        <w:jc w:val="both"/>
        <w:ind w:firstLine="648"/>
        <w:spacing w:after="0" w:line="255"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u w:val="single" w:color="auto"/>
          <w:color w:val="auto"/>
        </w:rPr>
        <w:t>Chairman of Meetings</w:t>
      </w:r>
      <w:r>
        <w:rPr>
          <w:rFonts w:ascii="Arial" w:cs="Arial" w:eastAsia="Arial" w:hAnsi="Arial"/>
          <w:sz w:val="18"/>
          <w:szCs w:val="18"/>
          <w:color w:val="auto"/>
        </w:rPr>
        <w:t>. The Board of Directors may elect one of its members as Chairman of the Board (the “</w:t>
      </w:r>
      <w:r>
        <w:rPr>
          <w:rFonts w:ascii="Arial" w:cs="Arial" w:eastAsia="Arial" w:hAnsi="Arial"/>
          <w:sz w:val="18"/>
          <w:szCs w:val="18"/>
          <w:b w:val="1"/>
          <w:bCs w:val="1"/>
          <w:u w:val="single" w:color="auto"/>
          <w:color w:val="auto"/>
        </w:rPr>
        <w:t>Chairman of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or two or more of its members as Co-Chairmen of the Board (each, a “</w:t>
      </w:r>
      <w:r>
        <w:rPr>
          <w:rFonts w:ascii="Arial" w:cs="Arial" w:eastAsia="Arial" w:hAnsi="Arial"/>
          <w:sz w:val="18"/>
          <w:szCs w:val="18"/>
          <w:u w:val="single" w:color="auto"/>
          <w:color w:val="auto"/>
        </w:rPr>
        <w:t>Co-Chairman of the Board</w:t>
      </w:r>
      <w:r>
        <w:rPr>
          <w:rFonts w:ascii="Arial" w:cs="Arial" w:eastAsia="Arial" w:hAnsi="Arial"/>
          <w:sz w:val="18"/>
          <w:szCs w:val="18"/>
          <w:color w:val="auto"/>
        </w:rPr>
        <w:t>”). At each meeting of the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or any Co-Chairman of the Board or, in the absence of a Chairman or Co-Chairman of the Board, a Director chosen by a majority of the Directors present, shall act as chairman of the meeting. The Secretary of the Company shall act as secretary at each meeting of the Board of Directors. In case the Secretary shall be absent from any meeting of the Board of Directors, an Assistant Secretary shall perform the duties of secretary at such meeting; and in the absence from any such meeting of the Secretary and all the Assistant Secretaries, the chairman of the meeting may appoint any person to act as secretary of the meeting.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ind w:left="660"/>
              <w:spacing w:after="0"/>
              <w:rPr>
                <w:sz w:val="20"/>
                <w:szCs w:val="20"/>
                <w:color w:val="auto"/>
              </w:rPr>
            </w:pPr>
            <w:r>
              <w:rPr>
                <w:rFonts w:ascii="Arial" w:cs="Arial" w:eastAsia="Arial" w:hAnsi="Arial"/>
                <w:sz w:val="18"/>
                <w:szCs w:val="18"/>
                <w:color w:val="auto"/>
              </w:rPr>
              <w:t>Section 5.9</w:t>
            </w:r>
          </w:p>
        </w:tc>
        <w:tc>
          <w:tcPr>
            <w:tcW w:w="9240" w:type="dxa"/>
            <w:vAlign w:val="bottom"/>
            <w:gridSpan w:val="2"/>
          </w:tcPr>
          <w:p>
            <w:pPr>
              <w:spacing w:after="0"/>
              <w:rPr>
                <w:sz w:val="20"/>
                <w:szCs w:val="20"/>
                <w:color w:val="auto"/>
              </w:rPr>
            </w:pPr>
            <w:r>
              <w:rPr>
                <w:rFonts w:ascii="Arial" w:cs="Arial" w:eastAsia="Arial" w:hAnsi="Arial"/>
                <w:sz w:val="18"/>
                <w:szCs w:val="18"/>
                <w:b w:val="1"/>
                <w:bCs w:val="1"/>
                <w:color w:val="auto"/>
                <w:w w:val="93"/>
              </w:rPr>
              <w:t>Place of Meetings</w:t>
            </w:r>
            <w:r>
              <w:rPr>
                <w:rFonts w:ascii="Arial" w:cs="Arial" w:eastAsia="Arial" w:hAnsi="Arial"/>
                <w:sz w:val="18"/>
                <w:szCs w:val="18"/>
                <w:color w:val="auto"/>
                <w:w w:val="93"/>
              </w:rPr>
              <w:t>. The Board of Directors may hold meetings, both regular and special, either within or without the State of</w:t>
            </w: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Delaware.</w:t>
            </w:r>
          </w:p>
        </w:tc>
        <w:tc>
          <w:tcPr>
            <w:tcW w:w="1360" w:type="dxa"/>
            <w:vAlign w:val="bottom"/>
            <w:tcBorders>
              <w:top w:val="single" w:sz="8" w:color="auto"/>
            </w:tcBorders>
          </w:tcPr>
          <w:p>
            <w:pPr>
              <w:spacing w:after="0"/>
              <w:rPr>
                <w:sz w:val="20"/>
                <w:szCs w:val="20"/>
                <w:color w:val="auto"/>
              </w:rPr>
            </w:pPr>
          </w:p>
        </w:tc>
        <w:tc>
          <w:tcPr>
            <w:tcW w:w="7880" w:type="dxa"/>
            <w:vAlign w:val="bottom"/>
          </w:tcPr>
          <w:p>
            <w:pPr>
              <w:spacing w:after="0"/>
              <w:rPr>
                <w:sz w:val="20"/>
                <w:szCs w:val="20"/>
                <w:color w:val="auto"/>
              </w:rPr>
            </w:pPr>
          </w:p>
        </w:tc>
      </w:tr>
    </w:tbl>
    <w:p>
      <w:pPr>
        <w:spacing w:after="0" w:line="252" w:lineRule="exact"/>
        <w:rPr>
          <w:sz w:val="20"/>
          <w:szCs w:val="20"/>
          <w:color w:val="auto"/>
        </w:rPr>
      </w:pPr>
    </w:p>
    <w:p>
      <w:pPr>
        <w:jc w:val="both"/>
        <w:ind w:firstLine="690"/>
        <w:spacing w:after="0" w:line="261"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 The Board of Directors may, by resolution, provide the time and place (if any) for the holding of regular meetings without any other notice than such resolution. Unless otherwise determined by the Board of Directors, the Secretary of the Company shall act as Secretary at all regular meetings of the Board of Directors and in the Secretary’s absence a temporary Secretary shall be appointed by the chairman of the meeting.</w:t>
      </w:r>
    </w:p>
    <w:p>
      <w:pPr>
        <w:spacing w:after="0" w:line="23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b w:val="1"/>
          <w:bCs w:val="1"/>
          <w:u w:val="single" w:color="auto"/>
          <w:color w:val="auto"/>
        </w:rPr>
        <w:t>Special Meetings; Notice</w:t>
      </w:r>
      <w:r>
        <w:rPr>
          <w:rFonts w:ascii="Arial" w:cs="Arial" w:eastAsia="Arial" w:hAnsi="Arial"/>
          <w:sz w:val="17"/>
          <w:szCs w:val="17"/>
          <w:color w:val="auto"/>
        </w:rPr>
        <w:t>. Special meetings of the Board of Directors may be called by the Chairman or any Co-Chairman of the Board, the Chief Executive Officer, or, upon a resolution adopted by the Board of Directors, by the Secretary on twenty-four (24) hours’ notice to each Director, either personally or by telephone or by mail, telegraph, telex, cable, wireless or other form of recorded or electronic communication, or on such shorter notice as the person or persons calling such meeting may deem necessary or appropriate in the circumstances.</w:t>
      </w:r>
    </w:p>
    <w:p>
      <w:pPr>
        <w:spacing w:after="0" w:line="2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b w:val="1"/>
          <w:bCs w:val="1"/>
          <w:u w:val="single" w:color="auto"/>
          <w:color w:val="auto"/>
        </w:rPr>
        <w:t>Action Without Meeting</w:t>
      </w:r>
      <w:r>
        <w:rPr>
          <w:rFonts w:ascii="Arial" w:cs="Arial" w:eastAsia="Arial" w:hAnsi="Arial"/>
          <w:sz w:val="18"/>
          <w:szCs w:val="18"/>
          <w:color w:val="auto"/>
        </w:rPr>
        <w:t>. Any action required or permitted to be taken at any meeting by the Board of Directors or any committee thereof, as the case may be, may be taken without a meeting if a consent thereto is signed or transmitted electronically, as the case may be, by all members of the Board or of such committee, as the case may be, and the writing or writings or electronic transmission or transmissions are filed with the minutes of proceedings of the Board of Directors or such committee. Such filing shall be in paper form if the minutes are maintained in paper form and shall be in electronic form if the minutes are maintained in electronic form.</w:t>
      </w:r>
    </w:p>
    <w:p>
      <w:pPr>
        <w:spacing w:after="0" w:line="2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b w:val="1"/>
          <w:bCs w:val="1"/>
          <w:u w:val="single" w:color="auto"/>
          <w:color w:val="auto"/>
        </w:rPr>
        <w:t>Conference Telephone Meetings</w:t>
      </w:r>
      <w:r>
        <w:rPr>
          <w:rFonts w:ascii="Arial" w:cs="Arial" w:eastAsia="Arial" w:hAnsi="Arial"/>
          <w:sz w:val="17"/>
          <w:szCs w:val="17"/>
          <w:color w:val="auto"/>
        </w:rPr>
        <w:t>.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At all meetings of the Board of Directors, a majority of the then total number of Directors in office shall constitute a quorum for the transaction of business. At all meetings of any committee of the Board of Directors, the presence of a majority of the total number of members of such committee (assuming no vacancies) shall constitute a quorum. The act of a majority of the Directors or committee members present at any meeting at which there is a quorum shall be the act of the Board of Directors or such committee, as the case may be. If a quorum shall not be present at any meeting of the Board of Directors or any committee, a majority of the Directors or members, as the case may be, present thereat may adjourn the meeting from time to time without further notice other than announcement at the meeting.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2" w:name="page83"/>
    <w:bookmarkEnd w:id="82"/>
    <w:p>
      <w:pPr>
        <w:jc w:val="both"/>
        <w:ind w:firstLine="648"/>
        <w:spacing w:after="0" w:line="287"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b w:val="1"/>
          <w:bCs w:val="1"/>
          <w:u w:val="single" w:color="auto"/>
          <w:color w:val="auto"/>
        </w:rPr>
        <w:t>Committees</w:t>
      </w:r>
      <w:r>
        <w:rPr>
          <w:rFonts w:ascii="Arial" w:cs="Arial" w:eastAsia="Arial" w:hAnsi="Arial"/>
          <w:sz w:val="16"/>
          <w:szCs w:val="16"/>
          <w:color w:val="auto"/>
        </w:rPr>
        <w:t>. The Board of Directors may, by resolution or resolutions passed by a majority of the then total number of members of the Board of Directors, designate one (1) or more other committees consisting of one (1) or more Directors of the Company, which, to the extent provided in such resolution or resolutions, shall have and may exercise, subject to the provisions of this Agreement, the powers and authority of the Board of Directors granted hereunder; but no such committee shall have the power to fill vacancies in the Board of Directors or any committee or in their respective membership, to approve or adopt, or recommend to the Members, any action or matter, other than the election or removal of Directors, expressly required by this Agreement to be submitted to Members for their approval, or to authorize the issuance of Shares, except that such a committee may, to the extent provided in such resolutions, (a) grant and authorize options and other rights with respect to the Shares pursuant to and in accordance with any plan or authorizing resolutions approved by the Board of Directors and (b) function as the pricing committee with respect to any offering of Shares authorized by the Board of Directors. Such committee or committees shall have such name or names as may be determined from time to time by resolution adopted by the Board of Directors. A majority of all the members of any such committee may determine its action and fix the time and place, if any, of its meetings and specify what notice thereof, if any, shall be given, unless the Board of Directors shall otherwise provide. The Board of Directors shall have power to change the members of any such committee at any time to fill vacancies, and to discharge any such committee, either with or without cause, at any time. The Secretary of the Company shall act as Secretary of any committee, unless otherwise provided by the Board of Directors or the Committee.</w:t>
      </w:r>
    </w:p>
    <w:p>
      <w:pPr>
        <w:spacing w:after="0" w:line="21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b w:val="1"/>
          <w:bCs w:val="1"/>
          <w:u w:val="single" w:color="auto"/>
          <w:color w:val="auto"/>
        </w:rPr>
        <w:t>Alternate Members of Committees</w:t>
      </w:r>
      <w:r>
        <w:rPr>
          <w:rFonts w:ascii="Arial" w:cs="Arial" w:eastAsia="Arial" w:hAnsi="Arial"/>
          <w:sz w:val="17"/>
          <w:szCs w:val="17"/>
          <w:color w:val="auto"/>
        </w:rPr>
        <w:t>. The Board of Directors may designate one (1) or more Directors as alternate members of any committee, who may replace any absent or disqualified member at any meeting of the committee, or if none be so appointed the member or members thereof present at any meeting and not disqualified from voting, whether or not such member or members or they constitute a quorum, may unanimously appoint another member of the Board of Directors to act at the meeting in the place of any such absent or disqualified member.</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b w:val="1"/>
          <w:bCs w:val="1"/>
          <w:u w:val="single" w:color="auto"/>
          <w:color w:val="auto"/>
        </w:rPr>
        <w:t>Minutes of Committees</w:t>
      </w:r>
      <w:r>
        <w:rPr>
          <w:rFonts w:ascii="Arial" w:cs="Arial" w:eastAsia="Arial" w:hAnsi="Arial"/>
          <w:sz w:val="18"/>
          <w:szCs w:val="18"/>
          <w:color w:val="auto"/>
        </w:rPr>
        <w:t>. Each committee shall keep regular minutes of its meetings and proceedings and report the same to the Board of Directors at the next meeting thereof.</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b w:val="1"/>
          <w:bCs w:val="1"/>
          <w:u w:val="single" w:color="auto"/>
          <w:color w:val="auto"/>
        </w:rPr>
        <w:t>Remuneration</w:t>
      </w:r>
      <w:r>
        <w:rPr>
          <w:rFonts w:ascii="Arial" w:cs="Arial" w:eastAsia="Arial" w:hAnsi="Arial"/>
          <w:sz w:val="18"/>
          <w:szCs w:val="18"/>
          <w:color w:val="auto"/>
        </w:rPr>
        <w:t xml:space="preserve">. Each Director shall receive remuneration for such Director’s services as determined by the Board of Directors at any time and from time to time by resolution. The Board of Directors may also likewise provide that the Company shall reimburse each Director for any expenses paid by such Director on account of such Director’s attendance at any meeting. Nothing in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shall be construed to preclude any Director from serving the Company in any other capacity and receiving remuneration therefor.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3" w:name="page84"/>
    <w:bookmarkEnd w:id="83"/>
    <w:p>
      <w:pPr>
        <w:ind w:left="640"/>
        <w:spacing w:after="0"/>
        <w:tabs>
          <w:tab w:leader="none" w:pos="2000" w:val="left"/>
        </w:tabs>
        <w:rPr>
          <w:sz w:val="20"/>
          <w:szCs w:val="20"/>
          <w:color w:val="auto"/>
        </w:rPr>
      </w:pPr>
      <w:r>
        <w:rPr>
          <w:rFonts w:ascii="Arial" w:cs="Arial" w:eastAsia="Arial" w:hAnsi="Arial"/>
          <w:sz w:val="18"/>
          <w:szCs w:val="18"/>
          <w:color w:val="auto"/>
        </w:rPr>
        <w:t>Section 5.19</w:t>
      </w:r>
      <w:r>
        <w:rPr>
          <w:sz w:val="20"/>
          <w:szCs w:val="20"/>
          <w:color w:val="auto"/>
        </w:rPr>
        <w:tab/>
      </w:r>
      <w:r>
        <w:rPr>
          <w:rFonts w:ascii="Arial" w:cs="Arial" w:eastAsia="Arial" w:hAnsi="Arial"/>
          <w:sz w:val="16"/>
          <w:szCs w:val="16"/>
          <w:b w:val="1"/>
          <w:bCs w:val="1"/>
          <w:u w:val="single" w:color="auto"/>
          <w:color w:val="auto"/>
        </w:rPr>
        <w:t>Exculpation, Indemnification, Advances and Insurance</w:t>
      </w:r>
      <w:r>
        <w:rPr>
          <w:rFonts w:ascii="Arial" w:cs="Arial" w:eastAsia="Arial" w:hAnsi="Arial"/>
          <w:sz w:val="16"/>
          <w:szCs w:val="16"/>
          <w:color w:val="auto"/>
        </w:rPr>
        <w:t>.</w:t>
      </w:r>
    </w:p>
    <w:p>
      <w:pPr>
        <w:spacing w:after="0" w:line="283" w:lineRule="exact"/>
        <w:rPr>
          <w:sz w:val="20"/>
          <w:szCs w:val="20"/>
          <w:color w:val="auto"/>
        </w:rPr>
      </w:pPr>
    </w:p>
    <w:p>
      <w:pPr>
        <w:jc w:val="both"/>
        <w:ind w:left="-20" w:firstLine="1305"/>
        <w:spacing w:after="0" w:line="285" w:lineRule="auto"/>
        <w:tabs>
          <w:tab w:leader="none" w:pos="2003"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Subject to other applicable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to the fullest extent permitted by applicable law, the Indemnified Persons shall not be liable to the Company, any Subsidiary of the Company, any Director, any Member or any holder of any equity interest in any Subsidiary of the Company by virtue of being an Indemnified Person or for any acts or omissions in their capacity as an Indemnified Person or otherwise in connection with the Company, this Agreement or the business and affairs of the Company and its Subsidiaries. The Indemnified Persons shall be indemnified by the Company, to the fullest extent permitted by law, against all expenses and liabilities (including judgments, fines, penalties, interest, amounts paid in settlement with the approval of the Company and counsel fees and disbursements on a solicitor and client basis) arising by virtue of being an Indemnified Person or for any acts or omissions in their capacity as an Indemnified Person or otherwise in connection with the Company, this Agreement or the business and affairs of the Company and its Subsidiaries, or any investment made or held by the Company or any of its Subsidiaries, including in connection with any civil, criminal, administrative, investigative or other action, suit or proceeding to which any such Person may hereafter be made party by reason of being or having been a manager of the Company under the Delaware Act, a Director or Officer of the Company or any Subsidiary of the Company, or an officer, director, member, partner, fiduciary or trustee of another Person or any employee benefit plan at the request of the Company. Without limitation, the foregoing indemnity shall extend to any liability of any Indemnified Person, pursuant to a loan guaranty or otherwise, for any indebtedness of the Company or any Subsidiary of the Company (including any indebtedness which the Company or any Subsidiary of the Company has assumed or taken subject to), and the Officers are hereby authorized and empowered, on behalf of the Company, to enter into one or more indemnity agreements consistent with the provisions of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in favor of any Indemnified Person having or potentially having liability for any such indebtedness. It is the intention of this </w:t>
      </w:r>
      <w:r>
        <w:rPr>
          <w:rFonts w:ascii="Arial" w:cs="Arial" w:eastAsia="Arial" w:hAnsi="Arial"/>
          <w:sz w:val="16"/>
          <w:szCs w:val="16"/>
          <w:u w:val="single" w:color="auto"/>
          <w:color w:val="auto"/>
        </w:rPr>
        <w:t>Section 5.19(a)</w:t>
      </w:r>
      <w:r>
        <w:rPr>
          <w:rFonts w:ascii="Arial" w:cs="Arial" w:eastAsia="Arial" w:hAnsi="Arial"/>
          <w:sz w:val="16"/>
          <w:szCs w:val="16"/>
          <w:color w:val="auto"/>
        </w:rPr>
        <w:t xml:space="preserve"> that the Company indemnify each Indemnified Person to the fullest extent permitted by law.</w:t>
      </w:r>
    </w:p>
    <w:p>
      <w:pPr>
        <w:spacing w:after="0" w:line="231" w:lineRule="exact"/>
        <w:rPr>
          <w:rFonts w:ascii="Arial" w:cs="Arial" w:eastAsia="Arial" w:hAnsi="Arial"/>
          <w:sz w:val="16"/>
          <w:szCs w:val="16"/>
          <w:color w:val="auto"/>
        </w:rPr>
      </w:pPr>
    </w:p>
    <w:p>
      <w:pPr>
        <w:jc w:val="both"/>
        <w:ind w:left="-20" w:firstLine="1305"/>
        <w:spacing w:after="0" w:line="264" w:lineRule="auto"/>
        <w:tabs>
          <w:tab w:leader="none" w:pos="20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to the extent they restrict the duties and liabilities of an Indemnified Person otherwise existing at law or in equity, including </w:t>
      </w:r>
      <w:r>
        <w:rPr>
          <w:rFonts w:ascii="Arial" w:cs="Arial" w:eastAsia="Arial" w:hAnsi="Arial"/>
          <w:sz w:val="18"/>
          <w:szCs w:val="18"/>
          <w:u w:val="single" w:color="auto"/>
          <w:color w:val="auto"/>
        </w:rPr>
        <w:t>Section 5.23</w:t>
      </w:r>
      <w:r>
        <w:rPr>
          <w:rFonts w:ascii="Arial" w:cs="Arial" w:eastAsia="Arial" w:hAnsi="Arial"/>
          <w:sz w:val="18"/>
          <w:szCs w:val="18"/>
          <w:color w:val="auto"/>
        </w:rPr>
        <w:t>, are agreed by each Member to modify such duties and liabilities of the Indemnified Person to the extent permitted by law.</w:t>
      </w:r>
    </w:p>
    <w:p>
      <w:pPr>
        <w:spacing w:after="0" w:line="235" w:lineRule="exact"/>
        <w:rPr>
          <w:rFonts w:ascii="Arial" w:cs="Arial" w:eastAsia="Arial" w:hAnsi="Arial"/>
          <w:sz w:val="18"/>
          <w:szCs w:val="18"/>
          <w:color w:val="auto"/>
        </w:rPr>
      </w:pPr>
    </w:p>
    <w:p>
      <w:pPr>
        <w:jc w:val="both"/>
        <w:ind w:left="-20" w:firstLine="1305"/>
        <w:spacing w:after="0" w:line="255" w:lineRule="auto"/>
        <w:tabs>
          <w:tab w:leader="none" w:pos="19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Any Indemnified Person may apply to the Court of Chancery of the State of Delaware or any other court of competent jurisdiction in the State of Delaware for indemnification to the extent otherwise permissible under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The basis of such indemnification by a court shall be a determination by such court that indemnification of the Indemnified Person is proper in the circumstances because such Indemnified Person has met the applicable standards of conduct set forth in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Notice of any application for indemnification pursuant to this </w:t>
      </w:r>
      <w:r>
        <w:rPr>
          <w:rFonts w:ascii="Arial" w:cs="Arial" w:eastAsia="Arial" w:hAnsi="Arial"/>
          <w:sz w:val="18"/>
          <w:szCs w:val="18"/>
          <w:u w:val="single" w:color="auto"/>
          <w:color w:val="auto"/>
        </w:rPr>
        <w:t>Section 5.19(c)</w:t>
      </w:r>
      <w:r>
        <w:rPr>
          <w:rFonts w:ascii="Arial" w:cs="Arial" w:eastAsia="Arial" w:hAnsi="Arial"/>
          <w:sz w:val="18"/>
          <w:szCs w:val="18"/>
          <w:color w:val="auto"/>
        </w:rPr>
        <w:t xml:space="preserve"> shall be given to the Company promptly upon the filing of such application. If successful, in whole or in part, the Indemnified Person seeking indemnification shall also be entitled to be paid the expense of prosecuting such application.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1" w:right="239" w:bottom="1440" w:gutter="0" w:footer="0" w:header="0"/>
        </w:sectPr>
      </w:pPr>
    </w:p>
    <w:bookmarkStart w:id="84" w:name="page85"/>
    <w:bookmarkEnd w:id="84"/>
    <w:p>
      <w:pPr>
        <w:jc w:val="both"/>
        <w:ind w:firstLine="1305"/>
        <w:spacing w:after="0" w:line="279" w:lineRule="auto"/>
        <w:tabs>
          <w:tab w:leader="none" w:pos="2114"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expenses (including attorneys’ fees) incurred by an Indemnified Person in defending any civil, criminal, administrative or investigative action, suit or proceeding shall be paid by the Company in advance of the final disposition of such action, suit or proceeding upon receipt of an undertaking by or on behalf of such Indemnified Person to repay such amount if it shall ultimately be determined that such Indemnified Person is not entitled to be indemnified by the Company as authorized in this </w:t>
      </w:r>
      <w:r>
        <w:rPr>
          <w:rFonts w:ascii="Arial" w:cs="Arial" w:eastAsia="Arial" w:hAnsi="Arial"/>
          <w:sz w:val="17"/>
          <w:szCs w:val="17"/>
          <w:u w:val="single" w:color="auto"/>
          <w:color w:val="auto"/>
        </w:rPr>
        <w:t>Section 5.19</w:t>
      </w:r>
      <w:r>
        <w:rPr>
          <w:rFonts w:ascii="Arial" w:cs="Arial" w:eastAsia="Arial" w:hAnsi="Arial"/>
          <w:sz w:val="17"/>
          <w:szCs w:val="17"/>
          <w:color w:val="auto"/>
        </w:rPr>
        <w:t>.</w:t>
      </w:r>
    </w:p>
    <w:p>
      <w:pPr>
        <w:spacing w:after="0" w:line="225" w:lineRule="exact"/>
        <w:rPr>
          <w:rFonts w:ascii="Arial" w:cs="Arial" w:eastAsia="Arial" w:hAnsi="Arial"/>
          <w:sz w:val="17"/>
          <w:szCs w:val="17"/>
          <w:color w:val="auto"/>
        </w:rPr>
      </w:pPr>
    </w:p>
    <w:p>
      <w:pPr>
        <w:jc w:val="both"/>
        <w:ind w:firstLine="1305"/>
        <w:spacing w:after="0" w:line="254" w:lineRule="auto"/>
        <w:tabs>
          <w:tab w:leader="none" w:pos="21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indemnification and advancement of expenses provided by or granted pursuant to this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shall not be deemed exclusive of any other rights to which those seeking indemnification or advancement of expenses may be entitled under this Agreement, or any other agreement, vote of Members or disinterested Directors or otherwise, and shall continue as to an Indemnified Person who has ceased to serve in such capacity and shall inure to the benefit of the heirs, successors, assigns and administrators of the Indemnified Person unless otherwise provided in a written agreement with such Indemnified Person or in the writing pursuant to which such Indemnified Person is indemnified, it being the policy of the Company that indemnification of the persons specified in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shall be made to the fullest extent permitted by law. The provisions of this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shall not be deemed to preclude the indemnification of any person who is not specified in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but whom the Company has the power or obligation to indemnify under the provisions of the Delaware Act.</w:t>
      </w:r>
    </w:p>
    <w:p>
      <w:pPr>
        <w:spacing w:after="0" w:line="246" w:lineRule="exact"/>
        <w:rPr>
          <w:rFonts w:ascii="Arial" w:cs="Arial" w:eastAsia="Arial" w:hAnsi="Arial"/>
          <w:sz w:val="18"/>
          <w:szCs w:val="18"/>
          <w:color w:val="auto"/>
        </w:rPr>
      </w:pPr>
    </w:p>
    <w:p>
      <w:pPr>
        <w:jc w:val="both"/>
        <w:ind w:firstLine="1305"/>
        <w:spacing w:after="0" w:line="259" w:lineRule="auto"/>
        <w:tabs>
          <w:tab w:leader="none" w:pos="234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Company may, but shall not be obligated to, purchase and maintain insurance on behalf of any Person entitled to indemnification under this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against any liability asserted against such Person and incurred by such Person in any capacity to which they are entitled to indemnification hereunder, or arising out of such Person’s status as such, whether or not the Company would have the power or the obligation to indemnify such Person against such liability under the provisions of this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right="20" w:firstLine="1305"/>
        <w:spacing w:after="0" w:line="264" w:lineRule="auto"/>
        <w:tabs>
          <w:tab w:leader="none" w:pos="21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indemnification and advancement of expenses provided by, or granted pursuant to, this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shall, unless otherwise provided when authorized or ratified, inure to the benefit of the heirs, executors and administrators of any person entitled to indemnification under this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Company may, to the extent authorized from time to time by the Board of Directors, provide rights to indemnification and to the advancement of expenses to employees and agents of the Company and to the employees and agents of the Company Group similar to those conferred in this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to Indemnified Persons.</w:t>
      </w:r>
    </w:p>
    <w:p>
      <w:pPr>
        <w:spacing w:after="0" w:line="235" w:lineRule="exact"/>
        <w:rPr>
          <w:rFonts w:ascii="Arial" w:cs="Arial" w:eastAsia="Arial" w:hAnsi="Arial"/>
          <w:sz w:val="18"/>
          <w:szCs w:val="18"/>
          <w:color w:val="auto"/>
        </w:rPr>
      </w:pPr>
    </w:p>
    <w:p>
      <w:pPr>
        <w:jc w:val="both"/>
        <w:ind w:firstLine="1305"/>
        <w:spacing w:after="0" w:line="302" w:lineRule="auto"/>
        <w:tabs>
          <w:tab w:leader="none" w:pos="2074"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If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or any portion of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shall be invalidated on any ground by a court of competent jurisdiction the Company shall nevertheless indemnify each Indemnified Person as to expenses (including attorneys’ fees), judgments, fines, and amounts paid in settlement with respect to any action, suit, proceeding or investigation, whether civil, criminal or administrative, including a grand jury proceeding or action or suit brought by or in the right of the Company, to the full extent permitted by any applicable portion of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that shall not have been invalidated.</w:t>
      </w:r>
    </w:p>
    <w:p>
      <w:pPr>
        <w:spacing w:after="0" w:line="208" w:lineRule="exact"/>
        <w:rPr>
          <w:rFonts w:ascii="Arial" w:cs="Arial" w:eastAsia="Arial" w:hAnsi="Arial"/>
          <w:sz w:val="16"/>
          <w:szCs w:val="16"/>
          <w:color w:val="auto"/>
        </w:rPr>
      </w:pPr>
    </w:p>
    <w:p>
      <w:pPr>
        <w:jc w:val="both"/>
        <w:ind w:firstLine="1305"/>
        <w:spacing w:after="0" w:line="302" w:lineRule="auto"/>
        <w:tabs>
          <w:tab w:leader="none" w:pos="2074"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Each of the Indemnified Persons may, in the performance of his, her or its duties, consult with legal counsel and accountants, and any act or omission by such Person on behalf of the Company in furtherance of the interests of the Company in good faith in reliance upon, and in accordance with, the advice of such legal counsel or accountants will be full justification for any such act or omission, and such Person will be fully protected for such acts and omissions;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legal counsel or accountants were selected with reasonable care by or on behalf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5" w:name="page86"/>
    <w:bookmarkEnd w:id="85"/>
    <w:p>
      <w:pPr>
        <w:jc w:val="both"/>
        <w:ind w:firstLine="1305"/>
        <w:spacing w:after="0" w:line="234" w:lineRule="auto"/>
        <w:tabs>
          <w:tab w:leader="none" w:pos="2060" w:val="left"/>
        </w:tabs>
        <w:numPr>
          <w:ilvl w:val="0"/>
          <w:numId w:val="76"/>
        </w:numPr>
        <w:rPr>
          <w:rFonts w:ascii="Arial" w:cs="Arial" w:eastAsia="Arial" w:hAnsi="Arial"/>
          <w:sz w:val="18"/>
          <w:szCs w:val="18"/>
          <w:color w:val="auto"/>
        </w:rPr>
      </w:pPr>
      <w:r>
        <w:rPr>
          <w:rFonts w:ascii="Arial" w:cs="Arial" w:eastAsia="Arial" w:hAnsi="Arial"/>
          <w:sz w:val="22"/>
          <w:szCs w:val="22"/>
          <w:color w:val="auto"/>
        </w:rPr>
        <w:t>A</w:t>
      </w:r>
      <w:r>
        <w:rPr>
          <w:rFonts w:ascii="Arial" w:cs="Arial" w:eastAsia="Arial" w:hAnsi="Arial"/>
          <w:sz w:val="18"/>
          <w:szCs w:val="18"/>
          <w:color w:val="auto"/>
        </w:rPr>
        <w:t>n Indemnified Person shall not be denied indemnification in whole or in part under this</w:t>
      </w:r>
      <w:r>
        <w:rPr>
          <w:rFonts w:ascii="Arial" w:cs="Arial" w:eastAsia="Arial" w:hAnsi="Arial"/>
          <w:sz w:val="22"/>
          <w:szCs w:val="22"/>
          <w:color w:val="auto"/>
        </w:rPr>
        <w:t xml:space="preserve"> </w:t>
      </w:r>
      <w:r>
        <w:rPr>
          <w:rFonts w:ascii="Arial" w:cs="Arial" w:eastAsia="Arial" w:hAnsi="Arial"/>
          <w:sz w:val="18"/>
          <w:szCs w:val="18"/>
          <w:u w:val="single" w:color="auto"/>
          <w:color w:val="auto"/>
        </w:rPr>
        <w:t>Section 5.19</w:t>
      </w:r>
      <w:r>
        <w:rPr>
          <w:rFonts w:ascii="Arial" w:cs="Arial" w:eastAsia="Arial" w:hAnsi="Arial"/>
          <w:sz w:val="22"/>
          <w:szCs w:val="22"/>
          <w:color w:val="auto"/>
        </w:rPr>
        <w:t xml:space="preserve"> </w:t>
      </w:r>
      <w:r>
        <w:rPr>
          <w:rFonts w:ascii="Arial" w:cs="Arial" w:eastAsia="Arial" w:hAnsi="Arial"/>
          <w:sz w:val="18"/>
          <w:szCs w:val="18"/>
          <w:color w:val="auto"/>
        </w:rPr>
        <w:t>because the Indemnified</w:t>
      </w:r>
      <w:r>
        <w:rPr>
          <w:rFonts w:ascii="Arial" w:cs="Arial" w:eastAsia="Arial" w:hAnsi="Arial"/>
          <w:sz w:val="22"/>
          <w:szCs w:val="22"/>
          <w:color w:val="auto"/>
        </w:rPr>
        <w:t xml:space="preserve"> </w:t>
      </w:r>
      <w:r>
        <w:rPr>
          <w:rFonts w:ascii="Arial" w:cs="Arial" w:eastAsia="Arial" w:hAnsi="Arial"/>
          <w:sz w:val="18"/>
          <w:szCs w:val="18"/>
          <w:color w:val="auto"/>
        </w:rPr>
        <w:t>Person had an interest in the transaction with respect to which the indemnification applies if the transaction was otherwise permitted by the terms of this Agreement.</w:t>
      </w:r>
    </w:p>
    <w:p>
      <w:pPr>
        <w:spacing w:after="0" w:line="257" w:lineRule="exact"/>
        <w:rPr>
          <w:rFonts w:ascii="Arial" w:cs="Arial" w:eastAsia="Arial" w:hAnsi="Arial"/>
          <w:sz w:val="18"/>
          <w:szCs w:val="18"/>
          <w:color w:val="auto"/>
        </w:rPr>
      </w:pPr>
    </w:p>
    <w:p>
      <w:pPr>
        <w:jc w:val="both"/>
        <w:ind w:firstLine="1305"/>
        <w:spacing w:after="0" w:line="276" w:lineRule="auto"/>
        <w:tabs>
          <w:tab w:leader="none" w:pos="21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Any liabilities which an Indemnified Person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 shall be treated as liabilities indemnifiable under this </w:t>
      </w:r>
      <w:r>
        <w:rPr>
          <w:rFonts w:ascii="Arial" w:cs="Arial" w:eastAsia="Arial" w:hAnsi="Arial"/>
          <w:sz w:val="17"/>
          <w:szCs w:val="17"/>
          <w:u w:val="single" w:color="auto"/>
          <w:color w:val="auto"/>
        </w:rPr>
        <w:t>Section 5.19</w:t>
      </w:r>
      <w:r>
        <w:rPr>
          <w:rFonts w:ascii="Arial" w:cs="Arial" w:eastAsia="Arial" w:hAnsi="Arial"/>
          <w:sz w:val="17"/>
          <w:szCs w:val="17"/>
          <w:color w:val="auto"/>
        </w:rPr>
        <w:t>, to the maximum extent permitted by law.</w:t>
      </w:r>
    </w:p>
    <w:p>
      <w:pPr>
        <w:spacing w:after="0" w:line="226" w:lineRule="exact"/>
        <w:rPr>
          <w:rFonts w:ascii="Arial" w:cs="Arial" w:eastAsia="Arial" w:hAnsi="Arial"/>
          <w:sz w:val="17"/>
          <w:szCs w:val="17"/>
          <w:color w:val="auto"/>
        </w:rPr>
      </w:pPr>
    </w:p>
    <w:p>
      <w:pPr>
        <w:jc w:val="both"/>
        <w:ind w:firstLine="1305"/>
        <w:spacing w:after="0" w:line="259" w:lineRule="auto"/>
        <w:tabs>
          <w:tab w:leader="none" w:pos="200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Director shall, in the performance of his duties, be fully protected in relying in good faith upon the records of the Company and on such information, opinions, reports or statements presented to the Company by any of the Officers or employees of the Company or any other Group Member, or committees of the Board of Directors, or by any other Person as to matters the Director reasonably believes are within such other Person’s professional or expert competence.</w:t>
      </w:r>
    </w:p>
    <w:p>
      <w:pPr>
        <w:spacing w:after="0" w:line="240" w:lineRule="exact"/>
        <w:rPr>
          <w:rFonts w:ascii="Arial" w:cs="Arial" w:eastAsia="Arial" w:hAnsi="Arial"/>
          <w:sz w:val="18"/>
          <w:szCs w:val="18"/>
          <w:color w:val="auto"/>
        </w:rPr>
      </w:pPr>
    </w:p>
    <w:p>
      <w:pPr>
        <w:jc w:val="both"/>
        <w:ind w:firstLine="1305"/>
        <w:spacing w:after="0" w:line="302" w:lineRule="auto"/>
        <w:tabs>
          <w:tab w:leader="none" w:pos="19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Any amendment, modification or repeal of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or any provision hereof shall be prospective only and shall not in any way affect the limitations on the liability of any indemnitee under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and provided such Person became an indemnitee hereunder prior to such amendment, modification or repeal.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ind w:left="660"/>
        <w:spacing w:after="0"/>
        <w:tabs>
          <w:tab w:leader="none" w:pos="202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6"/>
          <w:szCs w:val="16"/>
          <w:b w:val="1"/>
          <w:bCs w:val="1"/>
          <w:u w:val="single" w:color="auto"/>
          <w:color w:val="auto"/>
        </w:rPr>
        <w:t>Resolution of Conflicts of Interest; Standards of Conduct and Modification of Duties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85" w:lineRule="auto"/>
        <w:tabs>
          <w:tab w:leader="none" w:pos="2104" w:val="left"/>
        </w:tabs>
        <w:numPr>
          <w:ilvl w:val="1"/>
          <w:numId w:val="77"/>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one or more Directors or their respective Affiliates, on the one hand, and the Company, any Group Member or any Member other than an Initial Member, on the other, any resolution or course of action by the Board of Directors or its Affiliates in respect of such conflict of interest shall be permitted and deemed approved by all Members, and shall not constitute a breach of this Agreement, of any agreement contemplated herein, or of any duty stated or implied by law or equity, including any fiduciary duty, if the resolution or course of action in respect of such conflict of interest is (i) approved by Special Approval,</w:t>
      </w:r>
    </w:p>
    <w:p>
      <w:pPr>
        <w:spacing w:after="0" w:line="2" w:lineRule="exact"/>
        <w:rPr>
          <w:rFonts w:ascii="Arial" w:cs="Arial" w:eastAsia="Arial" w:hAnsi="Arial"/>
          <w:sz w:val="16"/>
          <w:szCs w:val="16"/>
          <w:color w:val="auto"/>
        </w:rPr>
      </w:pPr>
    </w:p>
    <w:p>
      <w:pPr>
        <w:jc w:val="both"/>
        <w:ind w:firstLine="8"/>
        <w:spacing w:after="0" w:line="281" w:lineRule="auto"/>
        <w:tabs>
          <w:tab w:leader="none" w:pos="269" w:val="left"/>
        </w:tabs>
        <w:numPr>
          <w:ilvl w:val="0"/>
          <w:numId w:val="78"/>
        </w:numPr>
        <w:rPr>
          <w:rFonts w:ascii="Arial" w:cs="Arial" w:eastAsia="Arial" w:hAnsi="Arial"/>
          <w:sz w:val="16"/>
          <w:szCs w:val="16"/>
          <w:color w:val="auto"/>
        </w:rPr>
      </w:pPr>
      <w:r>
        <w:rPr>
          <w:rFonts w:ascii="Arial" w:cs="Arial" w:eastAsia="Arial" w:hAnsi="Arial"/>
          <w:sz w:val="16"/>
          <w:szCs w:val="16"/>
          <w:color w:val="auto"/>
        </w:rPr>
        <w:t>approved by the vote of holders of Outstanding Voting Shares representing a majority of the total votes that may be cast by all Outstanding Voting Shares in the election of Directors that are held by disinterested parties, (iii) on terms that, when taken together in their entirety, are no less favorable to the Company, Group Member or Member other than an Initial Member, as applicable, than those generally being provided to or available from unrelated third parties,</w:t>
      </w:r>
    </w:p>
    <w:p>
      <w:pPr>
        <w:spacing w:after="0" w:line="2" w:lineRule="exact"/>
        <w:rPr>
          <w:rFonts w:ascii="Arial" w:cs="Arial" w:eastAsia="Arial" w:hAnsi="Arial"/>
          <w:sz w:val="16"/>
          <w:szCs w:val="16"/>
          <w:color w:val="auto"/>
        </w:rPr>
      </w:pPr>
    </w:p>
    <w:p>
      <w:pPr>
        <w:jc w:val="both"/>
        <w:ind w:firstLine="8"/>
        <w:spacing w:after="0" w:line="267" w:lineRule="auto"/>
        <w:tabs>
          <w:tab w:leader="none" w:pos="318"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fair and reasonable to the Company taking into account the totality of the relationships between the parties involved (including other transactions that may be particularly favorable or advantageous to the Company, Group Member or Member other than an Initial Member, as applicable) or (v) with respect to any election on behalf of New Fortress Intermediate to settle a Redemption (as defined in the LLC Agreement) with a Cash Election (as defined in the LLC Agreement), approved by the Board of Directors or a committee of the Board of Directors that has been delegated the authority to make such elections. The Board of Directors shall be authorized but not required in connection with its resolution of such conflict of interest to seek Special Approval of such resolution, and the Board of Directors may also adopt a resolution or course of action that has not received Special Approval. If Special Approval is not sought and the Board of Directors determines that the resolution or course of action taken with respect to a conflict of interest satisfies either of the standards set forth in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(v) above, then it shall be presumed that, in making its decision, the Board of Directors (or committee thereof) acted in accordance with any and all of its duties, whether express or implied, in equity or otherwise, and in any proceeding brought by any Member or by or on behalf of such Member or any other Member or the Company challenging such approval, the Person bringing or prosecuting such proceeding shall have the burden of overcoming such presumption. Notwithstanding anything to the contrary in this Agreement, the existence of the conflicts of interest described in the Registration Statement are hereby approved by all Members and shall not constitute a breach of this Agreement or of any duty otherwise existing at law, in equity or otherwise.</w:t>
      </w:r>
    </w:p>
    <w:p>
      <w:pPr>
        <w:spacing w:after="0" w:line="237" w:lineRule="exact"/>
        <w:rPr>
          <w:rFonts w:ascii="Arial" w:cs="Arial" w:eastAsia="Arial" w:hAnsi="Arial"/>
          <w:sz w:val="17"/>
          <w:szCs w:val="17"/>
          <w:color w:val="auto"/>
        </w:rPr>
      </w:pPr>
    </w:p>
    <w:p>
      <w:pPr>
        <w:jc w:val="both"/>
        <w:ind w:firstLine="1305"/>
        <w:spacing w:after="0" w:line="264" w:lineRule="auto"/>
        <w:tabs>
          <w:tab w:leader="none" w:pos="2019"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Members hereby authorize the Board of Directors, on behalf of the Company as a partner or member of a Group Member, to approve of actions by the board of directors or managing member of such Group Member similar to those actions permitted to be taken by the Board of Directors pursuant to this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23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b w:val="1"/>
          <w:bCs w:val="1"/>
          <w:u w:val="single" w:color="auto"/>
          <w:color w:val="auto"/>
        </w:rPr>
        <w:t>Certificate of Formation</w:t>
      </w:r>
      <w:r>
        <w:rPr>
          <w:rFonts w:ascii="Arial" w:cs="Arial" w:eastAsia="Arial" w:hAnsi="Arial"/>
          <w:sz w:val="17"/>
          <w:szCs w:val="17"/>
          <w:color w:val="auto"/>
        </w:rPr>
        <w:t>. The Certificate of Formation has been filed with the Secretary of State of the State of Delaware as required by the Delaware Act, such filing being hereby confirmed, ratified and approved in all respects. The Board of Directors shall use all reasonable efforts to cause to be filed such other certificates or documents that it determines to be necessary or appropriate for the formation, continuation, qualification and operation of a limited liability company in the State of Delaware or any other state in which the Company may elect to do business or own property. To the extent that the Board of Directors determines such action to be necessary or appropriate, the Board of Directors shall direct the appropriate Officers of the Company to file amendments to and restatements of the Certificate of Formation and do all things to maintain the Company as a limited liability company under the laws of the State of Delaware or of any other state in which the Company may elect to do business or own property, and any such Officer so directed shall be an “authorized person” of the Company within the meaning of the Delaware Act for purposes of filing any such certificate with the Secretary of State of the State of Delaware. The Company shall not be required, before or after filing, to deliver or mail a copy of the Certificate of Formation, any qualification document or any amendment thereto to any Member.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87" w:name="page88"/>
    <w:bookmarkEnd w:id="87"/>
    <w:p>
      <w:pPr>
        <w:ind w:left="660"/>
        <w:spacing w:after="0"/>
        <w:tabs>
          <w:tab w:leader="none" w:pos="2020" w:val="left"/>
        </w:tabs>
        <w:rPr>
          <w:sz w:val="20"/>
          <w:szCs w:val="20"/>
          <w:color w:val="auto"/>
        </w:rPr>
      </w:pPr>
      <w:r>
        <w:rPr>
          <w:rFonts w:ascii="Arial" w:cs="Arial" w:eastAsia="Arial" w:hAnsi="Arial"/>
          <w:sz w:val="18"/>
          <w:szCs w:val="18"/>
          <w:color w:val="auto"/>
        </w:rPr>
        <w:t>Section 5.22</w:t>
      </w:r>
      <w:r>
        <w:rPr>
          <w:sz w:val="20"/>
          <w:szCs w:val="20"/>
          <w:color w:val="auto"/>
        </w:rPr>
        <w:tab/>
      </w:r>
      <w:r>
        <w:rPr>
          <w:rFonts w:ascii="Arial" w:cs="Arial" w:eastAsia="Arial" w:hAnsi="Arial"/>
          <w:sz w:val="16"/>
          <w:szCs w:val="16"/>
          <w:b w:val="1"/>
          <w:bCs w:val="1"/>
          <w:u w:val="single" w:color="auto"/>
          <w:color w:val="auto"/>
        </w:rPr>
        <w:t>Officers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86" w:lineRule="auto"/>
        <w:tabs>
          <w:tab w:leader="none" w:pos="222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The Board of Directors shall have the power and authority to appoint such officers with such titles, authority and duties as determined by the Board of Directors. Such Persons so designated by the Board of Directors shall be referred to as “Officers.” Unless provided otherwise by resolution of the Board of Directors, the Officers shall have the titles, power, authority and duties described below in this </w:t>
      </w:r>
      <w:r>
        <w:rPr>
          <w:rFonts w:ascii="Arial" w:cs="Arial" w:eastAsia="Arial" w:hAnsi="Arial"/>
          <w:sz w:val="17"/>
          <w:szCs w:val="17"/>
          <w:u w:val="single" w:color="auto"/>
          <w:color w:val="auto"/>
        </w:rPr>
        <w:t>Section 5.22</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jc w:val="both"/>
        <w:ind w:firstLine="1305"/>
        <w:spacing w:after="0" w:line="254" w:lineRule="auto"/>
        <w:tabs>
          <w:tab w:leader="none" w:pos="20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Officers of the Company may include a Chairman of the Board, one or more Co-Chairmen of the Board, a Vice Chairman, a Chief Executive Officer, a Chief Operating Officer, a Chief Financial Officer, one or more Presidents or Co-Presidents, one or more Vice Presidents (who may be further classified by such descriptions as “executive,” “senior,” “assistant” or otherwise, as the Board of Directors shall determine), a Secretary, one or more Assistant Secretaries, a Treasurer and one or more Assistant Treasurers. Officers shall be elected by the Board of Directors, which shall consider that subject at its first meeting after every annual meeting of Members and as necessary to fill vacancies. Each Officer shall hold office until his or her successor is elected and qualified or until his or her earlier death, resignation or removal. Any number of offices may be held by the same Person. The compensation of Officers elected by the Board of Directors shall be fixed from time to time by the Board of Directors or by such Officers as may be designated by resolution of the Board of Directors.</w:t>
      </w:r>
    </w:p>
    <w:p>
      <w:pPr>
        <w:spacing w:after="0" w:line="246" w:lineRule="exact"/>
        <w:rPr>
          <w:rFonts w:ascii="Arial" w:cs="Arial" w:eastAsia="Arial" w:hAnsi="Arial"/>
          <w:sz w:val="18"/>
          <w:szCs w:val="18"/>
          <w:color w:val="auto"/>
        </w:rPr>
      </w:pPr>
    </w:p>
    <w:p>
      <w:pPr>
        <w:jc w:val="both"/>
        <w:ind w:firstLine="1305"/>
        <w:spacing w:after="0" w:line="257" w:lineRule="auto"/>
        <w:tabs>
          <w:tab w:leader="none" w:pos="20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Officer may resign at any time upon written notice to the Company. Any Officer, agent or employee of the Company may be removed by either the Chairman of the Board or the Board of Directors with or without cause at any time. The Board of Directors hereby also delegates the power of removal as to Officers, agents and employees who have not been appointed by the Board of Directors to the Chairman of the Board. Such removal shall be without prejudice to a Person’s contract rights, if any, but the appointment of any Person as an Officer, agent or employee of the Company shall not of itself create contract rights.</w:t>
      </w:r>
    </w:p>
    <w:p>
      <w:pPr>
        <w:spacing w:after="0" w:line="242" w:lineRule="exact"/>
        <w:rPr>
          <w:rFonts w:ascii="Arial" w:cs="Arial" w:eastAsia="Arial" w:hAnsi="Arial"/>
          <w:sz w:val="18"/>
          <w:szCs w:val="18"/>
          <w:color w:val="auto"/>
        </w:rPr>
      </w:pPr>
    </w:p>
    <w:p>
      <w:pPr>
        <w:jc w:val="both"/>
        <w:ind w:firstLine="1305"/>
        <w:spacing w:after="0" w:line="255" w:lineRule="auto"/>
        <w:tabs>
          <w:tab w:leader="none" w:pos="21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5.26</w:t>
      </w:r>
      <w:r>
        <w:rPr>
          <w:rFonts w:ascii="Arial" w:cs="Arial" w:eastAsia="Arial" w:hAnsi="Arial"/>
          <w:sz w:val="18"/>
          <w:szCs w:val="18"/>
          <w:color w:val="auto"/>
        </w:rPr>
        <w:t>, the Chairman of the Board shall be the Chief Executive Officer of the Company unless the Board of Directors elects another Person as Chief Executive Officer. Subject to the control of the Board of Directors, the Chief Executive Officer shall have general executive charge, management and control of the properties, business and operations of the Company with all such powers as may be reasonably incident to such responsibilities; he or she may employ and discharge employees and agents of the Company except such as shall be appointed by the Board of Directors, and he or she may delegate these powers; he or she may agree upon and execute all leases, contracts, evidences of indebtedness and other obligations in the name of the Company, and shall have such other powers and duties as designated in accordance with this Agreement and as from time to time may be assigned to him or her by the Board of Directors.</w:t>
      </w:r>
    </w:p>
    <w:p>
      <w:pPr>
        <w:spacing w:after="0" w:line="243" w:lineRule="exact"/>
        <w:rPr>
          <w:rFonts w:ascii="Arial" w:cs="Arial" w:eastAsia="Arial" w:hAnsi="Arial"/>
          <w:sz w:val="18"/>
          <w:szCs w:val="18"/>
          <w:color w:val="auto"/>
        </w:rPr>
      </w:pPr>
    </w:p>
    <w:p>
      <w:pPr>
        <w:jc w:val="both"/>
        <w:ind w:firstLine="1305"/>
        <w:spacing w:after="0" w:line="264" w:lineRule="auto"/>
        <w:tabs>
          <w:tab w:leader="none" w:pos="20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elected, the Chairman or any Co-Chairman of the Board shall preside at all meetings of the Members and of the Board of Directors; and shall have such other powers and duties as designated in this Agreement and as from time to time may be assigned to him, her or them by the Board of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8" w:name="page89"/>
    <w:bookmarkEnd w:id="88"/>
    <w:p>
      <w:pPr>
        <w:jc w:val="both"/>
        <w:ind w:firstLine="1305"/>
        <w:spacing w:after="0" w:line="293" w:lineRule="auto"/>
        <w:tabs>
          <w:tab w:leader="none" w:pos="199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Unless the Board of Directors otherwise determines, the Chief Operating Officer and every President and Co-President shall have the authority to agree upon and execute all leases, contracts, evidences of indebtedness and other obligations in the name of the Company. Unless the Board of Directors otherwise determines, in the absence of the Chairman or any Co-Chairman of the Board or if there be no Chairman or Co-Chairman of the Board, the Board of Directors may designate the Chief Operating Officer or a President or Co-President to preside at all meetings of the Members and (should he or she be a Director) of the Board of Directors. The Chief Operating Officer and each President and Co-President shall have such other powers and duties as designated in accordance with this Agreement and as from time to time may be assigned to him or her by the Board of Directors.</w:t>
      </w:r>
    </w:p>
    <w:p>
      <w:pPr>
        <w:spacing w:after="0" w:line="218" w:lineRule="exact"/>
        <w:rPr>
          <w:rFonts w:ascii="Arial" w:cs="Arial" w:eastAsia="Arial" w:hAnsi="Arial"/>
          <w:sz w:val="16"/>
          <w:szCs w:val="16"/>
          <w:color w:val="auto"/>
        </w:rPr>
      </w:pPr>
    </w:p>
    <w:p>
      <w:pPr>
        <w:jc w:val="both"/>
        <w:ind w:firstLine="1305"/>
        <w:spacing w:after="0" w:line="272" w:lineRule="auto"/>
        <w:tabs>
          <w:tab w:leader="none" w:pos="21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absence of a Chief Operating Officer, President or Co-President or in the event of an inability or refusal of the Chief Operating Officer and all Presidents and Co-Presidents to act, a Vice President designated by the Board of Directors shall perform the duties of a President, and when so acting shall have all the powers of and be subject to all the restrictions upon a President. In the absence of a designation by the Board of Directors of a Vice President to perform the duties of a President, or in the event of his absence or inability or refusal to act, the Vice President who is present and who is senior in terms of uninterrupted time as a Vice President of the Company shall so act. A Vice President shall perform such other duties and have such other powers as the Board of Directors may from time to time prescribe. Unless otherwise provided by the Board of Directors, each Vice President will have authority to act within his or her respective areas and to sign contracts relating thereto.</w:t>
      </w:r>
    </w:p>
    <w:p>
      <w:pPr>
        <w:spacing w:after="0" w:line="231" w:lineRule="exact"/>
        <w:rPr>
          <w:rFonts w:ascii="Arial" w:cs="Arial" w:eastAsia="Arial" w:hAnsi="Arial"/>
          <w:sz w:val="17"/>
          <w:szCs w:val="17"/>
          <w:color w:val="auto"/>
        </w:rPr>
      </w:pPr>
    </w:p>
    <w:p>
      <w:pPr>
        <w:jc w:val="both"/>
        <w:ind w:firstLine="1305"/>
        <w:spacing w:after="0" w:line="255" w:lineRule="auto"/>
        <w:tabs>
          <w:tab w:leader="none" w:pos="20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Treasurer shall have responsibility for the custody and control of all the funds and securities of the Company and shall have such other powers and duties as designated in this Agreement and as from time to time may be assigned to the Treasurer by the Board of Directors. The Treasurer shall perform all acts incident to the position of Treasurer, subject to the control of the Chief Executive Officer and the Board of Directors. Each Assistant Treasurer shall have the usual powers and duties pertaining to his or her office, together with such other powers and duties as designated in this Agreement and as from time to time may be assigned to him or her by the Chief Executive Officer or the Board of Directors. The Assistant Treasurers shall exercise the powers of the Treasurer during that Officer’s absence or inability or refusal to act. An Assistant Treasurer shall also perform such other duties as the Treasurer or the Board of Directors may assign to him or her.</w:t>
      </w:r>
    </w:p>
    <w:p>
      <w:pPr>
        <w:spacing w:after="0" w:line="243" w:lineRule="exact"/>
        <w:rPr>
          <w:rFonts w:ascii="Arial" w:cs="Arial" w:eastAsia="Arial" w:hAnsi="Arial"/>
          <w:sz w:val="18"/>
          <w:szCs w:val="18"/>
          <w:color w:val="auto"/>
        </w:rPr>
      </w:pPr>
    </w:p>
    <w:p>
      <w:pPr>
        <w:jc w:val="both"/>
        <w:ind w:firstLine="1305"/>
        <w:spacing w:after="0" w:line="276" w:lineRule="auto"/>
        <w:tabs>
          <w:tab w:leader="none" w:pos="219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Secretary shall issue all authorized notices for, and shall keep minutes of, all meetings of the Members and the Board of Directors. The Secretary shall have charge of the corporate books and shall perform such other duties as the Board of Directors may from time to time prescribe. In the absence or inability to act of the Secretary, any Assistant Secretary may perform all the duties and exercise all the powers of the Secretary. The performance of any such duty shall, in respect of any other Person dealing with the Company, be conclusive evidence of his or her power to act. An Assistant Secretary shall also perform such other duties as the Secretary or the Board of Directors may assign to him or her.</w:t>
      </w:r>
    </w:p>
    <w:p>
      <w:pPr>
        <w:spacing w:after="0" w:line="226" w:lineRule="exact"/>
        <w:rPr>
          <w:rFonts w:ascii="Arial" w:cs="Arial" w:eastAsia="Arial" w:hAnsi="Arial"/>
          <w:sz w:val="17"/>
          <w:szCs w:val="17"/>
          <w:color w:val="auto"/>
        </w:rPr>
      </w:pPr>
    </w:p>
    <w:p>
      <w:pPr>
        <w:ind w:right="20" w:firstLine="1305"/>
        <w:spacing w:after="0" w:line="277" w:lineRule="auto"/>
        <w:tabs>
          <w:tab w:leader="none" w:pos="22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of Directors may from time to time delegate the powers or duties of any Officer to any other Officers or agents, notwithstanding any provision 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9" w:name="page90"/>
    <w:bookmarkEnd w:id="89"/>
    <w:p>
      <w:pPr>
        <w:jc w:val="both"/>
        <w:ind w:firstLine="1305"/>
        <w:spacing w:after="0" w:line="257" w:lineRule="auto"/>
        <w:tabs>
          <w:tab w:leader="none" w:pos="21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otherwise directed by the Board of Directors, the Chief Executive Officer, any President or Co-President, the Chief Operating Officer or any other Officer of the Company authorized by the Chief Executive Officer shall have power to vote and otherwise act on behalf of the Company, in person or by proxy, at any meeting of members of or with respect to any action of equity holders of any other entity in which the Company may hold securities and otherwise to exercise any and all rights and powers which the Company may possess by reason of its ownership of securities in such other entities.</w:t>
      </w:r>
    </w:p>
    <w:p>
      <w:pPr>
        <w:spacing w:after="0" w:line="23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5.23</w:t>
      </w:r>
      <w:r>
        <w:rPr>
          <w:sz w:val="20"/>
          <w:szCs w:val="20"/>
          <w:color w:val="auto"/>
        </w:rPr>
        <w:tab/>
      </w:r>
      <w:r>
        <w:rPr>
          <w:rFonts w:ascii="Arial" w:cs="Arial" w:eastAsia="Arial" w:hAnsi="Arial"/>
          <w:sz w:val="16"/>
          <w:szCs w:val="16"/>
          <w:b w:val="1"/>
          <w:bCs w:val="1"/>
          <w:u w:val="single" w:color="auto"/>
          <w:color w:val="auto"/>
        </w:rPr>
        <w:t>Duties of Officers and Directors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64" w:lineRule="auto"/>
        <w:tabs>
          <w:tab w:leader="none" w:pos="20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to the extent expressly provided otherwise in this Agreement, the duties and obligations owed to the Company and the Members by the Officers and Directors shall be those duties and obligations applicable to officers and managers, respectively, of a Delaware limited liability company under Delaware law.</w:t>
      </w:r>
    </w:p>
    <w:p>
      <w:pPr>
        <w:spacing w:after="0" w:line="235" w:lineRule="exact"/>
        <w:rPr>
          <w:rFonts w:ascii="Arial" w:cs="Arial" w:eastAsia="Arial" w:hAnsi="Arial"/>
          <w:sz w:val="18"/>
          <w:szCs w:val="18"/>
          <w:color w:val="auto"/>
        </w:rPr>
      </w:pPr>
    </w:p>
    <w:p>
      <w:pPr>
        <w:jc w:val="both"/>
        <w:ind w:firstLine="1305"/>
        <w:spacing w:after="0" w:line="312" w:lineRule="auto"/>
        <w:tabs>
          <w:tab w:leader="none" w:pos="203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Board of Directors shall have the right to exercise any of the powers granted to it by this Agreement and perform any of the duties imposed upon it thereunder either directly or by or through the duly authorized Officers of the Company, and the Board of Directors shall not be responsible for the misconduct or negligence on the part of any such Officer duly appointed or duly authorized by the Board of Directors in good faith.</w:t>
      </w:r>
    </w:p>
    <w:p>
      <w:pPr>
        <w:spacing w:after="0" w:line="200" w:lineRule="exact"/>
        <w:rPr>
          <w:rFonts w:ascii="Arial" w:cs="Arial" w:eastAsia="Arial" w:hAnsi="Arial"/>
          <w:sz w:val="16"/>
          <w:szCs w:val="16"/>
          <w:color w:val="auto"/>
        </w:rPr>
      </w:pPr>
    </w:p>
    <w:p>
      <w:pPr>
        <w:jc w:val="both"/>
        <w:ind w:firstLine="1305"/>
        <w:spacing w:after="0" w:line="264" w:lineRule="auto"/>
        <w:tabs>
          <w:tab w:leader="none" w:pos="21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Board of Directors, in its capacity as the managing member of New Fortress Intermediate LLC, shall have the right to approve amendments to the New Fortress Intermediate LLC operating agreement relating to the mechanics of a redemption of New Fortress Intermediate LLC units (together with Class B Shares) for Class A Shares without any duty to the Company.</w:t>
      </w:r>
    </w:p>
    <w:p>
      <w:pPr>
        <w:spacing w:after="0" w:line="23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5.24</w:t>
      </w:r>
      <w:r>
        <w:rPr>
          <w:sz w:val="20"/>
          <w:szCs w:val="20"/>
          <w:color w:val="auto"/>
        </w:rPr>
        <w:tab/>
      </w:r>
      <w:r>
        <w:rPr>
          <w:rFonts w:ascii="Arial" w:cs="Arial" w:eastAsia="Arial" w:hAnsi="Arial"/>
          <w:sz w:val="16"/>
          <w:szCs w:val="16"/>
          <w:b w:val="1"/>
          <w:bCs w:val="1"/>
          <w:u w:val="single" w:color="auto"/>
          <w:color w:val="auto"/>
        </w:rPr>
        <w:t>Outside Activities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86" w:lineRule="auto"/>
        <w:tabs>
          <w:tab w:leader="none" w:pos="2104"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5.24(b)</w:t>
      </w:r>
      <w:r>
        <w:rPr>
          <w:rFonts w:ascii="Arial" w:cs="Arial" w:eastAsia="Arial" w:hAnsi="Arial"/>
          <w:sz w:val="16"/>
          <w:szCs w:val="16"/>
          <w:color w:val="auto"/>
        </w:rPr>
        <w:t xml:space="preserve">: (i) each Officer, Director, Consenting Entity and their respective Affiliates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the Company or any Group Member, independently or with others, including business interests and activities in direct competition with the business and activities of the Company or any Group Member, and none of the same shall constitute a breach of this Agreement or any duty otherwise existing at law, in equity or otherwise to the Company or any Group Member or any Member (other than to the extent such activity is in breach of any express obligation contained in this Agreement or any other agreement to which such Person and the Company or any of its Subsidiaries are parties); and (ii) neither the doctrine of “corporate opportunity” nor any analogous doctrine shall apply to any Officer, Director, Consenting Entity or their respective Affiliates. The Company and each Member hereby renounce any interest or expectancy in, or right to be offered an opportunity to participate in, any business opportunity which may be available to or known by any Officer, Director, Consenting Entity or their respective Affiliates, except as provided in </w:t>
      </w:r>
      <w:r>
        <w:rPr>
          <w:rFonts w:ascii="Arial" w:cs="Arial" w:eastAsia="Arial" w:hAnsi="Arial"/>
          <w:sz w:val="16"/>
          <w:szCs w:val="16"/>
          <w:u w:val="single" w:color="auto"/>
          <w:color w:val="auto"/>
        </w:rPr>
        <w:t>Section 5.24(b)</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5.24(b)</w:t>
      </w:r>
      <w:r>
        <w:rPr>
          <w:rFonts w:ascii="Arial" w:cs="Arial" w:eastAsia="Arial" w:hAnsi="Arial"/>
          <w:sz w:val="16"/>
          <w:szCs w:val="16"/>
          <w:color w:val="auto"/>
        </w:rPr>
        <w:t>, Officers, Directors, Consenting Entities and their respective Affiliates shall have no obligation hereunder or as a result of any duty expressed or implied by law to present business opportunities to the Company that may become available to or known by such Officer, Director, Consenting Entity or Affiliate. None of any Group Member, any Member or any other Person shall have any rights by virtue of an Officer’s or Director’s duties as an Officer or Director, this Agreement or any Group Member Agreement in any business ventures of any Officer, Director, Consenting Entity or their respective Affiliates.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0" w:name="page91"/>
    <w:bookmarkEnd w:id="90"/>
    <w:p>
      <w:pPr>
        <w:jc w:val="both"/>
        <w:ind w:firstLine="1305"/>
        <w:spacing w:after="0" w:line="259" w:lineRule="auto"/>
        <w:tabs>
          <w:tab w:leader="none" w:pos="201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and each Member do not renounce any interest in any business opportunity offered to any Officer, Director, Consenting Entity or their respective Affiliates if such Officer, Director, Consenting Entity or their respective Affiliates engages in such business or activity as a result of or using confidential information of the Company or its Subsidiaries, and the provisions of subsection (a) above shall not apply to any such business opportunity.</w:t>
      </w:r>
    </w:p>
    <w:p>
      <w:pPr>
        <w:spacing w:after="0" w:line="240" w:lineRule="exact"/>
        <w:rPr>
          <w:rFonts w:ascii="Arial" w:cs="Arial" w:eastAsia="Arial" w:hAnsi="Arial"/>
          <w:sz w:val="18"/>
          <w:szCs w:val="18"/>
          <w:color w:val="auto"/>
        </w:rPr>
      </w:pPr>
    </w:p>
    <w:p>
      <w:pPr>
        <w:ind w:left="1880" w:hanging="575"/>
        <w:spacing w:after="0"/>
        <w:tabs>
          <w:tab w:leader="none" w:pos="1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Each Member shall be deemed to have notice of and to have consented to the provisions of this </w:t>
      </w:r>
      <w:r>
        <w:rPr>
          <w:rFonts w:ascii="Arial" w:cs="Arial" w:eastAsia="Arial" w:hAnsi="Arial"/>
          <w:sz w:val="18"/>
          <w:szCs w:val="18"/>
          <w:u w:val="single" w:color="auto"/>
          <w:color w:val="auto"/>
        </w:rPr>
        <w:t>Section 5.24.</w:t>
      </w:r>
    </w:p>
    <w:p>
      <w:pPr>
        <w:spacing w:after="0" w:line="2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b w:val="1"/>
          <w:bCs w:val="1"/>
          <w:u w:val="single" w:color="auto"/>
          <w:color w:val="auto"/>
        </w:rPr>
        <w:t>Reliance by Third Parties</w:t>
      </w:r>
      <w:r>
        <w:rPr>
          <w:rFonts w:ascii="Arial" w:cs="Arial" w:eastAsia="Arial" w:hAnsi="Arial"/>
          <w:sz w:val="16"/>
          <w:szCs w:val="16"/>
          <w:color w:val="auto"/>
        </w:rPr>
        <w:t>. Notwithstanding anything to the contrary in this Agreement, any Person dealing with the Company shall be entitled to assume that the Board of Directors and any Officer authorized by the Board of Directors to act on behalf of and in the name of the Company has full power and authority to encumber, sell or otherwise use in any manner any and all assets of the Company and to enter into any authorized contracts on behalf of the Company, and such Person shall be entitled to deal with the Board of Directors or any Officer as if it were the Company’s sole party in interest, both legally and beneficially. Each Member hereby waives, to the fullest extent permitted by law, any and all defenses or other remedies that may be available against such Person to contest, negate or disaffirm any action of the Board of Directors or any Officer in connection with any such dealing. In no event shall any Person dealing with the Board of Directors or any Officer or its representatives be obligated to ascertain that the terms of this Agreement have been complied with or to inquire into the necessity or expedience of any act or action of the Board of Directors or any Officer or its representatives. Each and every certificate, document or other instrument executed on behalf of the Company by the Board of Directors or any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Company and (c) such certificate, document or instrument was duly executed and delivered in accordance with the terms and provisions of this Agreement and is binding upon the Company.</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5.26 </w:t>
      </w:r>
      <w:r>
        <w:rPr>
          <w:rFonts w:ascii="Arial" w:cs="Arial" w:eastAsia="Arial" w:hAnsi="Arial"/>
          <w:sz w:val="16"/>
          <w:szCs w:val="16"/>
          <w:b w:val="1"/>
          <w:bCs w:val="1"/>
          <w:u w:val="single" w:color="auto"/>
          <w:color w:val="auto"/>
        </w:rPr>
        <w:t>Consent Rights</w:t>
      </w:r>
      <w:r>
        <w:rPr>
          <w:rFonts w:ascii="Arial" w:cs="Arial" w:eastAsia="Arial" w:hAnsi="Arial"/>
          <w:sz w:val="16"/>
          <w:szCs w:val="16"/>
          <w:color w:val="auto"/>
        </w:rPr>
        <w:t>. So long as the Consenting Entities or their Affiliates collectively directly or indirectly own at least 30% of the outstanding Shares, the Company shall not take and shall take all necessary action to cause its subsidiaries not to take, directly or indirectly (whether by amendment, merger, consolidation, reorganization or otherwise) any of the following actions without the prior consent of each of the Consenting Entities (so long as such Consenting Entity or its Affiliates owns at least one Share), which consent may be withheld for any reason or no reason, in addition to the Board of Directors’ approval (or, as applicable, the approval of the requisite governing body of any subsidiary of the Company or any requisite statutory vote):</w:t>
      </w:r>
    </w:p>
    <w:p>
      <w:pPr>
        <w:spacing w:after="0" w:line="212" w:lineRule="exact"/>
        <w:rPr>
          <w:sz w:val="20"/>
          <w:szCs w:val="20"/>
          <w:color w:val="auto"/>
        </w:rPr>
      </w:pPr>
    </w:p>
    <w:p>
      <w:pPr>
        <w:ind w:firstLine="1305"/>
        <w:spacing w:after="0" w:line="277"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the business or operations of the Company and its subsidiaries as of the date of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91" w:name="page92"/>
    <w:bookmarkEnd w:id="91"/>
    <w:p>
      <w:pPr>
        <w:ind w:left="2000" w:hanging="695"/>
        <w:spacing w:after="0"/>
        <w:tabs>
          <w:tab w:leader="none" w:pos="2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terminating Wesley Edens as the chief executive officer of the Company and hiring his successor;</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removing Wesley Edens as the Chairman of the Board;</w:t>
      </w:r>
    </w:p>
    <w:p>
      <w:pPr>
        <w:spacing w:after="0" w:line="279" w:lineRule="exact"/>
        <w:rPr>
          <w:rFonts w:ascii="Arial" w:cs="Arial" w:eastAsia="Arial" w:hAnsi="Arial"/>
          <w:sz w:val="18"/>
          <w:szCs w:val="18"/>
          <w:color w:val="auto"/>
        </w:rPr>
      </w:pPr>
    </w:p>
    <w:p>
      <w:pPr>
        <w:ind w:firstLine="1305"/>
        <w:spacing w:after="0" w:line="308" w:lineRule="auto"/>
        <w:tabs>
          <w:tab w:leader="none" w:pos="1992"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transaction that, if consummated, would constitute a Change of Control or entering into any definitive agreement or series of related agreements that govern any transaction or series of related transactions that, if consummated, would result in a Change of Control;</w:t>
      </w:r>
    </w:p>
    <w:p>
      <w:pPr>
        <w:spacing w:after="0" w:line="200" w:lineRule="exact"/>
        <w:rPr>
          <w:rFonts w:ascii="Arial" w:cs="Arial" w:eastAsia="Arial" w:hAnsi="Arial"/>
          <w:sz w:val="17"/>
          <w:szCs w:val="17"/>
          <w:color w:val="auto"/>
        </w:rPr>
      </w:pPr>
    </w:p>
    <w:p>
      <w:pPr>
        <w:ind w:firstLine="1305"/>
        <w:spacing w:after="0" w:line="277" w:lineRule="auto"/>
        <w:tabs>
          <w:tab w:leader="none" w:pos="20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subsidiaries of the Company;</w:t>
      </w:r>
    </w:p>
    <w:p>
      <w:pPr>
        <w:spacing w:after="0" w:line="224" w:lineRule="exact"/>
        <w:rPr>
          <w:rFonts w:ascii="Arial" w:cs="Arial" w:eastAsia="Arial" w:hAnsi="Arial"/>
          <w:sz w:val="18"/>
          <w:szCs w:val="18"/>
          <w:color w:val="auto"/>
        </w:rPr>
      </w:pPr>
    </w:p>
    <w:p>
      <w:pPr>
        <w:ind w:firstLine="1305"/>
        <w:spacing w:after="0" w:line="277" w:lineRule="auto"/>
        <w:tabs>
          <w:tab w:leader="none" w:pos="20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voluntary election by the Company or any subsidiary of the Company to liquidate or dissolve or commence bankruptcy or insolvency proceedings or the adoption of a plan with respect to any of the foregoing;</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amendment, modification or waiver of this </w:t>
      </w:r>
      <w:r>
        <w:rPr>
          <w:rFonts w:ascii="Arial" w:cs="Arial" w:eastAsia="Arial" w:hAnsi="Arial"/>
          <w:sz w:val="18"/>
          <w:szCs w:val="18"/>
          <w:u w:val="single" w:color="auto"/>
          <w:color w:val="auto"/>
        </w:rPr>
        <w:t>Section 5.26</w:t>
      </w:r>
      <w:r>
        <w:rPr>
          <w:rFonts w:ascii="Arial" w:cs="Arial" w:eastAsia="Arial" w:hAnsi="Arial"/>
          <w:sz w:val="18"/>
          <w:szCs w:val="18"/>
          <w:color w:val="auto"/>
        </w:rPr>
        <w:t>; and</w:t>
      </w:r>
    </w:p>
    <w:p>
      <w:pPr>
        <w:spacing w:after="0" w:line="279" w:lineRule="exact"/>
        <w:rPr>
          <w:rFonts w:ascii="Arial" w:cs="Arial" w:eastAsia="Arial" w:hAnsi="Arial"/>
          <w:sz w:val="18"/>
          <w:szCs w:val="18"/>
          <w:color w:val="auto"/>
        </w:rPr>
      </w:pPr>
    </w:p>
    <w:p>
      <w:pPr>
        <w:ind w:firstLine="1305"/>
        <w:spacing w:after="0" w:line="277" w:lineRule="auto"/>
        <w:tabs>
          <w:tab w:leader="none" w:pos="197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amendment, modification or waiver of this Agreement or any other governing documents of the Company following the date of this Agreement that materially and adversely affects any Consenting Entity or any of their Affiliates.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the avoidance of doubt, the Consenting Entities may determine to grant or withhold consent to any of the foregoing in their sole and absolute discretion, and nothing in this </w:t>
      </w:r>
      <w:r>
        <w:rPr>
          <w:rFonts w:ascii="Arial" w:cs="Arial" w:eastAsia="Arial" w:hAnsi="Arial"/>
          <w:sz w:val="18"/>
          <w:szCs w:val="18"/>
          <w:u w:val="single" w:color="auto"/>
          <w:color w:val="auto"/>
        </w:rPr>
        <w:t>Section 5.26</w:t>
      </w:r>
      <w:r>
        <w:rPr>
          <w:rFonts w:ascii="Arial" w:cs="Arial" w:eastAsia="Arial" w:hAnsi="Arial"/>
          <w:sz w:val="18"/>
          <w:szCs w:val="18"/>
          <w:color w:val="auto"/>
        </w:rPr>
        <w:t>, or the exercise of the rights contemplated hereby (including any grant or withholding of consent, as the case may be), shall be deemed to create or otherwise result in any duty, obligation or liability on the part of any Consenting Entity or any of their Affiliates, express or implied, in equity or otherwise.</w:t>
      </w: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b w:val="1"/>
          <w:bCs w:val="1"/>
          <w:u w:val="single" w:color="auto"/>
          <w:color w:val="auto"/>
        </w:rPr>
        <w:t>Records and Accounting</w:t>
      </w:r>
      <w:r>
        <w:rPr>
          <w:rFonts w:ascii="Arial" w:cs="Arial" w:eastAsia="Arial" w:hAnsi="Arial"/>
          <w:sz w:val="17"/>
          <w:szCs w:val="17"/>
          <w:color w:val="auto"/>
        </w:rPr>
        <w:t xml:space="preserve">. The Board of Directors shall keep or cause to be kept at the principal office of the Company appropriate books and records with respect to the Company’s business, including all books and records necessary to provide to the Members any information required to be provided pursuant to this Agreement. Any books and records maintained by or on behalf of the Company in the regular course of its business, including the record of the Members, books of account and records of Company proceedings, may be kept on, or be in the form of, computer disks, hard drives, punch cards, magnetic tape, photographs, micrographics or any other information storage device;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the books and records so maintained are convertible into clearly legible written form within a reasonable period of time. The books of the Company shall be maintained, for tax and financial reporting purposes, on an accrual basis in accordance with U.S. generally accepted accounting principles.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2" w:name="page93"/>
    <w:bookmarkEnd w:id="92"/>
    <w:p>
      <w:pPr>
        <w:ind w:firstLine="648"/>
        <w:spacing w:after="0" w:line="282"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The fiscal year for tax and financial reporting purposes of the Company shall be a calendar year ending December 31 unless otherwise required by the Code or permitted by law.</w:t>
      </w:r>
    </w:p>
    <w:p>
      <w:pPr>
        <w:spacing w:after="0" w:line="21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b w:val="1"/>
          <w:bCs w:val="1"/>
          <w:u w:val="single" w:color="auto"/>
          <w:color w:val="auto"/>
        </w:rPr>
        <w:t>Reports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57" w:lineRule="auto"/>
        <w:tabs>
          <w:tab w:leader="none" w:pos="215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120 days after the close of each fiscal year of the Company, the Board of Directors shall use commercially reasonable efforts to cause to be mailed or made available to each Record Holder of a Share, as of a date selected by the Board of Directors, an annual report containing financial statements of the Company for such fiscal year of the Company, presented in accordance with U.S. generally accepted accounting principles, including a balance sheet and statements of operations, equity and cash flows, such statements to be audited by a registered public accounting firm selected by the Board of Directors.</w:t>
      </w:r>
    </w:p>
    <w:p>
      <w:pPr>
        <w:spacing w:after="0" w:line="242" w:lineRule="exact"/>
        <w:rPr>
          <w:rFonts w:ascii="Arial" w:cs="Arial" w:eastAsia="Arial" w:hAnsi="Arial"/>
          <w:sz w:val="18"/>
          <w:szCs w:val="18"/>
          <w:color w:val="auto"/>
        </w:rPr>
      </w:pPr>
    </w:p>
    <w:p>
      <w:pPr>
        <w:jc w:val="both"/>
        <w:ind w:firstLine="1305"/>
        <w:spacing w:after="0" w:line="257" w:lineRule="auto"/>
        <w:tabs>
          <w:tab w:leader="none" w:pos="195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90 days after the close of each Quarter except the last Quarter of each fiscal year, the Board of Directors shall use commercially reasonable efforts to cause to be mailed or made available to each Record Holder of a Share, as of a date selected by the Board of Directors, a report containing unaudited financial statements of the Company and such other information as may be required by applicable law, regulation or rule of any National Securities Exchange on which the Shares are listed for trading, or as the Board of Directors determines to be necessary or appropriate.</w:t>
      </w:r>
    </w:p>
    <w:p>
      <w:pPr>
        <w:spacing w:after="0" w:line="242" w:lineRule="exact"/>
        <w:rPr>
          <w:rFonts w:ascii="Arial" w:cs="Arial" w:eastAsia="Arial" w:hAnsi="Arial"/>
          <w:sz w:val="18"/>
          <w:szCs w:val="18"/>
          <w:color w:val="auto"/>
        </w:rPr>
      </w:pPr>
    </w:p>
    <w:p>
      <w:pPr>
        <w:ind w:left="1940" w:hanging="635"/>
        <w:spacing w:after="0"/>
        <w:tabs>
          <w:tab w:leader="none" w:pos="19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shall be deemed to have made a report available to each Record Holder as required by this Section 6.3 if it has either</w:t>
      </w:r>
    </w:p>
    <w:p>
      <w:pPr>
        <w:spacing w:after="0" w:line="46" w:lineRule="exact"/>
        <w:rPr>
          <w:rFonts w:ascii="Arial" w:cs="Arial" w:eastAsia="Arial" w:hAnsi="Arial"/>
          <w:sz w:val="16"/>
          <w:szCs w:val="16"/>
          <w:color w:val="auto"/>
        </w:rPr>
      </w:pPr>
    </w:p>
    <w:p>
      <w:pPr>
        <w:ind w:firstLine="8"/>
        <w:spacing w:after="0" w:line="261" w:lineRule="auto"/>
        <w:tabs>
          <w:tab w:leader="none" w:pos="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filed such report with the Commission via its Electronic Data Gathering, Analysis and Retrieval system and such report is publicly available on such system or (ii) made such report available on any publicly available website maintained by 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6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b w:val="1"/>
          <w:bCs w:val="1"/>
          <w:u w:val="single" w:color="auto"/>
          <w:color w:val="auto"/>
        </w:rPr>
        <w:t>Tax Elections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64" w:lineRule="auto"/>
        <w:tabs>
          <w:tab w:leader="none" w:pos="19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has made an election under Treasury Regulation Section 301.7701-3(c) to be classified as an association taxable as a corporation for U.S. federal tax purposes. The Company shall not make an election to be classified as other than an association taxable as a corporation pursuant to Treasury Regulation Section 701.7701-3.</w:t>
      </w:r>
    </w:p>
    <w:p>
      <w:pPr>
        <w:spacing w:after="0" w:line="235" w:lineRule="exact"/>
        <w:rPr>
          <w:rFonts w:ascii="Arial" w:cs="Arial" w:eastAsia="Arial" w:hAnsi="Arial"/>
          <w:sz w:val="18"/>
          <w:szCs w:val="18"/>
          <w:color w:val="auto"/>
        </w:rPr>
      </w:pPr>
    </w:p>
    <w:p>
      <w:pPr>
        <w:ind w:firstLine="1305"/>
        <w:spacing w:after="0" w:line="277" w:lineRule="auto"/>
        <w:tabs>
          <w:tab w:leader="none" w:pos="19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otherwise provided herein, the Board of Directors shall determine whether the Company should make, change or revoke any other elections permitted by the Code.</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b w:val="1"/>
          <w:bCs w:val="1"/>
          <w:u w:val="single" w:color="auto"/>
          <w:color w:val="auto"/>
        </w:rPr>
        <w:t>Withholding</w:t>
      </w:r>
      <w:r>
        <w:rPr>
          <w:rFonts w:ascii="Arial" w:cs="Arial" w:eastAsia="Arial" w:hAnsi="Arial"/>
          <w:sz w:val="16"/>
          <w:szCs w:val="16"/>
          <w:color w:val="auto"/>
        </w:rPr>
        <w:t xml:space="preserve">. Notwithstanding any other provision of this Agreement, the Board of Directors is authorized to take any action that may be required to cause the Company and other Group Members to comply with any withholding requirements established under the Code or any other federal, state, local or foreign law including pursuant to Sections 1441, 1442, 1445 and 1446 of the Code. To the extent that the Company withholds and pays over to any taxing authority any amount in connection with any dividend or other distribution of income to any Member, the Board of Directors may treat the amount withheld as a distribution of cash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w:t>
      </w:r>
      <w:r>
        <w:rPr>
          <w:rFonts w:ascii="Arial" w:cs="Arial" w:eastAsia="Arial" w:hAnsi="Arial"/>
          <w:sz w:val="16"/>
          <w:szCs w:val="16"/>
          <w:color w:val="auto"/>
        </w:rPr>
        <w:t>, as applicable in the amount of such withholding from such Member.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3" w:name="page94"/>
    <w:bookmarkEnd w:id="93"/>
    <w:p>
      <w:pPr>
        <w:ind w:left="484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DISSOLUTION AND LIQUIDATION</w:t>
      </w:r>
    </w:p>
    <w:p>
      <w:pPr>
        <w:spacing w:after="0" w:line="26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b w:val="1"/>
          <w:bCs w:val="1"/>
          <w:u w:val="single" w:color="auto"/>
          <w:color w:val="auto"/>
        </w:rPr>
        <w:t>Dissolution</w:t>
      </w:r>
      <w:r>
        <w:rPr>
          <w:rFonts w:ascii="Arial" w:cs="Arial" w:eastAsia="Arial" w:hAnsi="Arial"/>
          <w:sz w:val="18"/>
          <w:szCs w:val="18"/>
          <w:color w:val="auto"/>
        </w:rPr>
        <w:t>. The Company shall not be dissolved by the admission of additional Members. The Company shall dissolve, and its affairs shall be wound up, upon:</w:t>
      </w:r>
    </w:p>
    <w:p>
      <w:pPr>
        <w:spacing w:after="0" w:line="220" w:lineRule="exact"/>
        <w:rPr>
          <w:sz w:val="20"/>
          <w:szCs w:val="20"/>
          <w:color w:val="auto"/>
        </w:rPr>
      </w:pPr>
    </w:p>
    <w:p>
      <w:pPr>
        <w:ind w:left="1820" w:hanging="515"/>
        <w:spacing w:after="0"/>
        <w:tabs>
          <w:tab w:leader="none" w:pos="1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election to dissolve the Company by the Board of Directors that is approved by the holders of a Share Majority;</w:t>
      </w:r>
    </w:p>
    <w:p>
      <w:pPr>
        <w:spacing w:after="0" w:line="279" w:lineRule="exact"/>
        <w:rPr>
          <w:rFonts w:ascii="Arial" w:cs="Arial" w:eastAsia="Arial" w:hAnsi="Arial"/>
          <w:sz w:val="18"/>
          <w:szCs w:val="18"/>
          <w:color w:val="auto"/>
        </w:rPr>
      </w:pPr>
    </w:p>
    <w:p>
      <w:pPr>
        <w:ind w:left="1980" w:hanging="675"/>
        <w:spacing w:after="0"/>
        <w:tabs>
          <w:tab w:leader="none" w:pos="1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sale, exchange or other disposition of all or substantially all of the assets and properties of the Company and those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65" w:lineRule="exact"/>
        <w:rPr>
          <w:sz w:val="20"/>
          <w:szCs w:val="20"/>
          <w:color w:val="auto"/>
        </w:rPr>
      </w:pPr>
    </w:p>
    <w:p>
      <w:pPr>
        <w:ind w:left="1820" w:hanging="515"/>
        <w:spacing w:after="0"/>
        <w:tabs>
          <w:tab w:leader="none" w:pos="1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pursuant to the provisions of the Delaware Act; or</w:t>
      </w:r>
    </w:p>
    <w:p>
      <w:pPr>
        <w:spacing w:after="0" w:line="279" w:lineRule="exact"/>
        <w:rPr>
          <w:rFonts w:ascii="Arial" w:cs="Arial" w:eastAsia="Arial" w:hAnsi="Arial"/>
          <w:sz w:val="18"/>
          <w:szCs w:val="18"/>
          <w:color w:val="auto"/>
        </w:rPr>
      </w:pPr>
    </w:p>
    <w:p>
      <w:pPr>
        <w:ind w:left="1920" w:hanging="615"/>
        <w:spacing w:after="0"/>
        <w:tabs>
          <w:tab w:leader="none" w:pos="1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at any time that there are no Members of the Company, unless the business of the Company is continued in accordance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Act.</w:t>
      </w:r>
    </w:p>
    <w:p>
      <w:pPr>
        <w:spacing w:after="0" w:line="2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b w:val="1"/>
          <w:bCs w:val="1"/>
          <w:u w:val="single" w:color="auto"/>
          <w:color w:val="auto"/>
        </w:rPr>
        <w:t>Liquidator</w:t>
      </w:r>
      <w:r>
        <w:rPr>
          <w:rFonts w:ascii="Arial" w:cs="Arial" w:eastAsia="Arial" w:hAnsi="Arial"/>
          <w:sz w:val="16"/>
          <w:szCs w:val="16"/>
          <w:color w:val="auto"/>
        </w:rPr>
        <w:t xml:space="preserve">. Upon dissolution of the Company, the Board of Directors shall select one or more Persons to act as Liquidator. The Liquidator (if other than the Board of Directors) shall be entitled to receive such compensation for its services as may be approved by holders of a Share Majority. The Liquidator (if other than the Board of Directors) shall agree not to resign at any time without 15 days’ prior notice and may be removed at any time, with or without cause, by notice of removal approved by holders of a Share Majority. Upon dissolution, death, incapacity, removal or resignation of the Liquidator, a successor and substitute Liquidator (who shall have and succeed to all rights, powers and duties of the original Liquidator) shall within 30 days thereafter be approved by holders of a Share Majority. The right to approve a successor or substitute Liquidator in the manner provided herein shall be deemed to refer also to any such successor or substitute Liquidator approved in the manner herein provided. Except as expressly provided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the Liquidator approved in the manner provided herein shall have and may exercise, without further authorization or consent of any of the parties hereto, all of the powers conferred upon the Board of Directors under the terms of this Agreement (but subject to all of the applicable limitations, contractual and otherwise, upon the exercise of such powers) necessary or appropriate to carry out the duties and functions of the Liquidator hereunder for and during the period of time required to complete the winding up and liquidation of the Company as provided for herein.</w:t>
      </w:r>
    </w:p>
    <w:p>
      <w:pPr>
        <w:spacing w:after="0" w:line="21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b w:val="1"/>
          <w:bCs w:val="1"/>
          <w:u w:val="single" w:color="auto"/>
          <w:color w:val="auto"/>
        </w:rPr>
        <w:t>Liquidation</w:t>
      </w:r>
      <w:r>
        <w:rPr>
          <w:rFonts w:ascii="Arial" w:cs="Arial" w:eastAsia="Arial" w:hAnsi="Arial"/>
          <w:sz w:val="17"/>
          <w:szCs w:val="17"/>
          <w:color w:val="auto"/>
        </w:rPr>
        <w:t>. The Liquidator shall proceed to dispose of the assets of the Company, discharge its liabilities, and otherwise wind up its affairs in such manner and over such period as determined by the Liquidator, subject to Section 18-804 of the Delaware Act and the following:</w:t>
      </w:r>
    </w:p>
    <w:p>
      <w:pPr>
        <w:spacing w:after="0" w:line="196" w:lineRule="exact"/>
        <w:rPr>
          <w:sz w:val="20"/>
          <w:szCs w:val="20"/>
          <w:color w:val="auto"/>
        </w:rPr>
      </w:pPr>
    </w:p>
    <w:p>
      <w:pPr>
        <w:jc w:val="both"/>
        <w:ind w:firstLine="1305"/>
        <w:spacing w:after="0" w:line="289" w:lineRule="auto"/>
        <w:tabs>
          <w:tab w:leader="none" w:pos="18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the assets may be disposed of by public or private sale or by distribution in kind to one or more Members on such terms as the Liquidator and such Member or Members may agree. If any property is distributed in kind, the Member receiving the property shall be deemed for purposes of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to have received cash equal to its fair market value; and contemporaneously therewith, appropriate cash distributions must be made to the other Members. Notwithstanding anything to the contrary contained in this Agreement, the Members understand and acknowledge that a Member may be compelled to accept a distribution of any asset in kind from the Company despite the fact that the percentage of the asset distributed to such Member exceeds the percentage of that asset which is equal to the percentage in which such Member shares in distributions from the Company. The Liquidator may defer liquidation or distribution of the Company’s assets for a reasonable time if it determines that an immediate sale or distribution of all or some of the Company’s assets would be impractical or would cause undue loss to the Members. The Liquidator may distribute the Company’s assets, in whole or in part, in kind if it determines that a sale would be impractical or would cause undue loss to the Members.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94" w:name="page95"/>
    <w:bookmarkEnd w:id="94"/>
    <w:p>
      <w:pPr>
        <w:jc w:val="both"/>
        <w:ind w:firstLine="1305"/>
        <w:spacing w:after="0" w:line="257" w:lineRule="auto"/>
        <w:tabs>
          <w:tab w:leader="none" w:pos="19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Liabilities of the Company include income taxes, amounts owed to the Liquidator as compensation for serving in such capacity (subject to the terms of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and amounts to Members otherwise than in respect of their distribution rights under </w:t>
      </w:r>
      <w:r>
        <w:rPr>
          <w:rFonts w:ascii="Arial" w:cs="Arial" w:eastAsia="Arial" w:hAnsi="Arial"/>
          <w:sz w:val="18"/>
          <w:szCs w:val="18"/>
          <w:u w:val="single" w:color="auto"/>
          <w:color w:val="auto"/>
        </w:rPr>
        <w:t>Article Iv</w:t>
      </w:r>
      <w:r>
        <w:rPr>
          <w:rFonts w:ascii="Arial" w:cs="Arial" w:eastAsia="Arial" w:hAnsi="Arial"/>
          <w:sz w:val="18"/>
          <w:szCs w:val="18"/>
          <w:color w:val="auto"/>
        </w:rPr>
        <w:t>.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applied to other liabilities or distributed as additional liquidation proceeds.</w:t>
      </w:r>
    </w:p>
    <w:p>
      <w:pPr>
        <w:spacing w:after="0" w:line="242" w:lineRule="exact"/>
        <w:rPr>
          <w:rFonts w:ascii="Arial" w:cs="Arial" w:eastAsia="Arial" w:hAnsi="Arial"/>
          <w:sz w:val="18"/>
          <w:szCs w:val="18"/>
          <w:color w:val="auto"/>
        </w:rPr>
      </w:pPr>
    </w:p>
    <w:p>
      <w:pPr>
        <w:jc w:val="both"/>
        <w:ind w:firstLine="1305"/>
        <w:spacing w:after="0" w:line="259" w:lineRule="auto"/>
        <w:tabs>
          <w:tab w:leader="none" w:pos="1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the terms of any Share Designation, the holders of Class A Shares shall be entitled to receive all of the remaining assets of the Company available for distribution to its Members, ratably in proportion to the number of Class A Shares held by them. The holders of Class B Shares, as such, shall not be entitled to receive any assets of the Company in the event of any voluntary or involuntary liquidation, dissolution or winding up of the affairs of the Company.</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u w:val="single" w:color="auto"/>
          <w:color w:val="auto"/>
        </w:rPr>
        <w:t>Cancellation of Certificate of Formation</w:t>
      </w:r>
      <w:r>
        <w:rPr>
          <w:rFonts w:ascii="Arial" w:cs="Arial" w:eastAsia="Arial" w:hAnsi="Arial"/>
          <w:sz w:val="18"/>
          <w:szCs w:val="18"/>
          <w:color w:val="auto"/>
        </w:rPr>
        <w:t xml:space="preserve">. Upon the completion of the distribution of Company cash and property as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in connection with the liquidation of the Company, the Certificate of Formation and all qualifications of the Company as a foreign limited liability company in jurisdictions other than the State of Delaware shall be canceled and such other actions as may be necessary to terminate the Company shall be taken.</w:t>
      </w:r>
    </w:p>
    <w:p>
      <w:pPr>
        <w:spacing w:after="0" w:line="2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b w:val="1"/>
          <w:bCs w:val="1"/>
          <w:u w:val="single" w:color="auto"/>
          <w:color w:val="auto"/>
        </w:rPr>
        <w:t>Return of Contributions</w:t>
      </w:r>
      <w:r>
        <w:rPr>
          <w:rFonts w:ascii="Arial" w:cs="Arial" w:eastAsia="Arial" w:hAnsi="Arial"/>
          <w:sz w:val="17"/>
          <w:szCs w:val="17"/>
          <w:color w:val="auto"/>
        </w:rPr>
        <w:t>. None of any member of the Board of Directors or any Officer of the Company will be personally liable for, or have any obligation to contribute or loan any monies or property to the Company to enable it to effectuate, the return of the Capital Contributions of the Members, or any portion thereof, it being expressly understood that any such return shall be made solely from Company assets.</w:t>
      </w:r>
    </w:p>
    <w:p>
      <w:pPr>
        <w:spacing w:after="0" w:line="21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6"/>
          <w:szCs w:val="16"/>
          <w:b w:val="1"/>
          <w:bCs w:val="1"/>
          <w:u w:val="single" w:color="auto"/>
          <w:color w:val="auto"/>
        </w:rPr>
        <w:t>Waiver of Partition</w:t>
      </w:r>
      <w:r>
        <w:rPr>
          <w:rFonts w:ascii="Arial" w:cs="Arial" w:eastAsia="Arial" w:hAnsi="Arial"/>
          <w:sz w:val="16"/>
          <w:szCs w:val="16"/>
          <w:color w:val="auto"/>
        </w:rPr>
        <w:t>. To the maximum extent permitted by law, each Member hereby waives any right to partition of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6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AMENDMENT OF AGREEMENT</w:t>
      </w:r>
    </w:p>
    <w:p>
      <w:pPr>
        <w:spacing w:after="0" w:line="2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the Board of Directors may amend any of the terms of this Agreement but only in compliance with the terms, conditions and procedures set forth in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If the Board of Directors desires to amend any provision of this Agreement other than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then it shall first adopt a resolution setting forth the amendment proposed, declaring its advisability, and then (i) call a special meeting of the Members entitled to vote in respect thereof for the consideration of such amendment, (ii) direct that the amendment proposed be considered at the next annual meeting of the Members or (iii) seek the written consent of the Members. Amendments to this Agreement may be proposed only by or with the consent of the Board of Directors. Such special or annual meeting shall be called and held upon notice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of this Agreement. The notice shall set forth such amendment in full or a brief summary of the changes to be effected thereby, as the Board of Directors shall deem advisable. At the meeting, a vote of Members entitled to vote thereon shall be taken for and against the proposed amendment. A proposed amendment shall be effective upon its approval by a Share Majority, unless a greater percentage is required under this Agreement or by Delaware law.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5" w:name="page96"/>
    <w:bookmarkEnd w:id="95"/>
    <w:p>
      <w:pPr>
        <w:jc w:val="both"/>
        <w:ind w:firstLine="648"/>
        <w:spacing w:after="0" w:line="266"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b w:val="1"/>
          <w:bCs w:val="1"/>
          <w:u w:val="single" w:color="auto"/>
          <w:color w:val="auto"/>
        </w:rPr>
        <w:t>Super-Majority Amendments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the affirmative vote of the holders of Outstanding Voting Shares representing at least two-thirds of the total votes that may be cast by all Outstanding Voting Shares in the election of Directors, voting together as a single class, shall be required to alter or amend any provision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9.4(b)</w:t>
      </w:r>
      <w:r>
        <w:rPr>
          <w:rFonts w:ascii="Arial" w:cs="Arial" w:eastAsia="Arial" w:hAnsi="Arial"/>
          <w:sz w:val="18"/>
          <w:szCs w:val="18"/>
          <w:color w:val="auto"/>
        </w:rPr>
        <w:t>.</w:t>
      </w:r>
    </w:p>
    <w:p>
      <w:pPr>
        <w:spacing w:after="0" w:line="23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b w:val="1"/>
          <w:bCs w:val="1"/>
          <w:u w:val="single" w:color="auto"/>
          <w:color w:val="auto"/>
        </w:rPr>
        <w:t>Amendments to be Adopted Solely by the Board of Directors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9.1</w:t>
      </w:r>
      <w:r>
        <w:rPr>
          <w:rFonts w:ascii="Arial" w:cs="Arial" w:eastAsia="Arial" w:hAnsi="Arial"/>
          <w:sz w:val="18"/>
          <w:szCs w:val="18"/>
          <w:color w:val="auto"/>
        </w:rPr>
        <w:t>, the Board of Directors, without the approval of any Member, may amend any provision of this Agreement, and execute, swear to, acknowledge, deliver, file and record whatever documents may be required in connection therewith, to reflect:</w:t>
      </w:r>
    </w:p>
    <w:p>
      <w:pPr>
        <w:spacing w:after="0" w:line="234" w:lineRule="exact"/>
        <w:rPr>
          <w:sz w:val="20"/>
          <w:szCs w:val="20"/>
          <w:color w:val="auto"/>
        </w:rPr>
      </w:pPr>
    </w:p>
    <w:p>
      <w:pPr>
        <w:ind w:firstLine="1305"/>
        <w:spacing w:after="0" w:line="277" w:lineRule="auto"/>
        <w:tabs>
          <w:tab w:leader="none" w:pos="18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change in the name of the Company, the location of the principal place of business of the Company, the registered agent of the Company or the registered office of the Company;</w:t>
      </w:r>
    </w:p>
    <w:p>
      <w:pPr>
        <w:spacing w:after="0" w:line="224" w:lineRule="exact"/>
        <w:rPr>
          <w:rFonts w:ascii="Arial" w:cs="Arial" w:eastAsia="Arial" w:hAnsi="Arial"/>
          <w:sz w:val="18"/>
          <w:szCs w:val="18"/>
          <w:color w:val="auto"/>
        </w:rPr>
      </w:pPr>
    </w:p>
    <w:p>
      <w:pPr>
        <w:ind w:left="1840" w:hanging="535"/>
        <w:spacing w:after="0"/>
        <w:tabs>
          <w:tab w:leader="none" w:pos="1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Members in accordance with this Agreement;</w:t>
      </w:r>
    </w:p>
    <w:p>
      <w:pPr>
        <w:spacing w:after="0" w:line="279" w:lineRule="exact"/>
        <w:rPr>
          <w:rFonts w:ascii="Arial" w:cs="Arial" w:eastAsia="Arial" w:hAnsi="Arial"/>
          <w:sz w:val="18"/>
          <w:szCs w:val="18"/>
          <w:color w:val="auto"/>
        </w:rPr>
      </w:pPr>
    </w:p>
    <w:p>
      <w:pPr>
        <w:ind w:firstLine="1305"/>
        <w:spacing w:after="0" w:line="277" w:lineRule="auto"/>
        <w:tabs>
          <w:tab w:leader="none" w:pos="196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change that the Board of Directors determines to be necessary or appropriate to qualify or continue the qualification of the Company as a limited liability company under the laws of any state;</w:t>
      </w:r>
    </w:p>
    <w:p>
      <w:pPr>
        <w:spacing w:after="0" w:line="224" w:lineRule="exact"/>
        <w:rPr>
          <w:rFonts w:ascii="Arial" w:cs="Arial" w:eastAsia="Arial" w:hAnsi="Arial"/>
          <w:sz w:val="18"/>
          <w:szCs w:val="18"/>
          <w:color w:val="auto"/>
        </w:rPr>
      </w:pPr>
    </w:p>
    <w:p>
      <w:pPr>
        <w:jc w:val="both"/>
        <w:ind w:firstLine="1305"/>
        <w:spacing w:after="0" w:line="290" w:lineRule="auto"/>
        <w:tabs>
          <w:tab w:leader="none" w:pos="189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 change that, in the sole discretion of the Board of Directors, it determines (i) does not adversely affect the Members (including adversely affecting the holders of any particular class or series of Shares as compared to other holders of other classes or series of Shares) in any material respect, (ii) to be necessary or appropriate to satisfy any requirements, conditions or guidelines contained in any opinion, directive, order, ruling or regulation of any federal or state agency or judicial authority or contained in any federal or state statute (including the Delaware Act), (iii) to be necessary, desirable or appropriate to facilitate the trading of the Shares or comply with any rule, regulation, guideline or requirement of any National Securities Exchange on which Shares are or will be listed for trading, compliance with any of which the Board of Directors deems to be in the best interests of the Company and the Members, (iv) to be necessary or appropriate in connection with action taken by the Board of Directors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or (v) is required to effect the intent expressed in the Registration Statement or the intent of the provisions of this Agreement or is otherwise contemplated by this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96" w:name="page97"/>
    <w:bookmarkEnd w:id="96"/>
    <w:p>
      <w:pPr>
        <w:ind w:firstLine="1305"/>
        <w:spacing w:after="0" w:line="277" w:lineRule="auto"/>
        <w:tabs>
          <w:tab w:leader="none" w:pos="19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Company and any other changes that the Board of Directors determines to be necessary or appropriate as a result of a change in the fiscal year or taxable year of the Company;</w:t>
      </w:r>
    </w:p>
    <w:p>
      <w:pPr>
        <w:spacing w:after="0" w:line="224" w:lineRule="exact"/>
        <w:rPr>
          <w:rFonts w:ascii="Arial" w:cs="Arial" w:eastAsia="Arial" w:hAnsi="Arial"/>
          <w:sz w:val="18"/>
          <w:szCs w:val="18"/>
          <w:color w:val="auto"/>
        </w:rPr>
      </w:pPr>
    </w:p>
    <w:p>
      <w:pPr>
        <w:jc w:val="both"/>
        <w:ind w:firstLine="1305"/>
        <w:spacing w:after="0" w:line="257" w:lineRule="auto"/>
        <w:tabs>
          <w:tab w:leader="none" w:pos="18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amendment that the Board of Directors determines, based on the advice of counsel, to be necessary or appropriate to prevent the Company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242" w:lineRule="exact"/>
        <w:rPr>
          <w:rFonts w:ascii="Arial" w:cs="Arial" w:eastAsia="Arial" w:hAnsi="Arial"/>
          <w:sz w:val="18"/>
          <w:szCs w:val="18"/>
          <w:color w:val="auto"/>
        </w:rPr>
      </w:pPr>
    </w:p>
    <w:p>
      <w:pPr>
        <w:ind w:firstLine="1305"/>
        <w:spacing w:after="0" w:line="277" w:lineRule="auto"/>
        <w:tabs>
          <w:tab w:leader="none" w:pos="18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an amendment that the Board of Directors determines to be necessary or appropriate in connection with the authorization or issuance of any class or series of Shares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840" w:hanging="535"/>
        <w:spacing w:after="0"/>
        <w:tabs>
          <w:tab w:leader="none" w:pos="1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Board of Directors acting alone;</w:t>
      </w:r>
    </w:p>
    <w:p>
      <w:pPr>
        <w:spacing w:after="0" w:line="279" w:lineRule="exact"/>
        <w:rPr>
          <w:rFonts w:ascii="Arial" w:cs="Arial" w:eastAsia="Arial" w:hAnsi="Arial"/>
          <w:sz w:val="18"/>
          <w:szCs w:val="18"/>
          <w:color w:val="auto"/>
        </w:rPr>
      </w:pPr>
    </w:p>
    <w:p>
      <w:pPr>
        <w:ind w:left="1860" w:hanging="555"/>
        <w:spacing w:after="0"/>
        <w:tabs>
          <w:tab w:leader="none" w:pos="18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an amendment effected, necessitated or contemplated by a Merger Agreement approved in accordance with </w:t>
      </w:r>
      <w:r>
        <w:rPr>
          <w:rFonts w:ascii="Arial" w:cs="Arial" w:eastAsia="Arial" w:hAnsi="Arial"/>
          <w:sz w:val="17"/>
          <w:szCs w:val="17"/>
          <w:u w:val="single" w:color="auto"/>
          <w:color w:val="auto"/>
        </w:rPr>
        <w:t>Section 10.3</w:t>
      </w: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jc w:val="both"/>
        <w:ind w:firstLine="1305"/>
        <w:spacing w:after="0" w:line="264" w:lineRule="auto"/>
        <w:tabs>
          <w:tab w:leader="none" w:pos="18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an amendment that the Board of Directors determines to be necessary or appropriate to reflect and account for the formation by the Company of, or investment by the Company in, any corporation, partnership, joint venture, limited liability company or other entity, in connection with the conduct by the Company of activities permitted by the terms of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left="1900" w:hanging="5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 merger, conversion or conveyance pursuant to </w:t>
      </w:r>
      <w:r>
        <w:rPr>
          <w:rFonts w:ascii="Arial" w:cs="Arial" w:eastAsia="Arial" w:hAnsi="Arial"/>
          <w:sz w:val="18"/>
          <w:szCs w:val="18"/>
          <w:u w:val="single" w:color="auto"/>
          <w:color w:val="auto"/>
        </w:rPr>
        <w:t>Section 10.3(d)</w:t>
      </w:r>
      <w:r>
        <w:rPr>
          <w:rFonts w:ascii="Arial" w:cs="Arial" w:eastAsia="Arial" w:hAnsi="Arial"/>
          <w:sz w:val="18"/>
          <w:szCs w:val="18"/>
          <w:color w:val="auto"/>
        </w:rPr>
        <w:t>; or</w:t>
      </w:r>
    </w:p>
    <w:p>
      <w:pPr>
        <w:spacing w:after="0" w:line="279" w:lineRule="exact"/>
        <w:rPr>
          <w:rFonts w:ascii="Arial" w:cs="Arial" w:eastAsia="Arial" w:hAnsi="Arial"/>
          <w:sz w:val="18"/>
          <w:szCs w:val="18"/>
          <w:color w:val="auto"/>
        </w:rPr>
      </w:pPr>
    </w:p>
    <w:p>
      <w:pPr>
        <w:ind w:left="1900" w:hanging="5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b w:val="1"/>
          <w:bCs w:val="1"/>
          <w:u w:val="single" w:color="auto"/>
          <w:color w:val="auto"/>
        </w:rPr>
        <w:t>Amendment Requirements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79" w:lineRule="auto"/>
        <w:tabs>
          <w:tab w:leader="none" w:pos="2077"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Sections 9.1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9.3(d)(iv)</w:t>
      </w:r>
      <w:r>
        <w:rPr>
          <w:rFonts w:ascii="Arial" w:cs="Arial" w:eastAsia="Arial" w:hAnsi="Arial"/>
          <w:sz w:val="17"/>
          <w:szCs w:val="17"/>
          <w:color w:val="auto"/>
        </w:rPr>
        <w:t>), no provision of this Agreement that establishes a percentage of Outstanding Voting Shares required to take any action shall be amended, altered, changed, repealed or rescinded in any respect that would have the effect of reducing such voting percentage unless such amendment is approved by the affirmative vote of holders of Outstanding Voting Shares whose aggregate Outstanding Voting Shares constitute not less than the voting requirement sought to be reduced.</w:t>
      </w:r>
    </w:p>
    <w:p>
      <w:pPr>
        <w:spacing w:after="0" w:line="225" w:lineRule="exact"/>
        <w:rPr>
          <w:rFonts w:ascii="Arial" w:cs="Arial" w:eastAsia="Arial" w:hAnsi="Arial"/>
          <w:sz w:val="17"/>
          <w:szCs w:val="17"/>
          <w:color w:val="auto"/>
        </w:rPr>
      </w:pPr>
    </w:p>
    <w:p>
      <w:pPr>
        <w:jc w:val="both"/>
        <w:ind w:firstLine="1305"/>
        <w:spacing w:after="0" w:line="259" w:lineRule="auto"/>
        <w:tabs>
          <w:tab w:leader="none" w:pos="18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9.3(d)(iv)</w:t>
      </w:r>
      <w:r>
        <w:rPr>
          <w:rFonts w:ascii="Arial" w:cs="Arial" w:eastAsia="Arial" w:hAnsi="Arial"/>
          <w:sz w:val="18"/>
          <w:szCs w:val="18"/>
          <w:color w:val="auto"/>
        </w:rPr>
        <w:t xml:space="preserve">), but subject to the provisions of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no amendment to this Agreement may (i) enlarge the obligations of any Member without its consent, unless such shall occur as a result of an amendment approved pursuant to </w:t>
      </w:r>
      <w:r>
        <w:rPr>
          <w:rFonts w:ascii="Arial" w:cs="Arial" w:eastAsia="Arial" w:hAnsi="Arial"/>
          <w:sz w:val="18"/>
          <w:szCs w:val="18"/>
          <w:u w:val="single" w:color="auto"/>
          <w:color w:val="auto"/>
        </w:rPr>
        <w:t>Section 9.4(c)</w:t>
      </w:r>
      <w:r>
        <w:rPr>
          <w:rFonts w:ascii="Arial" w:cs="Arial" w:eastAsia="Arial" w:hAnsi="Arial"/>
          <w:sz w:val="18"/>
          <w:szCs w:val="18"/>
          <w:color w:val="auto"/>
        </w:rPr>
        <w:t xml:space="preserve">, (ii) change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(iii) change the term of the Company or, (iv) except as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give any Person the right to dissolve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7" w:name="page98"/>
    <w:bookmarkEnd w:id="97"/>
    <w:p>
      <w:pPr>
        <w:jc w:val="both"/>
        <w:ind w:firstLine="1305"/>
        <w:spacing w:after="0" w:line="259" w:lineRule="auto"/>
        <w:tabs>
          <w:tab w:leader="none" w:pos="21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without limitation of the Board of Directors’ authority to adopt amendments to this Agreement without the approval of any Members as contemplated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notwithstanding the provisions of </w:t>
      </w:r>
      <w:r>
        <w:rPr>
          <w:rFonts w:ascii="Arial" w:cs="Arial" w:eastAsia="Arial" w:hAnsi="Arial"/>
          <w:sz w:val="18"/>
          <w:szCs w:val="18"/>
          <w:u w:val="single" w:color="auto"/>
          <w:color w:val="auto"/>
        </w:rPr>
        <w:t>Section 9.1</w:t>
      </w:r>
      <w:r>
        <w:rPr>
          <w:rFonts w:ascii="Arial" w:cs="Arial" w:eastAsia="Arial" w:hAnsi="Arial"/>
          <w:sz w:val="18"/>
          <w:szCs w:val="18"/>
          <w:color w:val="auto"/>
        </w:rPr>
        <w:t>, any amendment that would have a material adverse effect on the rights or preferences of any class or series of Shares in relation to other classes or series of Shares must be approved by the holders of a majority of the Outstanding Shares of the class or series affected.</w:t>
      </w:r>
    </w:p>
    <w:p>
      <w:pPr>
        <w:spacing w:after="0" w:line="240" w:lineRule="exact"/>
        <w:rPr>
          <w:rFonts w:ascii="Arial" w:cs="Arial" w:eastAsia="Arial" w:hAnsi="Arial"/>
          <w:sz w:val="18"/>
          <w:szCs w:val="18"/>
          <w:color w:val="auto"/>
        </w:rPr>
      </w:pPr>
    </w:p>
    <w:p>
      <w:pPr>
        <w:jc w:val="both"/>
        <w:ind w:right="20" w:firstLine="1305"/>
        <w:spacing w:after="0" w:line="264" w:lineRule="auto"/>
        <w:tabs>
          <w:tab w:leader="none" w:pos="19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9.3(d)(iv)</w:t>
      </w:r>
      <w:r>
        <w:rPr>
          <w:rFonts w:ascii="Arial" w:cs="Arial" w:eastAsia="Arial" w:hAnsi="Arial"/>
          <w:sz w:val="18"/>
          <w:szCs w:val="18"/>
          <w:color w:val="auto"/>
        </w:rPr>
        <w:t xml:space="preserve">), so long as the Consenting Entities or their Affiliates collectively directly or indirectly own at least 30% of the outstanding Shares, no amendment to </w:t>
      </w:r>
      <w:r>
        <w:rPr>
          <w:rFonts w:ascii="Arial" w:cs="Arial" w:eastAsia="Arial" w:hAnsi="Arial"/>
          <w:sz w:val="18"/>
          <w:szCs w:val="18"/>
          <w:u w:val="single" w:color="auto"/>
          <w:color w:val="auto"/>
        </w:rPr>
        <w:t>Section 5.26</w:t>
      </w:r>
      <w:r>
        <w:rPr>
          <w:rFonts w:ascii="Arial" w:cs="Arial" w:eastAsia="Arial" w:hAnsi="Arial"/>
          <w:sz w:val="18"/>
          <w:szCs w:val="18"/>
          <w:color w:val="auto"/>
        </w:rPr>
        <w:t xml:space="preserve"> may be made without the prior consent of each of the Consenting Entities (so long as such Consenting Entity or its Affiliates owns at least one Share).</w:t>
      </w:r>
    </w:p>
    <w:p>
      <w:pPr>
        <w:spacing w:after="0" w:line="23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MERGER, CONSOLIDATION OR CONVERSION</w:t>
      </w:r>
    </w:p>
    <w:p>
      <w:pPr>
        <w:spacing w:after="0" w:line="2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The Company may merge or consolidate with one or more limited liability companies or “other business entities” as defined in Section 18-209 of the Delaware Act, or convert into any such entity, whether such entity is formed under the laws of the State of Delaware or any other state of the United States of America, pursuant to a written agreement of merger or consolidation (“</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xml:space="preserve">”), in accordance with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u w:val="single" w:color="auto"/>
          <w:color w:val="auto"/>
        </w:rPr>
        <w:t>Procedure for Merger, Consolidation or Conversion</w:t>
      </w:r>
      <w:r>
        <w:rPr>
          <w:rFonts w:ascii="Arial" w:cs="Arial" w:eastAsia="Arial" w:hAnsi="Arial"/>
          <w:sz w:val="18"/>
          <w:szCs w:val="18"/>
          <w:color w:val="auto"/>
        </w:rPr>
        <w:t xml:space="preserve">. Merger, consolidation or conversion of the Company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requires the prior approval of the Board of Directors.</w:t>
      </w:r>
    </w:p>
    <w:p>
      <w:pPr>
        <w:spacing w:after="0" w:line="220" w:lineRule="exact"/>
        <w:rPr>
          <w:sz w:val="20"/>
          <w:szCs w:val="20"/>
          <w:color w:val="auto"/>
        </w:rPr>
      </w:pPr>
    </w:p>
    <w:p>
      <w:pPr>
        <w:ind w:right="20" w:firstLine="1305"/>
        <w:spacing w:after="0" w:line="277" w:lineRule="auto"/>
        <w:tabs>
          <w:tab w:leader="none" w:pos="19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Board of Directors shall determine to consent to the merger or consolidation, the Board of Directors shall approve the Merger Agreement, which shall set forth:</w:t>
      </w:r>
    </w:p>
    <w:p>
      <w:pPr>
        <w:spacing w:after="0" w:line="224" w:lineRule="exact"/>
        <w:rPr>
          <w:rFonts w:ascii="Arial" w:cs="Arial" w:eastAsia="Arial" w:hAnsi="Arial"/>
          <w:sz w:val="18"/>
          <w:szCs w:val="18"/>
          <w:color w:val="auto"/>
        </w:rPr>
      </w:pPr>
    </w:p>
    <w:p>
      <w:pPr>
        <w:ind w:left="3020" w:hanging="1067"/>
        <w:spacing w:after="0"/>
        <w:tabs>
          <w:tab w:leader="none" w:pos="3020"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consolidate;</w:t>
      </w:r>
    </w:p>
    <w:p>
      <w:pPr>
        <w:spacing w:after="0" w:line="264" w:lineRule="exact"/>
        <w:rPr>
          <w:rFonts w:ascii="Arial" w:cs="Arial" w:eastAsia="Arial" w:hAnsi="Arial"/>
          <w:sz w:val="17"/>
          <w:szCs w:val="17"/>
          <w:color w:val="auto"/>
        </w:rPr>
      </w:pPr>
    </w:p>
    <w:p>
      <w:pPr>
        <w:ind w:firstLine="1953"/>
        <w:spacing w:after="0" w:line="277" w:lineRule="auto"/>
        <w:tabs>
          <w:tab w:leader="none" w:pos="278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b w:val="1"/>
          <w:bCs w:val="1"/>
          <w:u w:val="single" w:color="auto"/>
          <w:color w:val="auto"/>
        </w:rPr>
        <w:t>Surviving Business Entity</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2700" w:hanging="747"/>
        <w:spacing w:after="0"/>
        <w:tabs>
          <w:tab w:leader="none" w:pos="2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79" w:lineRule="exact"/>
        <w:rPr>
          <w:rFonts w:ascii="Arial" w:cs="Arial" w:eastAsia="Arial" w:hAnsi="Arial"/>
          <w:sz w:val="18"/>
          <w:szCs w:val="18"/>
          <w:color w:val="auto"/>
        </w:rPr>
      </w:pPr>
    </w:p>
    <w:p>
      <w:pPr>
        <w:jc w:val="both"/>
        <w:ind w:firstLine="1953"/>
        <w:spacing w:after="0" w:line="257" w:lineRule="auto"/>
        <w:tabs>
          <w:tab w:leader="none" w:pos="274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manner and basis of exchanging or converting the rights or securities of, or interests in, each constituent business entity for, or into, cash, property, rights, or securities of or interests in, the Surviving Business Entity; and if any rights or securities of, or interests in, any constituent business entity are not to be exchanged or converted solely for, or into, cash, property, rights, or securities of or interests in, the Surviving Business Entity, the cash, property, rights, or securities of or interests in, any limited liability company or other business entity which the holders of such rights, securities or interests are to receive, if 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8" w:name="page99"/>
    <w:bookmarkEnd w:id="98"/>
    <w:p>
      <w:pPr>
        <w:jc w:val="both"/>
        <w:ind w:firstLine="1953"/>
        <w:spacing w:after="0" w:line="312" w:lineRule="auto"/>
        <w:tabs>
          <w:tab w:leader="none" w:pos="270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statement of any changes in the constituent documents or the adoption of new constituent documents (the certificate of formation or limited liability company agreement,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200" w:lineRule="exact"/>
        <w:rPr>
          <w:rFonts w:ascii="Arial" w:cs="Arial" w:eastAsia="Arial" w:hAnsi="Arial"/>
          <w:sz w:val="16"/>
          <w:szCs w:val="16"/>
          <w:color w:val="auto"/>
        </w:rPr>
      </w:pPr>
    </w:p>
    <w:p>
      <w:pPr>
        <w:jc w:val="both"/>
        <w:ind w:firstLine="1953"/>
        <w:spacing w:after="0" w:line="259" w:lineRule="auto"/>
        <w:tabs>
          <w:tab w:leader="none" w:pos="26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effective time of the merger, which may be the date of the filing of the certificate of merger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 later date specified in or determinable in accordance with the Merger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if the effective time of the merger is to be later than the date of the filing of the certificate of merger, the effective time shall be fixed no later than the time of the filing of the certificate of merger or the time stated therein); and</w:t>
      </w:r>
    </w:p>
    <w:p>
      <w:pPr>
        <w:spacing w:after="0" w:line="240" w:lineRule="exact"/>
        <w:rPr>
          <w:rFonts w:ascii="Arial" w:cs="Arial" w:eastAsia="Arial" w:hAnsi="Arial"/>
          <w:sz w:val="18"/>
          <w:szCs w:val="18"/>
          <w:color w:val="auto"/>
        </w:rPr>
      </w:pPr>
    </w:p>
    <w:p>
      <w:pPr>
        <w:ind w:left="2740" w:hanging="787"/>
        <w:spacing w:after="0"/>
        <w:tabs>
          <w:tab w:leader="none" w:pos="27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merger or consolidation that the Board of Directors determines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necessary or appropriate.</w:t>
      </w:r>
    </w:p>
    <w:p>
      <w:pPr>
        <w:spacing w:after="0" w:line="26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b w:val="1"/>
          <w:bCs w:val="1"/>
          <w:u w:val="single" w:color="auto"/>
          <w:color w:val="auto"/>
        </w:rPr>
        <w:t>Approval by Members of Merger, Consolidation or Conversion or Sales of Substantially All of the Company’s Assets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86" w:lineRule="auto"/>
        <w:tabs>
          <w:tab w:leader="none" w:pos="203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10.3(d)</w:t>
      </w:r>
      <w:r>
        <w:rPr>
          <w:rFonts w:ascii="Arial" w:cs="Arial" w:eastAsia="Arial" w:hAnsi="Arial"/>
          <w:sz w:val="17"/>
          <w:szCs w:val="17"/>
          <w:color w:val="auto"/>
        </w:rPr>
        <w:t xml:space="preserve">, the Board of Directors, upon its approval of the Merger Agreement shall direct that the Merger Agreement be submitted to a vote of Members, whether at an annual meeting or a special meeting, in either case, in accordance with the requirements of </w:t>
      </w:r>
      <w:r>
        <w:rPr>
          <w:rFonts w:ascii="Arial" w:cs="Arial" w:eastAsia="Arial" w:hAnsi="Arial"/>
          <w:sz w:val="17"/>
          <w:szCs w:val="17"/>
          <w:u w:val="single" w:color="auto"/>
          <w:color w:val="auto"/>
        </w:rPr>
        <w:t>Article IX</w:t>
      </w:r>
      <w:r>
        <w:rPr>
          <w:rFonts w:ascii="Arial" w:cs="Arial" w:eastAsia="Arial" w:hAnsi="Arial"/>
          <w:sz w:val="17"/>
          <w:szCs w:val="17"/>
          <w:color w:val="auto"/>
        </w:rPr>
        <w:t>. A copy or a summary of the Merger Agreement shall be included in or enclosed with the notice of meeting.</w:t>
      </w:r>
    </w:p>
    <w:p>
      <w:pPr>
        <w:spacing w:after="0" w:line="219" w:lineRule="exact"/>
        <w:rPr>
          <w:rFonts w:ascii="Arial" w:cs="Arial" w:eastAsia="Arial" w:hAnsi="Arial"/>
          <w:sz w:val="17"/>
          <w:szCs w:val="17"/>
          <w:color w:val="auto"/>
        </w:rPr>
      </w:pPr>
    </w:p>
    <w:p>
      <w:pPr>
        <w:jc w:val="both"/>
        <w:ind w:firstLine="1305"/>
        <w:spacing w:after="0" w:line="302" w:lineRule="auto"/>
        <w:tabs>
          <w:tab w:leader="none" w:pos="200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10.3(d)</w:t>
      </w:r>
      <w:r>
        <w:rPr>
          <w:rFonts w:ascii="Arial" w:cs="Arial" w:eastAsia="Arial" w:hAnsi="Arial"/>
          <w:sz w:val="16"/>
          <w:szCs w:val="16"/>
          <w:color w:val="auto"/>
        </w:rPr>
        <w:t>, the Merger Agreement as applicable, shall be approved upon receiving the affirmative vote or consent of the holders of a Share Majority unless the Merger Agreement contains any provision that, if contained in an amendment to this Agreement, the provisions of this Agreement or the Delaware Act would require for its approval the vote or consent of a greater percentage of the Outstanding Voting Shares or of any class or series of Members, in which case such greater percentage vote or consent shall be required for approval of the Merger Agreement.</w:t>
      </w:r>
    </w:p>
    <w:p>
      <w:pPr>
        <w:spacing w:after="0" w:line="208" w:lineRule="exact"/>
        <w:rPr>
          <w:rFonts w:ascii="Arial" w:cs="Arial" w:eastAsia="Arial" w:hAnsi="Arial"/>
          <w:sz w:val="16"/>
          <w:szCs w:val="16"/>
          <w:color w:val="auto"/>
        </w:rPr>
      </w:pPr>
    </w:p>
    <w:p>
      <w:pPr>
        <w:jc w:val="both"/>
        <w:ind w:firstLine="1305"/>
        <w:spacing w:after="0" w:line="264" w:lineRule="auto"/>
        <w:tabs>
          <w:tab w:leader="none" w:pos="198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10.3(d)</w:t>
      </w:r>
      <w:r>
        <w:rPr>
          <w:rFonts w:ascii="Arial" w:cs="Arial" w:eastAsia="Arial" w:hAnsi="Arial"/>
          <w:sz w:val="18"/>
          <w:szCs w:val="18"/>
          <w:color w:val="auto"/>
        </w:rPr>
        <w:t xml:space="preserve">, after such approval by vote or consent of the Members, and at any time prior to the filing of the certificate of merger or a certificate of conversion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the merger, consolidation or conversion may be abandoned pursuant to provisions therefor, if any, set forth in the Merger Agreement.</w:t>
      </w:r>
    </w:p>
    <w:p>
      <w:pPr>
        <w:spacing w:after="0" w:line="235" w:lineRule="exact"/>
        <w:rPr>
          <w:rFonts w:ascii="Arial" w:cs="Arial" w:eastAsia="Arial" w:hAnsi="Arial"/>
          <w:sz w:val="18"/>
          <w:szCs w:val="18"/>
          <w:color w:val="auto"/>
        </w:rPr>
      </w:pPr>
    </w:p>
    <w:p>
      <w:pPr>
        <w:jc w:val="both"/>
        <w:ind w:firstLine="1305"/>
        <w:spacing w:after="0" w:line="255" w:lineRule="auto"/>
        <w:tabs>
          <w:tab w:leader="none" w:pos="21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Notwithstanding anything else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in this Agreement, the Board of Directors is permitted, without Member approval, to convert the Company into a new limited liability entity, or to merge the Company into, or convey all of the Company’s assets to, another limited liability entity, or which shall be newly formed and shall have no assets, liabilities or operations at the time of such conversion, merger or conveyance other than those it receives from the Company if (i) the sole purpose of such conversion, merger or conveyance is to effect a mere change in the legal form of the Company and (ii) the governing instruments of the new entity provide the Members and the Board of Directors with substantially the same rights and obligations as are herein contained.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9" w:name="page100"/>
    <w:bookmarkEnd w:id="99"/>
    <w:p>
      <w:pPr>
        <w:ind w:firstLine="1305"/>
        <w:spacing w:after="0" w:line="308" w:lineRule="auto"/>
        <w:tabs>
          <w:tab w:leader="none" w:pos="210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Members are not entitled to dissenters’ rights of appraisal in the event of a merger, consolidation or conversion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a sale of all or substantially all of the assets of the Company or the Company’s Subsidiaries, or any other similar transaction or event.</w:t>
      </w:r>
    </w:p>
    <w:p>
      <w:pPr>
        <w:spacing w:after="0" w:line="200" w:lineRule="exact"/>
        <w:rPr>
          <w:rFonts w:ascii="Arial" w:cs="Arial" w:eastAsia="Arial" w:hAnsi="Arial"/>
          <w:sz w:val="17"/>
          <w:szCs w:val="17"/>
          <w:color w:val="auto"/>
        </w:rPr>
      </w:pPr>
    </w:p>
    <w:p>
      <w:pPr>
        <w:jc w:val="both"/>
        <w:ind w:firstLine="1305"/>
        <w:spacing w:after="0" w:line="257" w:lineRule="auto"/>
        <w:tabs>
          <w:tab w:leader="none" w:pos="196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Board of Directors may not cause the Company to sell, exchange or otherwise dispose of all or substantially all of its assets, in one transaction or a series of related transactions, or approve on behalf of the Company any such sale, exchange or other disposition, without receiving the affirmative vote or consent of the holders of a Share Majority;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will not limit the ability of the Board of Directors to authorize the Company to mortgage, pledge, hypothecate or grant a security interest in all or substantially all of the assets of the Company without the approval of any Member.</w:t>
      </w:r>
    </w:p>
    <w:p>
      <w:pPr>
        <w:spacing w:after="0" w:line="242" w:lineRule="exact"/>
        <w:rPr>
          <w:rFonts w:ascii="Arial" w:cs="Arial" w:eastAsia="Arial" w:hAnsi="Arial"/>
          <w:sz w:val="18"/>
          <w:szCs w:val="18"/>
          <w:color w:val="auto"/>
        </w:rPr>
      </w:pPr>
    </w:p>
    <w:p>
      <w:pPr>
        <w:ind w:firstLine="1305"/>
        <w:spacing w:after="0" w:line="277" w:lineRule="auto"/>
        <w:tabs>
          <w:tab w:leader="none" w:pos="1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Each Merger, consolidation or conversion approved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provide that all holders of Class A Shares shall be entitled to receive the same consideration pursuant to such transaction with respect to each of their Class A Shares.</w:t>
      </w:r>
    </w:p>
    <w:p>
      <w:pPr>
        <w:spacing w:after="0" w:line="22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b w:val="1"/>
          <w:bCs w:val="1"/>
          <w:u w:val="single" w:color="auto"/>
          <w:color w:val="auto"/>
        </w:rPr>
        <w:t>Certificate of Merger</w:t>
      </w:r>
      <w:r>
        <w:rPr>
          <w:rFonts w:ascii="Arial" w:cs="Arial" w:eastAsia="Arial" w:hAnsi="Arial"/>
          <w:sz w:val="18"/>
          <w:szCs w:val="18"/>
          <w:color w:val="auto"/>
        </w:rPr>
        <w:t>. Upon the required approval by the Board of Directors and the Members of a Merger Agreement, a certificate of merger or certificate of conversion, as applicable, shall be executed and filed with the Secretary of State of the State of Delaware in conformity with the requirements of the Delaware Act.</w:t>
      </w:r>
    </w:p>
    <w:p>
      <w:pPr>
        <w:spacing w:after="0" w:line="23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b w:val="1"/>
          <w:bCs w:val="1"/>
          <w:u w:val="single" w:color="auto"/>
          <w:color w:val="auto"/>
        </w:rPr>
        <w:t>Effect of Merger</w:t>
      </w:r>
      <w:r>
        <w:rPr>
          <w:rFonts w:ascii="Arial" w:cs="Arial" w:eastAsia="Arial" w:hAnsi="Arial"/>
          <w:sz w:val="16"/>
          <w:szCs w:val="16"/>
          <w:color w:val="auto"/>
        </w:rPr>
        <w:t>.</w:t>
      </w:r>
    </w:p>
    <w:p>
      <w:pPr>
        <w:spacing w:after="0" w:line="283" w:lineRule="exact"/>
        <w:rPr>
          <w:sz w:val="20"/>
          <w:szCs w:val="20"/>
          <w:color w:val="auto"/>
        </w:rPr>
      </w:pPr>
    </w:p>
    <w:p>
      <w:pPr>
        <w:ind w:left="2040" w:hanging="735"/>
        <w:spacing w:after="0"/>
        <w:tabs>
          <w:tab w:leader="none" w:pos="2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279" w:lineRule="exact"/>
        <w:rPr>
          <w:rFonts w:ascii="Arial" w:cs="Arial" w:eastAsia="Arial" w:hAnsi="Arial"/>
          <w:sz w:val="18"/>
          <w:szCs w:val="18"/>
          <w:color w:val="auto"/>
        </w:rPr>
      </w:pPr>
    </w:p>
    <w:p>
      <w:pPr>
        <w:jc w:val="both"/>
        <w:ind w:firstLine="1953"/>
        <w:spacing w:after="0" w:line="259" w:lineRule="auto"/>
        <w:tabs>
          <w:tab w:leader="none" w:pos="269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of the rights, privileges and powers of each of the business entities that has merged or consolidated, and all property, real, personal and mixed, and all debts due to any of those business entities shall be vested in the Surviving Business Entity and after the merger or consolidation shall be the property of the Surviving Business Entity and all other things and causes of action belonging to each of those business entities, shall be vested in the Surviving Business Entity to the extent they were of each constituent business entity;</w:t>
      </w:r>
    </w:p>
    <w:p>
      <w:pPr>
        <w:spacing w:after="0" w:line="240" w:lineRule="exact"/>
        <w:rPr>
          <w:rFonts w:ascii="Arial" w:cs="Arial" w:eastAsia="Arial" w:hAnsi="Arial"/>
          <w:sz w:val="18"/>
          <w:szCs w:val="18"/>
          <w:color w:val="auto"/>
        </w:rPr>
      </w:pPr>
    </w:p>
    <w:p>
      <w:pPr>
        <w:ind w:firstLine="1953"/>
        <w:spacing w:after="0" w:line="277" w:lineRule="auto"/>
        <w:tabs>
          <w:tab w:leader="none" w:pos="26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224" w:lineRule="exact"/>
        <w:rPr>
          <w:rFonts w:ascii="Arial" w:cs="Arial" w:eastAsia="Arial" w:hAnsi="Arial"/>
          <w:sz w:val="18"/>
          <w:szCs w:val="18"/>
          <w:color w:val="auto"/>
        </w:rPr>
      </w:pPr>
    </w:p>
    <w:p>
      <w:pPr>
        <w:ind w:left="2660" w:hanging="707"/>
        <w:spacing w:after="0"/>
        <w:tabs>
          <w:tab w:leader="none" w:pos="26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rights of creditors and all liens on or security interests in property of any of those constituent business entities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preserved unimpaired; and</w:t>
      </w:r>
    </w:p>
    <w:p>
      <w:pPr>
        <w:spacing w:after="0" w:line="264" w:lineRule="exact"/>
        <w:rPr>
          <w:rFonts w:ascii="Arial" w:cs="Arial" w:eastAsia="Arial" w:hAnsi="Arial"/>
          <w:sz w:val="16"/>
          <w:szCs w:val="16"/>
          <w:color w:val="auto"/>
        </w:rPr>
      </w:pPr>
    </w:p>
    <w:p>
      <w:pPr>
        <w:ind w:firstLine="1953"/>
        <w:spacing w:after="0" w:line="277" w:lineRule="auto"/>
        <w:tabs>
          <w:tab w:leader="none" w:pos="265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224" w:lineRule="exact"/>
        <w:rPr>
          <w:rFonts w:ascii="Arial" w:cs="Arial" w:eastAsia="Arial" w:hAnsi="Arial"/>
          <w:sz w:val="18"/>
          <w:szCs w:val="18"/>
          <w:color w:val="auto"/>
        </w:rPr>
      </w:pPr>
    </w:p>
    <w:p>
      <w:pPr>
        <w:ind w:firstLine="1305"/>
        <w:spacing w:after="0" w:line="277" w:lineRule="auto"/>
        <w:tabs>
          <w:tab w:leader="none" w:pos="20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It is the intent of the parties hereto that a merger or consolidation effected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be deemed to result in a transfer or assignment of assets or liabilities from one entity to another.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 MEETINGS</w:t>
      </w:r>
    </w:p>
    <w:p>
      <w:pPr>
        <w:spacing w:after="0" w:line="26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b w:val="1"/>
          <w:bCs w:val="1"/>
          <w:u w:val="single" w:color="auto"/>
          <w:color w:val="auto"/>
        </w:rPr>
        <w:t>Member Meetings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91" w:lineRule="auto"/>
        <w:tabs>
          <w:tab w:leader="none" w:pos="214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All acts of Members to be taken hereunder shall be taken in the manner provided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 annual meeting of the Members for the election of Directors and for the transaction of such other business as may properly come before the meeting shall be held at such time and place as the Board of Directors shall specify. If authorized by the Board of Directors, and subject to such guidelines and procedures as the Board of Directors may adopt, Members and proxyholders not physically present at a meeting of Members may by means of remote communication participate in such meeting and be deemed present in person and vote at such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implement reasonable measures to verify that each Person deemed present and permitted to vote at the meeting by means of remote communication is a Member or proxyholder, to provide such Members or proxyholders a reasonable opportunity to participate in the meeting and to record the votes or other action made by such Members or proxyholders.</w:t>
      </w:r>
    </w:p>
    <w:p>
      <w:pPr>
        <w:spacing w:after="0" w:line="221" w:lineRule="exact"/>
        <w:rPr>
          <w:rFonts w:ascii="Arial" w:cs="Arial" w:eastAsia="Arial" w:hAnsi="Arial"/>
          <w:sz w:val="16"/>
          <w:szCs w:val="16"/>
          <w:color w:val="auto"/>
        </w:rPr>
      </w:pPr>
    </w:p>
    <w:p>
      <w:pPr>
        <w:jc w:val="both"/>
        <w:ind w:firstLine="1305"/>
        <w:spacing w:after="0" w:line="289" w:lineRule="auto"/>
        <w:tabs>
          <w:tab w:leader="none" w:pos="20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failure to hold the annual meeting of the Members at the designated time or to elect a sufficient number of Directors to conduct the business of the Company shall not affect otherwise valid acts of the Company or work a forfeiture or dissolution of the Company. If the annual meeting for election of Directors is not held on the date designated therefor, the Directors shall cause the meeting to be held as soon as is convenient. If there is a failure to hold the annual meeting for a period of 30 days after the date designated for the annual meeting, or if no date has been designated, for a period of 18 months after the latest to occur of the date of this Agreement or its last annual meeting, it is the intent of the parties that the Delaware Court of Chancery may summarily order a meeting to be held upon the application of any Member or Director. A majority of the Outstanding Voting Shares present at such meeting, either in person or by proxy, and entitled to vote thereat, shall constitute a quorum for the purpose of such meeting, notwithstanding any provision of this Agreement to the contrary. The Delaware Court of Chancery may issue such orders as may be appropriate, including orders designating the time and place of such meeting, the record date for determination of Members entitled to vote, and the form of notice of such meeting.</w:t>
      </w:r>
    </w:p>
    <w:p>
      <w:pPr>
        <w:spacing w:after="0" w:line="220" w:lineRule="exact"/>
        <w:rPr>
          <w:rFonts w:ascii="Arial" w:cs="Arial" w:eastAsia="Arial" w:hAnsi="Arial"/>
          <w:sz w:val="16"/>
          <w:szCs w:val="16"/>
          <w:color w:val="auto"/>
        </w:rPr>
      </w:pPr>
    </w:p>
    <w:p>
      <w:pPr>
        <w:jc w:val="both"/>
        <w:ind w:firstLine="1305"/>
        <w:spacing w:after="0" w:line="286" w:lineRule="auto"/>
        <w:tabs>
          <w:tab w:leader="none" w:pos="207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All elections of Directors will be by written ballots; if authorized by the Board of Directors, such requirement of a written ballot shall be satisfied by a ballot submitted by electronic transmission,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electronic transmission must either set forth or be submitted with information from which it can be reasonably determined that the electronic transmission was authorized by the Member or proxyholder.</w:t>
      </w:r>
    </w:p>
    <w:p>
      <w:pPr>
        <w:spacing w:after="0" w:line="219" w:lineRule="exact"/>
        <w:rPr>
          <w:rFonts w:ascii="Arial" w:cs="Arial" w:eastAsia="Arial" w:hAnsi="Arial"/>
          <w:sz w:val="17"/>
          <w:szCs w:val="17"/>
          <w:color w:val="auto"/>
        </w:rPr>
      </w:pPr>
    </w:p>
    <w:p>
      <w:pPr>
        <w:jc w:val="both"/>
        <w:ind w:firstLine="1305"/>
        <w:spacing w:after="0" w:line="257" w:lineRule="auto"/>
        <w:tabs>
          <w:tab w:leader="none" w:pos="21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Special meetings of the Members may be called only by the Chairman of the Board or a majority of the Board of Directors or a committee of the Board of Directors that has been duly designated by the Board of Directors and whose powers include the authority to call such meetings. No Members or group of Members, acting in its or their capacity as Members, shall have the right to call a special meeting of the Members, except that if any Consenting Entities or their Affiliates collectively own Outstanding Voting Shares that represent a Share Majority, such Consenting Entities may call a special meeting of the Members.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1" w:name="page102"/>
    <w:bookmarkEnd w:id="101"/>
    <w:p>
      <w:pPr>
        <w:ind w:left="660"/>
        <w:spacing w:after="0"/>
        <w:tabs>
          <w:tab w:leader="none" w:pos="206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b w:val="1"/>
          <w:bCs w:val="1"/>
          <w:u w:val="single" w:color="auto"/>
          <w:color w:val="auto"/>
        </w:rPr>
        <w:t>Notice of Meetings of Members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70" w:lineRule="auto"/>
        <w:tabs>
          <w:tab w:leader="none" w:pos="203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Notice, stating the place, day and hour of any annual or special meeting of the Members, as determined by the Board of Directors, and (i) in the case of a special meeting of the Members, the purpose or purposes for which the meeting is called, as determined by the Board of Directors if applicable, or (ii) in the case of an annual meeting, those matters that the Board of Directors, at the time of giving the notice, intends to present for action by the Members, shall be delivered by the Company not less than 10 calendar days nor more than 60 calendar days before the date of the meeting, in a manner and otherwise in accordance with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to each Record Holder who is entitled to vote at such meeting. Such further notice shall be given as may be required by Delaware law. The notice of any meeting of the Members at which Directors are to be elected shall include the name of any nominee or nominees who, at the time of the notice, the Board of Directors intends to present for election. Only such business shall be conducted at a special meeting of Members as shall have been brought before the meeting pursuant to the Company’s notice of meeting. Any previously scheduled meeting of the Members may be postponed, and any special meeting of the Members may be canceled, by resolution of the Board of Directors upon public notice given prior to the date previously scheduled for such meeting of the Members.</w:t>
      </w:r>
    </w:p>
    <w:p>
      <w:pPr>
        <w:spacing w:after="0" w:line="231" w:lineRule="exact"/>
        <w:rPr>
          <w:rFonts w:ascii="Arial" w:cs="Arial" w:eastAsia="Arial" w:hAnsi="Arial"/>
          <w:sz w:val="17"/>
          <w:szCs w:val="17"/>
          <w:color w:val="auto"/>
        </w:rPr>
      </w:pPr>
    </w:p>
    <w:p>
      <w:pPr>
        <w:ind w:firstLine="1305"/>
        <w:spacing w:after="0" w:line="277" w:lineRule="auto"/>
        <w:tabs>
          <w:tab w:leader="none" w:pos="2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Board of Directors shall designate the place of meeting for any annual meeting or for any special meeting of the Members. If no designation is made, the place of meeting shall be the principal office of the Company.</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b w:val="1"/>
          <w:bCs w:val="1"/>
          <w:u w:val="single" w:color="auto"/>
          <w:color w:val="auto"/>
        </w:rPr>
        <w:t>Record Date</w:t>
      </w:r>
      <w:r>
        <w:rPr>
          <w:rFonts w:ascii="Arial" w:cs="Arial" w:eastAsia="Arial" w:hAnsi="Arial"/>
          <w:sz w:val="17"/>
          <w:szCs w:val="17"/>
          <w:color w:val="auto"/>
        </w:rPr>
        <w:t xml:space="preserve">. For purposes of determining the Members entitled to notice of or to vote at a meeting of the Members, the Board of Directors may set a Record Date, which shall not be less than 10 nor more than 60 days before the date of the meeting (unless such requirement conflicts with any rule, regulation, guideline or requirement of any National Securities Exchange on which the Shares are listed for trading, in which case the rule, regulation, guideline or requirement of such exchange shall govern). If no Record Date is fixed by the Board of Directors, the Record Date for determining Members entitled to notice of or to vote at a meeting of Members shall be at the close of business on the day next preceding the day on which notice is given. A determination of Members of record entitled to notice of or to vote at a meeting of Members shall apply to any adjournment or postponement of the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of Directors may fix a new Record Date for the adjourned or postponed meeting.</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b w:val="1"/>
          <w:bCs w:val="1"/>
          <w:u w:val="single" w:color="auto"/>
          <w:color w:val="auto"/>
        </w:rPr>
        <w:t>Adjournment</w:t>
      </w:r>
      <w:r>
        <w:rPr>
          <w:rFonts w:ascii="Arial" w:cs="Arial" w:eastAsia="Arial" w:hAnsi="Arial"/>
          <w:sz w:val="18"/>
          <w:szCs w:val="18"/>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30 days. At the adjourned meeting, the Company may transact any business which might have been transacted at the original meeting. If the adjournment is for more than 30 days or if a new Record Date is fixed for the adjourned meeting, a notice of the adjourned meeting shall be given in accordance with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b w:val="1"/>
          <w:bCs w:val="1"/>
          <w:u w:val="single" w:color="auto"/>
          <w:color w:val="auto"/>
        </w:rPr>
        <w:t>Waiver of Notice; Approval of Meeting</w:t>
      </w:r>
      <w:r>
        <w:rPr>
          <w:rFonts w:ascii="Arial" w:cs="Arial" w:eastAsia="Arial" w:hAnsi="Arial"/>
          <w:sz w:val="18"/>
          <w:szCs w:val="18"/>
          <w:color w:val="auto"/>
        </w:rPr>
        <w:t>. Whenever notice to the Members is required to be given under this Agreement, a written waiver, signed by the Person entitled to notice, whether before or after the time stated therein, shall be deemed equivalent to notice. Attendance of a Person at any such meeting of the Members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Members need be specified in any written waiver of notice unless so required by resolution of the Board of Directors. All waivers and approvals shall be filed with the Company records or made part of the minutes of the meeting.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02" w:name="page103"/>
    <w:bookmarkEnd w:id="102"/>
    <w:p>
      <w:pPr>
        <w:ind w:left="660"/>
        <w:spacing w:after="0"/>
        <w:tabs>
          <w:tab w:leader="none" w:pos="206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b w:val="1"/>
          <w:bCs w:val="1"/>
          <w:u w:val="single" w:color="auto"/>
          <w:color w:val="auto"/>
        </w:rPr>
        <w:t>Quorum; Required Vote for Member Action; Voting for Directors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90" w:lineRule="auto"/>
        <w:tabs>
          <w:tab w:leader="none" w:pos="211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At any meeting of the Members, the holders of a majority of the Outstanding Voting Shares of the class or classes or series for which a meeting has been called represented in person or by proxy shall constitute a quorum of such class or classes or series unless any such action by the Members requires approval by holders of a greater percentage of Outstanding Voting Shares, in which case the quorum shall be such greater percentage. The submission of matters to Members for approval and the election of Directors shall occur only at a meeting of the Members duly called and held in accordance with this Agreement at which a quorum is present;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Members present at a duly called or held meeting at which a quorum is present may continue to transact business until adjournment, notwithstanding the withdrawal of enough Members to leave less than a quorum, if any action taken (other than adjournment) is approved by the required percentage of Outstanding Voting Shares specified in this Agreement. Any meeting of Members may be adjourned from time to time by the chairman of the meeting to another place or time, without regard to the presence of a quorum.</w:t>
      </w:r>
    </w:p>
    <w:p>
      <w:pPr>
        <w:spacing w:after="0" w:line="220" w:lineRule="exact"/>
        <w:rPr>
          <w:rFonts w:ascii="Arial" w:cs="Arial" w:eastAsia="Arial" w:hAnsi="Arial"/>
          <w:sz w:val="16"/>
          <w:szCs w:val="16"/>
          <w:color w:val="auto"/>
        </w:rPr>
      </w:pPr>
    </w:p>
    <w:p>
      <w:pPr>
        <w:ind w:firstLine="1305"/>
        <w:spacing w:after="0" w:line="277" w:lineRule="auto"/>
        <w:tabs>
          <w:tab w:leader="none" w:pos="222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Outstanding Class A Share and each Outstanding Class B Share shall be entitled to one vote per Share on all matters submitted to Members for approval and in the election of Directors.</w:t>
      </w:r>
    </w:p>
    <w:p>
      <w:pPr>
        <w:spacing w:after="0" w:line="224" w:lineRule="exact"/>
        <w:rPr>
          <w:rFonts w:ascii="Arial" w:cs="Arial" w:eastAsia="Arial" w:hAnsi="Arial"/>
          <w:sz w:val="18"/>
          <w:szCs w:val="18"/>
          <w:color w:val="auto"/>
        </w:rPr>
      </w:pPr>
    </w:p>
    <w:p>
      <w:pPr>
        <w:jc w:val="both"/>
        <w:ind w:firstLine="1305"/>
        <w:spacing w:after="0" w:line="257" w:lineRule="auto"/>
        <w:tabs>
          <w:tab w:leader="none" w:pos="21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matters (other than the election of Directors) submitted to Members for approval shall be determined by a majority of the votes cast affirmatively or negatively by Members holding Outstanding Voting Shares unless a greater percentage is required with respect to such matter under the Delaware Act, under the rules of any National Securities Exchange on which the Shares are listed for trading, or under the provisions of this Agreement, in which case the approval of Members holding Outstanding Voting Shares that in the aggregate represent at least such greater percentage shall be required.</w:t>
      </w:r>
    </w:p>
    <w:p>
      <w:pPr>
        <w:spacing w:after="0" w:line="242" w:lineRule="exact"/>
        <w:rPr>
          <w:rFonts w:ascii="Arial" w:cs="Arial" w:eastAsia="Arial" w:hAnsi="Arial"/>
          <w:sz w:val="18"/>
          <w:szCs w:val="18"/>
          <w:color w:val="auto"/>
        </w:rPr>
      </w:pPr>
    </w:p>
    <w:p>
      <w:pPr>
        <w:ind w:left="2060" w:hanging="755"/>
        <w:spacing w:after="0"/>
        <w:tabs>
          <w:tab w:leader="none" w:pos="2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for a particular position.</w:t>
      </w:r>
    </w:p>
    <w:p>
      <w:pPr>
        <w:spacing w:after="0" w:line="27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b w:val="1"/>
          <w:bCs w:val="1"/>
          <w:u w:val="single" w:color="auto"/>
          <w:color w:val="auto"/>
        </w:rPr>
        <w:t>Conduct of a Meeting; Member Lists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54" w:lineRule="auto"/>
        <w:tabs>
          <w:tab w:leader="none" w:pos="21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Board of Directors shall have full power and authority concerning the manner of conducting any meeting of the Members, including the determination of Persons entitled to vote, the existence of a quorum, the satisfaction of the requirements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the conduct of voting, the validity and effect of any proxies and the determination of any controversies, votes or challenges arising in connection with or during the meeting or voting. The Board of Directors shall designate a Person to serve as chairman of any meeting and shall further designate a Person to take the minutes of any meeting. All minutes shall be kept with the records of the Company maintained by the Board of Directors. The Board of Directors may make such other regulations consistent with applicable law and this Agreement as it may deem advisable concerning the conduct of any meeting of the Members, including regulations in regard to the appointment of proxies, the appointment and duties of inspectors of votes, the submission and examination of proxies and other evidence of the right to vote.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03" w:name="page104"/>
    <w:bookmarkEnd w:id="103"/>
    <w:p>
      <w:pPr>
        <w:jc w:val="both"/>
        <w:ind w:firstLine="1305"/>
        <w:spacing w:after="0" w:line="257" w:lineRule="auto"/>
        <w:tabs>
          <w:tab w:leader="none" w:pos="2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complete list of Members entitled to vote at any meeting of Members, arranged in alphabetical order for each class or series of Shares and showing the address of each such Member and the number of Outstanding Voting Shares registered in the name of such Member, shall be open to the examination of any Member, for any purpose germane to the meeting, during ordinary business hours, for a period of at least 10 days before the meeting, at the principal place of business of the Company. The Member list shall also be produced and kept at the time and place of the meeting during the whole time thereof, and may be inspected by any Member who is present.</w:t>
      </w:r>
    </w:p>
    <w:p>
      <w:pPr>
        <w:spacing w:after="0" w:line="2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b w:val="1"/>
          <w:bCs w:val="1"/>
          <w:u w:val="single" w:color="auto"/>
          <w:color w:val="auto"/>
        </w:rPr>
        <w:t>Action Without a Meeting</w:t>
      </w:r>
      <w:r>
        <w:rPr>
          <w:rFonts w:ascii="Arial" w:cs="Arial" w:eastAsia="Arial" w:hAnsi="Arial"/>
          <w:sz w:val="18"/>
          <w:szCs w:val="18"/>
          <w:color w:val="auto"/>
        </w:rPr>
        <w:t>. On any matter that is to be voted on, consented to or approved by Members, the Members may take such action without a meeting, without prior notice and without a vote if a consent or consents in writing, setting forth the action so taken, shall be signed by the Members having not less than the minimum number of votes that would be necessary to authorize or take such action at a meeting at which all Members entitled to vote thereon were present and voted.</w:t>
      </w:r>
    </w:p>
    <w:p>
      <w:pPr>
        <w:spacing w:after="0" w:line="23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b w:val="1"/>
          <w:bCs w:val="1"/>
          <w:u w:val="single" w:color="auto"/>
          <w:color w:val="auto"/>
        </w:rPr>
        <w:t>Voting and Other Rights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59" w:lineRule="auto"/>
        <w:tabs>
          <w:tab w:leader="none" w:pos="21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Only those Record Holders of Outstanding Voting Shares on the Record Date set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be entitled to notice of, and to vote at, a meeting of Members or to act with respect to matters as to which the holders of the Outstanding Voting Shares have the right to vote or to act. All references in this Agreement to votes of, or other acts that may be taken by, the Outstanding Voting Shares shall be deemed to be references to the votes or acts of the Record Holders of such Outstanding Voting Shares on such Record Date.</w:t>
      </w:r>
    </w:p>
    <w:p>
      <w:pPr>
        <w:spacing w:after="0" w:line="240" w:lineRule="exact"/>
        <w:rPr>
          <w:rFonts w:ascii="Arial" w:cs="Arial" w:eastAsia="Arial" w:hAnsi="Arial"/>
          <w:sz w:val="18"/>
          <w:szCs w:val="18"/>
          <w:color w:val="auto"/>
        </w:rPr>
      </w:pPr>
    </w:p>
    <w:p>
      <w:pPr>
        <w:jc w:val="both"/>
        <w:ind w:firstLine="1305"/>
        <w:spacing w:after="0" w:line="257" w:lineRule="auto"/>
        <w:tabs>
          <w:tab w:leader="none" w:pos="20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 respect to Outstanding Voting Shares that are held for a Person’s account by another Person (such as a broker, dealer, bank, trust company or clearing corporation, or an agent of any of the foregoing), in whose name such Outstanding Voting Shares are registered, such other Person shall, in exercising the voting rights in respect of such Outstanding Voting Shares on any matter, and unless the arrangement between such Persons provides otherwise, vote such Outstanding Voting Shares in favor of, and at the direction of, the Person who is the beneficial owner, and the Company shall be entitled to assume it is so acting without further inquiry.</w:t>
      </w:r>
    </w:p>
    <w:p>
      <w:pPr>
        <w:spacing w:after="0" w:line="23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b w:val="1"/>
          <w:bCs w:val="1"/>
          <w:u w:val="single" w:color="auto"/>
          <w:color w:val="auto"/>
        </w:rPr>
        <w:t>Proxies and Voting</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54" w:lineRule="auto"/>
        <w:tabs>
          <w:tab w:leader="none" w:pos="20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On any matter that is to be voted on by Members, the Members may vote in person or by proxy, and such proxy may be granted in writing, by means of electronic transmission or as otherwise permitted by applicable law. Any such proxy shall be filed in accordance with the procedure established for the meeting. For purposes of this Agreement, the term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copy, facsimile telecommunication or other reproduction shall be a complete reproduction of the entire original writing or transmission.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4" w:name="page105"/>
    <w:bookmarkEnd w:id="104"/>
    <w:p>
      <w:pPr>
        <w:jc w:val="both"/>
        <w:ind w:firstLine="1305"/>
        <w:spacing w:after="0" w:line="255" w:lineRule="auto"/>
        <w:tabs>
          <w:tab w:leader="none" w:pos="22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may, and to the extent required by law, shall, in advance of any meeting of Members, appoint one or more inspectors to act at the meeting and make a written report thereof. The Company may designate one or more alternate inspectors to replace any inspector who fails to act. If no inspector or alternate is able to act at a meeting of Members,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spacing w:after="0" w:line="247" w:lineRule="exact"/>
        <w:rPr>
          <w:rFonts w:ascii="Arial" w:cs="Arial" w:eastAsia="Arial" w:hAnsi="Arial"/>
          <w:sz w:val="18"/>
          <w:szCs w:val="18"/>
          <w:color w:val="auto"/>
        </w:rPr>
      </w:pPr>
    </w:p>
    <w:p>
      <w:pPr>
        <w:jc w:val="both"/>
        <w:ind w:firstLine="1305"/>
        <w:spacing w:after="0" w:line="264" w:lineRule="auto"/>
        <w:tabs>
          <w:tab w:leader="none" w:pos="20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respect to the use of proxies at any meeting of Members, the Company shall be governed by paragraphs (b), (c), (d) and (e) of Section 212 of the DGCL and other applicable provisions of the DGCL, as though the Company were a Delaware corporation and as though the Members were stockholders of a Delaware corporation.</w:t>
      </w:r>
    </w:p>
    <w:p>
      <w:pPr>
        <w:spacing w:after="0" w:line="23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6"/>
          <w:szCs w:val="16"/>
          <w:b w:val="1"/>
          <w:bCs w:val="1"/>
          <w:u w:val="single" w:color="auto"/>
          <w:color w:val="auto"/>
        </w:rPr>
        <w:t>Notice of Member Business and Nominations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70" w:lineRule="auto"/>
        <w:tabs>
          <w:tab w:leader="none" w:pos="213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nominations of Persons for election to the Board of Directors of the Company and the proposal of business to be considered by the Members may be made at an annual meeting of Members (i) pursuant to the Company’s notice of meeting delivered pursuant to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of this Agreement, (ii) by or at the direction of the Board of Directors, (iii) for nominations to the Board of Directors only, by any holder of Outstanding Voting Shares who is entitled to vote at the meeting, who complied with the notice procedures set forth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who was a Record Holder of a sufficient number of Outstanding Voting Shares as of the Record Date for such meeting to elect one or more members to the Board of Directors assuming that such holder cast all of the votes it is entitled to cast in such election in favor of a single candidate and such candidate received no other votes from any other holder of Outstanding Voting Shares, or (iv) by any holder of Outstanding Voting Shares who is entitled to vote at the meeting, who complied with the notice procedures set forth in </w:t>
      </w:r>
      <w:r>
        <w:rPr>
          <w:rFonts w:ascii="Arial" w:cs="Arial" w:eastAsia="Arial" w:hAnsi="Arial"/>
          <w:sz w:val="17"/>
          <w:szCs w:val="17"/>
          <w:u w:val="single" w:color="auto"/>
          <w:color w:val="auto"/>
        </w:rPr>
        <w:t>paragraphs (c)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who is a Record Holder of Outstanding Voting Shares at the time such notice is delivered to the Secretary of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5" w:name="page106"/>
    <w:bookmarkEnd w:id="105"/>
    <w:p>
      <w:pPr>
        <w:jc w:val="both"/>
        <w:ind w:firstLine="1305"/>
        <w:spacing w:after="0" w:line="286" w:lineRule="auto"/>
        <w:tabs>
          <w:tab w:leader="none" w:pos="199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For nominations to be properly brought before an annual meeting by a Member pursuant to </w:t>
      </w:r>
      <w:r>
        <w:rPr>
          <w:rFonts w:ascii="Arial" w:cs="Arial" w:eastAsia="Arial" w:hAnsi="Arial"/>
          <w:sz w:val="16"/>
          <w:szCs w:val="16"/>
          <w:u w:val="single" w:color="auto"/>
          <w:color w:val="auto"/>
        </w:rPr>
        <w:t>Section 11.11(a)(iii)</w:t>
      </w:r>
      <w:r>
        <w:rPr>
          <w:rFonts w:ascii="Arial" w:cs="Arial" w:eastAsia="Arial" w:hAnsi="Arial"/>
          <w:sz w:val="16"/>
          <w:szCs w:val="16"/>
          <w:color w:val="auto"/>
        </w:rPr>
        <w:t xml:space="preserve">, the Member must have given timely notice thereof in writing to the Secretary of the Company. To be timely, a Member’s notice shall be delivered to the Secretary at the principal executive offices of the Company not less than ninety (90) days nor more than one hundred twenty (120) days prior to the anniversary of the date on which the Company first made publicly available (whether by mailing, by filing with the Commission or by posting on an internet web site) its proxy materials for the immediately preceding annual meeting of Members;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in the case of the Company’s first annual meeting, or if the annual meeting is called for a date that is more than thirty (30) days before or after the anniversary of the previous year’s annual meeting, notice by the Member in order to be timely must be so received not later than the close of business on the tenth (10th) day following the day on which public disclosure of the date of the annual meeting is first made (which may be the date on which proxy materials for such meeting are first mailed). In no event shall the adjournment or postponement of an annual meeting commence a new time period (or extend any time period) for the giving of a Member’s notice as described in this </w:t>
      </w:r>
      <w:r>
        <w:rPr>
          <w:rFonts w:ascii="Arial" w:cs="Arial" w:eastAsia="Arial" w:hAnsi="Arial"/>
          <w:sz w:val="16"/>
          <w:szCs w:val="16"/>
          <w:u w:val="single" w:color="auto"/>
          <w:color w:val="auto"/>
        </w:rPr>
        <w:t>Section 11.11(b)</w:t>
      </w:r>
      <w:r>
        <w:rPr>
          <w:rFonts w:ascii="Arial" w:cs="Arial" w:eastAsia="Arial" w:hAnsi="Arial"/>
          <w:sz w:val="16"/>
          <w:szCs w:val="16"/>
          <w:color w:val="auto"/>
        </w:rPr>
        <w:t>. Such Member’s notice shall set forth: (A) as to each Person whom the Member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(B) as to the Member giving the notice and the beneficial owner, if any, on whose behalf the nomination or proposal is made, the name and address of such Member, as they appear on the Company’s books, and of such beneficial owner, and the class or series and number of Shares of the Company which are owned beneficially and of record by such Member and such beneficial owner.</w:t>
      </w:r>
    </w:p>
    <w:p>
      <w:pPr>
        <w:spacing w:after="0" w:line="222" w:lineRule="exact"/>
        <w:rPr>
          <w:rFonts w:ascii="Arial" w:cs="Arial" w:eastAsia="Arial" w:hAnsi="Arial"/>
          <w:sz w:val="16"/>
          <w:szCs w:val="16"/>
          <w:color w:val="auto"/>
        </w:rPr>
      </w:pPr>
    </w:p>
    <w:p>
      <w:pPr>
        <w:ind w:left="2040" w:hanging="735"/>
        <w:spacing w:after="0"/>
        <w:tabs>
          <w:tab w:leader="none" w:pos="20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Member pursuant to </w:t>
      </w:r>
      <w:r>
        <w:rPr>
          <w:rFonts w:ascii="Arial" w:cs="Arial" w:eastAsia="Arial" w:hAnsi="Arial"/>
          <w:sz w:val="16"/>
          <w:szCs w:val="16"/>
          <w:u w:val="single" w:color="auto"/>
          <w:color w:val="auto"/>
        </w:rPr>
        <w:t>Section 11.11(a)(iv)</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jc w:val="both"/>
        <w:ind w:firstLine="8"/>
        <w:spacing w:after="0" w:line="284" w:lineRule="auto"/>
        <w:tabs>
          <w:tab w:leader="none" w:pos="23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Member must have given timely notice thereof in writing to the Secretary of the Company, (ii) such business must be a proper matter for Member action under this Agreement and the Delaware Act, (iii) if the Member, or the beneficial owner on whose behalf any such proposal or nomination is made, has provided the Company with a Solicitation Notice, such Member or beneficial owner must, in the case of a proposal, have delivered a proxy statement and form of proxy to holders of at least the percentage of the Company’s Outstanding Shares required under this Agreement or Delaware law to carry any such proposal, or, in the case of a nomination or nominations, have delivered a proxy statement and form of proxy to holders of a percentage of the Company’s Outstanding Voting Shares reasonably believed by such Member or beneficial holder to be sufficient to elect the nominee or nominees proposed to be nominated by such Member and (iv) if no Solicitation Notice relating thereto has been timely provided pursuant to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the Member or beneficial owner proposing such business or nomination must not have solicited a number of proxies sufficient to have required the delivery of such a Solicitation Notice. To be timely, a Member’s notice shall be delivered to the Secretary at the principal executive offices of the Company not less than ninety (90) days nor more than one hundred twenty (120) days prior to the anniversary of the date on which the Company first made publicly available (whether by mailing, by filing with the Commission or by posting on an internet web site) its proxy materials for the immediately preceding annual meeting of Members;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case of the Company’s first annual meeting, or if the annual meeting is called for a date that is more than thirty (30) days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or after the anniversary of the previous year’s annual meeting, notice by the Member in order to be timely must be so received not later than the close of business on the tenth (10th) day following the day on which public disclosure of the date of the annual meeting is first made (which may be the date on which proxy materials for such meeting are first made publicly available, whether by mailing, by filing with the Commission or by posting on an internet web site). In no event shall the adjournment or postponement of an annual meeting commence a new time period (or extend any time period) for the giving of a Member’s notice as described in this </w:t>
      </w:r>
      <w:r>
        <w:rPr>
          <w:rFonts w:ascii="Arial" w:cs="Arial" w:eastAsia="Arial" w:hAnsi="Arial"/>
          <w:sz w:val="16"/>
          <w:szCs w:val="16"/>
          <w:u w:val="single" w:color="auto"/>
          <w:color w:val="auto"/>
        </w:rPr>
        <w:t>Section 11.11(c)</w:t>
      </w:r>
      <w:r>
        <w:rPr>
          <w:rFonts w:ascii="Arial" w:cs="Arial" w:eastAsia="Arial" w:hAnsi="Arial"/>
          <w:sz w:val="16"/>
          <w:szCs w:val="16"/>
          <w:color w:val="auto"/>
        </w:rPr>
        <w:t>. Such Member’s notice shall set forth: (A) as to each Person whom the Member proposes to nominate for election or reelection as a Director (1) the name, age, business address and residence address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6" w:name="page107"/>
    <w:bookmarkEnd w:id="106"/>
    <w:p>
      <w:pPr>
        <w:jc w:val="both"/>
        <w:spacing w:after="0" w:line="285" w:lineRule="auto"/>
        <w:rPr>
          <w:sz w:val="20"/>
          <w:szCs w:val="20"/>
          <w:color w:val="auto"/>
        </w:rPr>
      </w:pPr>
      <w:r>
        <w:rPr>
          <w:rFonts w:ascii="Arial" w:cs="Arial" w:eastAsia="Arial" w:hAnsi="Arial"/>
          <w:sz w:val="16"/>
          <w:szCs w:val="16"/>
          <w:color w:val="auto"/>
        </w:rPr>
        <w:t>of such Person, (2) the principal occupation or employment of such Person, (3) the class or series and number of all Shares of the Company which are owned beneficially or of record by such Person and any affiliates or associates of such Person, (4) the name of each nominee holder of Shares of the Company owned beneficially but not of record by such Person or any affiliates or associates of such Person, and the number of such Shares of the Company held by each such nominee holder, (5) whether and the extent to which any derivative instrument, swap, option, warrant, short interest, hedge or profit interest or other transaction has been entered into by or on behalf of such Person or any affiliates or associates of such Person, with respect to Shares of the Company,</w:t>
      </w:r>
    </w:p>
    <w:p>
      <w:pPr>
        <w:spacing w:after="0" w:line="2" w:lineRule="exact"/>
        <w:rPr>
          <w:sz w:val="20"/>
          <w:szCs w:val="20"/>
          <w:color w:val="auto"/>
        </w:rPr>
      </w:pPr>
    </w:p>
    <w:p>
      <w:pPr>
        <w:jc w:val="both"/>
        <w:ind w:firstLine="8"/>
        <w:spacing w:after="0" w:line="283" w:lineRule="auto"/>
        <w:tabs>
          <w:tab w:leader="none" w:pos="26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whether and the extent to which any other transaction, arrangement or understanding (including any short position or any borrowing or lending of Shares of the Company) has been made by or on behalf of such Person or any affiliates or associates of such Person, the effect or intent of any of the foregoing being to mitigate loss to or manage risk or benefit of the price changes of Shares of the Company for such Person or any affiliates or associates of such Person, or to increase or decrease the voting power or pecuniary or economic interest of such Person or any affiliates or associates of such Person with respect to Shares of the Company, (7) such Person’s written representation and agreement that such Person (I) is not and will not become a party to any agreement, arrangement or understanding with, and has not given any commitment or assurance to, any Person as to how such Person, if elected as a Director, will act or vote on any issue or question, (II) is not and will not become party to any agreement, arrangement or understanding with any Person other than the Company with respect to any direct or indirect compensation, reimbursement or indemnification in connection with service or action as a Director that has not been disclosed to the Company in such representation and agreement and (III) in such Person’s individual capacity, would be in compliance, if elected as a Director, with all applicable publicly disclosed confidentiality, corporate governance, conflict of interest, Regulation FD, code of conduct and ethics and Share ownership and trading policies and guidelines of the Company and (8) any other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a written questionnaire delivered to the Secretary of the Company with respect to the background and qualification of such Person to serve as a Director and the background of any other Person on whose behalf the nomination is being made, (B) as to any other business that the Member proposes to bring before the meeting, a brief description of the business desired to be brought before the meeting, the reasons for conducting such business at the meeting and any material interest in such business of such Member and the beneficial owner, if any, on whose behalf the proposal is made; and (C) as to the Member giving the notice and the beneficial owner, if any, on whose behalf the nomination or proposal is made, (1) the name and address of such Member, as they appear on the Company’s books, and of such beneficial owner, (2) the class or series and number of Shares of the Company which are owned beneficially and of record by such Member and such beneficial owner, (3) the name of each nominee holder of Shares of the Company owned beneficially but not of record by such Member or any affiliates or associates of such Member, and the number of such Shares of the Company held by each such nominee holder, (4) whether and the extent to which any derivative instrument, swap, option, warrant, short interest, hedge or profit interest or other transaction has been entered into by or on behalf of such Member or any affiliates or associates of such Member, with respect to Shares of the Company, (5) whether and the extent to which any other transaction, arrangement or understanding (including any short position or any borrowing or lending of Shares of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both"/>
        <w:spacing w:after="0" w:line="268" w:lineRule="auto"/>
        <w:rPr>
          <w:sz w:val="20"/>
          <w:szCs w:val="20"/>
          <w:color w:val="auto"/>
        </w:rPr>
      </w:pPr>
      <w:r>
        <w:rPr>
          <w:rFonts w:ascii="Arial" w:cs="Arial" w:eastAsia="Arial" w:hAnsi="Arial"/>
          <w:sz w:val="17"/>
          <w:szCs w:val="17"/>
          <w:color w:val="auto"/>
        </w:rPr>
        <w:t>Company) has been made by or on behalf of such Member or any affiliates or associates of such Member, the effect or intent of any of the foregoing being to mitigate loss to or manage risk or benefit of the price changes of Shares of the Company for such Member or any affiliates or associates of such Member, or to increase or decrease the voting power or pecuniary or economic interest of such Member or any affiliates or associates of such Member with respect to Shares of the Company, (6) a description of (I) in the case of any nomination, all agreements, arrangements or understandings (whether written or oral) between such Member or any affiliates or associates of such Member, and any proposed nominee for election as a Director, or any affiliates or associates of such proposed nominee, (II) all agreements, arrangements or understandings (whether written or oral) between such Member or any affiliates or associates of such member, and any other Person or Persons (including their names) pursuant to which the nomination(s) or other business proposal(s) are being made by such Member, or otherwise relating to the Company or their ownership of Shares of the Company and (III) any material interest of such Member or any affiliates or associates of such Member, in such nomination or other business proposal, including any anticipated benefit therefrom to such Member or any affiliates or associates of such Member, (7) a representation that the Member giving notice intends to appear in person or by proxy at the annual meeting to nominate the Person named or propose the business described in its notice, (8) any other information relating to such Member that is required to be disclosed in solicitations of proxies for election of Directors, or is otherwise required, in each case, pursuant to Regulation 14A under the Exchange Act and (9) whether either such Member or beneficial owner intends to deliver a proxy statement and form of proxy to holders of, in the case of a proposal, at least the percentage of the Company’s Outstanding Voting Shares required under this Agreement or Delaware law to carry the proposal or, in the case of a nomination or nominations, a sufficient number of holders of the Company’s Outstanding Shares to elect such nominee or nominees (an affirmative statement of such intent, a “</w:t>
      </w:r>
      <w:r>
        <w:rPr>
          <w:rFonts w:ascii="Arial" w:cs="Arial" w:eastAsia="Arial" w:hAnsi="Arial"/>
          <w:sz w:val="17"/>
          <w:szCs w:val="17"/>
          <w:u w:val="single" w:color="auto"/>
          <w:color w:val="auto"/>
        </w:rPr>
        <w:t>Solicitation Notice</w:t>
      </w:r>
      <w:r>
        <w:rPr>
          <w:rFonts w:ascii="Arial" w:cs="Arial" w:eastAsia="Arial" w:hAnsi="Arial"/>
          <w:sz w:val="17"/>
          <w:szCs w:val="17"/>
          <w:color w:val="auto"/>
        </w:rPr>
        <w:t>”).</w:t>
      </w:r>
    </w:p>
    <w:p>
      <w:pPr>
        <w:spacing w:after="0" w:line="235" w:lineRule="exact"/>
        <w:rPr>
          <w:sz w:val="20"/>
          <w:szCs w:val="20"/>
          <w:color w:val="auto"/>
        </w:rPr>
      </w:pPr>
    </w:p>
    <w:p>
      <w:pPr>
        <w:jc w:val="both"/>
        <w:ind w:firstLine="1305"/>
        <w:spacing w:after="0" w:line="291" w:lineRule="auto"/>
        <w:tabs>
          <w:tab w:leader="none" w:pos="201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Notwithstanding anything in the second sentence of </w:t>
      </w:r>
      <w:r>
        <w:rPr>
          <w:rFonts w:ascii="Arial" w:cs="Arial" w:eastAsia="Arial" w:hAnsi="Arial"/>
          <w:sz w:val="16"/>
          <w:szCs w:val="16"/>
          <w:u w:val="single" w:color="auto"/>
          <w:color w:val="auto"/>
        </w:rPr>
        <w:t>Section 11.11(b)</w:t>
      </w:r>
      <w:r>
        <w:rPr>
          <w:rFonts w:ascii="Arial" w:cs="Arial" w:eastAsia="Arial" w:hAnsi="Arial"/>
          <w:sz w:val="16"/>
          <w:szCs w:val="16"/>
          <w:color w:val="auto"/>
        </w:rPr>
        <w:t xml:space="preserve"> or the second sentence of </w:t>
      </w:r>
      <w:r>
        <w:rPr>
          <w:rFonts w:ascii="Arial" w:cs="Arial" w:eastAsia="Arial" w:hAnsi="Arial"/>
          <w:sz w:val="16"/>
          <w:szCs w:val="16"/>
          <w:u w:val="single" w:color="auto"/>
          <w:color w:val="auto"/>
        </w:rPr>
        <w:t>Section 11.11(c)</w:t>
      </w:r>
      <w:r>
        <w:rPr>
          <w:rFonts w:ascii="Arial" w:cs="Arial" w:eastAsia="Arial" w:hAnsi="Arial"/>
          <w:sz w:val="16"/>
          <w:szCs w:val="16"/>
          <w:color w:val="auto"/>
        </w:rPr>
        <w:t xml:space="preserve"> to the contrary, if the number of Directors to be elected to the Board of Directors is increased and there is no public announcement naming all of the nominees for Director or specifying the size of the increased Board of Directors made by the Company at least ninety (90) days prior to the anniversary of the date on which the Company first made publicly available (whether by mailing, by filing with the Commission or by posting on an internet web site) its proxy materials for the immediately preceding annual meeting of Members, then a Member’s notice required by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shall also be considered timely, but only with respect to nominees for any new positions created by such increase, if it shall be delivered to the Secretary at the principal executive offices of the Company not later than the close of business on the tenth (10th) day following the day on which such public announcement is first made by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jc w:val="both"/>
        <w:ind w:firstLine="1305"/>
        <w:spacing w:after="0" w:line="255" w:lineRule="auto"/>
        <w:tabs>
          <w:tab w:leader="none" w:pos="199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Only such business shall be conducted at a special meeting of Members as shall have been brought before the meeting pursuant to the Company’s notice of meeting pursuant to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of this Agreement.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of this Agreement, nominations of Persons for election to the Board of Directors may be made at a special meeting of Members at which Directors are to be elected pursuant to the Company’s notice of meeting (i) by or at the direction of the Board of Directors, (ii) by any holder of Outstanding Voting Shares who is entitled to vote at the meeting, who complied with the notice procedures set forth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who was a Record Holder of a sufficient number of Outstanding Voting Shares as of the Record Date for such meeting to elect one or more members to the Board of Directors assuming that such holder cast all of the votes it is entitled to cast in such election in favor of a single candidate and such candidate received no other votes from any other holder of Outstanding Voting Shares, or (iii) by any holder of Outstanding Voting Shares who is entitled to vote at the meeting, who complies with the notice procedures set forth in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who is a Record Holder of Outstanding Voting Shares at the time such notice is delivered to the Secretary of the Company. Nominations by Members of Persons for election to the Board of Directors may be made at such a special meeting of Members if the Member’s notice as required by </w:t>
      </w:r>
      <w:r>
        <w:rPr>
          <w:rFonts w:ascii="Arial" w:cs="Arial" w:eastAsia="Arial" w:hAnsi="Arial"/>
          <w:sz w:val="17"/>
          <w:szCs w:val="17"/>
          <w:u w:val="single" w:color="auto"/>
          <w:color w:val="auto"/>
        </w:rPr>
        <w:t>Section 11.11(b)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11.11(c)</w:t>
      </w:r>
      <w:r>
        <w:rPr>
          <w:rFonts w:ascii="Arial" w:cs="Arial" w:eastAsia="Arial" w:hAnsi="Arial"/>
          <w:sz w:val="17"/>
          <w:szCs w:val="17"/>
          <w:color w:val="auto"/>
        </w:rPr>
        <w:t xml:space="preserve"> for an annual meeting shall be delivered to the Secretary of the Company not earlier than the ninetieth (90</w:t>
      </w:r>
      <w:r>
        <w:rPr>
          <w:rFonts w:ascii="Arial" w:cs="Arial" w:eastAsia="Arial" w:hAnsi="Arial"/>
          <w:sz w:val="28"/>
          <w:szCs w:val="28"/>
          <w:color w:val="auto"/>
          <w:vertAlign w:val="superscript"/>
        </w:rPr>
        <w:t>th</w:t>
      </w:r>
      <w:r>
        <w:rPr>
          <w:rFonts w:ascii="Arial" w:cs="Arial" w:eastAsia="Arial" w:hAnsi="Arial"/>
          <w:sz w:val="17"/>
          <w:szCs w:val="17"/>
          <w:color w:val="auto"/>
        </w:rPr>
        <w:t>) day prior to such special meeting and not later than the close of business on the later of the seventieth (70th) day prior to such special meeting or the tenth (10th) day following the day on which public announcement is first made of the date of the special meeting and of the nominees proposed by the Board of Directors to be elected at such meeting.</w:t>
      </w:r>
    </w:p>
    <w:p>
      <w:pPr>
        <w:spacing w:after="0" w:line="253" w:lineRule="exact"/>
        <w:rPr>
          <w:rFonts w:ascii="Arial" w:cs="Arial" w:eastAsia="Arial" w:hAnsi="Arial"/>
          <w:sz w:val="17"/>
          <w:szCs w:val="17"/>
          <w:color w:val="auto"/>
        </w:rPr>
      </w:pPr>
    </w:p>
    <w:p>
      <w:pPr>
        <w:jc w:val="both"/>
        <w:ind w:firstLine="1305"/>
        <w:spacing w:after="0" w:line="273" w:lineRule="auto"/>
        <w:tabs>
          <w:tab w:leader="none" w:pos="215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Except to the extent otherwise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with respect to vacancies, only Persons who are nominated in accordance with the procedures set forth in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shall be eligible to serve as Directors and only such business shall be conducted at a meeting of Members as shall have been brought before the meeting in accordance with the procedures set forth in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Except as otherwise provided herein or required by law, the chairman of the meeting shall have the power and duty to determine whether a nomination or any business proposed to be brought before the meeting was made in accordance with the procedures set forth in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if any proposed nomination or business is not in compliance with this </w:t>
      </w:r>
      <w:r>
        <w:rPr>
          <w:rFonts w:ascii="Arial" w:cs="Arial" w:eastAsia="Arial" w:hAnsi="Arial"/>
          <w:sz w:val="17"/>
          <w:szCs w:val="17"/>
          <w:u w:val="single" w:color="auto"/>
          <w:color w:val="auto"/>
        </w:rPr>
        <w:t>Section 11.11</w:t>
      </w:r>
      <w:r>
        <w:rPr>
          <w:rFonts w:ascii="Arial" w:cs="Arial" w:eastAsia="Arial" w:hAnsi="Arial"/>
          <w:sz w:val="17"/>
          <w:szCs w:val="17"/>
          <w:color w:val="auto"/>
        </w:rPr>
        <w:t>, to declare that such defective proposal or nomination shall be disregarded.</w:t>
      </w:r>
    </w:p>
    <w:p>
      <w:pPr>
        <w:spacing w:after="0" w:line="232" w:lineRule="exact"/>
        <w:rPr>
          <w:rFonts w:ascii="Arial" w:cs="Arial" w:eastAsia="Arial" w:hAnsi="Arial"/>
          <w:sz w:val="17"/>
          <w:szCs w:val="17"/>
          <w:color w:val="auto"/>
        </w:rPr>
      </w:pPr>
    </w:p>
    <w:p>
      <w:pPr>
        <w:jc w:val="both"/>
        <w:ind w:firstLine="1305"/>
        <w:spacing w:after="0" w:line="312" w:lineRule="auto"/>
        <w:tabs>
          <w:tab w:leader="none" w:pos="210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a Member shall also comply with all applicable requirements of the Exchange Act and the rules and regulations thereunder with respect to the matters set forth in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shall be deemed to affect any rights of Members to request inclusion of proposals in the Company’s proxy statement pursuant to Rule 14a-8 under the Exchange Act.</w:t>
      </w:r>
    </w:p>
    <w:p>
      <w:pPr>
        <w:spacing w:after="0" w:line="200" w:lineRule="exact"/>
        <w:rPr>
          <w:rFonts w:ascii="Arial" w:cs="Arial" w:eastAsia="Arial" w:hAnsi="Arial"/>
          <w:sz w:val="16"/>
          <w:szCs w:val="16"/>
          <w:color w:val="auto"/>
        </w:rPr>
      </w:pPr>
    </w:p>
    <w:p>
      <w:pPr>
        <w:jc w:val="both"/>
        <w:ind w:firstLine="1305"/>
        <w:spacing w:after="0" w:line="302" w:lineRule="auto"/>
        <w:tabs>
          <w:tab w:leader="none" w:pos="20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 Member providing notice of nomination or any other business proposed to be brought before any meeting of Members shall further update and supplement such notice, if necessary, so that the information provided or required to be provided in such notice pursuant to </w:t>
      </w:r>
      <w:r>
        <w:rPr>
          <w:rFonts w:ascii="Arial" w:cs="Arial" w:eastAsia="Arial" w:hAnsi="Arial"/>
          <w:sz w:val="16"/>
          <w:szCs w:val="16"/>
          <w:u w:val="single" w:color="auto"/>
          <w:color w:val="auto"/>
        </w:rPr>
        <w:t>Section 11.11(b)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11.11(c)</w:t>
      </w:r>
      <w:r>
        <w:rPr>
          <w:rFonts w:ascii="Arial" w:cs="Arial" w:eastAsia="Arial" w:hAnsi="Arial"/>
          <w:sz w:val="16"/>
          <w:szCs w:val="16"/>
          <w:color w:val="auto"/>
        </w:rPr>
        <w:t>, as applicable, shall be true and correct as of the Record Date for such meeting and such update and supplement shall be delivered to or be mailed and received by the Secretary of the Company not later than five (5) business days after the Record Date for such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6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5"/>
          <w:szCs w:val="15"/>
          <w:b w:val="1"/>
          <w:bCs w:val="1"/>
          <w:u w:val="single" w:color="auto"/>
          <w:color w:val="auto"/>
        </w:rPr>
        <w:t>Addresses and Notices</w:t>
      </w:r>
      <w:r>
        <w:rPr>
          <w:rFonts w:ascii="Arial" w:cs="Arial" w:eastAsia="Arial" w:hAnsi="Arial"/>
          <w:sz w:val="15"/>
          <w:szCs w:val="15"/>
          <w:color w:val="auto"/>
        </w:rPr>
        <w:t>.</w:t>
      </w:r>
    </w:p>
    <w:p>
      <w:pPr>
        <w:spacing w:after="0" w:line="283" w:lineRule="exact"/>
        <w:rPr>
          <w:sz w:val="20"/>
          <w:szCs w:val="20"/>
          <w:color w:val="auto"/>
        </w:rPr>
      </w:pPr>
    </w:p>
    <w:p>
      <w:pPr>
        <w:jc w:val="both"/>
        <w:ind w:firstLine="1305"/>
        <w:spacing w:after="0" w:line="285" w:lineRule="auto"/>
        <w:tabs>
          <w:tab w:leader="none" w:pos="22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Any notice, demand, request, report or proxy materials required or permitted to be given or made to a Member under this Agreement shall be in writing and shall be deemed given or made when delivered in person or when sent by first class United States mail or by other means of written communication to the Member at the address described below. Any notice, payment or report to be given or made to a Member hereunder shall be deemed conclusively to have been given or made, and the obligation to give such notice or report or to make such payment shall be deemed conclusively to have been fully satisfied, upon sending of such notice, payment or report to the Record Holder of such Shares at his address as shown on the records of the Transfer Agent or as otherwise shown on the records of the Company, regardless of any claim of any Person who may have an interest in such Shares by reason of any assignment or otherwise. Notwithstanding the foregoing, if (i) a Member shall consent to receiving notices, demands, requests, reports or proxy materials via electronic mail or by the Internet or (ii) the rules of the Commission shall permit any report or proxy materials to be delivered electronically or made available via the Internet, any such notice, demand, request, report or proxy materials shall be deemed given or made when delivered or made available via such mode of delivery. An affidavit or certificate of making of any notice, payment or report in accordance with the provisions of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executed by the Company, the Transfer Agent or the mailing organization shall be prima facie evidence of the giving or making of such notice, payment or report. If any notice, payment or report given or made in accordance with the provisions of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is returned marked to indicate that such notice, payment or report was unable to be delivered, such notice, payment or report and, in the case of notices, payments or reports returned by the United States Postal Service (or other physical mail delivery service outside the United States of America) and any subsequent notices, payments and reports shall be deemed to have been duly given or made without further mailing (until such time as such Record Holder or another Person notifies the Transfer Agent or the Company of a change in his address) or other delivery if they are available for the Member at the principal office of the Company for a period of one year from the date of the giving or making of such notice, payment or report to the other Members. Any notice to the Company shall be deemed given if received by the Secretary at the principal office of the Company designated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The Board of Directors and the Officers may rely and shall be protected in relying on any notice or other document from a Member or other Person if believed by it to be genuine.</w:t>
      </w:r>
    </w:p>
    <w:p>
      <w:pPr>
        <w:spacing w:after="0" w:line="224" w:lineRule="exact"/>
        <w:rPr>
          <w:rFonts w:ascii="Arial" w:cs="Arial" w:eastAsia="Arial" w:hAnsi="Arial"/>
          <w:sz w:val="16"/>
          <w:szCs w:val="16"/>
          <w:color w:val="auto"/>
        </w:rPr>
      </w:pPr>
    </w:p>
    <w:p>
      <w:pPr>
        <w:ind w:right="20" w:firstLine="1305"/>
        <w:spacing w:after="0" w:line="277" w:lineRule="auto"/>
        <w:tabs>
          <w:tab w:leader="none" w:pos="19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terms “in writing,” “written communications,” “written notice” and words of similar import shall be deemed satisfied under this Agreement by use of e-mail and other forms of electronic communication.</w:t>
      </w:r>
    </w:p>
    <w:p>
      <w:pPr>
        <w:spacing w:after="0" w:line="2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b w:val="1"/>
          <w:bCs w:val="1"/>
          <w:u w:val="single" w:color="auto"/>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2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21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constitutes the entire agreement among the parties hereto pertaining to the subject matter hereof and supersedes all prior agreements and understandings pertaining thereto.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2180" w:type="dxa"/>
            <w:vAlign w:val="bottom"/>
          </w:tcPr>
          <w:p>
            <w:pPr>
              <w:ind w:left="660"/>
              <w:spacing w:after="0"/>
              <w:rPr>
                <w:sz w:val="20"/>
                <w:szCs w:val="20"/>
                <w:color w:val="auto"/>
              </w:rPr>
            </w:pPr>
            <w:r>
              <w:rPr>
                <w:rFonts w:ascii="Arial" w:cs="Arial" w:eastAsia="Arial" w:hAnsi="Arial"/>
                <w:sz w:val="18"/>
                <w:szCs w:val="18"/>
                <w:color w:val="auto"/>
              </w:rPr>
              <w:t>Section 12.5</w:t>
            </w:r>
          </w:p>
        </w:tc>
        <w:tc>
          <w:tcPr>
            <w:tcW w:w="9240" w:type="dxa"/>
            <w:vAlign w:val="bottom"/>
            <w:gridSpan w:val="4"/>
          </w:tcPr>
          <w:p>
            <w:pPr>
              <w:spacing w:after="0"/>
              <w:rPr>
                <w:sz w:val="20"/>
                <w:szCs w:val="20"/>
                <w:color w:val="auto"/>
              </w:rPr>
            </w:pPr>
            <w:r>
              <w:rPr>
                <w:rFonts w:ascii="Arial" w:cs="Arial" w:eastAsia="Arial" w:hAnsi="Arial"/>
                <w:sz w:val="18"/>
                <w:szCs w:val="18"/>
                <w:b w:val="1"/>
                <w:bCs w:val="1"/>
                <w:color w:val="auto"/>
                <w:w w:val="93"/>
              </w:rPr>
              <w:t>Creditors</w:t>
            </w:r>
            <w:r>
              <w:rPr>
                <w:rFonts w:ascii="Arial" w:cs="Arial" w:eastAsia="Arial" w:hAnsi="Arial"/>
                <w:sz w:val="18"/>
                <w:szCs w:val="18"/>
                <w:color w:val="auto"/>
                <w:w w:val="93"/>
              </w:rPr>
              <w:t>. None of the provisions of this Agreement shall be for the benefit of, or shall be enforceable by, any creditor of the</w:t>
            </w: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Company.</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500" w:type="dxa"/>
            <w:vAlign w:val="bottom"/>
          </w:tcPr>
          <w:p>
            <w:pPr>
              <w:spacing w:after="0"/>
              <w:rPr>
                <w:sz w:val="20"/>
                <w:szCs w:val="20"/>
                <w:color w:val="auto"/>
              </w:rPr>
            </w:pPr>
          </w:p>
        </w:tc>
      </w:tr>
      <w:tr>
        <w:trPr>
          <w:trHeight w:val="446"/>
        </w:trPr>
        <w:tc>
          <w:tcPr>
            <w:tcW w:w="2180" w:type="dxa"/>
            <w:vAlign w:val="bottom"/>
          </w:tcPr>
          <w:p>
            <w:pPr>
              <w:ind w:left="660"/>
              <w:spacing w:after="0"/>
              <w:rPr>
                <w:sz w:val="20"/>
                <w:szCs w:val="20"/>
                <w:color w:val="auto"/>
              </w:rPr>
            </w:pPr>
            <w:r>
              <w:rPr>
                <w:rFonts w:ascii="Arial" w:cs="Arial" w:eastAsia="Arial" w:hAnsi="Arial"/>
                <w:sz w:val="18"/>
                <w:szCs w:val="18"/>
                <w:color w:val="auto"/>
              </w:rPr>
              <w:t>Section 12.6</w:t>
            </w:r>
          </w:p>
        </w:tc>
        <w:tc>
          <w:tcPr>
            <w:tcW w:w="10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b w:val="1"/>
                <w:bCs w:val="1"/>
                <w:color w:val="auto"/>
                <w:w w:val="94"/>
              </w:rPr>
              <w:t>Waiver</w:t>
            </w:r>
            <w:r>
              <w:rPr>
                <w:rFonts w:ascii="Arial" w:cs="Arial" w:eastAsia="Arial" w:hAnsi="Arial"/>
                <w:sz w:val="18"/>
                <w:szCs w:val="18"/>
                <w:color w:val="auto"/>
                <w:w w:val="94"/>
              </w:rPr>
              <w:t>. No failure by any party to insist upon the strict performance of any covenant, duty, agreement or condition of this</w:t>
            </w: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or to exercise any right or remedy consequent upon a breach thereof shall constitute waiver of any such breach of any other covenant, duty, agreement or condition.</w:t>
      </w:r>
    </w:p>
    <w:p>
      <w:pPr>
        <w:spacing w:after="0" w:line="22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Each Member agrees that any Indemnified Person shall be entitled to assert rights and remedies hereunder as a third-party beneficiary hereto with respect to those provisions of this Agreement affording a right, benefit or privilege to such Indemnified Person.</w:t>
      </w:r>
    </w:p>
    <w:p>
      <w:pPr>
        <w:spacing w:after="0" w:line="23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Section 12.8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Share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without execution hereof.</w:t>
      </w:r>
    </w:p>
    <w:p>
      <w:pPr>
        <w:spacing w:after="0" w:line="19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b w:val="1"/>
          <w:bCs w:val="1"/>
          <w:u w:val="single" w:color="auto"/>
          <w:color w:val="auto"/>
        </w:rPr>
        <w:t>Applicable Law</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71" w:lineRule="auto"/>
        <w:tabs>
          <w:tab w:leader="none" w:pos="207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Unless the Company consents in writing to the selection of an alternative forum, the Court of Chancery of the State of Delaware shall, to the fullest extent permitted by applicable law, be the sole and exclusive forum for (i) any derivative action or proceeding brought on behalf of the Company, (ii) any action asserting a claim of breach of a fiduciary duty owed by any director, officer, employee or agent of the Company to the Company or the Company’s Members, (iii) any action asserting a claim against the Company or any director or officer or other employee of the Company arising pursuant to any provision of the Delaware Act or this Agreement, or (iv) any action asserting a claim against the Company or any director or officer or other employee of the Company governed by the internal affairs doctrine, in each such case subject to said Court of Chancery having personal jurisdiction over the indispensable parties named as defendants therein. Any person or entity purchasing or otherwise acquiring any interest in Shares of the Company shall be deemed to have notice of and consented to the provisions of this </w:t>
      </w:r>
      <w:r>
        <w:rPr>
          <w:rFonts w:ascii="Arial" w:cs="Arial" w:eastAsia="Arial" w:hAnsi="Arial"/>
          <w:sz w:val="17"/>
          <w:szCs w:val="17"/>
          <w:u w:val="single" w:color="auto"/>
          <w:color w:val="auto"/>
        </w:rPr>
        <w:t>Section 12.9</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jc w:val="both"/>
        <w:ind w:firstLine="1305"/>
        <w:spacing w:after="0" w:line="276" w:lineRule="auto"/>
        <w:tabs>
          <w:tab w:leader="none" w:pos="207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If any provision or provisions of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shall be held to be invalid, illegal or unenforceable as applied to any person or entity or circumstance for any reason whatsoever, then, to the fullest extent permitted by law, the validity, legal and enforceability of such provisions in any other circumstance and of the remaining provisions of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(including, without limitation, each portion of any sentence of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11" w:name="page112"/>
    <w:bookmarkEnd w:id="111"/>
    <w:p>
      <w:pPr>
        <w:jc w:val="both"/>
        <w:ind w:firstLine="1305"/>
        <w:spacing w:after="0" w:line="276" w:lineRule="auto"/>
        <w:tabs>
          <w:tab w:leader="none" w:pos="206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if any action the subject matter of which is within the scope of </w:t>
      </w:r>
      <w:r>
        <w:rPr>
          <w:rFonts w:ascii="Arial" w:cs="Arial" w:eastAsia="Arial" w:hAnsi="Arial"/>
          <w:sz w:val="17"/>
          <w:szCs w:val="17"/>
          <w:u w:val="single" w:color="auto"/>
          <w:color w:val="auto"/>
        </w:rPr>
        <w:t>Section 12.9(a)</w:t>
      </w:r>
      <w:r>
        <w:rPr>
          <w:rFonts w:ascii="Arial" w:cs="Arial" w:eastAsia="Arial" w:hAnsi="Arial"/>
          <w:sz w:val="17"/>
          <w:szCs w:val="17"/>
          <w:color w:val="auto"/>
        </w:rPr>
        <w:t xml:space="preserve"> is filed in a court other than a court located within the State of Delaware (a “</w:t>
      </w:r>
      <w:r>
        <w:rPr>
          <w:rFonts w:ascii="Arial" w:cs="Arial" w:eastAsia="Arial" w:hAnsi="Arial"/>
          <w:sz w:val="17"/>
          <w:szCs w:val="17"/>
          <w:b w:val="1"/>
          <w:bCs w:val="1"/>
          <w:u w:val="single" w:color="auto"/>
          <w:color w:val="auto"/>
        </w:rPr>
        <w:t>Foreign Action</w:t>
      </w:r>
      <w:r>
        <w:rPr>
          <w:rFonts w:ascii="Arial" w:cs="Arial" w:eastAsia="Arial" w:hAnsi="Arial"/>
          <w:sz w:val="17"/>
          <w:szCs w:val="17"/>
          <w:color w:val="auto"/>
        </w:rPr>
        <w:t xml:space="preserve">”) in the name of any Member, such Member shall be deemed to have consented to (A) the personal jurisdiction of the state and federal courts located within the State of Delaware in connection with any action brought in any such court to enforce </w:t>
      </w:r>
      <w:r>
        <w:rPr>
          <w:rFonts w:ascii="Arial" w:cs="Arial" w:eastAsia="Arial" w:hAnsi="Arial"/>
          <w:sz w:val="17"/>
          <w:szCs w:val="17"/>
          <w:u w:val="single" w:color="auto"/>
          <w:color w:val="auto"/>
        </w:rPr>
        <w:t>Section 12.9(a)</w:t>
      </w:r>
      <w:r>
        <w:rPr>
          <w:rFonts w:ascii="Arial" w:cs="Arial" w:eastAsia="Arial" w:hAnsi="Arial"/>
          <w:sz w:val="17"/>
          <w:szCs w:val="17"/>
          <w:color w:val="auto"/>
        </w:rPr>
        <w:t xml:space="preserve"> (an “</w:t>
      </w:r>
      <w:r>
        <w:rPr>
          <w:rFonts w:ascii="Arial" w:cs="Arial" w:eastAsia="Arial" w:hAnsi="Arial"/>
          <w:sz w:val="17"/>
          <w:szCs w:val="17"/>
          <w:b w:val="1"/>
          <w:bCs w:val="1"/>
          <w:u w:val="single" w:color="auto"/>
          <w:color w:val="auto"/>
        </w:rPr>
        <w:t>FSC Enforcement Action</w:t>
      </w:r>
      <w:r>
        <w:rPr>
          <w:rFonts w:ascii="Arial" w:cs="Arial" w:eastAsia="Arial" w:hAnsi="Arial"/>
          <w:sz w:val="17"/>
          <w:szCs w:val="17"/>
          <w:color w:val="auto"/>
        </w:rPr>
        <w:t>”) and (B) having service of process made upon such Member in any such FSC Enforcement Action by service upon such Member’s counsel in the Foreign Action as agent for such Member.</w:t>
      </w:r>
    </w:p>
    <w:p>
      <w:pPr>
        <w:spacing w:after="0" w:line="22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Section 12.10 </w:t>
      </w:r>
      <w:r>
        <w:rPr>
          <w:rFonts w:ascii="Arial" w:cs="Arial" w:eastAsia="Arial" w:hAnsi="Arial"/>
          <w:sz w:val="17"/>
          <w:szCs w:val="17"/>
          <w:b w:val="1"/>
          <w:bCs w:val="1"/>
          <w:u w:val="single" w:color="auto"/>
          <w:color w:val="auto"/>
        </w:rPr>
        <w:t>Invalidity of Provisions</w:t>
      </w:r>
      <w:r>
        <w:rPr>
          <w:rFonts w:ascii="Arial" w:cs="Arial" w:eastAsia="Arial" w:hAnsi="Arial"/>
          <w:sz w:val="17"/>
          <w:szCs w:val="17"/>
          <w:color w:val="auto"/>
        </w:rPr>
        <w:t>. If any provision of this Agreement is or becomes invalid, illegal or unenforceable in any respect, the validity, legality and enforceability of the remaining provisions contained herein shall not be affected thereby and this Agreement shall, to the fullest extent permitted by law, be reformed and construed as if such invalid, illegal or unenforceable provision, or part of a provision, had never been contained herein, and such provisions or part reformed so that it would be valid, legal and enforceable to the maximum extent possible.</w:t>
      </w:r>
    </w:p>
    <w:p>
      <w:pPr>
        <w:spacing w:after="0" w:line="21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b w:val="1"/>
          <w:bCs w:val="1"/>
          <w:u w:val="single" w:color="auto"/>
          <w:color w:val="auto"/>
        </w:rPr>
        <w:t>Consent of Members</w:t>
      </w:r>
      <w:r>
        <w:rPr>
          <w:rFonts w:ascii="Arial" w:cs="Arial" w:eastAsia="Arial" w:hAnsi="Arial"/>
          <w:sz w:val="18"/>
          <w:szCs w:val="18"/>
          <w:color w:val="auto"/>
        </w:rPr>
        <w:t>. Each Member hereby expressly consents and agrees that, whenever in this Agreement it is specified that an action may be taken upon the affirmative vote or consent of less than all of the Members, such action may be so taken upon the concurrence of less than all of the Members and each Member shall be bound by the results of such action.</w:t>
      </w:r>
    </w:p>
    <w:p>
      <w:pPr>
        <w:spacing w:after="0" w:line="2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b w:val="1"/>
          <w:bCs w:val="1"/>
          <w:u w:val="single" w:color="auto"/>
          <w:color w:val="auto"/>
        </w:rPr>
        <w:t>Facsimile Signatures</w:t>
      </w:r>
      <w:r>
        <w:rPr>
          <w:rFonts w:ascii="Arial" w:cs="Arial" w:eastAsia="Arial" w:hAnsi="Arial"/>
          <w:sz w:val="18"/>
          <w:szCs w:val="18"/>
          <w:color w:val="auto"/>
        </w:rPr>
        <w:t>. The use of facsimile signatures affixed in the name and on behalf of the transfer agent and registrar of the Company on certificates representing Shares is expressly permitted by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IN WITNESS WHEREOF, this Agreement has been executed as of the date first written above.</w:t>
      </w: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14605</wp:posOffset>
            </wp:positionV>
            <wp:extent cx="29070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 Christopher S. Guinta</w:t>
      </w:r>
    </w:p>
    <w:p>
      <w:pPr>
        <w:spacing w:after="0" w:line="35" w:lineRule="exact"/>
        <w:rPr>
          <w:sz w:val="20"/>
          <w:szCs w:val="20"/>
          <w:color w:val="auto"/>
        </w:rPr>
      </w:pPr>
    </w:p>
    <w:p>
      <w:pPr>
        <w:ind w:left="504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 to the First Amended and Restated</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228600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368"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3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93980"/>
                    </a:xfrm>
                    <a:prstGeom prst="rect">
                      <a:avLst/>
                    </a:prstGeom>
                    <a:noFill/>
                  </pic:spPr>
                </pic:pic>
              </a:graphicData>
            </a:graphic>
          </wp:anchor>
        </w:drawing>
        <w:t>Exhibit 4.1</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SHAREHOLDERS’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NEW FORTRESS ENERGY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NEW FORTRESS ENERGY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214630</wp:posOffset>
            </wp:positionV>
            <wp:extent cx="1449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137795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000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6"/>
        </w:trPr>
        <w:tc>
          <w:tcPr>
            <w:tcW w:w="980" w:type="dxa"/>
            <w:vAlign w:val="bottom"/>
          </w:tcPr>
          <w:p>
            <w:pPr>
              <w:spacing w:after="0"/>
              <w:rPr>
                <w:sz w:val="24"/>
                <w:szCs w:val="24"/>
                <w:color w:val="auto"/>
              </w:rPr>
            </w:pPr>
          </w:p>
        </w:tc>
        <w:tc>
          <w:tcPr>
            <w:tcW w:w="10000" w:type="dxa"/>
            <w:vAlign w:val="bottom"/>
            <w:vMerge w:val="restart"/>
          </w:tcPr>
          <w:p>
            <w:pPr>
              <w:jc w:val="center"/>
              <w:ind w:right="430"/>
              <w:spacing w:after="0"/>
              <w:rPr>
                <w:sz w:val="20"/>
                <w:szCs w:val="20"/>
                <w:color w:val="auto"/>
              </w:rPr>
            </w:pPr>
            <w:r>
              <w:rPr>
                <w:rFonts w:ascii="Arial" w:cs="Arial" w:eastAsia="Arial" w:hAnsi="Arial"/>
                <w:sz w:val="18"/>
                <w:szCs w:val="18"/>
                <w:color w:val="auto"/>
                <w:w w:val="99"/>
              </w:rPr>
              <w:t>Article I</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30"/>
              <w:spacing w:after="0"/>
              <w:rPr>
                <w:sz w:val="20"/>
                <w:szCs w:val="20"/>
                <w:color w:val="auto"/>
              </w:rPr>
            </w:pPr>
            <w:r>
              <w:rPr>
                <w:rFonts w:ascii="Arial" w:cs="Arial" w:eastAsia="Arial" w:hAnsi="Arial"/>
                <w:sz w:val="18"/>
                <w:szCs w:val="18"/>
                <w:color w:val="auto"/>
                <w:w w:val="98"/>
              </w:rPr>
              <w:t>DEFINITIONS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1.1</w:t>
            </w:r>
          </w:p>
        </w:tc>
        <w:tc>
          <w:tcPr>
            <w:tcW w:w="10000" w:type="dxa"/>
            <w:vAlign w:val="bottom"/>
          </w:tcPr>
          <w:p>
            <w:pPr>
              <w:ind w:left="180"/>
              <w:spacing w:after="0"/>
              <w:rPr>
                <w:sz w:val="20"/>
                <w:szCs w:val="20"/>
                <w:color w:val="auto"/>
              </w:rPr>
            </w:pPr>
            <w:r>
              <w:rPr>
                <w:rFonts w:ascii="Arial" w:cs="Arial" w:eastAsia="Arial" w:hAnsi="Arial"/>
                <w:sz w:val="18"/>
                <w:szCs w:val="18"/>
                <w:color w:val="auto"/>
              </w:rPr>
              <w:t>Certain Defined Terms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1.2</w:t>
            </w:r>
          </w:p>
        </w:tc>
        <w:tc>
          <w:tcPr>
            <w:tcW w:w="1000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10"/>
              <w:spacing w:after="0"/>
              <w:rPr>
                <w:sz w:val="20"/>
                <w:szCs w:val="20"/>
                <w:color w:val="auto"/>
              </w:rPr>
            </w:pPr>
            <w:r>
              <w:rPr>
                <w:rFonts w:ascii="Arial" w:cs="Arial" w:eastAsia="Arial" w:hAnsi="Arial"/>
                <w:sz w:val="18"/>
                <w:szCs w:val="18"/>
                <w:color w:val="auto"/>
              </w:rPr>
              <w:t>Article 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30"/>
              <w:spacing w:after="0"/>
              <w:rPr>
                <w:sz w:val="20"/>
                <w:szCs w:val="20"/>
                <w:color w:val="auto"/>
              </w:rPr>
            </w:pPr>
            <w:r>
              <w:rPr>
                <w:rFonts w:ascii="Arial" w:cs="Arial" w:eastAsia="Arial" w:hAnsi="Arial"/>
                <w:sz w:val="18"/>
                <w:szCs w:val="18"/>
                <w:color w:val="auto"/>
                <w:w w:val="94"/>
              </w:rPr>
              <w:t>TRANSFER</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2.1</w:t>
            </w:r>
          </w:p>
        </w:tc>
        <w:tc>
          <w:tcPr>
            <w:tcW w:w="10000" w:type="dxa"/>
            <w:vAlign w:val="bottom"/>
          </w:tcPr>
          <w:p>
            <w:pPr>
              <w:ind w:left="180"/>
              <w:spacing w:after="0"/>
              <w:rPr>
                <w:sz w:val="20"/>
                <w:szCs w:val="20"/>
                <w:color w:val="auto"/>
              </w:rPr>
            </w:pPr>
            <w:r>
              <w:rPr>
                <w:rFonts w:ascii="Arial" w:cs="Arial" w:eastAsia="Arial" w:hAnsi="Arial"/>
                <w:sz w:val="18"/>
                <w:szCs w:val="18"/>
                <w:color w:val="auto"/>
              </w:rPr>
              <w:t>Binding Effect on Transferees</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2.2</w:t>
            </w:r>
          </w:p>
        </w:tc>
        <w:tc>
          <w:tcPr>
            <w:tcW w:w="10000" w:type="dxa"/>
            <w:vAlign w:val="bottom"/>
          </w:tcPr>
          <w:p>
            <w:pPr>
              <w:ind w:left="180"/>
              <w:spacing w:after="0"/>
              <w:rPr>
                <w:sz w:val="20"/>
                <w:szCs w:val="20"/>
                <w:color w:val="auto"/>
              </w:rPr>
            </w:pPr>
            <w:r>
              <w:rPr>
                <w:rFonts w:ascii="Arial" w:cs="Arial" w:eastAsia="Arial" w:hAnsi="Arial"/>
                <w:sz w:val="18"/>
                <w:szCs w:val="18"/>
                <w:color w:val="auto"/>
              </w:rPr>
              <w:t>Additional Purchases</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2.3</w:t>
            </w:r>
          </w:p>
        </w:tc>
        <w:tc>
          <w:tcPr>
            <w:tcW w:w="10000" w:type="dxa"/>
            <w:vAlign w:val="bottom"/>
          </w:tcPr>
          <w:p>
            <w:pPr>
              <w:ind w:left="180"/>
              <w:spacing w:after="0"/>
              <w:rPr>
                <w:sz w:val="20"/>
                <w:szCs w:val="20"/>
                <w:color w:val="auto"/>
              </w:rPr>
            </w:pPr>
            <w:r>
              <w:rPr>
                <w:rFonts w:ascii="Arial" w:cs="Arial" w:eastAsia="Arial" w:hAnsi="Arial"/>
                <w:sz w:val="18"/>
                <w:szCs w:val="18"/>
                <w:color w:val="auto"/>
              </w:rPr>
              <w:t>Charter Provisions</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2.4</w:t>
            </w:r>
          </w:p>
        </w:tc>
        <w:tc>
          <w:tcPr>
            <w:tcW w:w="10000" w:type="dxa"/>
            <w:vAlign w:val="bottom"/>
          </w:tcPr>
          <w:p>
            <w:pPr>
              <w:ind w:left="180"/>
              <w:spacing w:after="0"/>
              <w:rPr>
                <w:sz w:val="20"/>
                <w:szCs w:val="20"/>
                <w:color w:val="auto"/>
              </w:rPr>
            </w:pPr>
            <w:r>
              <w:rPr>
                <w:rFonts w:ascii="Arial" w:cs="Arial" w:eastAsia="Arial" w:hAnsi="Arial"/>
                <w:sz w:val="18"/>
                <w:szCs w:val="18"/>
                <w:color w:val="auto"/>
              </w:rPr>
              <w:t>Legend</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30"/>
              <w:spacing w:after="0"/>
              <w:rPr>
                <w:sz w:val="20"/>
                <w:szCs w:val="20"/>
                <w:color w:val="auto"/>
              </w:rPr>
            </w:pPr>
            <w:r>
              <w:rPr>
                <w:rFonts w:ascii="Arial" w:cs="Arial" w:eastAsia="Arial" w:hAnsi="Arial"/>
                <w:sz w:val="18"/>
                <w:szCs w:val="18"/>
                <w:color w:val="auto"/>
              </w:rPr>
              <w:t>Article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10"/>
              <w:spacing w:after="0"/>
              <w:rPr>
                <w:sz w:val="20"/>
                <w:szCs w:val="20"/>
                <w:color w:val="auto"/>
              </w:rPr>
            </w:pPr>
            <w:r>
              <w:rPr>
                <w:rFonts w:ascii="Arial" w:cs="Arial" w:eastAsia="Arial" w:hAnsi="Arial"/>
                <w:sz w:val="18"/>
                <w:szCs w:val="18"/>
                <w:color w:val="auto"/>
                <w:w w:val="94"/>
              </w:rPr>
              <w:t>BOARD OF DIRECTORS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3.1</w:t>
            </w:r>
          </w:p>
        </w:tc>
        <w:tc>
          <w:tcPr>
            <w:tcW w:w="10000" w:type="dxa"/>
            <w:vAlign w:val="bottom"/>
          </w:tcPr>
          <w:p>
            <w:pPr>
              <w:ind w:left="180"/>
              <w:spacing w:after="0"/>
              <w:rPr>
                <w:sz w:val="20"/>
                <w:szCs w:val="20"/>
                <w:color w:val="auto"/>
              </w:rPr>
            </w:pPr>
            <w:r>
              <w:rPr>
                <w:rFonts w:ascii="Arial" w:cs="Arial" w:eastAsia="Arial" w:hAnsi="Arial"/>
                <w:sz w:val="18"/>
                <w:szCs w:val="18"/>
                <w:color w:val="auto"/>
              </w:rPr>
              <w:t>Board</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3.2</w:t>
            </w:r>
          </w:p>
        </w:tc>
        <w:tc>
          <w:tcPr>
            <w:tcW w:w="10000" w:type="dxa"/>
            <w:vAlign w:val="bottom"/>
          </w:tcPr>
          <w:p>
            <w:pPr>
              <w:ind w:left="180"/>
              <w:spacing w:after="0"/>
              <w:rPr>
                <w:sz w:val="20"/>
                <w:szCs w:val="20"/>
                <w:color w:val="auto"/>
              </w:rPr>
            </w:pPr>
            <w:r>
              <w:rPr>
                <w:rFonts w:ascii="Arial" w:cs="Arial" w:eastAsia="Arial" w:hAnsi="Arial"/>
                <w:sz w:val="18"/>
                <w:szCs w:val="18"/>
                <w:color w:val="auto"/>
              </w:rPr>
              <w:t>Committees</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10"/>
              <w:spacing w:after="0"/>
              <w:rPr>
                <w:sz w:val="20"/>
                <w:szCs w:val="20"/>
                <w:color w:val="auto"/>
              </w:rPr>
            </w:pPr>
            <w:r>
              <w:rPr>
                <w:rFonts w:ascii="Arial" w:cs="Arial" w:eastAsia="Arial" w:hAnsi="Arial"/>
                <w:sz w:val="18"/>
                <w:szCs w:val="18"/>
                <w:color w:val="auto"/>
              </w:rPr>
              <w:t>Article IV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10"/>
              <w:spacing w:after="0"/>
              <w:rPr>
                <w:sz w:val="20"/>
                <w:szCs w:val="20"/>
                <w:color w:val="auto"/>
              </w:rPr>
            </w:pPr>
            <w:r>
              <w:rPr>
                <w:rFonts w:ascii="Arial" w:cs="Arial" w:eastAsia="Arial" w:hAnsi="Arial"/>
                <w:sz w:val="18"/>
                <w:szCs w:val="18"/>
                <w:color w:val="auto"/>
                <w:w w:val="95"/>
              </w:rPr>
              <w:t>REGISTRATION RIGHTS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4.1</w:t>
            </w:r>
          </w:p>
        </w:tc>
        <w:tc>
          <w:tcPr>
            <w:tcW w:w="10000" w:type="dxa"/>
            <w:vAlign w:val="bottom"/>
          </w:tcPr>
          <w:p>
            <w:pPr>
              <w:ind w:left="180"/>
              <w:spacing w:after="0"/>
              <w:rPr>
                <w:sz w:val="20"/>
                <w:szCs w:val="20"/>
                <w:color w:val="auto"/>
              </w:rPr>
            </w:pPr>
            <w:r>
              <w:rPr>
                <w:rFonts w:ascii="Arial" w:cs="Arial" w:eastAsia="Arial" w:hAnsi="Arial"/>
                <w:sz w:val="18"/>
                <w:szCs w:val="18"/>
                <w:color w:val="auto"/>
              </w:rPr>
              <w:t>Demand Registration</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4.2</w:t>
            </w:r>
          </w:p>
        </w:tc>
        <w:tc>
          <w:tcPr>
            <w:tcW w:w="10000" w:type="dxa"/>
            <w:vAlign w:val="bottom"/>
          </w:tcPr>
          <w:p>
            <w:pPr>
              <w:ind w:left="180"/>
              <w:spacing w:after="0"/>
              <w:rPr>
                <w:sz w:val="20"/>
                <w:szCs w:val="20"/>
                <w:color w:val="auto"/>
              </w:rPr>
            </w:pPr>
            <w:r>
              <w:rPr>
                <w:rFonts w:ascii="Arial" w:cs="Arial" w:eastAsia="Arial" w:hAnsi="Arial"/>
                <w:sz w:val="18"/>
                <w:szCs w:val="18"/>
                <w:color w:val="auto"/>
              </w:rPr>
              <w:t>Piggyback Registrations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4.3</w:t>
            </w:r>
          </w:p>
        </w:tc>
        <w:tc>
          <w:tcPr>
            <w:tcW w:w="10000" w:type="dxa"/>
            <w:vAlign w:val="bottom"/>
          </w:tcPr>
          <w:p>
            <w:pPr>
              <w:ind w:left="180"/>
              <w:spacing w:after="0"/>
              <w:rPr>
                <w:sz w:val="20"/>
                <w:szCs w:val="20"/>
                <w:color w:val="auto"/>
              </w:rPr>
            </w:pPr>
            <w:r>
              <w:rPr>
                <w:rFonts w:ascii="Arial" w:cs="Arial" w:eastAsia="Arial" w:hAnsi="Arial"/>
                <w:sz w:val="18"/>
                <w:szCs w:val="18"/>
                <w:color w:val="auto"/>
              </w:rPr>
              <w:t>Shelf Registration</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4.4</w:t>
            </w:r>
          </w:p>
        </w:tc>
        <w:tc>
          <w:tcPr>
            <w:tcW w:w="10000" w:type="dxa"/>
            <w:vAlign w:val="bottom"/>
          </w:tcPr>
          <w:p>
            <w:pPr>
              <w:ind w:left="180"/>
              <w:spacing w:after="0"/>
              <w:rPr>
                <w:sz w:val="20"/>
                <w:szCs w:val="20"/>
                <w:color w:val="auto"/>
              </w:rPr>
            </w:pPr>
            <w:r>
              <w:rPr>
                <w:rFonts w:ascii="Arial" w:cs="Arial" w:eastAsia="Arial" w:hAnsi="Arial"/>
                <w:sz w:val="18"/>
                <w:szCs w:val="18"/>
                <w:color w:val="auto"/>
              </w:rPr>
              <w:t>Withdrawal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4.5</w:t>
            </w:r>
          </w:p>
        </w:tc>
        <w:tc>
          <w:tcPr>
            <w:tcW w:w="10000" w:type="dxa"/>
            <w:vAlign w:val="bottom"/>
          </w:tcPr>
          <w:p>
            <w:pPr>
              <w:ind w:left="180"/>
              <w:spacing w:after="0"/>
              <w:rPr>
                <w:sz w:val="20"/>
                <w:szCs w:val="20"/>
                <w:color w:val="auto"/>
              </w:rPr>
            </w:pPr>
            <w:r>
              <w:rPr>
                <w:rFonts w:ascii="Arial" w:cs="Arial" w:eastAsia="Arial" w:hAnsi="Arial"/>
                <w:sz w:val="18"/>
                <w:szCs w:val="18"/>
                <w:color w:val="auto"/>
              </w:rPr>
              <w:t>Registration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4.6</w:t>
            </w:r>
          </w:p>
        </w:tc>
        <w:tc>
          <w:tcPr>
            <w:tcW w:w="10000" w:type="dxa"/>
            <w:vAlign w:val="bottom"/>
          </w:tcPr>
          <w:p>
            <w:pPr>
              <w:ind w:left="180"/>
              <w:spacing w:after="0"/>
              <w:rPr>
                <w:sz w:val="20"/>
                <w:szCs w:val="20"/>
                <w:color w:val="auto"/>
              </w:rPr>
            </w:pPr>
            <w:r>
              <w:rPr>
                <w:rFonts w:ascii="Arial" w:cs="Arial" w:eastAsia="Arial" w:hAnsi="Arial"/>
                <w:sz w:val="18"/>
                <w:szCs w:val="18"/>
                <w:color w:val="auto"/>
              </w:rPr>
              <w:t>Registration Expenses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4.7</w:t>
            </w:r>
          </w:p>
        </w:tc>
        <w:tc>
          <w:tcPr>
            <w:tcW w:w="10000" w:type="dxa"/>
            <w:vAlign w:val="bottom"/>
          </w:tcPr>
          <w:p>
            <w:pPr>
              <w:ind w:left="180"/>
              <w:spacing w:after="0"/>
              <w:rPr>
                <w:sz w:val="20"/>
                <w:szCs w:val="20"/>
                <w:color w:val="auto"/>
              </w:rPr>
            </w:pPr>
            <w:r>
              <w:rPr>
                <w:rFonts w:ascii="Arial" w:cs="Arial" w:eastAsia="Arial" w:hAnsi="Arial"/>
                <w:sz w:val="18"/>
                <w:szCs w:val="18"/>
                <w:color w:val="auto"/>
              </w:rPr>
              <w:t>10b5-1 Plans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10"/>
              <w:spacing w:after="0"/>
              <w:rPr>
                <w:sz w:val="20"/>
                <w:szCs w:val="20"/>
                <w:color w:val="auto"/>
              </w:rPr>
            </w:pPr>
            <w:r>
              <w:rPr>
                <w:rFonts w:ascii="Arial" w:cs="Arial" w:eastAsia="Arial" w:hAnsi="Arial"/>
                <w:sz w:val="18"/>
                <w:szCs w:val="18"/>
                <w:color w:val="auto"/>
                <w:w w:val="98"/>
              </w:rPr>
              <w:t>Article 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0000" w:type="dxa"/>
            <w:vAlign w:val="bottom"/>
          </w:tcPr>
          <w:p>
            <w:pPr>
              <w:jc w:val="center"/>
              <w:ind w:right="430"/>
              <w:spacing w:after="0"/>
              <w:rPr>
                <w:sz w:val="20"/>
                <w:szCs w:val="20"/>
                <w:color w:val="auto"/>
              </w:rPr>
            </w:pPr>
            <w:r>
              <w:rPr>
                <w:rFonts w:ascii="Arial" w:cs="Arial" w:eastAsia="Arial" w:hAnsi="Arial"/>
                <w:sz w:val="18"/>
                <w:szCs w:val="18"/>
                <w:color w:val="auto"/>
                <w:w w:val="96"/>
              </w:rPr>
              <w:t>ASSISTANCE IN THE SALE OF THE INITIAL SHAREHOLDER’S SHARES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5.1</w:t>
            </w:r>
          </w:p>
        </w:tc>
        <w:tc>
          <w:tcPr>
            <w:tcW w:w="10000" w:type="dxa"/>
            <w:vAlign w:val="bottom"/>
          </w:tcPr>
          <w:p>
            <w:pPr>
              <w:ind w:left="180"/>
              <w:spacing w:after="0"/>
              <w:rPr>
                <w:sz w:val="20"/>
                <w:szCs w:val="20"/>
                <w:color w:val="auto"/>
              </w:rPr>
            </w:pPr>
            <w:r>
              <w:rPr>
                <w:rFonts w:ascii="Arial" w:cs="Arial" w:eastAsia="Arial" w:hAnsi="Arial"/>
                <w:sz w:val="18"/>
                <w:szCs w:val="18"/>
                <w:color w:val="auto"/>
              </w:rPr>
              <w:t>Share Sale</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5.2</w:t>
            </w:r>
          </w:p>
        </w:tc>
        <w:tc>
          <w:tcPr>
            <w:tcW w:w="1000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5.3</w:t>
            </w:r>
          </w:p>
        </w:tc>
        <w:tc>
          <w:tcPr>
            <w:tcW w:w="10000" w:type="dxa"/>
            <w:vAlign w:val="bottom"/>
          </w:tcPr>
          <w:p>
            <w:pPr>
              <w:ind w:left="180"/>
              <w:spacing w:after="0"/>
              <w:rPr>
                <w:sz w:val="20"/>
                <w:szCs w:val="20"/>
                <w:color w:val="auto"/>
              </w:rPr>
            </w:pPr>
            <w:r>
              <w:rPr>
                <w:rFonts w:ascii="Arial" w:cs="Arial" w:eastAsia="Arial" w:hAnsi="Arial"/>
                <w:sz w:val="18"/>
                <w:szCs w:val="18"/>
                <w:color w:val="auto"/>
              </w:rPr>
              <w:t>Expenses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8060" w:type="dxa"/>
            <w:vAlign w:val="bottom"/>
          </w:tcPr>
          <w:p>
            <w:pPr>
              <w:jc w:val="center"/>
              <w:ind w:left="1210"/>
              <w:spacing w:after="0"/>
              <w:rPr>
                <w:sz w:val="20"/>
                <w:szCs w:val="20"/>
                <w:color w:val="auto"/>
              </w:rPr>
            </w:pPr>
            <w:r>
              <w:rPr>
                <w:rFonts w:ascii="Arial" w:cs="Arial" w:eastAsia="Arial" w:hAnsi="Arial"/>
                <w:sz w:val="18"/>
                <w:szCs w:val="18"/>
                <w:color w:val="auto"/>
                <w:w w:val="99"/>
              </w:rPr>
              <w:t>Article VI</w:t>
            </w:r>
          </w:p>
        </w:tc>
        <w:tc>
          <w:tcPr>
            <w:tcW w:w="23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060" w:type="dxa"/>
            <w:vAlign w:val="bottom"/>
          </w:tcPr>
          <w:p>
            <w:pPr>
              <w:jc w:val="center"/>
              <w:ind w:left="1210"/>
              <w:spacing w:after="0"/>
              <w:rPr>
                <w:sz w:val="20"/>
                <w:szCs w:val="20"/>
                <w:color w:val="auto"/>
              </w:rPr>
            </w:pPr>
            <w:r>
              <w:rPr>
                <w:rFonts w:ascii="Arial" w:cs="Arial" w:eastAsia="Arial" w:hAnsi="Arial"/>
                <w:sz w:val="18"/>
                <w:szCs w:val="18"/>
                <w:color w:val="auto"/>
                <w:w w:val="99"/>
              </w:rPr>
              <w:t>INDEMNIFICATION</w:t>
            </w:r>
          </w:p>
        </w:tc>
        <w:tc>
          <w:tcPr>
            <w:tcW w:w="232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6.1</w:t>
            </w:r>
          </w:p>
        </w:tc>
        <w:tc>
          <w:tcPr>
            <w:tcW w:w="8060" w:type="dxa"/>
            <w:vAlign w:val="bottom"/>
          </w:tcPr>
          <w:p>
            <w:pPr>
              <w:ind w:left="120"/>
              <w:spacing w:after="0"/>
              <w:rPr>
                <w:sz w:val="20"/>
                <w:szCs w:val="20"/>
                <w:color w:val="auto"/>
              </w:rPr>
            </w:pPr>
            <w:r>
              <w:rPr>
                <w:rFonts w:ascii="Arial" w:cs="Arial" w:eastAsia="Arial" w:hAnsi="Arial"/>
                <w:sz w:val="18"/>
                <w:szCs w:val="18"/>
                <w:color w:val="auto"/>
              </w:rPr>
              <w:t>General Indemnification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6.2</w:t>
            </w:r>
          </w:p>
        </w:tc>
        <w:tc>
          <w:tcPr>
            <w:tcW w:w="8060" w:type="dxa"/>
            <w:vAlign w:val="bottom"/>
          </w:tcPr>
          <w:p>
            <w:pPr>
              <w:ind w:left="120"/>
              <w:spacing w:after="0"/>
              <w:rPr>
                <w:sz w:val="20"/>
                <w:szCs w:val="20"/>
                <w:color w:val="auto"/>
              </w:rPr>
            </w:pPr>
            <w:r>
              <w:rPr>
                <w:rFonts w:ascii="Arial" w:cs="Arial" w:eastAsia="Arial" w:hAnsi="Arial"/>
                <w:sz w:val="18"/>
                <w:szCs w:val="18"/>
                <w:color w:val="auto"/>
              </w:rPr>
              <w:t>Registration Statement Indemnification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6.3</w:t>
            </w:r>
          </w:p>
        </w:tc>
        <w:tc>
          <w:tcPr>
            <w:tcW w:w="8060" w:type="dxa"/>
            <w:vAlign w:val="bottom"/>
          </w:tcPr>
          <w:p>
            <w:pPr>
              <w:ind w:left="120"/>
              <w:spacing w:after="0"/>
              <w:rPr>
                <w:sz w:val="20"/>
                <w:szCs w:val="20"/>
                <w:color w:val="auto"/>
              </w:rPr>
            </w:pPr>
            <w:r>
              <w:rPr>
                <w:rFonts w:ascii="Arial" w:cs="Arial" w:eastAsia="Arial" w:hAnsi="Arial"/>
                <w:sz w:val="18"/>
                <w:szCs w:val="18"/>
                <w:color w:val="auto"/>
              </w:rPr>
              <w:t>Contribution</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6.4</w:t>
            </w:r>
          </w:p>
        </w:tc>
        <w:tc>
          <w:tcPr>
            <w:tcW w:w="8060" w:type="dxa"/>
            <w:vAlign w:val="bottom"/>
          </w:tcPr>
          <w:p>
            <w:pPr>
              <w:ind w:left="120"/>
              <w:spacing w:after="0"/>
              <w:rPr>
                <w:sz w:val="20"/>
                <w:szCs w:val="20"/>
                <w:color w:val="auto"/>
              </w:rPr>
            </w:pPr>
            <w:r>
              <w:rPr>
                <w:rFonts w:ascii="Arial" w:cs="Arial" w:eastAsia="Arial" w:hAnsi="Arial"/>
                <w:sz w:val="18"/>
                <w:szCs w:val="18"/>
                <w:color w:val="auto"/>
              </w:rPr>
              <w:t>Procedure</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6.5</w:t>
            </w:r>
          </w:p>
        </w:tc>
        <w:tc>
          <w:tcPr>
            <w:tcW w:w="8060" w:type="dxa"/>
            <w:vAlign w:val="bottom"/>
          </w:tcPr>
          <w:p>
            <w:pPr>
              <w:ind w:left="120"/>
              <w:spacing w:after="0"/>
              <w:rPr>
                <w:sz w:val="20"/>
                <w:szCs w:val="20"/>
                <w:color w:val="auto"/>
              </w:rPr>
            </w:pPr>
            <w:r>
              <w:rPr>
                <w:rFonts w:ascii="Arial" w:cs="Arial" w:eastAsia="Arial" w:hAnsi="Arial"/>
                <w:sz w:val="18"/>
                <w:szCs w:val="18"/>
                <w:color w:val="auto"/>
              </w:rPr>
              <w:t>Other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040" w:type="dxa"/>
            <w:vAlign w:val="bottom"/>
          </w:tcPr>
          <w:p>
            <w:pPr>
              <w:spacing w:after="0"/>
              <w:rPr>
                <w:sz w:val="24"/>
                <w:szCs w:val="24"/>
                <w:color w:val="auto"/>
              </w:rPr>
            </w:pPr>
          </w:p>
        </w:tc>
        <w:tc>
          <w:tcPr>
            <w:tcW w:w="8060" w:type="dxa"/>
            <w:vAlign w:val="bottom"/>
          </w:tcPr>
          <w:p>
            <w:pPr>
              <w:jc w:val="center"/>
              <w:ind w:left="1210"/>
              <w:spacing w:after="0"/>
              <w:rPr>
                <w:sz w:val="20"/>
                <w:szCs w:val="20"/>
                <w:color w:val="auto"/>
              </w:rPr>
            </w:pPr>
            <w:r>
              <w:rPr>
                <w:rFonts w:ascii="Arial" w:cs="Arial" w:eastAsia="Arial" w:hAnsi="Arial"/>
                <w:sz w:val="18"/>
                <w:szCs w:val="18"/>
                <w:color w:val="auto"/>
              </w:rPr>
              <w:t>Article VII</w:t>
            </w:r>
          </w:p>
        </w:tc>
        <w:tc>
          <w:tcPr>
            <w:tcW w:w="23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060" w:type="dxa"/>
            <w:vAlign w:val="bottom"/>
          </w:tcPr>
          <w:p>
            <w:pPr>
              <w:jc w:val="center"/>
              <w:ind w:left="1230"/>
              <w:spacing w:after="0"/>
              <w:rPr>
                <w:sz w:val="20"/>
                <w:szCs w:val="20"/>
                <w:color w:val="auto"/>
              </w:rPr>
            </w:pPr>
            <w:r>
              <w:rPr>
                <w:rFonts w:ascii="Arial" w:cs="Arial" w:eastAsia="Arial" w:hAnsi="Arial"/>
                <w:sz w:val="18"/>
                <w:szCs w:val="18"/>
                <w:color w:val="auto"/>
                <w:w w:val="97"/>
              </w:rPr>
              <w:t>MISCELLANEOUS</w:t>
            </w:r>
          </w:p>
        </w:tc>
        <w:tc>
          <w:tcPr>
            <w:tcW w:w="232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7.1</w:t>
            </w:r>
          </w:p>
        </w:tc>
        <w:tc>
          <w:tcPr>
            <w:tcW w:w="8060" w:type="dxa"/>
            <w:vAlign w:val="bottom"/>
          </w:tcPr>
          <w:p>
            <w:pPr>
              <w:ind w:left="120"/>
              <w:spacing w:after="0"/>
              <w:rPr>
                <w:sz w:val="20"/>
                <w:szCs w:val="20"/>
                <w:color w:val="auto"/>
              </w:rPr>
            </w:pPr>
            <w:r>
              <w:rPr>
                <w:rFonts w:ascii="Arial" w:cs="Arial" w:eastAsia="Arial" w:hAnsi="Arial"/>
                <w:sz w:val="18"/>
                <w:szCs w:val="18"/>
                <w:color w:val="auto"/>
              </w:rPr>
              <w:t>Headings</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7.2</w:t>
            </w:r>
          </w:p>
        </w:tc>
        <w:tc>
          <w:tcPr>
            <w:tcW w:w="806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7.3</w:t>
            </w:r>
          </w:p>
        </w:tc>
        <w:tc>
          <w:tcPr>
            <w:tcW w:w="8060" w:type="dxa"/>
            <w:vAlign w:val="bottom"/>
          </w:tcPr>
          <w:p>
            <w:pPr>
              <w:ind w:left="120"/>
              <w:spacing w:after="0"/>
              <w:rPr>
                <w:sz w:val="20"/>
                <w:szCs w:val="20"/>
                <w:color w:val="auto"/>
              </w:rPr>
            </w:pPr>
            <w:r>
              <w:rPr>
                <w:rFonts w:ascii="Arial" w:cs="Arial" w:eastAsia="Arial" w:hAnsi="Arial"/>
                <w:sz w:val="18"/>
                <w:szCs w:val="18"/>
                <w:color w:val="auto"/>
              </w:rPr>
              <w:t>Further Actions; Cooperation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7.4</w:t>
            </w:r>
          </w:p>
        </w:tc>
        <w:tc>
          <w:tcPr>
            <w:tcW w:w="8060" w:type="dxa"/>
            <w:vAlign w:val="bottom"/>
          </w:tcPr>
          <w:p>
            <w:pPr>
              <w:ind w:left="12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7.5</w:t>
            </w:r>
          </w:p>
        </w:tc>
        <w:tc>
          <w:tcPr>
            <w:tcW w:w="8060" w:type="dxa"/>
            <w:vAlign w:val="bottom"/>
          </w:tcPr>
          <w:p>
            <w:pPr>
              <w:ind w:left="120"/>
              <w:spacing w:after="0"/>
              <w:rPr>
                <w:sz w:val="20"/>
                <w:szCs w:val="20"/>
                <w:color w:val="auto"/>
              </w:rPr>
            </w:pPr>
            <w:r>
              <w:rPr>
                <w:rFonts w:ascii="Arial" w:cs="Arial" w:eastAsia="Arial" w:hAnsi="Arial"/>
                <w:sz w:val="18"/>
                <w:szCs w:val="18"/>
                <w:color w:val="auto"/>
              </w:rPr>
              <w:t>Applicable Law</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7.6</w:t>
            </w:r>
          </w:p>
        </w:tc>
        <w:tc>
          <w:tcPr>
            <w:tcW w:w="80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7.7</w:t>
            </w:r>
          </w:p>
        </w:tc>
        <w:tc>
          <w:tcPr>
            <w:tcW w:w="806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7.8</w:t>
            </w:r>
          </w:p>
        </w:tc>
        <w:tc>
          <w:tcPr>
            <w:tcW w:w="806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7.9</w:t>
            </w:r>
          </w:p>
        </w:tc>
        <w:tc>
          <w:tcPr>
            <w:tcW w:w="8060" w:type="dxa"/>
            <w:vAlign w:val="bottom"/>
          </w:tcPr>
          <w:p>
            <w:pPr>
              <w:ind w:left="120"/>
              <w:spacing w:after="0"/>
              <w:rPr>
                <w:sz w:val="20"/>
                <w:szCs w:val="20"/>
                <w:color w:val="auto"/>
              </w:rPr>
            </w:pPr>
            <w:r>
              <w:rPr>
                <w:rFonts w:ascii="Arial" w:cs="Arial" w:eastAsia="Arial" w:hAnsi="Arial"/>
                <w:sz w:val="18"/>
                <w:szCs w:val="18"/>
                <w:color w:val="auto"/>
              </w:rPr>
              <w:t>Waiver</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7.10</w:t>
            </w:r>
          </w:p>
        </w:tc>
        <w:tc>
          <w:tcPr>
            <w:tcW w:w="80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7.11</w:t>
            </w:r>
          </w:p>
        </w:tc>
        <w:tc>
          <w:tcPr>
            <w:tcW w:w="8060" w:type="dxa"/>
            <w:vAlign w:val="bottom"/>
          </w:tcPr>
          <w:p>
            <w:pPr>
              <w:ind w:left="120"/>
              <w:spacing w:after="0"/>
              <w:rPr>
                <w:sz w:val="20"/>
                <w:szCs w:val="20"/>
                <w:color w:val="auto"/>
              </w:rPr>
            </w:pPr>
            <w:r>
              <w:rPr>
                <w:rFonts w:ascii="Arial" w:cs="Arial" w:eastAsia="Arial" w:hAnsi="Arial"/>
                <w:sz w:val="18"/>
                <w:szCs w:val="18"/>
                <w:color w:val="auto"/>
              </w:rPr>
              <w:t>Submission To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7.12</w:t>
            </w:r>
          </w:p>
        </w:tc>
        <w:tc>
          <w:tcPr>
            <w:tcW w:w="8060" w:type="dxa"/>
            <w:vAlign w:val="bottom"/>
          </w:tcPr>
          <w:p>
            <w:pPr>
              <w:ind w:left="120"/>
              <w:spacing w:after="0"/>
              <w:rPr>
                <w:sz w:val="20"/>
                <w:szCs w:val="20"/>
                <w:color w:val="auto"/>
              </w:rPr>
            </w:pPr>
            <w:r>
              <w:rPr>
                <w:rFonts w:ascii="Arial" w:cs="Arial" w:eastAsia="Arial" w:hAnsi="Arial"/>
                <w:sz w:val="18"/>
                <w:szCs w:val="18"/>
                <w:color w:val="auto"/>
              </w:rPr>
              <w:t>Injunctive Relief</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7.13</w:t>
            </w:r>
          </w:p>
        </w:tc>
        <w:tc>
          <w:tcPr>
            <w:tcW w:w="8060" w:type="dxa"/>
            <w:vAlign w:val="bottom"/>
          </w:tcPr>
          <w:p>
            <w:pPr>
              <w:ind w:left="120"/>
              <w:spacing w:after="0"/>
              <w:rPr>
                <w:sz w:val="20"/>
                <w:szCs w:val="20"/>
                <w:color w:val="auto"/>
              </w:rPr>
            </w:pPr>
            <w:r>
              <w:rPr>
                <w:rFonts w:ascii="Arial" w:cs="Arial" w:eastAsia="Arial" w:hAnsi="Arial"/>
                <w:sz w:val="18"/>
                <w:szCs w:val="18"/>
                <w:color w:val="auto"/>
              </w:rPr>
              <w:t>Recapitalizations, Exchanges, Etc. Affecting the Common Shares; New Issuance</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7.14</w:t>
            </w:r>
          </w:p>
        </w:tc>
        <w:tc>
          <w:tcPr>
            <w:tcW w:w="806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7.15</w:t>
            </w:r>
          </w:p>
        </w:tc>
        <w:tc>
          <w:tcPr>
            <w:tcW w:w="8060" w:type="dxa"/>
            <w:vAlign w:val="bottom"/>
          </w:tcPr>
          <w:p>
            <w:pPr>
              <w:ind w:left="120"/>
              <w:spacing w:after="0"/>
              <w:rPr>
                <w:sz w:val="20"/>
                <w:szCs w:val="20"/>
                <w:color w:val="auto"/>
              </w:rPr>
            </w:pPr>
            <w:r>
              <w:rPr>
                <w:rFonts w:ascii="Arial" w:cs="Arial" w:eastAsia="Arial" w:hAnsi="Arial"/>
                <w:sz w:val="18"/>
                <w:szCs w:val="18"/>
                <w:color w:val="auto"/>
              </w:rPr>
              <w:t>No Third Party Beneficiaries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7.16</w:t>
            </w:r>
          </w:p>
        </w:tc>
        <w:tc>
          <w:tcPr>
            <w:tcW w:w="8060" w:type="dxa"/>
            <w:vAlign w:val="bottom"/>
          </w:tcPr>
          <w:p>
            <w:pPr>
              <w:ind w:left="120"/>
              <w:spacing w:after="0"/>
              <w:rPr>
                <w:sz w:val="20"/>
                <w:szCs w:val="20"/>
                <w:color w:val="auto"/>
              </w:rPr>
            </w:pPr>
            <w:r>
              <w:rPr>
                <w:rFonts w:ascii="Arial" w:cs="Arial" w:eastAsia="Arial" w:hAnsi="Arial"/>
                <w:sz w:val="18"/>
                <w:szCs w:val="18"/>
                <w:color w:val="auto"/>
              </w:rPr>
              <w:t>Rule 144</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7.17</w:t>
            </w:r>
          </w:p>
        </w:tc>
        <w:tc>
          <w:tcPr>
            <w:tcW w:w="8060" w:type="dxa"/>
            <w:vAlign w:val="bottom"/>
          </w:tcPr>
          <w:p>
            <w:pPr>
              <w:ind w:left="120"/>
              <w:spacing w:after="0"/>
              <w:rPr>
                <w:sz w:val="20"/>
                <w:szCs w:val="20"/>
                <w:color w:val="auto"/>
              </w:rPr>
            </w:pPr>
            <w:r>
              <w:rPr>
                <w:rFonts w:ascii="Arial" w:cs="Arial" w:eastAsia="Arial" w:hAnsi="Arial"/>
                <w:sz w:val="18"/>
                <w:szCs w:val="18"/>
                <w:color w:val="auto"/>
              </w:rPr>
              <w:t>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SHAREHOLDERS’ AGREEMENT</w:t>
      </w:r>
    </w:p>
    <w:p>
      <w:pPr>
        <w:spacing w:after="0" w:line="256" w:lineRule="exact"/>
        <w:rPr>
          <w:sz w:val="20"/>
          <w:szCs w:val="20"/>
          <w:color w:val="auto"/>
        </w:rPr>
      </w:pPr>
    </w:p>
    <w:p>
      <w:pPr>
        <w:ind w:right="280" w:firstLine="1297"/>
        <w:spacing w:after="0" w:line="286" w:lineRule="auto"/>
        <w:rPr>
          <w:sz w:val="20"/>
          <w:szCs w:val="20"/>
          <w:color w:val="auto"/>
        </w:rPr>
      </w:pPr>
      <w:r>
        <w:rPr>
          <w:rFonts w:ascii="Arial" w:cs="Arial" w:eastAsia="Arial" w:hAnsi="Arial"/>
          <w:sz w:val="17"/>
          <w:szCs w:val="17"/>
          <w:color w:val="auto"/>
        </w:rPr>
        <w:t>THIS SHAREHOLDERS’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February 4, 2019, by and between New Fortress Energy Holdings LLC, a Delaware limited liability company (the “</w:t>
      </w:r>
      <w:r>
        <w:rPr>
          <w:rFonts w:ascii="Arial" w:cs="Arial" w:eastAsia="Arial" w:hAnsi="Arial"/>
          <w:sz w:val="17"/>
          <w:szCs w:val="17"/>
          <w:u w:val="single" w:color="auto"/>
          <w:color w:val="auto"/>
        </w:rPr>
        <w:t>Initial Shareholder</w:t>
      </w:r>
      <w:r>
        <w:rPr>
          <w:rFonts w:ascii="Arial" w:cs="Arial" w:eastAsia="Arial" w:hAnsi="Arial"/>
          <w:sz w:val="17"/>
          <w:szCs w:val="17"/>
          <w:color w:val="auto"/>
        </w:rPr>
        <w:t>”) and New Fortress Energy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indicated, references to articles and sections shall be to articles and sections of this Agreement.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Initial Shareholder is a holder of Class B Shares (as hereinafter defined); and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Company has agreed to provide the registration rights and other rights set forth herein.</w:t>
      </w:r>
    </w:p>
    <w:p>
      <w:pPr>
        <w:spacing w:after="0" w:line="252" w:lineRule="exact"/>
        <w:rPr>
          <w:sz w:val="20"/>
          <w:szCs w:val="20"/>
          <w:color w:val="auto"/>
        </w:rPr>
      </w:pPr>
    </w:p>
    <w:p>
      <w:pPr>
        <w:ind w:right="460" w:firstLine="1297"/>
        <w:spacing w:after="0" w:line="308" w:lineRule="auto"/>
        <w:rPr>
          <w:sz w:val="20"/>
          <w:szCs w:val="20"/>
          <w:color w:val="auto"/>
        </w:rPr>
      </w:pPr>
      <w:r>
        <w:rPr>
          <w:rFonts w:ascii="Arial" w:cs="Arial" w:eastAsia="Arial" w:hAnsi="Arial"/>
          <w:sz w:val="17"/>
          <w:szCs w:val="17"/>
          <w:color w:val="auto"/>
        </w:rPr>
        <w:t>NOW, THEREFORE, in consideration of the foregoing and of the mutual covenants and agreements set forth herein and for good and valuable consideration, the receipt and sufficiency of which is hereby acknowledged, the parties hereto hereby agree as follows: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0" w:lineRule="exact"/>
        <w:rPr>
          <w:sz w:val="20"/>
          <w:szCs w:val="20"/>
          <w:color w:val="auto"/>
        </w:rPr>
      </w:pPr>
    </w:p>
    <w:p>
      <w:pPr>
        <w:spacing w:after="0" w:line="292"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9"/>
          <w:szCs w:val="19"/>
          <w:color w:val="auto"/>
        </w:rPr>
        <w:t>. For purposes of this Agreement, the following terms shall have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249" w:lineRule="exact"/>
        <w:rPr>
          <w:sz w:val="20"/>
          <w:szCs w:val="20"/>
          <w:color w:val="auto"/>
        </w:rPr>
      </w:pPr>
    </w:p>
    <w:p>
      <w:pPr>
        <w:ind w:left="2700" w:hanging="747"/>
        <w:spacing w:after="0"/>
        <w:tabs>
          <w:tab w:leader="none" w:pos="2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“Actions” shall have the meaning assigned to it in Section 6.1.</w:t>
      </w:r>
    </w:p>
    <w:p>
      <w:pPr>
        <w:spacing w:after="0" w:line="279" w:lineRule="exact"/>
        <w:rPr>
          <w:rFonts w:ascii="Arial" w:cs="Arial" w:eastAsia="Arial" w:hAnsi="Arial"/>
          <w:sz w:val="18"/>
          <w:szCs w:val="18"/>
          <w:color w:val="auto"/>
        </w:rPr>
      </w:pPr>
    </w:p>
    <w:p>
      <w:pPr>
        <w:ind w:right="540" w:firstLine="1953"/>
        <w:spacing w:after="0" w:line="277" w:lineRule="auto"/>
        <w:tabs>
          <w:tab w:leader="none" w:pos="2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the Exchange Act; provided that no Shareholder shall be deemed an Affiliate of any other Shareholder solely by reason of any investment in the Company.</w:t>
      </w:r>
    </w:p>
    <w:p>
      <w:pPr>
        <w:spacing w:after="0" w:line="224" w:lineRule="exact"/>
        <w:rPr>
          <w:rFonts w:ascii="Arial" w:cs="Arial" w:eastAsia="Arial" w:hAnsi="Arial"/>
          <w:sz w:val="18"/>
          <w:szCs w:val="18"/>
          <w:color w:val="auto"/>
        </w:rPr>
      </w:pPr>
    </w:p>
    <w:p>
      <w:pPr>
        <w:ind w:left="2700" w:hanging="747"/>
        <w:spacing w:after="0"/>
        <w:tabs>
          <w:tab w:leader="none" w:pos="2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“Agreement” shall have the meaning assigned to it in the preamble.</w:t>
      </w:r>
    </w:p>
    <w:p>
      <w:pPr>
        <w:spacing w:after="0" w:line="279" w:lineRule="exact"/>
        <w:rPr>
          <w:rFonts w:ascii="Arial" w:cs="Arial" w:eastAsia="Arial" w:hAnsi="Arial"/>
          <w:sz w:val="18"/>
          <w:szCs w:val="18"/>
          <w:color w:val="auto"/>
        </w:rPr>
      </w:pPr>
    </w:p>
    <w:p>
      <w:pPr>
        <w:ind w:firstLine="1953"/>
        <w:spacing w:after="0" w:line="259" w:lineRule="auto"/>
        <w:tabs>
          <w:tab w:leader="none" w:pos="2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Person shall be deemed to “Beneficially Own” securities if such Person is deemed to be a “beneficial owner” within the meaning of Rules 13d-3 and 13d-5 under the Exchange Act as in effect on the date of this Agreement; provided that, other than with respect to Section 7.3 hereof, if a Person Beneficially Owns Units such person shall also be deemed to Beneficially Own any Class A Shares that are the subject of any conversion rights relating to such Units.</w:t>
      </w:r>
    </w:p>
    <w:p>
      <w:pPr>
        <w:spacing w:after="0" w:line="240" w:lineRule="exact"/>
        <w:rPr>
          <w:rFonts w:ascii="Arial" w:cs="Arial" w:eastAsia="Arial" w:hAnsi="Arial"/>
          <w:sz w:val="18"/>
          <w:szCs w:val="18"/>
          <w:color w:val="auto"/>
        </w:rPr>
      </w:pPr>
    </w:p>
    <w:p>
      <w:pPr>
        <w:jc w:val="both"/>
        <w:ind w:right="40" w:firstLine="1953"/>
        <w:spacing w:after="0" w:line="259" w:lineRule="auto"/>
        <w:tabs>
          <w:tab w:leader="none" w:pos="26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“Block Trade Offering” shall mean an Underwritten Offering demanded by one or more Requesting Shareholders that is a no-roadshow “block trade” take-down off of a Shelf Registration Statement where pricing is expected to occur no later than the fifth business day after such demand is made. For the avoidance of doubt, management’s participation in one or more conference calls with potential investors shall not constitute a roadshow.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17" w:name="page118"/>
    <w:bookmarkEnd w:id="117"/>
    <w:p>
      <w:pPr>
        <w:ind w:left="2680" w:hanging="727"/>
        <w:spacing w:after="0"/>
        <w:tabs>
          <w:tab w:leader="none" w:pos="2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79" w:lineRule="exact"/>
        <w:rPr>
          <w:rFonts w:ascii="Arial" w:cs="Arial" w:eastAsia="Arial" w:hAnsi="Arial"/>
          <w:sz w:val="18"/>
          <w:szCs w:val="18"/>
          <w:color w:val="auto"/>
        </w:rPr>
      </w:pPr>
    </w:p>
    <w:p>
      <w:pPr>
        <w:ind w:left="2700" w:hanging="747"/>
        <w:spacing w:after="0"/>
        <w:tabs>
          <w:tab w:leader="none" w:pos="2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“Class A Shares” shall mean a share in the Company designated as a “Class A Share.”</w:t>
      </w:r>
    </w:p>
    <w:p>
      <w:pPr>
        <w:spacing w:after="0" w:line="279" w:lineRule="exact"/>
        <w:rPr>
          <w:rFonts w:ascii="Arial" w:cs="Arial" w:eastAsia="Arial" w:hAnsi="Arial"/>
          <w:sz w:val="18"/>
          <w:szCs w:val="18"/>
          <w:color w:val="auto"/>
        </w:rPr>
      </w:pPr>
    </w:p>
    <w:p>
      <w:pPr>
        <w:ind w:left="2700" w:hanging="747"/>
        <w:spacing w:after="0"/>
        <w:tabs>
          <w:tab w:leader="none" w:pos="2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“Class B Shares” shall mean a share in the Company designated as a “Class B Share.”</w:t>
      </w:r>
    </w:p>
    <w:p>
      <w:pPr>
        <w:spacing w:after="0" w:line="279" w:lineRule="exact"/>
        <w:rPr>
          <w:rFonts w:ascii="Arial" w:cs="Arial" w:eastAsia="Arial" w:hAnsi="Arial"/>
          <w:sz w:val="18"/>
          <w:szCs w:val="18"/>
          <w:color w:val="auto"/>
        </w:rPr>
      </w:pPr>
    </w:p>
    <w:p>
      <w:pPr>
        <w:ind w:left="2660" w:hanging="707"/>
        <w:spacing w:after="0"/>
        <w:tabs>
          <w:tab w:leader="none" w:pos="2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“Commission” shall mean the United States Securities and Exchange Commission or any successor agency.</w:t>
      </w:r>
    </w:p>
    <w:p>
      <w:pPr>
        <w:spacing w:after="0" w:line="279" w:lineRule="exact"/>
        <w:rPr>
          <w:rFonts w:ascii="Arial" w:cs="Arial" w:eastAsia="Arial" w:hAnsi="Arial"/>
          <w:sz w:val="18"/>
          <w:szCs w:val="18"/>
          <w:color w:val="auto"/>
        </w:rPr>
      </w:pPr>
    </w:p>
    <w:p>
      <w:pPr>
        <w:ind w:right="60" w:firstLine="1953"/>
        <w:spacing w:after="0" w:line="286" w:lineRule="auto"/>
        <w:tabs>
          <w:tab w:leader="none" w:pos="26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“Common Shares” shall mean the Company’s Class A Shares and Class B Shares, and any and all securities of any kind whatsoever of the Company which may be issued and outstanding on or after the date hereof in respect of, in exchange for, or upon conversion of Common Shares pursuant to a merger, consolidation, share split, share dividend, recapitalization of the Company or otherwise.</w:t>
      </w:r>
    </w:p>
    <w:p>
      <w:pPr>
        <w:spacing w:after="0" w:line="219" w:lineRule="exact"/>
        <w:rPr>
          <w:rFonts w:ascii="Arial" w:cs="Arial" w:eastAsia="Arial" w:hAnsi="Arial"/>
          <w:sz w:val="17"/>
          <w:szCs w:val="17"/>
          <w:color w:val="auto"/>
        </w:rPr>
      </w:pPr>
    </w:p>
    <w:p>
      <w:pPr>
        <w:ind w:left="2700" w:hanging="747"/>
        <w:spacing w:after="0"/>
        <w:tabs>
          <w:tab w:leader="none" w:pos="2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“Company” shall have the meaning assigned to it in preamble.</w:t>
      </w:r>
    </w:p>
    <w:p>
      <w:pPr>
        <w:spacing w:after="0" w:line="279" w:lineRule="exact"/>
        <w:rPr>
          <w:rFonts w:ascii="Arial" w:cs="Arial" w:eastAsia="Arial" w:hAnsi="Arial"/>
          <w:sz w:val="18"/>
          <w:szCs w:val="18"/>
          <w:color w:val="auto"/>
        </w:rPr>
      </w:pPr>
    </w:p>
    <w:p>
      <w:pPr>
        <w:ind w:right="160" w:firstLine="1953"/>
        <w:spacing w:after="0" w:line="277" w:lineRule="auto"/>
        <w:tabs>
          <w:tab w:leader="none" w:pos="2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“Company Securities” shall mean (i) any Common Shares and (ii) any other securities of the Company entitled to vote generally in the election of directors of the Company.</w:t>
      </w:r>
    </w:p>
    <w:p>
      <w:pPr>
        <w:spacing w:after="0" w:line="224" w:lineRule="exact"/>
        <w:rPr>
          <w:rFonts w:ascii="Arial" w:cs="Arial" w:eastAsia="Arial" w:hAnsi="Arial"/>
          <w:sz w:val="18"/>
          <w:szCs w:val="18"/>
          <w:color w:val="auto"/>
        </w:rPr>
      </w:pPr>
    </w:p>
    <w:p>
      <w:pPr>
        <w:ind w:left="2760" w:hanging="807"/>
        <w:spacing w:after="0"/>
        <w:tabs>
          <w:tab w:leader="none" w:pos="27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“Demand” shall have the meaning assigned to it in Section 4.1(a).</w:t>
      </w:r>
    </w:p>
    <w:p>
      <w:pPr>
        <w:spacing w:after="0" w:line="279" w:lineRule="exact"/>
        <w:rPr>
          <w:rFonts w:ascii="Arial" w:cs="Arial" w:eastAsia="Arial" w:hAnsi="Arial"/>
          <w:sz w:val="18"/>
          <w:szCs w:val="18"/>
          <w:color w:val="auto"/>
        </w:rPr>
      </w:pPr>
    </w:p>
    <w:p>
      <w:pPr>
        <w:ind w:left="2700" w:hanging="747"/>
        <w:spacing w:after="0"/>
        <w:tabs>
          <w:tab w:leader="none" w:pos="2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“Demand Registration” shall have the meaning assigned to it in Section 4.1(a).</w:t>
      </w:r>
    </w:p>
    <w:p>
      <w:pPr>
        <w:spacing w:after="0" w:line="279" w:lineRule="exact"/>
        <w:rPr>
          <w:rFonts w:ascii="Arial" w:cs="Arial" w:eastAsia="Arial" w:hAnsi="Arial"/>
          <w:sz w:val="18"/>
          <w:szCs w:val="18"/>
          <w:color w:val="auto"/>
        </w:rPr>
      </w:pPr>
    </w:p>
    <w:p>
      <w:pPr>
        <w:ind w:left="2700" w:hanging="747"/>
        <w:spacing w:after="0"/>
        <w:tabs>
          <w:tab w:leader="none" w:pos="2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and the rules and regulations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promulgated thereunder.</w:t>
      </w:r>
    </w:p>
    <w:p>
      <w:pPr>
        <w:spacing w:after="0" w:line="264" w:lineRule="exact"/>
        <w:rPr>
          <w:rFonts w:ascii="Arial" w:cs="Arial" w:eastAsia="Arial" w:hAnsi="Arial"/>
          <w:sz w:val="18"/>
          <w:szCs w:val="18"/>
          <w:color w:val="auto"/>
        </w:rPr>
      </w:pPr>
    </w:p>
    <w:p>
      <w:pPr>
        <w:ind w:firstLine="1953"/>
        <w:spacing w:after="0" w:line="276" w:lineRule="auto"/>
        <w:tabs>
          <w:tab w:leader="none" w:pos="26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“Filings” shall mean annual, quarterly and current reports and other documents filed or furnished by the Company or any Subsidiary of the Company under the Exchange Act; annual reports to shareholders, annual and quarterly statutory statements of the Company or any Subsidiary of the Company; and any registration statements, prospectuses documents filed or furnished by the Company or any of its Subsidiaries under the Securities Act (other than any registration statement, any Issuer Free Writing Prospectus, any prospectus or preliminary prospectus or any amendment thereof or supplement thereto to the extent that Section 6.2 of this Agreement applies).</w:t>
      </w:r>
    </w:p>
    <w:p>
      <w:pPr>
        <w:spacing w:after="0" w:line="226" w:lineRule="exact"/>
        <w:rPr>
          <w:rFonts w:ascii="Arial" w:cs="Arial" w:eastAsia="Arial" w:hAnsi="Arial"/>
          <w:sz w:val="17"/>
          <w:szCs w:val="17"/>
          <w:color w:val="auto"/>
        </w:rPr>
      </w:pPr>
    </w:p>
    <w:p>
      <w:pPr>
        <w:ind w:left="2700" w:hanging="747"/>
        <w:spacing w:after="0"/>
        <w:tabs>
          <w:tab w:leader="none" w:pos="2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“FINRA” shall mean the Financial Industry Regulatory Authority.</w:t>
      </w:r>
    </w:p>
    <w:p>
      <w:pPr>
        <w:spacing w:after="0" w:line="279" w:lineRule="exact"/>
        <w:rPr>
          <w:rFonts w:ascii="Arial" w:cs="Arial" w:eastAsia="Arial" w:hAnsi="Arial"/>
          <w:sz w:val="18"/>
          <w:szCs w:val="18"/>
          <w:color w:val="auto"/>
        </w:rPr>
      </w:pPr>
    </w:p>
    <w:p>
      <w:pPr>
        <w:ind w:left="2720" w:hanging="767"/>
        <w:spacing w:after="0"/>
        <w:tabs>
          <w:tab w:leader="none" w:pos="2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“Form S-3” shall have the meaning assigned to it in Section 4.3(a).</w:t>
      </w:r>
    </w:p>
    <w:p>
      <w:pPr>
        <w:spacing w:after="0" w:line="279" w:lineRule="exact"/>
        <w:rPr>
          <w:rFonts w:ascii="Arial" w:cs="Arial" w:eastAsia="Arial" w:hAnsi="Arial"/>
          <w:sz w:val="18"/>
          <w:szCs w:val="18"/>
          <w:color w:val="auto"/>
        </w:rPr>
      </w:pPr>
    </w:p>
    <w:p>
      <w:pPr>
        <w:ind w:left="2680" w:hanging="727"/>
        <w:spacing w:after="0"/>
        <w:tabs>
          <w:tab w:leader="none" w:pos="2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“Free Writing Prospectus” shall mean a free writing prospectus, as defined in Rule 405 under the Securities Act.</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52" w:right="299" w:bottom="1440" w:gutter="0" w:footer="0" w:header="0"/>
        </w:sectPr>
      </w:pPr>
    </w:p>
    <w:bookmarkStart w:id="118" w:name="page119"/>
    <w:bookmarkEnd w:id="118"/>
    <w:p>
      <w:pPr>
        <w:ind w:right="20" w:firstLine="1953"/>
        <w:spacing w:after="0" w:line="277" w:lineRule="auto"/>
        <w:tabs>
          <w:tab w:leader="none" w:pos="2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“Governmental Entity” shall mean any court, administrative agency, regulatory body, commission or other governmental authority, board, bureau or instrumentality, domestic or foreign, and any subdivision thereof.</w:t>
      </w:r>
    </w:p>
    <w:p>
      <w:pPr>
        <w:spacing w:after="0" w:line="224" w:lineRule="exact"/>
        <w:rPr>
          <w:rFonts w:ascii="Arial" w:cs="Arial" w:eastAsia="Arial" w:hAnsi="Arial"/>
          <w:sz w:val="18"/>
          <w:szCs w:val="18"/>
          <w:color w:val="auto"/>
        </w:rPr>
      </w:pPr>
    </w:p>
    <w:p>
      <w:pPr>
        <w:ind w:left="2700" w:hanging="747"/>
        <w:spacing w:after="0"/>
        <w:tabs>
          <w:tab w:leader="none" w:pos="27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“Initial Public Offering” shall mean the initial public offering of Class A Shares pursuant to an effective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 under the Securities Act.</w:t>
      </w:r>
    </w:p>
    <w:p>
      <w:pPr>
        <w:spacing w:after="0" w:line="264" w:lineRule="exact"/>
        <w:rPr>
          <w:rFonts w:ascii="Arial" w:cs="Arial" w:eastAsia="Arial" w:hAnsi="Arial"/>
          <w:sz w:val="17"/>
          <w:szCs w:val="17"/>
          <w:color w:val="auto"/>
        </w:rPr>
      </w:pPr>
    </w:p>
    <w:p>
      <w:pPr>
        <w:ind w:firstLine="1953"/>
        <w:spacing w:after="0" w:line="277" w:lineRule="auto"/>
        <w:tabs>
          <w:tab w:leader="none" w:pos="2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“Initial Shareholder” shall have the meaning assigned to it in preamble. For purposes of Article III, “Initial Shareholder” shall also mean any Person or Persons designated in writing as the Initial Shareholder by the Initial Shareholder.</w:t>
      </w:r>
    </w:p>
    <w:p>
      <w:pPr>
        <w:spacing w:after="0" w:line="224" w:lineRule="exact"/>
        <w:rPr>
          <w:rFonts w:ascii="Arial" w:cs="Arial" w:eastAsia="Arial" w:hAnsi="Arial"/>
          <w:sz w:val="18"/>
          <w:szCs w:val="18"/>
          <w:color w:val="auto"/>
        </w:rPr>
      </w:pPr>
    </w:p>
    <w:p>
      <w:pPr>
        <w:ind w:left="2740" w:hanging="787"/>
        <w:spacing w:after="0"/>
        <w:tabs>
          <w:tab w:leader="none" w:pos="27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“Inspectors” shall have the meaning assigned to it in Section 4.5(a)(viii).</w:t>
      </w:r>
    </w:p>
    <w:p>
      <w:pPr>
        <w:spacing w:after="0" w:line="279" w:lineRule="exact"/>
        <w:rPr>
          <w:rFonts w:ascii="Arial" w:cs="Arial" w:eastAsia="Arial" w:hAnsi="Arial"/>
          <w:sz w:val="18"/>
          <w:szCs w:val="18"/>
          <w:color w:val="auto"/>
        </w:rPr>
      </w:pPr>
    </w:p>
    <w:p>
      <w:pPr>
        <w:ind w:left="2700" w:hanging="747"/>
        <w:spacing w:after="0"/>
        <w:tabs>
          <w:tab w:leader="none" w:pos="27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“IPO Underwriting Agreement” shall mean the underwriting agreement, dated January 30, 2019, between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underwriters named therein.</w:t>
      </w:r>
    </w:p>
    <w:p>
      <w:pPr>
        <w:spacing w:after="0" w:line="264" w:lineRule="exact"/>
        <w:rPr>
          <w:rFonts w:ascii="Arial" w:cs="Arial" w:eastAsia="Arial" w:hAnsi="Arial"/>
          <w:sz w:val="16"/>
          <w:szCs w:val="16"/>
          <w:color w:val="auto"/>
        </w:rPr>
      </w:pPr>
    </w:p>
    <w:p>
      <w:pPr>
        <w:ind w:left="2700" w:hanging="747"/>
        <w:spacing w:after="0"/>
        <w:tabs>
          <w:tab w:leader="none" w:pos="27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“Issuer Free Writing Prospectus” shall mean an issuer free writing prospectus, as defined in Rule 433 under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64" w:lineRule="exact"/>
        <w:rPr>
          <w:rFonts w:ascii="Arial" w:cs="Arial" w:eastAsia="Arial" w:hAnsi="Arial"/>
          <w:sz w:val="17"/>
          <w:szCs w:val="17"/>
          <w:color w:val="auto"/>
        </w:rPr>
      </w:pPr>
    </w:p>
    <w:p>
      <w:pPr>
        <w:ind w:left="2700" w:hanging="747"/>
        <w:spacing w:after="0"/>
        <w:tabs>
          <w:tab w:leader="none" w:pos="2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“Losses” shall have the meaning assigned to it in Section 6.1.</w:t>
      </w:r>
    </w:p>
    <w:p>
      <w:pPr>
        <w:spacing w:after="0" w:line="279" w:lineRule="exact"/>
        <w:rPr>
          <w:sz w:val="20"/>
          <w:szCs w:val="20"/>
          <w:color w:val="auto"/>
        </w:rPr>
      </w:pPr>
    </w:p>
    <w:p>
      <w:pPr>
        <w:ind w:right="20" w:firstLine="1953"/>
        <w:spacing w:after="0" w:line="271" w:lineRule="auto"/>
        <w:tabs>
          <w:tab w:leader="none" w:pos="271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“Necessary Action” shall mean, with respect to a specified result, all actions (to the extent such actions are permitted by applicable law and, in the case of any action by the Company that requires a vote or other action on the part of the Board, to the extent such action is consistent with the fiduciary duties that the Company’s directors have in such capacity) necessary to cause such result, including (a) voting or providing a written consent or proxy with respect to Class A Shares or Class B Shares, (b) causing the adoption of shareholders’ resolutions and amendments to the organizational documents of the Company, (c) causing members of the Board (to the extent such members were designated by the Person obligated to undertake the Necessary Action) to act (subject to any applicable fiduciary duties) in a certain manner or causing them to be removed in the event they do not act in such a manner, (d) executing agreements and instruments and (e) making or causing to be made, with governmental, administrative or regulatory authorities, all filings, registrations or similar actions that are required to achieve such result.</w:t>
      </w:r>
    </w:p>
    <w:p>
      <w:pPr>
        <w:spacing w:after="0" w:line="232" w:lineRule="exact"/>
        <w:rPr>
          <w:rFonts w:ascii="Arial" w:cs="Arial" w:eastAsia="Arial" w:hAnsi="Arial"/>
          <w:sz w:val="17"/>
          <w:szCs w:val="17"/>
          <w:color w:val="auto"/>
        </w:rPr>
      </w:pPr>
    </w:p>
    <w:p>
      <w:pPr>
        <w:ind w:left="2680" w:hanging="727"/>
        <w:spacing w:after="0"/>
        <w:tabs>
          <w:tab w:leader="none" w:pos="26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“Offering Expenses” shall have the meaning assigned to it in Section 4.6(a).</w:t>
      </w:r>
    </w:p>
    <w:p>
      <w:pPr>
        <w:spacing w:after="0" w:line="279" w:lineRule="exact"/>
        <w:rPr>
          <w:rFonts w:ascii="Arial" w:cs="Arial" w:eastAsia="Arial" w:hAnsi="Arial"/>
          <w:sz w:val="18"/>
          <w:szCs w:val="18"/>
          <w:color w:val="auto"/>
        </w:rPr>
      </w:pPr>
    </w:p>
    <w:p>
      <w:pPr>
        <w:ind w:right="440" w:firstLine="1953"/>
        <w:spacing w:after="0" w:line="277" w:lineRule="auto"/>
        <w:tabs>
          <w:tab w:leader="none" w:pos="271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“Operating Agreement” shall mean the First Amended and Restated Limited Liability Company Agreement of the Company, dated February 4, 2019, as may be amended and/or restated from time to time.</w:t>
      </w:r>
    </w:p>
    <w:p>
      <w:pPr>
        <w:spacing w:after="0" w:line="224" w:lineRule="exact"/>
        <w:rPr>
          <w:rFonts w:ascii="Arial" w:cs="Arial" w:eastAsia="Arial" w:hAnsi="Arial"/>
          <w:sz w:val="18"/>
          <w:szCs w:val="18"/>
          <w:color w:val="auto"/>
        </w:rPr>
      </w:pPr>
    </w:p>
    <w:p>
      <w:pPr>
        <w:ind w:left="2680" w:hanging="727"/>
        <w:spacing w:after="0"/>
        <w:tabs>
          <w:tab w:leader="none" w:pos="26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Demanding Sellers” shall have the meaning assigned to it in Section 4.2(b).</w:t>
      </w:r>
    </w:p>
    <w:p>
      <w:pPr>
        <w:spacing w:after="0" w:line="279" w:lineRule="exact"/>
        <w:rPr>
          <w:rFonts w:ascii="Arial" w:cs="Arial" w:eastAsia="Arial" w:hAnsi="Arial"/>
          <w:sz w:val="18"/>
          <w:szCs w:val="18"/>
          <w:color w:val="auto"/>
        </w:rPr>
      </w:pPr>
    </w:p>
    <w:p>
      <w:pPr>
        <w:ind w:left="2720" w:hanging="767"/>
        <w:spacing w:after="0"/>
        <w:tabs>
          <w:tab w:leader="none" w:pos="2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Proposed Sellers” shall have the meaning assigned to it in Section 4.2(b).</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119" w:name="page120"/>
    <w:bookmarkEnd w:id="119"/>
    <w:p>
      <w:pPr>
        <w:ind w:left="-60" w:firstLine="1953"/>
        <w:spacing w:after="0" w:line="287" w:lineRule="auto"/>
        <w:tabs>
          <w:tab w:leader="none" w:pos="266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“Permitted Transferee” shall mean, with respect to each Shareholder, (i) any other Shareholder, (ii) such Shareholder’s Affiliates, (iii) in the case of any Shareholder, (A) any member or general or limited partner of such Shareholder (including any member of the Initial Shareholder), (B) any corporation, partnership, limited liability company or other entity that is an Affiliate of such Shareholder or any member, general or limited partner of such Shareholder (collectively, “Shareholder Affiliates”), (C) any investment funds managed directly or indirectly by such Shareholder or any Shareholder Affiliate (a “Shareholder Fund”), (D) any general or limited partner of any Shareholder Fund, (E) any managing director, general partner, director, limited partner, officer or employee of any Shareholder Affiliate, or any spouse, lineal descendant, sibling, parent, heir, executor, administrator, testamentary trustee, legatee or beneficiary of any of the foregoing persons described in this clause (E) (collectively, “Shareholder Associates”) or (F) any trust, the beneficiaries of which, or any corporation, limited liability company or partnership, the stockholders, members or general or limited partners of which, consist solely of any one or more of such Shareholder, any general or limited partner of such Shareholder, any Shareholder Affiliates, any Shareholder Fund, any Shareholder Associates, their spouses or their lineal descendants and (iv) any other Person that acquires Common Shares from such Shareholder other than pursuant to a Public Offering and that agrees to become party to or be bound by this Agreement.</w:t>
      </w:r>
    </w:p>
    <w:p>
      <w:pPr>
        <w:spacing w:after="0" w:line="226" w:lineRule="exact"/>
        <w:rPr>
          <w:rFonts w:ascii="Arial" w:cs="Arial" w:eastAsia="Arial" w:hAnsi="Arial"/>
          <w:sz w:val="16"/>
          <w:szCs w:val="16"/>
          <w:color w:val="auto"/>
        </w:rPr>
      </w:pPr>
    </w:p>
    <w:p>
      <w:pPr>
        <w:ind w:left="-60" w:right="200" w:firstLine="1953"/>
        <w:spacing w:after="0" w:line="277" w:lineRule="auto"/>
        <w:tabs>
          <w:tab w:leader="none" w:pos="26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 shall mean any individual, firm, corporation, partnership, limited liability company or other entity, and shall include any successor (by merger or otherwise) of such entity.</w:t>
      </w:r>
    </w:p>
    <w:p>
      <w:pPr>
        <w:spacing w:after="0" w:line="224" w:lineRule="exact"/>
        <w:rPr>
          <w:rFonts w:ascii="Arial" w:cs="Arial" w:eastAsia="Arial" w:hAnsi="Arial"/>
          <w:sz w:val="18"/>
          <w:szCs w:val="18"/>
          <w:color w:val="auto"/>
        </w:rPr>
      </w:pPr>
    </w:p>
    <w:p>
      <w:pPr>
        <w:ind w:left="2620" w:hanging="727"/>
        <w:spacing w:after="0"/>
        <w:tabs>
          <w:tab w:leader="none" w:pos="2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“Piggyback Notice” shall have the meaning assigned to it in Section 4.2(a).</w:t>
      </w:r>
    </w:p>
    <w:p>
      <w:pPr>
        <w:spacing w:after="0" w:line="279" w:lineRule="exact"/>
        <w:rPr>
          <w:rFonts w:ascii="Arial" w:cs="Arial" w:eastAsia="Arial" w:hAnsi="Arial"/>
          <w:sz w:val="18"/>
          <w:szCs w:val="18"/>
          <w:color w:val="auto"/>
        </w:rPr>
      </w:pPr>
    </w:p>
    <w:p>
      <w:pPr>
        <w:ind w:left="2700" w:hanging="807"/>
        <w:spacing w:after="0"/>
        <w:tabs>
          <w:tab w:leader="none" w:pos="2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“Piggyback Registration” shall have the meaning assigned to it in Section 4.2(a).</w:t>
      </w:r>
    </w:p>
    <w:p>
      <w:pPr>
        <w:spacing w:after="0" w:line="279" w:lineRule="exact"/>
        <w:rPr>
          <w:rFonts w:ascii="Arial" w:cs="Arial" w:eastAsia="Arial" w:hAnsi="Arial"/>
          <w:sz w:val="18"/>
          <w:szCs w:val="18"/>
          <w:color w:val="auto"/>
        </w:rPr>
      </w:pPr>
    </w:p>
    <w:p>
      <w:pPr>
        <w:ind w:left="2660" w:hanging="767"/>
        <w:spacing w:after="0"/>
        <w:tabs>
          <w:tab w:leader="none" w:pos="2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“Piggyback Seller” shall have the meaning assigned to it in Section 4.2(a).</w:t>
      </w:r>
    </w:p>
    <w:p>
      <w:pPr>
        <w:spacing w:after="0" w:line="279" w:lineRule="exact"/>
        <w:rPr>
          <w:rFonts w:ascii="Arial" w:cs="Arial" w:eastAsia="Arial" w:hAnsi="Arial"/>
          <w:sz w:val="18"/>
          <w:szCs w:val="18"/>
          <w:color w:val="auto"/>
        </w:rPr>
      </w:pPr>
    </w:p>
    <w:p>
      <w:pPr>
        <w:ind w:left="-60" w:right="200" w:firstLine="1953"/>
        <w:spacing w:after="0" w:line="342" w:lineRule="auto"/>
        <w:tabs>
          <w:tab w:leader="none" w:pos="272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“Public Offering” shall mean an offering of equity securities of the Company pursuant to an effective registration statement under the Securities Act, including an offering in which Shareholders are entitled to sell Class A Shares pursuant to the terms of this Agreement.</w:t>
      </w:r>
    </w:p>
    <w:p>
      <w:pPr>
        <w:spacing w:after="0" w:line="177" w:lineRule="exact"/>
        <w:rPr>
          <w:rFonts w:ascii="Arial" w:cs="Arial" w:eastAsia="Arial" w:hAnsi="Arial"/>
          <w:sz w:val="16"/>
          <w:szCs w:val="16"/>
          <w:color w:val="auto"/>
        </w:rPr>
      </w:pPr>
    </w:p>
    <w:p>
      <w:pPr>
        <w:ind w:left="2700" w:hanging="807"/>
        <w:spacing w:after="0"/>
        <w:tabs>
          <w:tab w:leader="none" w:pos="2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“Records” shall have the meaning assigned to it in Section 4.5(a)(viii).</w:t>
      </w:r>
    </w:p>
    <w:p>
      <w:pPr>
        <w:spacing w:after="0" w:line="279" w:lineRule="exact"/>
        <w:rPr>
          <w:rFonts w:ascii="Arial" w:cs="Arial" w:eastAsia="Arial" w:hAnsi="Arial"/>
          <w:sz w:val="18"/>
          <w:szCs w:val="18"/>
          <w:color w:val="auto"/>
        </w:rPr>
      </w:pPr>
    </w:p>
    <w:p>
      <w:pPr>
        <w:ind w:left="-60" w:right="340" w:firstLine="1953"/>
        <w:spacing w:after="0" w:line="277" w:lineRule="auto"/>
        <w:tabs>
          <w:tab w:leader="none" w:pos="26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“Registrable Amount” shall mean a number of Common Shares equal to or greater than 1% of the Common Shares issued and outstanding immediately after the consummation of the Initial Public Offering.</w:t>
      </w:r>
    </w:p>
    <w:p>
      <w:pPr>
        <w:spacing w:after="0" w:line="224" w:lineRule="exact"/>
        <w:rPr>
          <w:rFonts w:ascii="Arial" w:cs="Arial" w:eastAsia="Arial" w:hAnsi="Arial"/>
          <w:sz w:val="18"/>
          <w:szCs w:val="18"/>
          <w:color w:val="auto"/>
        </w:rPr>
      </w:pPr>
    </w:p>
    <w:p>
      <w:pPr>
        <w:ind w:left="-60" w:right="260" w:firstLine="1953"/>
        <w:spacing w:after="0" w:line="276" w:lineRule="auto"/>
        <w:tabs>
          <w:tab w:leader="none" w:pos="272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“Registrable Securities” shall mean any Class A Shares currently owned or hereafter acquired by any Shareholder, including any Class A Shares that may be delivered in exchange for Units. As to any particular Registrable Securities, such securities shall cease to be Registrable Securities when (x) a registration statement registering such securities under the Securities Act has been declared effective and such securities have been sold or otherwise transferred by the holder thereof pursuant to such effective registration statement or (y) such securities are sold in accordance with Rule 144 (or any successor provision) promulgated under the Securities Act.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52" w:right="299" w:bottom="1440" w:gutter="0" w:footer="0" w:header="0"/>
        </w:sectPr>
      </w:pPr>
    </w:p>
    <w:bookmarkStart w:id="120" w:name="page121"/>
    <w:bookmarkEnd w:id="120"/>
    <w:p>
      <w:pPr>
        <w:ind w:left="2800" w:hanging="847"/>
        <w:spacing w:after="0"/>
        <w:tabs>
          <w:tab w:leader="none" w:pos="2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“Registration Expenses” shall have the meaning assigned to it in Section 4.6(a).</w:t>
      </w:r>
    </w:p>
    <w:p>
      <w:pPr>
        <w:spacing w:after="0" w:line="279" w:lineRule="exact"/>
        <w:rPr>
          <w:rFonts w:ascii="Arial" w:cs="Arial" w:eastAsia="Arial" w:hAnsi="Arial"/>
          <w:sz w:val="18"/>
          <w:szCs w:val="18"/>
          <w:color w:val="auto"/>
        </w:rPr>
      </w:pPr>
    </w:p>
    <w:p>
      <w:pPr>
        <w:ind w:left="2800" w:hanging="847"/>
        <w:spacing w:after="0"/>
        <w:tabs>
          <w:tab w:leader="none" w:pos="2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“Requesting Shareholder” shall have the meaning assigned to it in Section 4.1(a).</w:t>
      </w:r>
    </w:p>
    <w:p>
      <w:pPr>
        <w:spacing w:after="0" w:line="279" w:lineRule="exact"/>
        <w:rPr>
          <w:rFonts w:ascii="Arial" w:cs="Arial" w:eastAsia="Arial" w:hAnsi="Arial"/>
          <w:sz w:val="18"/>
          <w:szCs w:val="18"/>
          <w:color w:val="auto"/>
        </w:rPr>
      </w:pPr>
    </w:p>
    <w:p>
      <w:pPr>
        <w:ind w:left="2800" w:hanging="847"/>
        <w:spacing w:after="0"/>
        <w:tabs>
          <w:tab w:leader="none" w:pos="28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“Securities Act” shall mean the Securities Act of 1933, as amended, and the rules and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65" w:lineRule="exact"/>
        <w:rPr>
          <w:sz w:val="20"/>
          <w:szCs w:val="20"/>
          <w:color w:val="auto"/>
        </w:rPr>
      </w:pPr>
    </w:p>
    <w:p>
      <w:pPr>
        <w:ind w:right="60" w:firstLine="1953"/>
        <w:spacing w:after="0" w:line="259" w:lineRule="auto"/>
        <w:tabs>
          <w:tab w:leader="none" w:pos="272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“Shareholders” shall mean (i) the Initial Shareholder, (ii) Wesley R. Edens, (iii) Randal A. Nardone and (iv) each Permitted Transferee who becomes a party to or bound by the provisions of this Agreement in accordance with the terms hereof or a Permitted Transferee thereof who is entitled to enforce the provisions of this Agreement in accordance with the terms hereof, in each case to the extent that such Shareholder and its Permitted Transferees, together, hold of record or Beneficially Own at least a Registrable Amount.</w:t>
      </w:r>
    </w:p>
    <w:p>
      <w:pPr>
        <w:spacing w:after="0" w:line="240" w:lineRule="exact"/>
        <w:rPr>
          <w:rFonts w:ascii="Arial" w:cs="Arial" w:eastAsia="Arial" w:hAnsi="Arial"/>
          <w:sz w:val="18"/>
          <w:szCs w:val="18"/>
          <w:color w:val="auto"/>
        </w:rPr>
      </w:pPr>
    </w:p>
    <w:p>
      <w:pPr>
        <w:ind w:left="2760" w:hanging="807"/>
        <w:spacing w:after="0"/>
        <w:tabs>
          <w:tab w:leader="none" w:pos="27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“Selling Holders” shall have the meaning assigned to it in Section 4.5(a)(i).</w:t>
      </w:r>
    </w:p>
    <w:p>
      <w:pPr>
        <w:spacing w:after="0" w:line="279" w:lineRule="exact"/>
        <w:rPr>
          <w:rFonts w:ascii="Arial" w:cs="Arial" w:eastAsia="Arial" w:hAnsi="Arial"/>
          <w:sz w:val="18"/>
          <w:szCs w:val="18"/>
          <w:color w:val="auto"/>
        </w:rPr>
      </w:pPr>
    </w:p>
    <w:p>
      <w:pPr>
        <w:ind w:left="2760" w:hanging="807"/>
        <w:spacing w:after="0"/>
        <w:tabs>
          <w:tab w:leader="none" w:pos="27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“Shelf Notice” shall have the meaning assigned to it in Section 4.3(a).</w:t>
      </w:r>
    </w:p>
    <w:p>
      <w:pPr>
        <w:spacing w:after="0" w:line="279" w:lineRule="exact"/>
        <w:rPr>
          <w:rFonts w:ascii="Arial" w:cs="Arial" w:eastAsia="Arial" w:hAnsi="Arial"/>
          <w:sz w:val="18"/>
          <w:szCs w:val="18"/>
          <w:color w:val="auto"/>
        </w:rPr>
      </w:pPr>
    </w:p>
    <w:p>
      <w:pPr>
        <w:ind w:left="2800" w:hanging="847"/>
        <w:spacing w:after="0"/>
        <w:tabs>
          <w:tab w:leader="none" w:pos="2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“Shelf Registration Effectiveness Period” shall have the meaning assigned to it in Section 4.3(c).</w:t>
      </w:r>
    </w:p>
    <w:p>
      <w:pPr>
        <w:spacing w:after="0" w:line="279" w:lineRule="exact"/>
        <w:rPr>
          <w:rFonts w:ascii="Arial" w:cs="Arial" w:eastAsia="Arial" w:hAnsi="Arial"/>
          <w:sz w:val="18"/>
          <w:szCs w:val="18"/>
          <w:color w:val="auto"/>
        </w:rPr>
      </w:pPr>
    </w:p>
    <w:p>
      <w:pPr>
        <w:ind w:left="2800" w:hanging="847"/>
        <w:spacing w:after="0"/>
        <w:tabs>
          <w:tab w:leader="none" w:pos="2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“Shelf Registration Statement” shall have the meaning assigned to it in Section 4.3(a).</w:t>
      </w:r>
    </w:p>
    <w:p>
      <w:pPr>
        <w:spacing w:after="0" w:line="279" w:lineRule="exact"/>
        <w:rPr>
          <w:rFonts w:ascii="Arial" w:cs="Arial" w:eastAsia="Arial" w:hAnsi="Arial"/>
          <w:sz w:val="18"/>
          <w:szCs w:val="18"/>
          <w:color w:val="auto"/>
        </w:rPr>
      </w:pPr>
    </w:p>
    <w:p>
      <w:pPr>
        <w:ind w:left="2880" w:hanging="927"/>
        <w:spacing w:after="0"/>
        <w:tabs>
          <w:tab w:leader="none" w:pos="2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“Shelf Underwritten Offering” shall have the meaning assigned to it in Section 4.3(f).</w:t>
      </w:r>
    </w:p>
    <w:p>
      <w:pPr>
        <w:spacing w:after="0" w:line="279" w:lineRule="exact"/>
        <w:rPr>
          <w:rFonts w:ascii="Arial" w:cs="Arial" w:eastAsia="Arial" w:hAnsi="Arial"/>
          <w:sz w:val="18"/>
          <w:szCs w:val="18"/>
          <w:color w:val="auto"/>
        </w:rPr>
      </w:pPr>
    </w:p>
    <w:p>
      <w:pPr>
        <w:ind w:firstLine="1953"/>
        <w:spacing w:after="0" w:line="255" w:lineRule="auto"/>
        <w:tabs>
          <w:tab w:leader="none" w:pos="28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“Subsidiary” shall mean with respect to any Person (i) a corporation, fifty percent (50%) or more of the voting or capital stock of which is, as of the time in question, directly or indirectly owned by such Person, (ii) any other partnership, joint venture, association, joint stock company, trust, unincorporated organization or other entity in which such Person, directly or indirectly, owns fifty percent (50%) or more of the equity economic interest thereof or has the power to elect or direct the election of fifty percent (50%) or more of the members of the governing body of such entity or otherwise has control over such entity (e.g., as the managing partner of a partnership), or (iii) which would be considered subsidiaries of such Person within the meaning of Regulation S-K or Regulation S-X.</w:t>
      </w:r>
    </w:p>
    <w:p>
      <w:pPr>
        <w:spacing w:after="0" w:line="247" w:lineRule="exact"/>
        <w:rPr>
          <w:rFonts w:ascii="Arial" w:cs="Arial" w:eastAsia="Arial" w:hAnsi="Arial"/>
          <w:sz w:val="18"/>
          <w:szCs w:val="18"/>
          <w:color w:val="auto"/>
        </w:rPr>
      </w:pPr>
    </w:p>
    <w:p>
      <w:pPr>
        <w:ind w:left="2800" w:hanging="847"/>
        <w:spacing w:after="0"/>
        <w:tabs>
          <w:tab w:leader="none" w:pos="2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“Suspension Period” shall have the meaning assigned to it in Section 4.3(d).</w:t>
      </w: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52" w:right="379" w:bottom="1440" w:gutter="0" w:footer="0" w:header="0"/>
        </w:sectPr>
      </w:pPr>
    </w:p>
    <w:bookmarkStart w:id="121" w:name="page122"/>
    <w:bookmarkEnd w:id="121"/>
    <w:p>
      <w:pPr>
        <w:ind w:right="120" w:firstLine="1953"/>
        <w:spacing w:after="0" w:line="264" w:lineRule="auto"/>
        <w:tabs>
          <w:tab w:leader="none" w:pos="265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“Underwritten Offering” shall mean a sale of securities of the Company to an underwriter or underwriters for reoffering to the public, including any bought deal, Block Trade Offering or other block sale to a financial institution conducted as an underwritten offering to the public.</w:t>
      </w:r>
    </w:p>
    <w:p>
      <w:pPr>
        <w:spacing w:after="0" w:line="235" w:lineRule="exact"/>
        <w:rPr>
          <w:sz w:val="20"/>
          <w:szCs w:val="20"/>
          <w:color w:val="auto"/>
        </w:rPr>
      </w:pPr>
    </w:p>
    <w:p>
      <w:pPr>
        <w:ind w:left="2580" w:hanging="627"/>
        <w:spacing w:after="0"/>
        <w:tabs>
          <w:tab w:leader="none" w:pos="2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“Units” shall mean units in New Fortress Intermediate LLC, a Delaware limited liability company.</w:t>
      </w:r>
    </w:p>
    <w:p>
      <w:pPr>
        <w:spacing w:after="0" w:line="279" w:lineRule="exact"/>
        <w:rPr>
          <w:rFonts w:ascii="Arial" w:cs="Arial" w:eastAsia="Arial" w:hAnsi="Arial"/>
          <w:sz w:val="18"/>
          <w:szCs w:val="18"/>
          <w:color w:val="auto"/>
        </w:rPr>
      </w:pPr>
    </w:p>
    <w:p>
      <w:pPr>
        <w:ind w:right="220" w:firstLine="1953"/>
        <w:spacing w:after="0" w:line="277" w:lineRule="auto"/>
        <w:tabs>
          <w:tab w:leader="none" w:pos="255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“Voting Power of the Company” shall mean the voting power of the then issued and outstanding shares of the Company entitled to vote in the election of directors of the Company.</w:t>
      </w:r>
    </w:p>
    <w:p>
      <w:pPr>
        <w:spacing w:after="0" w:line="224" w:lineRule="exact"/>
        <w:rPr>
          <w:rFonts w:ascii="Arial" w:cs="Arial" w:eastAsia="Arial" w:hAnsi="Arial"/>
          <w:sz w:val="18"/>
          <w:szCs w:val="18"/>
          <w:color w:val="auto"/>
        </w:rPr>
      </w:pPr>
    </w:p>
    <w:p>
      <w:pPr>
        <w:ind w:left="2580" w:hanging="627"/>
        <w:spacing w:after="0"/>
        <w:tabs>
          <w:tab w:leader="none" w:pos="2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“WKSI” shall mean a well-known seasoned issuer, as defined in Rule 405 under the Securities Act.</w:t>
      </w:r>
    </w:p>
    <w:p>
      <w:pPr>
        <w:spacing w:after="0" w:line="279" w:lineRule="exact"/>
        <w:rPr>
          <w:rFonts w:ascii="Arial" w:cs="Arial" w:eastAsia="Arial" w:hAnsi="Arial"/>
          <w:sz w:val="18"/>
          <w:szCs w:val="18"/>
          <w:color w:val="auto"/>
        </w:rPr>
      </w:pPr>
    </w:p>
    <w:p>
      <w:pPr>
        <w:ind w:left="2560" w:hanging="607"/>
        <w:spacing w:after="0"/>
        <w:tabs>
          <w:tab w:leader="none" w:pos="25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“WKSI Shelf Registration Statement” shall mean an automatic shelf registration statement, as defined in Rule 405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31" w:lineRule="exact"/>
        <w:rPr>
          <w:sz w:val="20"/>
          <w:szCs w:val="20"/>
          <w:color w:val="auto"/>
        </w:rPr>
      </w:pPr>
    </w:p>
    <w:p>
      <w:pPr>
        <w:ind w:right="60" w:firstLine="1297"/>
        <w:spacing w:after="0" w:line="260"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Construction</w:t>
      </w:r>
      <w:r>
        <w:rPr>
          <w:rFonts w:ascii="Arial" w:cs="Arial" w:eastAsia="Arial" w:hAnsi="Arial"/>
          <w:sz w:val="20"/>
          <w:szCs w:val="20"/>
          <w:color w:val="auto"/>
        </w:rPr>
        <w:t>. For the purposes of this Agreement (i) words (including capitalized terms defined</w:t>
      </w:r>
      <w:r>
        <w:rPr>
          <w:rFonts w:ascii="Arial" w:cs="Arial" w:eastAsia="Arial" w:hAnsi="Arial"/>
          <w:sz w:val="17"/>
          <w:szCs w:val="17"/>
          <w:color w:val="auto"/>
        </w:rPr>
        <w:t xml:space="preserve"> </w:t>
      </w:r>
      <w:r>
        <w:rPr>
          <w:rFonts w:ascii="Arial" w:cs="Arial" w:eastAsia="Arial" w:hAnsi="Arial"/>
          <w:sz w:val="20"/>
          <w:szCs w:val="20"/>
          <w:color w:val="auto"/>
        </w:rPr>
        <w:t>herein) in the singular shall be held to include the plural and vice versa and words (including capitalized terms defined herein) of one gender shall be held to include the other gender as the context requires, (ii) the terms “hereof,” “herein” and “herewith” and words of similar import shall, unless otherwise stated, be construed to refer to this Agreement as a whole and not to any particular provision of this Agreement, and Article and Section references are to Articles and Sections of this Agreement, unless otherwise specified, (iii) the word “including” and words of similar import when used in this Agreement shall mean “including, without limitation,” (iv) all references to any period of days shall be deemed to be to the relevant number of calendar days unless otherwise specified, and (v) all references herein to “$” or dollars shall refer to United States dollars, unless otherwise specified.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TRANSFER</w:t>
      </w:r>
    </w:p>
    <w:p>
      <w:pPr>
        <w:spacing w:after="0" w:line="249" w:lineRule="exact"/>
        <w:rPr>
          <w:sz w:val="20"/>
          <w:szCs w:val="20"/>
          <w:color w:val="auto"/>
        </w:rPr>
      </w:pPr>
    </w:p>
    <w:p>
      <w:pPr>
        <w:ind w:firstLine="1297"/>
        <w:spacing w:after="0" w:line="25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Binding Effect on Transferees</w:t>
      </w:r>
      <w:r>
        <w:rPr>
          <w:rFonts w:ascii="Arial" w:cs="Arial" w:eastAsia="Arial" w:hAnsi="Arial"/>
          <w:sz w:val="20"/>
          <w:szCs w:val="20"/>
          <w:color w:val="auto"/>
        </w:rPr>
        <w:t>. A Permitted Transferee shall become a Shareholder hereunder, without</w:t>
      </w:r>
      <w:r>
        <w:rPr>
          <w:rFonts w:ascii="Arial" w:cs="Arial" w:eastAsia="Arial" w:hAnsi="Arial"/>
          <w:sz w:val="17"/>
          <w:szCs w:val="17"/>
          <w:color w:val="auto"/>
        </w:rPr>
        <w:t xml:space="preserve"> </w:t>
      </w:r>
      <w:r>
        <w:rPr>
          <w:rFonts w:ascii="Arial" w:cs="Arial" w:eastAsia="Arial" w:hAnsi="Arial"/>
          <w:sz w:val="20"/>
          <w:szCs w:val="20"/>
          <w:color w:val="auto"/>
        </w:rPr>
        <w:t>any further action by the Company, following a transfer by a Shareholder of Company Securities to such Permitted Transferee upon the execution by such Permitted Transferee of a joinder providing that such Person shall be bound by and shall fully comply with the terms of this Agreement (including the provisions of Article IV with respect to the Company Securities being transferred to such transferee). Notwithstanding the foregoing, a Permitted Transferee who is (i) a member of the Initial Shareholder and (ii) has, or will have (in each case, whether individually or together with its Affiliates), the right to acquire Units from the Initial Shareholder that may be delivered in exchange for Class A Shares representing a Registerable Amount, may, without any further action by the Company, become a Shareholder hereunder upon the execution by such Permitted Transferee of a joinder providing that such Person shall be bound by and shall fully comply with the terms of this Agreement (including the provisions of Article IV with respect to the Company Securities being transferred to such transferee) regardless of whether Company Securities are transferred by the Initial Shareholder to such Permitted Transferee.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122" w:name="page123"/>
    <w:bookmarkEnd w:id="122"/>
    <w:p>
      <w:pPr>
        <w:ind w:right="460" w:firstLine="1297"/>
        <w:spacing w:after="0" w:line="27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Additional Purchases</w:t>
      </w:r>
      <w:r>
        <w:rPr>
          <w:rFonts w:ascii="Arial" w:cs="Arial" w:eastAsia="Arial" w:hAnsi="Arial"/>
          <w:sz w:val="21"/>
          <w:szCs w:val="21"/>
          <w:color w:val="auto"/>
        </w:rPr>
        <w:t>. Any Company Securities owned by a Shareholder on or after the date of this</w:t>
      </w:r>
      <w:r>
        <w:rPr>
          <w:rFonts w:ascii="Arial" w:cs="Arial" w:eastAsia="Arial" w:hAnsi="Arial"/>
          <w:sz w:val="18"/>
          <w:szCs w:val="18"/>
          <w:color w:val="auto"/>
        </w:rPr>
        <w:t xml:space="preserve"> </w:t>
      </w:r>
      <w:r>
        <w:rPr>
          <w:rFonts w:ascii="Arial" w:cs="Arial" w:eastAsia="Arial" w:hAnsi="Arial"/>
          <w:sz w:val="21"/>
          <w:szCs w:val="21"/>
          <w:color w:val="auto"/>
        </w:rPr>
        <w:t>Agreement shall have the benefit of and be subject to the terms and conditions of this Agreement.</w:t>
      </w:r>
    </w:p>
    <w:p>
      <w:pPr>
        <w:spacing w:after="0" w:line="178" w:lineRule="exact"/>
        <w:rPr>
          <w:sz w:val="20"/>
          <w:szCs w:val="20"/>
          <w:color w:val="auto"/>
        </w:rPr>
      </w:pPr>
    </w:p>
    <w:p>
      <w:pPr>
        <w:ind w:firstLine="1297"/>
        <w:spacing w:after="0" w:line="25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Charter Provisions</w:t>
      </w:r>
      <w:r>
        <w:rPr>
          <w:rFonts w:ascii="Arial" w:cs="Arial" w:eastAsia="Arial" w:hAnsi="Arial"/>
          <w:sz w:val="20"/>
          <w:szCs w:val="20"/>
          <w:color w:val="auto"/>
        </w:rPr>
        <w:t>. The parties hereto shall use their respective reasonable efforts (including voting or</w:t>
      </w:r>
      <w:r>
        <w:rPr>
          <w:rFonts w:ascii="Arial" w:cs="Arial" w:eastAsia="Arial" w:hAnsi="Arial"/>
          <w:sz w:val="17"/>
          <w:szCs w:val="17"/>
          <w:color w:val="auto"/>
        </w:rPr>
        <w:t xml:space="preserve"> </w:t>
      </w:r>
      <w:r>
        <w:rPr>
          <w:rFonts w:ascii="Arial" w:cs="Arial" w:eastAsia="Arial" w:hAnsi="Arial"/>
          <w:sz w:val="20"/>
          <w:szCs w:val="20"/>
          <w:color w:val="auto"/>
        </w:rPr>
        <w:t>causing to be voted all of the Company Securities held of record by such party or Beneficially Owned by such party by virtue of having voting power over such Company Securities) so as to cause no amendment to be made to the Operating Agreement as in effect as of the date of this Agreement in a manner that would (a) add restrictions to the transferability of the Company Securities by any Shareholder or their Permitted Transferees who remain a “Shareholder” (as such term is used herein) at the time of such an amendment, which restrictions are beyond those then provided for in the Operating Agreement, this Agreement or applicable securities laws or (b) nullify any of the rights of any Shareholder or their Permitted Transferees who remain a “Shareholder” (as such term is used herein) at the time of such amendment, which rights are explicitly provided for in this Agreement, unless, in each such case, such amendment shall have been approved by such Shareholder.</w:t>
      </w:r>
    </w:p>
    <w:p>
      <w:pPr>
        <w:spacing w:after="0" w:line="197" w:lineRule="exact"/>
        <w:rPr>
          <w:sz w:val="20"/>
          <w:szCs w:val="20"/>
          <w:color w:val="auto"/>
        </w:rPr>
      </w:pPr>
    </w:p>
    <w:p>
      <w:pPr>
        <w:ind w:right="60" w:firstLine="1297"/>
        <w:spacing w:after="0" w:line="27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Legend</w:t>
      </w:r>
      <w:r>
        <w:rPr>
          <w:rFonts w:ascii="Arial" w:cs="Arial" w:eastAsia="Arial" w:hAnsi="Arial"/>
          <w:sz w:val="21"/>
          <w:szCs w:val="21"/>
          <w:color w:val="auto"/>
        </w:rPr>
        <w:t>. Any certificate representing Company Securities issued to a Shareholder shall be stamped or</w:t>
      </w:r>
      <w:r>
        <w:rPr>
          <w:rFonts w:ascii="Arial" w:cs="Arial" w:eastAsia="Arial" w:hAnsi="Arial"/>
          <w:sz w:val="18"/>
          <w:szCs w:val="18"/>
          <w:color w:val="auto"/>
        </w:rPr>
        <w:t xml:space="preserve"> </w:t>
      </w:r>
      <w:r>
        <w:rPr>
          <w:rFonts w:ascii="Arial" w:cs="Arial" w:eastAsia="Arial" w:hAnsi="Arial"/>
          <w:sz w:val="21"/>
          <w:szCs w:val="21"/>
          <w:color w:val="auto"/>
        </w:rPr>
        <w:t>otherwise imprinted with a legend in substantially the following form:</w:t>
      </w:r>
    </w:p>
    <w:p>
      <w:pPr>
        <w:spacing w:after="0" w:line="185" w:lineRule="exact"/>
        <w:rPr>
          <w:sz w:val="20"/>
          <w:szCs w:val="20"/>
          <w:color w:val="auto"/>
        </w:rPr>
      </w:pPr>
    </w:p>
    <w:p>
      <w:pPr>
        <w:ind w:left="660" w:right="600"/>
        <w:spacing w:after="0" w:line="342" w:lineRule="auto"/>
        <w:rPr>
          <w:sz w:val="20"/>
          <w:szCs w:val="20"/>
          <w:color w:val="auto"/>
        </w:rPr>
      </w:pPr>
      <w:r>
        <w:rPr>
          <w:rFonts w:ascii="Arial" w:cs="Arial" w:eastAsia="Arial" w:hAnsi="Arial"/>
          <w:sz w:val="16"/>
          <w:szCs w:val="16"/>
          <w:color w:val="auto"/>
        </w:rPr>
        <w:t>“The shares represented by this certificate are subject to the provisions contained in the Shareholders’ Agreement, dated as of February 4, 2019, by and among New Fortress Energy LLC and the certain shareholders of New Fortress Energy Holdings LLC described therein.”</w:t>
      </w:r>
    </w:p>
    <w:p>
      <w:pPr>
        <w:spacing w:after="0" w:line="15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shall make customary arrangements to cause any Company Securities issued in uncertificated form to be identified on the books of the Company in a substantially similar manner.</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Board</w:t>
      </w:r>
      <w:r>
        <w:rPr>
          <w:rFonts w:ascii="Arial" w:cs="Arial" w:eastAsia="Arial" w:hAnsi="Arial"/>
          <w:sz w:val="19"/>
          <w:szCs w:val="19"/>
          <w:color w:val="auto"/>
        </w:rPr>
        <w:t>.</w:t>
      </w:r>
    </w:p>
    <w:p>
      <w:pPr>
        <w:spacing w:after="0" w:line="302" w:lineRule="exact"/>
        <w:rPr>
          <w:sz w:val="20"/>
          <w:szCs w:val="20"/>
          <w:color w:val="auto"/>
        </w:rPr>
      </w:pPr>
    </w:p>
    <w:p>
      <w:pPr>
        <w:ind w:right="100" w:firstLine="1953"/>
        <w:spacing w:after="0" w:line="257" w:lineRule="auto"/>
        <w:tabs>
          <w:tab w:leader="none" w:pos="26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so long as this Agreement is in effect, the Company and each Shareholder shall take all reasonable actions within their respective control (including voting or causing to be voted all of the Company Securities held of record by such Shareholder or Beneficially Owned by such Shareholder by virtue of having voting power over such Company Securities, and, with respect to the Company, as provided in Sections 3.1(c) and (d)) so as to cause to be elected to the Board, and to cause to continue in office, not more than eight directors (or such other number of directors as the Initial Shareholder may agree to in writing), at any given time:</w:t>
      </w:r>
    </w:p>
    <w:p>
      <w:pPr>
        <w:spacing w:after="0" w:line="242" w:lineRule="exact"/>
        <w:rPr>
          <w:sz w:val="20"/>
          <w:szCs w:val="20"/>
          <w:color w:val="auto"/>
        </w:rPr>
      </w:pPr>
    </w:p>
    <w:p>
      <w:pPr>
        <w:ind w:left="660" w:right="620" w:firstLine="1887"/>
        <w:spacing w:after="0" w:line="264" w:lineRule="auto"/>
        <w:tabs>
          <w:tab w:leader="none" w:pos="326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plus one director, shall be individuals designated by the Initial Shareholder, for so long as the Shareholders, together, have Beneficial Ownership of at least 30% of the Voting Power of the Company;</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23" w:name="page124"/>
    <w:bookmarkEnd w:id="123"/>
    <w:p>
      <w:pPr>
        <w:ind w:left="600" w:right="980" w:firstLine="1887"/>
        <w:spacing w:after="0" w:line="291" w:lineRule="auto"/>
        <w:tabs>
          <w:tab w:leader="none" w:pos="3251"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 number of directors equal to a majority of the Board, minus one director, shall be individuals designated by the Initial Shareholder, for so long as the Shareholders, together, have Beneficial Ownership of less than 30% but at least</w:t>
      </w:r>
    </w:p>
    <w:p>
      <w:pPr>
        <w:ind w:left="600" w:right="940"/>
        <w:spacing w:after="0" w:line="261" w:lineRule="auto"/>
        <w:rPr>
          <w:rFonts w:ascii="Arial" w:cs="Arial" w:eastAsia="Arial" w:hAnsi="Arial"/>
          <w:sz w:val="16"/>
          <w:szCs w:val="16"/>
          <w:color w:val="auto"/>
        </w:rPr>
      </w:pPr>
      <w:r>
        <w:rPr>
          <w:rFonts w:ascii="Arial" w:cs="Arial" w:eastAsia="Arial" w:hAnsi="Arial"/>
          <w:sz w:val="18"/>
          <w:szCs w:val="18"/>
          <w:color w:val="auto"/>
        </w:rPr>
        <w:t>20% of the Voting Power of the Company, provided that if the Board consists of six or fewer directors, then the Initial Shareholder shall have the right to designate a number of directors equal to three directors;</w:t>
      </w:r>
    </w:p>
    <w:p>
      <w:pPr>
        <w:spacing w:after="0" w:line="237" w:lineRule="exact"/>
        <w:rPr>
          <w:rFonts w:ascii="Arial" w:cs="Arial" w:eastAsia="Arial" w:hAnsi="Arial"/>
          <w:sz w:val="16"/>
          <w:szCs w:val="16"/>
          <w:color w:val="auto"/>
        </w:rPr>
      </w:pPr>
    </w:p>
    <w:p>
      <w:pPr>
        <w:ind w:left="600" w:right="620" w:firstLine="1887"/>
        <w:spacing w:after="0" w:line="257" w:lineRule="auto"/>
        <w:tabs>
          <w:tab w:leader="none" w:pos="330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the Initial Shareholder’s proportional representation on the Board shall be individuals designated by the Initial Shareholder, for so long as the Shareholders, together, have Beneficial Ownership of less than 20% but at least 10% of the Voting Power of the Company, provided that if the Board consists of six or fewer directors, then the Initial Shareholder shall have the right to designate a number of directors equal to two directors; and</w:t>
      </w:r>
    </w:p>
    <w:p>
      <w:pPr>
        <w:spacing w:after="0" w:line="242" w:lineRule="exact"/>
        <w:rPr>
          <w:rFonts w:ascii="Arial" w:cs="Arial" w:eastAsia="Arial" w:hAnsi="Arial"/>
          <w:sz w:val="18"/>
          <w:szCs w:val="18"/>
          <w:color w:val="auto"/>
        </w:rPr>
      </w:pPr>
    </w:p>
    <w:p>
      <w:pPr>
        <w:ind w:left="600" w:right="640" w:firstLine="1887"/>
        <w:spacing w:after="0" w:line="257" w:lineRule="auto"/>
        <w:tabs>
          <w:tab w:leader="none" w:pos="329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the Initial Shareholder’s proportional representation on the Board shall be individuals designated by the Initial Shareholder, for so long as the Shareholders, together, have Beneficial Ownership of less than 10% but at least 5% of the Voting Power of the Company, provided that if the Board consists of six or fewer directors, then the Initial Shareholder shall have the right to designate a number of directors equal to one director.</w:t>
      </w:r>
    </w:p>
    <w:p>
      <w:pPr>
        <w:spacing w:after="0" w:line="242" w:lineRule="exact"/>
        <w:rPr>
          <w:rFonts w:ascii="Arial" w:cs="Arial" w:eastAsia="Arial" w:hAnsi="Arial"/>
          <w:sz w:val="18"/>
          <w:szCs w:val="18"/>
          <w:color w:val="auto"/>
        </w:rPr>
      </w:pPr>
    </w:p>
    <w:p>
      <w:pPr>
        <w:jc w:val="both"/>
        <w:ind w:left="-60" w:firstLine="1953"/>
        <w:spacing w:after="0" w:line="259" w:lineRule="auto"/>
        <w:tabs>
          <w:tab w:leader="none" w:pos="26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So long as the Initial Shareholder is entitled to designate one or more nominees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the Initial Shareholder will have the right to remove any director previously designated by it to the Board (with or without cause), from time to time and at any time, from the Board, exercisable upon written notice to the Company, and the Company will take all Necessary Action to cause such removal within seven days of receipt of such notice.</w:t>
      </w:r>
    </w:p>
    <w:p>
      <w:pPr>
        <w:spacing w:after="0" w:line="240" w:lineRule="exact"/>
        <w:rPr>
          <w:rFonts w:ascii="Arial" w:cs="Arial" w:eastAsia="Arial" w:hAnsi="Arial"/>
          <w:sz w:val="18"/>
          <w:szCs w:val="18"/>
          <w:color w:val="auto"/>
        </w:rPr>
      </w:pPr>
    </w:p>
    <w:p>
      <w:pPr>
        <w:jc w:val="both"/>
        <w:ind w:left="-60" w:right="20" w:firstLine="1953"/>
        <w:spacing w:after="0" w:line="259" w:lineRule="auto"/>
        <w:tabs>
          <w:tab w:leader="none" w:pos="26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Initial Shareholder notifies the Shareholders of its desire to remove, with or without cause, any director previously designated by it, the Shareholders shall vote or cause to be voted all of the shares of Company Securities held of record by such Shareholders or Beneficially Owned by such Shareholders by virtue of having voting power over such Company Securities and take all other reasonable actions within its control to cause the removal of such director.</w:t>
      </w:r>
    </w:p>
    <w:p>
      <w:pPr>
        <w:spacing w:after="0" w:line="240" w:lineRule="exact"/>
        <w:rPr>
          <w:rFonts w:ascii="Arial" w:cs="Arial" w:eastAsia="Arial" w:hAnsi="Arial"/>
          <w:sz w:val="18"/>
          <w:szCs w:val="18"/>
          <w:color w:val="auto"/>
        </w:rPr>
      </w:pPr>
    </w:p>
    <w:p>
      <w:pPr>
        <w:ind w:left="-60" w:right="80" w:firstLine="1953"/>
        <w:spacing w:after="0" w:line="264" w:lineRule="auto"/>
        <w:tabs>
          <w:tab w:leader="none" w:pos="26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agrees to include in the slate of nominees recommended by the Board those persons designated by the Initial Shareholder in accordance with Section 3.1(a) and to use its reasonable best efforts to cause the election of each such designee to the Board, including nominating such designees to be elected as directors, in each case subject to applicable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124" w:name="page125"/>
    <w:bookmarkEnd w:id="124"/>
    <w:p>
      <w:pPr>
        <w:ind w:firstLine="1953"/>
        <w:spacing w:after="0" w:line="297" w:lineRule="auto"/>
        <w:tabs>
          <w:tab w:leader="none" w:pos="263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event that a vacancy is created at any time by the death, disability, retirement, resignation or removal of any director who is designated by the Initial Shareholder in accordance with Section 3.1(a), the Company agrees to take at any time and from time to time all actions necessary to cause the vacancy created thereby to be filled as promptly as practicable by a new designee of the Initial Shareholder. In the event that the size of the Board is expanded to more than eight directors, the Company agrees to take at any time and from time to time all actions necessary to cause the Board to continue to have the number of the Initial Shareholder’s designees that corresponds to the requirements of Section 3.1(a).</w:t>
      </w:r>
    </w:p>
    <w:p>
      <w:pPr>
        <w:spacing w:after="0" w:line="212" w:lineRule="exact"/>
        <w:rPr>
          <w:rFonts w:ascii="Arial" w:cs="Arial" w:eastAsia="Arial" w:hAnsi="Arial"/>
          <w:sz w:val="16"/>
          <w:szCs w:val="16"/>
          <w:color w:val="auto"/>
        </w:rPr>
      </w:pPr>
    </w:p>
    <w:p>
      <w:pPr>
        <w:ind w:firstLine="1953"/>
        <w:spacing w:after="0" w:line="271" w:lineRule="auto"/>
        <w:tabs>
          <w:tab w:leader="none" w:pos="266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the event that at any time the number of directors entitled to be designated by Initial Shareholder pursuant to Section 3.1(a) decreases, the Initial Shareholder and its Permitted Transferee shall take reasonable actions to cause a sufficient number of designated directors to resign from the Board at or prior to the end of such designated director’s term such that the number of designated directors after such resignation(s) equals the number of directors the Initial Shareholder would have been entitled to designate pursuant to Section 3.1(a). Any vacancies created by such resignation may remain vacant until the next annual meeting of Shareholders or filled by a majority vote of the Board. Notwithstanding the foregoing, such designated director(s) need not resign from the Board at or prior to the end of such director’s term if the Company’s nominating committee recommends the nomination of such director(s) for election at the next annual meeting coinciding with the end of such director’s term, or otherwise (and for the avoidance of doubt, such director shall no longer be considered a designee of the Initial Shareholder).</w:t>
      </w:r>
    </w:p>
    <w:p>
      <w:pPr>
        <w:spacing w:after="0" w:line="19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Committees</w:t>
      </w:r>
      <w:r>
        <w:rPr>
          <w:rFonts w:ascii="Arial" w:cs="Arial" w:eastAsia="Arial" w:hAnsi="Arial"/>
          <w:sz w:val="19"/>
          <w:szCs w:val="19"/>
          <w:color w:val="auto"/>
        </w:rPr>
        <w:t>. For so long as this Agreement is in effect, the Company shall take all reasonable actions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within its control at any given time so as to cause to be appointed to any committee of the Board a number of directors designated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by the Initial Shareholder that is up to the number of directors that is proportionate (rounding up to the next whole director)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representation that the Initial Shareholder is entitled to designate to the Board under this Agreement, to the extent such directors are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permitted to serve on such committees under the applicable rules of the Commission and the Nasdaq Global Select Market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u w:val="single" w:color="auto"/>
          <w:color w:val="auto"/>
        </w:rPr>
        <w:t>NASDAQ</w:t>
      </w:r>
      <w:r>
        <w:rPr>
          <w:rFonts w:ascii="Arial" w:cs="Arial" w:eastAsia="Arial" w:hAnsi="Arial"/>
          <w:sz w:val="19"/>
          <w:szCs w:val="19"/>
          <w:color w:val="auto"/>
        </w:rPr>
        <w:t>”) or by any other applicable stock exchange. It is understood by the parties hereto that the Initial Shareholder shall not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 required to have its directors represented on any committee and any failure to exercise such right in this section in a prior period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shall not constitute any waiver of such right in a subsequent period.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249"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9"/>
          <w:szCs w:val="19"/>
          <w:color w:val="auto"/>
        </w:rPr>
        <w:t>.</w:t>
      </w:r>
    </w:p>
    <w:p>
      <w:pPr>
        <w:spacing w:after="0" w:line="302" w:lineRule="exact"/>
        <w:rPr>
          <w:sz w:val="20"/>
          <w:szCs w:val="20"/>
          <w:color w:val="auto"/>
        </w:rPr>
      </w:pPr>
    </w:p>
    <w:p>
      <w:pPr>
        <w:ind w:left="-20" w:firstLine="1953"/>
        <w:spacing w:after="0" w:line="245" w:lineRule="auto"/>
        <w:tabs>
          <w:tab w:leader="none" w:pos="261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At any time after the date that is 180 days after the date hereof (or such earlier date (i) as would permit the Company to cause any filings required hereunder to be filed on the 180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hereof or (ii) as is permitted by waiver under the IPO Underwriting Agreement), any Person that is a Shareholder (a “</w:t>
      </w:r>
      <w:r>
        <w:rPr>
          <w:rFonts w:ascii="Arial" w:cs="Arial" w:eastAsia="Arial" w:hAnsi="Arial"/>
          <w:sz w:val="17"/>
          <w:szCs w:val="17"/>
          <w:u w:val="single" w:color="auto"/>
          <w:color w:val="auto"/>
        </w:rPr>
        <w:t>Requesting Shareholder</w:t>
      </w:r>
      <w:r>
        <w:rPr>
          <w:rFonts w:ascii="Arial" w:cs="Arial" w:eastAsia="Arial" w:hAnsi="Arial"/>
          <w:sz w:val="17"/>
          <w:szCs w:val="17"/>
          <w:color w:val="auto"/>
        </w:rPr>
        <w:t>”) on the date a Demand is made shall be entitled to make a written request of the Company (a “</w:t>
      </w:r>
      <w:r>
        <w:rPr>
          <w:rFonts w:ascii="Arial" w:cs="Arial" w:eastAsia="Arial" w:hAnsi="Arial"/>
          <w:sz w:val="17"/>
          <w:szCs w:val="17"/>
          <w:u w:val="single" w:color="auto"/>
          <w:color w:val="auto"/>
        </w:rPr>
        <w:t>Demand</w:t>
      </w:r>
      <w:r>
        <w:rPr>
          <w:rFonts w:ascii="Arial" w:cs="Arial" w:eastAsia="Arial" w:hAnsi="Arial"/>
          <w:sz w:val="17"/>
          <w:szCs w:val="17"/>
          <w:color w:val="auto"/>
        </w:rPr>
        <w:t>”) for registration under the Securities Act of a number of Registrable Securities that, when taken together with the number of Registrable Securities requested to be registered under the Securities Act by such Requesting Shareholder’s Affiliates, equals or is greater than the Registrable Amount and thereupon the Company will, subject to the terms of this Agreement, use its commercially reasonable efforts to effect the registration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as promptly as practicable under the Securities Act of:</w:t>
      </w:r>
    </w:p>
    <w:p>
      <w:pPr>
        <w:spacing w:after="0" w:line="257" w:lineRule="exact"/>
        <w:rPr>
          <w:sz w:val="20"/>
          <w:szCs w:val="20"/>
          <w:color w:val="auto"/>
        </w:rPr>
      </w:pPr>
    </w:p>
    <w:p>
      <w:pPr>
        <w:ind w:left="640" w:right="760" w:firstLine="1887"/>
        <w:spacing w:after="0" w:line="264" w:lineRule="auto"/>
        <w:tabs>
          <w:tab w:leader="none" w:pos="324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Registrable Securities which the Company has been so requested to register by the Requesting Shareholders for disposition in accordance with the intended method of disposition stated in such Demand, which may be an Underwritten Offering;</w:t>
      </w:r>
    </w:p>
    <w:p>
      <w:pPr>
        <w:spacing w:after="0" w:line="235" w:lineRule="exact"/>
        <w:rPr>
          <w:rFonts w:ascii="Arial" w:cs="Arial" w:eastAsia="Arial" w:hAnsi="Arial"/>
          <w:sz w:val="18"/>
          <w:szCs w:val="18"/>
          <w:color w:val="auto"/>
        </w:rPr>
      </w:pPr>
    </w:p>
    <w:p>
      <w:pPr>
        <w:ind w:left="3280" w:hanging="753"/>
        <w:spacing w:after="0"/>
        <w:tabs>
          <w:tab w:leader="none" w:pos="32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all other Registrable Securities which the Company has been requested to register pursuant to Section</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4.1(b); and</w:t>
      </w:r>
    </w:p>
    <w:p>
      <w:pPr>
        <w:spacing w:after="0" w:line="264" w:lineRule="exact"/>
        <w:rPr>
          <w:rFonts w:ascii="Arial" w:cs="Arial" w:eastAsia="Arial" w:hAnsi="Arial"/>
          <w:sz w:val="17"/>
          <w:szCs w:val="17"/>
          <w:color w:val="auto"/>
        </w:rPr>
      </w:pPr>
    </w:p>
    <w:p>
      <w:pPr>
        <w:ind w:left="640" w:right="1220" w:firstLine="1887"/>
        <w:spacing w:after="0" w:line="277" w:lineRule="auto"/>
        <w:tabs>
          <w:tab w:leader="none" w:pos="334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Class A Shares which the Company may elect to register in connection with any offering of Registrable Securities pursuant to this Section 4.1, but subject to Section 4.1(f);</w:t>
      </w:r>
    </w:p>
    <w:p>
      <w:pPr>
        <w:spacing w:after="0" w:line="197" w:lineRule="exact"/>
        <w:rPr>
          <w:sz w:val="20"/>
          <w:szCs w:val="20"/>
          <w:color w:val="auto"/>
        </w:rPr>
      </w:pPr>
    </w:p>
    <w:p>
      <w:pPr>
        <w:ind w:left="640" w:right="780"/>
        <w:spacing w:after="0" w:line="277" w:lineRule="auto"/>
        <w:rPr>
          <w:sz w:val="20"/>
          <w:szCs w:val="20"/>
          <w:color w:val="auto"/>
        </w:rPr>
      </w:pPr>
      <w:r>
        <w:rPr>
          <w:rFonts w:ascii="Arial" w:cs="Arial" w:eastAsia="Arial" w:hAnsi="Arial"/>
          <w:sz w:val="18"/>
          <w:szCs w:val="18"/>
          <w:color w:val="auto"/>
        </w:rPr>
        <w:t>all to the extent necessary to permit the disposition (in accordance with the intended methods thereof) of the Registrable Securities and the additional Class A Shares, if any, to be so registered.</w:t>
      </w:r>
    </w:p>
    <w:p>
      <w:pPr>
        <w:spacing w:after="0" w:line="224" w:lineRule="exact"/>
        <w:rPr>
          <w:sz w:val="20"/>
          <w:szCs w:val="20"/>
          <w:color w:val="auto"/>
        </w:rPr>
      </w:pPr>
    </w:p>
    <w:p>
      <w:pPr>
        <w:ind w:left="-20" w:right="20" w:firstLine="1953"/>
        <w:spacing w:after="0" w:line="273" w:lineRule="auto"/>
        <w:tabs>
          <w:tab w:leader="none" w:pos="262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Demand shall specify: (i) the aggregate number of Registrable Securities requested to be registered in such Demand Registration, (ii) the intended method of disposition in connection with such Demand Registration, to the extent then known, and (iii) the identity of the Requesting Shareholder (or Requesting Shareholders). Within five days after receipt of a Demand, the Company shall give written notice of such Demand to any other Person that on the date a Demand is delivered to the Company is a Shareholder. Subject to Section 4.1(f), the Company shall include in the Demand Registration covered by such Demand all Registrable Securities with respect to which the Company has received a written request for inclusion therein. Such written request shall comply with the requirements of a Demand as set forth in this Section 4.1(b).</w:t>
      </w:r>
    </w:p>
    <w:p>
      <w:pPr>
        <w:spacing w:after="0" w:line="232" w:lineRule="exact"/>
        <w:rPr>
          <w:rFonts w:ascii="Arial" w:cs="Arial" w:eastAsia="Arial" w:hAnsi="Arial"/>
          <w:sz w:val="17"/>
          <w:szCs w:val="17"/>
          <w:color w:val="auto"/>
        </w:rPr>
      </w:pPr>
    </w:p>
    <w:p>
      <w:pPr>
        <w:ind w:left="-20" w:right="60" w:firstLine="1953"/>
        <w:spacing w:after="0" w:line="277" w:lineRule="auto"/>
        <w:tabs>
          <w:tab w:leader="none" w:pos="26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Shareholder shall be entitled to an unlimited number of Demand Registrations until such time as the Shareholders, together, Beneficially Own less than a Registrable Amount.</w:t>
      </w:r>
    </w:p>
    <w:p>
      <w:pPr>
        <w:spacing w:after="0" w:line="224" w:lineRule="exact"/>
        <w:rPr>
          <w:rFonts w:ascii="Arial" w:cs="Arial" w:eastAsia="Arial" w:hAnsi="Arial"/>
          <w:sz w:val="18"/>
          <w:szCs w:val="18"/>
          <w:color w:val="auto"/>
        </w:rPr>
      </w:pPr>
    </w:p>
    <w:p>
      <w:pPr>
        <w:jc w:val="both"/>
        <w:ind w:left="-20" w:right="140" w:firstLine="1953"/>
        <w:spacing w:after="0" w:line="259" w:lineRule="auto"/>
        <w:tabs>
          <w:tab w:leader="none" w:pos="2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Demand Registrations shall be on such registration form of the Commission for which the Company is eligible as shall be selected by the Requesting Shareholders whose shares represent a majority of the Registrable Securities that the Company has been requested to register, including, to the extent permissible, a WKSI Shelf Registration Statement or an existing effective registration statement filed by the Company with the Commission, and shall be reasonably acceptable to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126" w:name="page127"/>
    <w:bookmarkEnd w:id="126"/>
    <w:p>
      <w:pPr>
        <w:ind w:left="-20" w:right="20" w:firstLine="1953"/>
        <w:spacing w:after="0" w:line="287" w:lineRule="auto"/>
        <w:tabs>
          <w:tab w:leader="none" w:pos="271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shall not be obligated to effect any Demand Registration (A) within one month of a “firm commitment” Underwritten Offering in which all Shareholders were given “piggyback” rights pursuant to Section 4.2 (subject to Section 4.1(f)) and provided that at least 50% of the number of Registrable Securities requested by such Shareholders to be included in such Demand Registration were included) or (B) within one month of any other Underwritten Offering pursuant to Section 4.3(e). In addition, the Company shall be entitled to postpone (upon written notice to all Shareholders) for a reasonable period of time not to exceed 60 days in succession the filing or the effectiveness of a registration statement for any Demand Registration (but no more than twice, or for more than 90 days in the aggregate, in any period of 12 consecutive months) if the Board determines in good faith and in its reasonable judgment that the filing or effectiveness of the registration statement relating to such Demand Registration would cause the disclosure of material, non-public information that the Company has a bona fide business purpose for preserving as confidential. In the event of a postponement by the Company of the filing or effectiveness of a registration statement for a Demand Registration, (i) the holders of a majority of Registrable Securities held by the Requesting Shareholder(s) shall have the right to withdraw such Demand in accordance with Section 4.4 and (ii) the Company shall not file or cause the effectiveness of any other registration statement for its own account or on behalf of any other Shareholders.</w:t>
      </w:r>
    </w:p>
    <w:p>
      <w:pPr>
        <w:spacing w:after="0" w:line="226" w:lineRule="exact"/>
        <w:rPr>
          <w:rFonts w:ascii="Arial" w:cs="Arial" w:eastAsia="Arial" w:hAnsi="Arial"/>
          <w:sz w:val="16"/>
          <w:szCs w:val="16"/>
          <w:color w:val="auto"/>
        </w:rPr>
      </w:pPr>
    </w:p>
    <w:p>
      <w:pPr>
        <w:ind w:left="-20" w:firstLine="1953"/>
        <w:spacing w:after="0" w:line="287" w:lineRule="auto"/>
        <w:tabs>
          <w:tab w:leader="none" w:pos="268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shall not include any securities other than Registrable Securities in a Demand Registration, except with the written consent of Shareholders participating in such Demand Registration that hold a majority of the Registrable Securities included in such Demand Registration. If, in connection with a Demand Registration, any managing underwriter (or, if such Demand Registration is not an Underwritten Offering, a nationally recognized investment bank engaged in connection with such Demand Registration) advises the Company, that, in its opinion, the inclusion of all of the securities, including securities of the Company that are not Registrable Securities, sought to be registered in connection with such Demand Registration would adversely affect the marketability of the Registrable Securities sought to be sold pursuant thereto, then the Company shall include in such registration statement only such securities as the Company is advised by such underwriter or investment bank can be sold without such adverse effect as follows and in the following order of priority: (i) first, up to the number of Registrable Securities requested to be included in such Demand Registration by the Shareholders, which, in the opinion of the underwriter can be sold without adversely affecting the marketability of the offering, pro rata among such Shareholders requesting such Demand Registration on the basis of the number of such securities held by such Shareholders; (ii) second, securities the Company proposes to sell; and (iii) third, all other securities of the Company duly requested to be included in such registration statement, pro rata on the basis of the number of such other securities requested to be included or such other method determined by the Company.</w:t>
      </w:r>
    </w:p>
    <w:p>
      <w:pPr>
        <w:spacing w:after="0" w:line="222" w:lineRule="exact"/>
        <w:rPr>
          <w:rFonts w:ascii="Arial" w:cs="Arial" w:eastAsia="Arial" w:hAnsi="Arial"/>
          <w:sz w:val="16"/>
          <w:szCs w:val="16"/>
          <w:color w:val="auto"/>
        </w:rPr>
      </w:pPr>
    </w:p>
    <w:p>
      <w:pPr>
        <w:ind w:left="-20" w:right="20" w:firstLine="1953"/>
        <w:spacing w:after="0" w:line="257" w:lineRule="auto"/>
        <w:tabs>
          <w:tab w:leader="none" w:pos="2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investment bank(s) that will serve as an underwriter with respect to such Demand Registration or, if such Demand Registration is not an Underwritten Offering, any investment bank engaged in connection therewith, shall be selected (i) by the Initial Shareholder, for so long as at least 30% of the outstanding Common Shares of the Company is owned by the Initial Shareholder or its Permitted Transferees, and thereafter (ii) by the Shareholder participating in such Demand Registration that holds (together with its Permitted Transferees) the highest number of Registrable Securities included in such Demand Registration.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127" w:name="page128"/>
    <w:bookmarkEnd w:id="127"/>
    <w:p>
      <w:pPr>
        <w:ind w:left="1260"/>
        <w:spacing w:after="0"/>
        <w:tabs>
          <w:tab w:leader="none" w:pos="26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Piggyback Registrations</w:t>
      </w:r>
      <w:r>
        <w:rPr>
          <w:rFonts w:ascii="Arial" w:cs="Arial" w:eastAsia="Arial" w:hAnsi="Arial"/>
          <w:sz w:val="19"/>
          <w:szCs w:val="19"/>
          <w:color w:val="auto"/>
        </w:rPr>
        <w:t>.</w:t>
      </w:r>
    </w:p>
    <w:p>
      <w:pPr>
        <w:spacing w:after="0" w:line="302" w:lineRule="exact"/>
        <w:rPr>
          <w:sz w:val="20"/>
          <w:szCs w:val="20"/>
          <w:color w:val="auto"/>
        </w:rPr>
      </w:pPr>
    </w:p>
    <w:p>
      <w:pPr>
        <w:ind w:left="-40" w:right="20" w:firstLine="1953"/>
        <w:spacing w:after="0" w:line="286" w:lineRule="auto"/>
        <w:tabs>
          <w:tab w:leader="none" w:pos="264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Subject to the terms and conditions hereof, whenever the Company (i) proposes to register any of its equity securities under the Securities Act (other than a registration by the Company (x) on a registration statement on Form S-4, (y) on a registration statement on Form S-8 (or, in any of the cases of (x) or (y), on any successor forms thereto), or (z) pursuant to Section 4.1) or (ii) proposes to effect an Underwritten Offering of its own securities pursuant to an effective Shelf Registration Statement (other than an Underwritten Offering pursuant to Section 4.1 or Section 4.3) (each,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whether for its own account or for the account of others, the Company shall give the Shareholders prompt written notice thereof (but not less than five business days prior to the filing by the Company with the Commission of any registration statement with respect thereto; provided that, for any Block Trade Offering, two business days’ notice shall be sufficient). Such notice (a “</w:t>
      </w:r>
      <w:r>
        <w:rPr>
          <w:rFonts w:ascii="Arial" w:cs="Arial" w:eastAsia="Arial" w:hAnsi="Arial"/>
          <w:sz w:val="16"/>
          <w:szCs w:val="16"/>
          <w:u w:val="single" w:color="auto"/>
          <w:color w:val="auto"/>
        </w:rPr>
        <w:t>Piggyback Notice</w:t>
      </w:r>
      <w:r>
        <w:rPr>
          <w:rFonts w:ascii="Arial" w:cs="Arial" w:eastAsia="Arial" w:hAnsi="Arial"/>
          <w:sz w:val="16"/>
          <w:szCs w:val="16"/>
          <w:color w:val="auto"/>
        </w:rPr>
        <w:t>”) shall specify, at a minimum, the number of equity securities proposed to be registered, the proposed date of filing of such registration statement with the Commission, the proposed means of distribution and the proposed managing underwriter or underwriters (if any and if known). Upon the written request of any Person that on the date of such Piggyback Notice is a Shareholder, given within (A) one business day, in the case of any Block Trade Offering, or (B) three business days, in the case of any other offering, after such Piggyback Notice is received by such Person (any such Person, a “</w:t>
      </w:r>
      <w:r>
        <w:rPr>
          <w:rFonts w:ascii="Arial" w:cs="Arial" w:eastAsia="Arial" w:hAnsi="Arial"/>
          <w:sz w:val="16"/>
          <w:szCs w:val="16"/>
          <w:u w:val="single" w:color="auto"/>
          <w:color w:val="auto"/>
        </w:rPr>
        <w:t>Piggyback Seller</w:t>
      </w:r>
      <w:r>
        <w:rPr>
          <w:rFonts w:ascii="Arial" w:cs="Arial" w:eastAsia="Arial" w:hAnsi="Arial"/>
          <w:sz w:val="16"/>
          <w:szCs w:val="16"/>
          <w:color w:val="auto"/>
        </w:rPr>
        <w:t>”) (which written request shall specify the number of Registrable Securities then presently intended to be disposed of by such Piggyback Seller), the Company, subject to the terms and conditions of this Agreement, shall use its commercially reasonable efforts to cause all such Registrable Securities held by Piggyback Sellers with respect to which the Company has received such written requests for inclusion to be included in such Piggyback Registration on the same terms and conditions as the Company’s equity securities being sold in such Piggyback Registration.</w:t>
      </w:r>
    </w:p>
    <w:p>
      <w:pPr>
        <w:spacing w:after="0" w:line="222" w:lineRule="exact"/>
        <w:rPr>
          <w:rFonts w:ascii="Arial" w:cs="Arial" w:eastAsia="Arial" w:hAnsi="Arial"/>
          <w:sz w:val="16"/>
          <w:szCs w:val="16"/>
          <w:color w:val="auto"/>
        </w:rPr>
      </w:pPr>
    </w:p>
    <w:p>
      <w:pPr>
        <w:ind w:left="-40" w:firstLine="1953"/>
        <w:spacing w:after="0" w:line="270" w:lineRule="auto"/>
        <w:tabs>
          <w:tab w:leader="none" w:pos="2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in connection with a Piggyback Registration, any managing underwriter (or, if such Piggyback Registration is not an Underwritten Offering, a nationally recognized investment bank selected by Shareholders holding a majority of the Registrable Securities included in such Piggyback Registration, reasonably acceptable to the Company, and whose fees and expenses shall be borne solely by the Company) advises the Company in writing that, in its opinion, the inclusion of all the equity securities sought to be included in such Piggyback Registration by (i) the Company, (ii) others who have sought to have equity securities of the Company registered in such Piggyback Registration pursuant to rights to demand (other than pursuant to so-called “piggyback” or other incidental or participation registration rights) such registration (such Persons being “</w:t>
      </w:r>
      <w:r>
        <w:rPr>
          <w:rFonts w:ascii="Arial" w:cs="Arial" w:eastAsia="Arial" w:hAnsi="Arial"/>
          <w:sz w:val="17"/>
          <w:szCs w:val="17"/>
          <w:u w:val="single" w:color="auto"/>
          <w:color w:val="auto"/>
        </w:rPr>
        <w:t>Other Demanding Sellers</w:t>
      </w:r>
      <w:r>
        <w:rPr>
          <w:rFonts w:ascii="Arial" w:cs="Arial" w:eastAsia="Arial" w:hAnsi="Arial"/>
          <w:sz w:val="17"/>
          <w:szCs w:val="17"/>
          <w:color w:val="auto"/>
        </w:rPr>
        <w:t>”), (iii) the Piggyback Sellers and (iv) any other proposed sellers of equity securities of the Company (such Persons being “</w:t>
      </w:r>
      <w:r>
        <w:rPr>
          <w:rFonts w:ascii="Arial" w:cs="Arial" w:eastAsia="Arial" w:hAnsi="Arial"/>
          <w:sz w:val="17"/>
          <w:szCs w:val="17"/>
          <w:u w:val="single" w:color="auto"/>
          <w:color w:val="auto"/>
        </w:rPr>
        <w:t>Other Proposed Sellers</w:t>
      </w:r>
      <w:r>
        <w:rPr>
          <w:rFonts w:ascii="Arial" w:cs="Arial" w:eastAsia="Arial" w:hAnsi="Arial"/>
          <w:sz w:val="17"/>
          <w:szCs w:val="17"/>
          <w:color w:val="auto"/>
        </w:rPr>
        <w:t>”), as the case may be, would adversely affect the marketability of the equity securities sought to be sold pursuant thereto, then the Company shall include in the registration statement applicable to such Piggyback Registration only such equity securities as the Company is so advised by such underwriter or investment bank can be sold without such an effect, as follows and in the following order of priority:</w:t>
      </w:r>
    </w:p>
    <w:p>
      <w:pPr>
        <w:spacing w:after="0" w:line="232" w:lineRule="exact"/>
        <w:rPr>
          <w:sz w:val="20"/>
          <w:szCs w:val="20"/>
          <w:color w:val="auto"/>
        </w:rPr>
      </w:pPr>
    </w:p>
    <w:p>
      <w:pPr>
        <w:ind w:left="620" w:right="640" w:firstLine="1887"/>
        <w:spacing w:after="0" w:line="276" w:lineRule="auto"/>
        <w:tabs>
          <w:tab w:leader="none" w:pos="322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the Piggyback Registration relates to an offering for the Company’s own account, then (A) first, such number of equity securities to be sold by the Company as the Company, in its reasonable judgment and acting in good faith and in accordance with sound financial practice, shall have determined, (B) second, Registrable Securities of Piggyback Sellers and securities sought to be registered by Other Demanding Sellers (if any), pro rata on the basis of the number of Common Shares held by such Piggyback Sellers and Other Demanding Sellers and (C) third, other equity securities held by any Other Proposed Sellers;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18" w:right="259" w:bottom="1440" w:gutter="0" w:footer="0" w:header="0"/>
        </w:sectPr>
      </w:pPr>
    </w:p>
    <w:bookmarkStart w:id="128" w:name="page129"/>
    <w:bookmarkEnd w:id="128"/>
    <w:p>
      <w:pPr>
        <w:ind w:left="580" w:right="580" w:firstLine="1887"/>
        <w:spacing w:after="0" w:line="276" w:lineRule="auto"/>
        <w:tabs>
          <w:tab w:leader="none" w:pos="323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if the Piggyback Registration relates to an offering other than for the Company’s own account, then (A) first, such number of equity securities sought to be registered by each Other Demanding Seller and the Piggyback Sellers (if any), pro rata in proportion to the number of Common Shares held by all such Other Demanding Sellers and Piggyback Sellers and (B) second, other equity securities held by any Other Proposed Sellers or to be sold by the Company as determined by the Company and with such priorities among them as may from time to time be determined or agreed to by the Company.</w:t>
      </w:r>
    </w:p>
    <w:p>
      <w:pPr>
        <w:spacing w:after="0" w:line="226" w:lineRule="exact"/>
        <w:rPr>
          <w:rFonts w:ascii="Arial" w:cs="Arial" w:eastAsia="Arial" w:hAnsi="Arial"/>
          <w:sz w:val="17"/>
          <w:szCs w:val="17"/>
          <w:color w:val="auto"/>
        </w:rPr>
      </w:pPr>
    </w:p>
    <w:p>
      <w:pPr>
        <w:jc w:val="both"/>
        <w:ind w:left="-80" w:firstLine="1953"/>
        <w:spacing w:after="0" w:line="259" w:lineRule="auto"/>
        <w:tabs>
          <w:tab w:leader="none" w:pos="26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connection with any Underwritten Offering under this Section 4.2 for the Company’s account, the Company shall not be required to include a holder’s Registrable Securities in the Underwritten Offering unless such holder accepts the terms of the underwriting as agreed upon between the Company and the underwriters selected by the Company; provided, that any applicable underwriting agreement includes only customary terms and conditions.</w:t>
      </w:r>
    </w:p>
    <w:p>
      <w:pPr>
        <w:spacing w:after="0" w:line="240" w:lineRule="exact"/>
        <w:rPr>
          <w:rFonts w:ascii="Arial" w:cs="Arial" w:eastAsia="Arial" w:hAnsi="Arial"/>
          <w:sz w:val="18"/>
          <w:szCs w:val="18"/>
          <w:color w:val="auto"/>
        </w:rPr>
      </w:pPr>
    </w:p>
    <w:p>
      <w:pPr>
        <w:ind w:left="-80" w:firstLine="1953"/>
        <w:spacing w:after="0" w:line="273" w:lineRule="auto"/>
        <w:tabs>
          <w:tab w:leader="none" w:pos="261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If, at any time after giving written notice of its intention to register any of its equity securities as set forth in this Section 4.2 and prior to the time the registration statement filed in connection with such Piggyback Registration is declared effective, the Company shall determine for any reason not to register such equity securities, the Company may, at its election, give written notice of such determination to each Shareholder and thereupon shall be relieved of its obligation to register any Registrable Securities in connection with such particular withdrawn or abandoned Piggyback Registration (but not from its obligation to pay the Registration Expenses in connection therewith as provided herein); provided, that Shareholders may continue the registration as a Demand Registration pursuant to the terms of Section 4.1.</w:t>
      </w:r>
    </w:p>
    <w:p>
      <w:pPr>
        <w:spacing w:after="0" w:line="198" w:lineRule="exact"/>
        <w:rPr>
          <w:sz w:val="20"/>
          <w:szCs w:val="20"/>
          <w:color w:val="auto"/>
        </w:rPr>
      </w:pPr>
    </w:p>
    <w:p>
      <w:pPr>
        <w:ind w:left="1220"/>
        <w:spacing w:after="0"/>
        <w:tabs>
          <w:tab w:leader="none" w:pos="25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Shelf Registration</w:t>
      </w:r>
      <w:r>
        <w:rPr>
          <w:rFonts w:ascii="Arial" w:cs="Arial" w:eastAsia="Arial" w:hAnsi="Arial"/>
          <w:sz w:val="19"/>
          <w:szCs w:val="19"/>
          <w:color w:val="auto"/>
        </w:rPr>
        <w:t>.</w:t>
      </w:r>
    </w:p>
    <w:p>
      <w:pPr>
        <w:spacing w:after="0" w:line="302" w:lineRule="exact"/>
        <w:rPr>
          <w:sz w:val="20"/>
          <w:szCs w:val="20"/>
          <w:color w:val="auto"/>
        </w:rPr>
      </w:pPr>
    </w:p>
    <w:p>
      <w:pPr>
        <w:ind w:left="-80" w:right="20" w:firstLine="1953"/>
        <w:spacing w:after="0" w:line="287" w:lineRule="auto"/>
        <w:tabs>
          <w:tab w:leader="none" w:pos="260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Subject to Section 4.3(e), and further subject to the availability of a Registration Statement on Form S-3 or a successor form, which may be a WKSI Shelf Registration Statement at any time the Company is eligible (“</w:t>
      </w:r>
      <w:r>
        <w:rPr>
          <w:rFonts w:ascii="Arial" w:cs="Arial" w:eastAsia="Arial" w:hAnsi="Arial"/>
          <w:sz w:val="16"/>
          <w:szCs w:val="16"/>
          <w:u w:val="single" w:color="auto"/>
          <w:color w:val="auto"/>
        </w:rPr>
        <w:t>Form S-3</w:t>
      </w:r>
      <w:r>
        <w:rPr>
          <w:rFonts w:ascii="Arial" w:cs="Arial" w:eastAsia="Arial" w:hAnsi="Arial"/>
          <w:sz w:val="16"/>
          <w:szCs w:val="16"/>
          <w:color w:val="auto"/>
        </w:rPr>
        <w:t>”), the Initial Shareholder or any of its Permitted Transferees (in each case to the extent a Shareholder hereunder) may, by written notice delivered (which notice can be delivered at any time after the eleven month anniversary of the date hereof) to the Company (the “</w:t>
      </w:r>
      <w:r>
        <w:rPr>
          <w:rFonts w:ascii="Arial" w:cs="Arial" w:eastAsia="Arial" w:hAnsi="Arial"/>
          <w:sz w:val="16"/>
          <w:szCs w:val="16"/>
          <w:u w:val="single" w:color="auto"/>
          <w:color w:val="auto"/>
        </w:rPr>
        <w:t>Shelf Notice</w:t>
      </w:r>
      <w:r>
        <w:rPr>
          <w:rFonts w:ascii="Arial" w:cs="Arial" w:eastAsia="Arial" w:hAnsi="Arial"/>
          <w:sz w:val="16"/>
          <w:szCs w:val="16"/>
          <w:color w:val="auto"/>
        </w:rPr>
        <w:t>”) require the Company to (A) file as promptly as practicable (but no later than 30 days after the date the Shelf Notice is delivered), and to use commercially reasonable efforts to cause to be declared effective by the Commission at the earliest possible date permitted under the rules and regulations of the Commission (but no later than 60 days after such filing date), a Form S-3, or (B) use an existing Form S-3 filed with the Commission, in each case providing for an offering to be made on a continuous basis pursuant to Rule 415 under the Securities Act (a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relating to the offer and sale, from time to time, of the number of Registrable Securities designated by the Initial Shareholder or its Permitted Transferee in the Shelf Notice (which, if the Company is a WKSI at the time of the Shelf Notice, may be an unspecified number of Registrable Securities) owned by the Initial Shareholder (or any of their Permitted Transferees), as the case may be, and any other Person that at the time of the Shelf Notice meets the definition of a Shareholder who elects to participate therein as provided in Section 4.3(b).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152" w:right="319" w:bottom="1440" w:gutter="0" w:footer="0" w:header="0"/>
        </w:sectPr>
      </w:pPr>
    </w:p>
    <w:bookmarkStart w:id="129" w:name="page130"/>
    <w:bookmarkEnd w:id="129"/>
    <w:p>
      <w:pPr>
        <w:ind w:left="-40" w:firstLine="1953"/>
        <w:spacing w:after="0" w:line="308" w:lineRule="auto"/>
        <w:tabs>
          <w:tab w:leader="none" w:pos="258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Initial Shareholder and its Permitted Transferees shall be entitled to require the Company to file an unlimited number of Shelf Registration Statements until such time as the Shareholders, together, Beneficially Own less than a Registrable Amount.</w:t>
      </w:r>
    </w:p>
    <w:p>
      <w:pPr>
        <w:spacing w:after="0" w:line="200" w:lineRule="exact"/>
        <w:rPr>
          <w:rFonts w:ascii="Arial" w:cs="Arial" w:eastAsia="Arial" w:hAnsi="Arial"/>
          <w:sz w:val="17"/>
          <w:szCs w:val="17"/>
          <w:color w:val="auto"/>
        </w:rPr>
      </w:pPr>
    </w:p>
    <w:p>
      <w:pPr>
        <w:ind w:left="-40" w:right="300" w:firstLine="1953"/>
        <w:spacing w:after="0" w:line="264" w:lineRule="auto"/>
        <w:tabs>
          <w:tab w:leader="none" w:pos="264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Within five business days after receipt of a Shelf Notice pursuant to Section 4.3(a), the Company will deliver written notice thereof to each Shareholder. Each Shareholder may elect to participate in the Shelf Registration Statement by delivering to the Company a written request to so participate within two business days after receipt of such written notice.</w:t>
      </w:r>
    </w:p>
    <w:p>
      <w:pPr>
        <w:spacing w:after="0" w:line="235" w:lineRule="exact"/>
        <w:rPr>
          <w:rFonts w:ascii="Arial" w:cs="Arial" w:eastAsia="Arial" w:hAnsi="Arial"/>
          <w:sz w:val="18"/>
          <w:szCs w:val="18"/>
          <w:color w:val="auto"/>
        </w:rPr>
      </w:pPr>
    </w:p>
    <w:p>
      <w:pPr>
        <w:ind w:left="-40" w:right="160" w:firstLine="1953"/>
        <w:spacing w:after="0" w:line="259" w:lineRule="auto"/>
        <w:tabs>
          <w:tab w:leader="none" w:pos="2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Subject to Section 4.3(e), the Company will use commercially reasonable efforts to keep the Shelf Registration Statement continuously effective until the date on which all Registrable Securities covered by the Shelf Registration Statement have been sold thereunder in accordance with the plan and method of distribution disclosed in the prospectus included in the Shelf Registration Statement, or otherwise (the “</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 Effectiveness Period</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40" w:right="20" w:firstLine="1953"/>
        <w:spacing w:after="0" w:line="286" w:lineRule="auto"/>
        <w:tabs>
          <w:tab w:leader="none" w:pos="264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the Company shall be entitled, from time to time, by providing notice to the Shareholders who elected to participate in the Shelf Registration Statement, to require such Shareholders to suspend the use of the prospectus for sales of Registrable Securities under the Shelf Registration Statement for a reasonable period of time not to exceed 60 days in succession or 90 days in the aggregate in any 12 month period (a “</w:t>
      </w:r>
      <w:r>
        <w:rPr>
          <w:rFonts w:ascii="Arial" w:cs="Arial" w:eastAsia="Arial" w:hAnsi="Arial"/>
          <w:sz w:val="16"/>
          <w:szCs w:val="16"/>
          <w:u w:val="single" w:color="auto"/>
          <w:color w:val="auto"/>
        </w:rPr>
        <w:t>Suspension Period</w:t>
      </w:r>
      <w:r>
        <w:rPr>
          <w:rFonts w:ascii="Arial" w:cs="Arial" w:eastAsia="Arial" w:hAnsi="Arial"/>
          <w:sz w:val="16"/>
          <w:szCs w:val="16"/>
          <w:color w:val="auto"/>
        </w:rPr>
        <w:t>”) if the Board determines in good faith and in its reasonable judgment that it is required to disclose in the Shelf Registration Statement a financing, acquisition, corporate reorganization or other similar transaction or other material event or circumstance affecting the Company or its securities, and that the disclosure of such information at such time would be detrimental to the Company or the holders of its equity interests. Immediately upon receipt of such notice, the Shareholders covered by the Shelf Registration Statement shall suspend the use of the prospectus until the requisite changes to the prospectus have been made as required below. Any Suspension Period shall terminate at such time as the public disclosure of such information is made. After the expiration of any Suspension Period and without any further request from a Shareholder, the Company shall as promptly as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52" w:right="259" w:bottom="1440" w:gutter="0" w:footer="0" w:header="0"/>
        </w:sectPr>
      </w:pPr>
    </w:p>
    <w:bookmarkStart w:id="130" w:name="page131"/>
    <w:bookmarkEnd w:id="130"/>
    <w:p>
      <w:pPr>
        <w:ind w:firstLine="1953"/>
        <w:spacing w:after="0" w:line="268" w:lineRule="auto"/>
        <w:tabs>
          <w:tab w:leader="none" w:pos="27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At any time, and from time-to-time, during the Shelf Registration Effectiveness Period (except during a Suspension Period), any Shareholder or any of its Permitted Transferees (in each case to the extent a Shareholder hereunder) may notify the Company of their intent to sell Registrable Securities covered by the Shelf Registration Statement (in whole or in part) in an Underwritten Offering (a “</w:t>
      </w:r>
      <w:r>
        <w:rPr>
          <w:rFonts w:ascii="Arial" w:cs="Arial" w:eastAsia="Arial" w:hAnsi="Arial"/>
          <w:sz w:val="17"/>
          <w:szCs w:val="17"/>
          <w:u w:val="single" w:color="auto"/>
          <w:color w:val="auto"/>
        </w:rPr>
        <w:t>Shelf Underwritten Offering</w:t>
      </w:r>
      <w:r>
        <w:rPr>
          <w:rFonts w:ascii="Arial" w:cs="Arial" w:eastAsia="Arial" w:hAnsi="Arial"/>
          <w:sz w:val="17"/>
          <w:szCs w:val="17"/>
          <w:color w:val="auto"/>
        </w:rPr>
        <w:t>”); provided that the Company shall not be obligated to participate in more than four underwritten offerings during any twelve-month period. Such notice shall specify (x) the aggregate number of Registrable Securities requested to be registered in such Shelf Underwritten Offering and (y) the identity of the Shareholder(s) requesting such Shelf Underwritten Offering. Upon receipt by the Company of such notice, the Company shall promptly comply with the applicable provisions of this Agreement, including those provisions of Section 4.5 relating to the Company’s obligation to make filings with the Commission, assist in the preparation and filing with the Commission of prospectus supplements and amendments to the Shelf Registration Statement, participate in “road shows,” agree to customary “lock-up” agreements with respect to the Company’s securities and obtain “comfort” letters, and the Company shall take such other actions as necessary or appropriate to permit the consummation of such Shelf Underwritten Offering as promptly as practicable. Each Shelf Underwritten Offering shall be for the sale of a number of Registrable Securities equal to or greater than the Registrable Amount. In any Shelf Underwritten Offering, the Shareholders participating in such Shelf Underwritten Offering that hold a majority of the Registrable Securities included in such Shelf Underwritten Offering shall select the investment bank(s) and managers that will serve as lead or co-managing underwriters with respect to the offering of such Registrable Securities, which shall be reasonably acceptable to the Company.</w:t>
      </w:r>
    </w:p>
    <w:p>
      <w:pPr>
        <w:spacing w:after="0" w:line="20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Withdrawal Rights</w:t>
      </w:r>
      <w:r>
        <w:rPr>
          <w:rFonts w:ascii="Arial" w:cs="Arial" w:eastAsia="Arial" w:hAnsi="Arial"/>
          <w:sz w:val="19"/>
          <w:szCs w:val="19"/>
          <w:color w:val="auto"/>
        </w:rPr>
        <w:t>. Any Shareholder having notified or directed the Company to include any or all of</w:t>
      </w:r>
      <w:r>
        <w:rPr>
          <w:rFonts w:ascii="Arial" w:cs="Arial" w:eastAsia="Arial" w:hAnsi="Arial"/>
          <w:sz w:val="16"/>
          <w:szCs w:val="16"/>
          <w:color w:val="auto"/>
        </w:rPr>
        <w:t xml:space="preserve"> </w:t>
      </w:r>
      <w:r>
        <w:rPr>
          <w:rFonts w:ascii="Arial" w:cs="Arial" w:eastAsia="Arial" w:hAnsi="Arial"/>
          <w:sz w:val="19"/>
          <w:szCs w:val="19"/>
          <w:color w:val="auto"/>
        </w:rPr>
        <w:t>its Registrable Securities in a registration statement under the Securities Act shall have the right to withdraw any such notice or direction with respect to any or all of the Registrable Securities designated by it for registration by giving written notice to such effect to the Company prior to the effective date of such registration statement. In the event of any such withdrawal, the Company shall not include such Registrable Securities in the applicable registration and such Registrable Securities shall continue to be Registrable Securities for all purposes of this Agreement. No such withdrawal shall affect the obligations of the Company with respect to the Registrable Securities not so withdrawn; provided, however, that in the case of a Demand Registration, if such withdrawal shall reduce the number of Registrable Securities sought to be included in such registration below the Registrable Amount, then the Company shall as promptly as practicable give each holder of Registrable Securities sought to be registered notice to such effect and, within ten days following the mailing of such notice, such holder(s) of Registrable Securities still seeking registration shall, by written notice to the Company, elect to register additional Registrable Securities, when taken together with elections to register Registrable Securities by its Permitted Transferees, to satisfy the Registrable Amount or elect that such registration statement not be filed or, if theretofore filed, be withdrawn. During such ten day period, the Company shall not file such registration statement if not theretofore filed or, if such registration statement has been theretofore filed, the Company shall not seek, and shall use commercially reasonable efforts to prevent, the effectiveness thereof.</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52" w:right="299" w:bottom="1440" w:gutter="0" w:footer="0" w:header="0"/>
        </w:sectPr>
      </w:pPr>
    </w:p>
    <w:bookmarkStart w:id="131" w:name="page132"/>
    <w:bookmarkEnd w:id="131"/>
    <w:p>
      <w:pPr>
        <w:ind w:left="920"/>
        <w:spacing w:after="0"/>
        <w:tabs>
          <w:tab w:leader="none" w:pos="230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Registration Procedures</w:t>
      </w:r>
      <w:r>
        <w:rPr>
          <w:rFonts w:ascii="Arial" w:cs="Arial" w:eastAsia="Arial" w:hAnsi="Arial"/>
          <w:sz w:val="19"/>
          <w:szCs w:val="19"/>
          <w:color w:val="auto"/>
        </w:rPr>
        <w:t>.</w:t>
      </w:r>
    </w:p>
    <w:p>
      <w:pPr>
        <w:spacing w:after="0" w:line="302" w:lineRule="exact"/>
        <w:rPr>
          <w:sz w:val="20"/>
          <w:szCs w:val="20"/>
          <w:color w:val="auto"/>
        </w:rPr>
      </w:pPr>
    </w:p>
    <w:p>
      <w:pPr>
        <w:ind w:left="-380" w:firstLine="1953"/>
        <w:spacing w:after="0" w:line="264" w:lineRule="auto"/>
        <w:tabs>
          <w:tab w:leader="none" w:pos="23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and whenever the Company is required to use commercially reasonable efforts to effect the registration of any Registrable Securities under the Securities Act or an Underwritten Offering as provided in Section 4.1, Section 4.2 and Section 4.3, the Company shall as promptly as practicable (in each case, to the extent applicable):</w:t>
      </w:r>
    </w:p>
    <w:p>
      <w:pPr>
        <w:spacing w:after="0" w:line="235" w:lineRule="exact"/>
        <w:rPr>
          <w:rFonts w:ascii="Arial" w:cs="Arial" w:eastAsia="Arial" w:hAnsi="Arial"/>
          <w:sz w:val="18"/>
          <w:szCs w:val="18"/>
          <w:color w:val="auto"/>
        </w:rPr>
      </w:pPr>
    </w:p>
    <w:p>
      <w:pPr>
        <w:ind w:left="280" w:right="420" w:firstLine="1887"/>
        <w:spacing w:after="0" w:line="269" w:lineRule="auto"/>
        <w:tabs>
          <w:tab w:leader="none" w:pos="288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prepare and file with the Commission a registration statement to effect such registration, cause such registration statement to become effective at the earliest possible date permitted under the rules and regulations of the Commission, and thereafter use commercially reasonable efforts to cause such registration statement to remain effective pursuant to the terms of this Agreement; provided, however, that the Company may discontinue any registration of its securities which are not Registrable Securities at any time prior to the effective date of the registration statement relating thereto; provided, further that before filing such registration statement or any amendments thereto, the Company will (A) furnish to the counsel selected by the holders of Registrable Securities which are to be included in such registration (“</w:t>
      </w:r>
      <w:r>
        <w:rPr>
          <w:rFonts w:ascii="Arial" w:cs="Arial" w:eastAsia="Arial" w:hAnsi="Arial"/>
          <w:sz w:val="17"/>
          <w:szCs w:val="17"/>
          <w:u w:val="single" w:color="auto"/>
          <w:color w:val="auto"/>
        </w:rPr>
        <w:t>Selling Holders</w:t>
      </w:r>
      <w:r>
        <w:rPr>
          <w:rFonts w:ascii="Arial" w:cs="Arial" w:eastAsia="Arial" w:hAnsi="Arial"/>
          <w:sz w:val="17"/>
          <w:szCs w:val="17"/>
          <w:color w:val="auto"/>
        </w:rPr>
        <w:t>”) copies of all such documents proposed to be filed, (B) provide each such Selling Holder and their counsel the opportunity to object to any information pertaining to such Selling Holder or its plan of distribution that is contained in the registration statement (it being understood that each Selling Holder and counsel to such Selling Holder will conduct their review and provide any comments promptly) and (C) make any changes reasonably requested by such Selling Holder or their counsel with respect to such information;</w:t>
      </w:r>
    </w:p>
    <w:p>
      <w:pPr>
        <w:spacing w:after="0" w:line="236" w:lineRule="exact"/>
        <w:rPr>
          <w:rFonts w:ascii="Arial" w:cs="Arial" w:eastAsia="Arial" w:hAnsi="Arial"/>
          <w:sz w:val="17"/>
          <w:szCs w:val="17"/>
          <w:color w:val="auto"/>
        </w:rPr>
      </w:pPr>
    </w:p>
    <w:p>
      <w:pPr>
        <w:ind w:left="280" w:right="320" w:firstLine="1887"/>
        <w:spacing w:after="0" w:line="253" w:lineRule="auto"/>
        <w:tabs>
          <w:tab w:leader="none" w:pos="293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(including post-effective amendments) and supplements and “stickers” to such registration statement and the prospectus used in connection therewith and any Exchange Act reports incorporated by reference therein as may be necessary to keep such registration statement effective and to comply with the provisions of the Securities Act with respect to the disposition of all securities covered by such registration statement until the earlier of such time as all of such securities have been disposed of in accordance with the intended methods of disposition by the Selling Holder(s) set forth in such registration statement or (i) in the case of a Demand Registration pursuant to Section 4.1, the expiration of 90 days after such registration statement becomes effective or (ii) in the case of a Piggyback Registration pursuant to Section 4.2, the expiration of 90 days after such registration statement becomes effective or (iii) in the case of a Shelf Registration pursuant to Section 4.3, the Shelf Registration Effectiveness Period;</w:t>
      </w:r>
    </w:p>
    <w:p>
      <w:pPr>
        <w:spacing w:after="0" w:line="251" w:lineRule="exact"/>
        <w:rPr>
          <w:rFonts w:ascii="Arial" w:cs="Arial" w:eastAsia="Arial" w:hAnsi="Arial"/>
          <w:sz w:val="18"/>
          <w:szCs w:val="18"/>
          <w:color w:val="auto"/>
        </w:rPr>
      </w:pPr>
    </w:p>
    <w:p>
      <w:pPr>
        <w:ind w:left="280" w:right="300" w:firstLine="1887"/>
        <w:spacing w:after="0" w:line="272" w:lineRule="auto"/>
        <w:tabs>
          <w:tab w:leader="none" w:pos="298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furnish to each Selling Holder and each underwriter, if any, of the securities being sold by such Selling Holder such number of conformed copies of such registration statement and of each amendment and supplement thereto (in each case including all exhibits or documents incorporated by reference therein), such number of copies of the prospectus contained in such registration statement (including each preliminary prospectus and any summary prospectus) and any other prospectus filed under Rule 424 under the Securities Act, in conformity with the requirements of the Securities Act, and any Issuer Free Writing Prospectus and such other documents as such Selling Holder and underwriter, if any, may reasonably request in order to facilitate the public sale or other disposition of the Registrable Securities owned by such Selling Holder;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48895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620" w:top="118" w:right="599" w:bottom="1440" w:gutter="0" w:footer="0" w:header="0"/>
        </w:sectPr>
      </w:pPr>
    </w:p>
    <w:bookmarkStart w:id="132" w:name="page133"/>
    <w:bookmarkEnd w:id="132"/>
    <w:p>
      <w:pPr>
        <w:ind w:right="20" w:firstLine="2265"/>
        <w:spacing w:after="0" w:line="291" w:lineRule="auto"/>
        <w:tabs>
          <w:tab w:leader="none" w:pos="306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use commercially reasonable efforts to register or qualify such Registrable Securities covered by such registration statement under such other securities laws or blue sky laws of such jurisdictions as any Selling Holder and any underwriter of the securities being sold by such Selling Holder shall reasonably request, and take any other action which may be reasonably necessary or advisable to enable such Selling Holder and underwriter to consummate the disposition in such jurisdictions of the Registrable Securities owned by such Selling Holder, except that the Company shall not for any such purpose be required to qualify generally to do business as a foreign corporation in any jurisdiction wherein it would not but for the requirements of this clause (iv) be obligated to be so qualified, to subject itself to taxation in any such jurisdiction or to file a general consent to service of process in any such jurisdiction;</w:t>
      </w:r>
    </w:p>
    <w:p>
      <w:pPr>
        <w:spacing w:after="0" w:line="221" w:lineRule="exact"/>
        <w:rPr>
          <w:rFonts w:ascii="Arial" w:cs="Arial" w:eastAsia="Arial" w:hAnsi="Arial"/>
          <w:sz w:val="16"/>
          <w:szCs w:val="16"/>
          <w:color w:val="auto"/>
        </w:rPr>
      </w:pPr>
    </w:p>
    <w:p>
      <w:pPr>
        <w:ind w:firstLine="2265"/>
        <w:spacing w:after="0" w:line="286" w:lineRule="auto"/>
        <w:tabs>
          <w:tab w:leader="none" w:pos="301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use best efforts to cause such Registrable Securities to be listed on each securities exchange on which similar securities issued by the Company are then listed and, if no such securities are so listed, use commercially reasonable efforts to cause such Registrable Securities to be listed on the NASDAQ or the New York Stock Exchange;</w:t>
      </w:r>
    </w:p>
    <w:p>
      <w:pPr>
        <w:spacing w:after="0" w:line="219" w:lineRule="exact"/>
        <w:rPr>
          <w:rFonts w:ascii="Arial" w:cs="Arial" w:eastAsia="Arial" w:hAnsi="Arial"/>
          <w:sz w:val="17"/>
          <w:szCs w:val="17"/>
          <w:color w:val="auto"/>
        </w:rPr>
      </w:pPr>
    </w:p>
    <w:p>
      <w:pPr>
        <w:ind w:right="200" w:firstLine="2265"/>
        <w:spacing w:after="0" w:line="264" w:lineRule="auto"/>
        <w:tabs>
          <w:tab w:leader="none" w:pos="30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use commercially reasonable efforts to cause such Registrable Securities covered by such registration statement to be registered with or approved by such other governmental agencies or authorities as may be necessary to enable the Selling Holder(s) thereof to consummate the disposition of such Registrable Securities;</w:t>
      </w:r>
    </w:p>
    <w:p>
      <w:pPr>
        <w:spacing w:after="0" w:line="235" w:lineRule="exact"/>
        <w:rPr>
          <w:rFonts w:ascii="Arial" w:cs="Arial" w:eastAsia="Arial" w:hAnsi="Arial"/>
          <w:sz w:val="18"/>
          <w:szCs w:val="18"/>
          <w:color w:val="auto"/>
        </w:rPr>
      </w:pPr>
    </w:p>
    <w:p>
      <w:pPr>
        <w:ind w:left="3120" w:hanging="855"/>
        <w:spacing w:after="0"/>
        <w:tabs>
          <w:tab w:leader="none" w:pos="31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connection with an Underwritten Offering, obtain for each Selling Holder and underwriter:</w:t>
      </w:r>
    </w:p>
    <w:p>
      <w:pPr>
        <w:spacing w:after="0" w:line="290" w:lineRule="exact"/>
        <w:rPr>
          <w:rFonts w:ascii="Arial" w:cs="Arial" w:eastAsia="Arial" w:hAnsi="Arial"/>
          <w:sz w:val="17"/>
          <w:szCs w:val="17"/>
          <w:color w:val="auto"/>
        </w:rPr>
      </w:pPr>
    </w:p>
    <w:p>
      <w:pPr>
        <w:ind w:left="3720" w:hanging="746"/>
        <w:spacing w:after="0"/>
        <w:tabs>
          <w:tab w:leader="none" w:pos="37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an opinion of counsel for the Company, covering the matters customarily covered in</w:t>
      </w:r>
    </w:p>
    <w:p>
      <w:pPr>
        <w:spacing w:after="0" w:line="34" w:lineRule="exact"/>
        <w:rPr>
          <w:rFonts w:ascii="Arial" w:cs="Arial" w:eastAsia="Arial" w:hAnsi="Arial"/>
          <w:sz w:val="17"/>
          <w:szCs w:val="17"/>
          <w:color w:val="auto"/>
        </w:rPr>
      </w:pPr>
    </w:p>
    <w:p>
      <w:pPr>
        <w:ind w:right="900"/>
        <w:spacing w:after="0" w:line="261" w:lineRule="auto"/>
        <w:rPr>
          <w:rFonts w:ascii="Arial" w:cs="Arial" w:eastAsia="Arial" w:hAnsi="Arial"/>
          <w:sz w:val="17"/>
          <w:szCs w:val="17"/>
          <w:color w:val="auto"/>
        </w:rPr>
      </w:pPr>
      <w:r>
        <w:rPr>
          <w:rFonts w:ascii="Arial" w:cs="Arial" w:eastAsia="Arial" w:hAnsi="Arial"/>
          <w:sz w:val="18"/>
          <w:szCs w:val="18"/>
          <w:color w:val="auto"/>
        </w:rPr>
        <w:t>opinions requested in underwritten offerings and such other matters as may be reasonably requested by such Selling Holder and underwriters, and</w:t>
      </w:r>
    </w:p>
    <w:p>
      <w:pPr>
        <w:spacing w:after="0" w:line="237" w:lineRule="exact"/>
        <w:rPr>
          <w:rFonts w:ascii="Arial" w:cs="Arial" w:eastAsia="Arial" w:hAnsi="Arial"/>
          <w:sz w:val="17"/>
          <w:szCs w:val="17"/>
          <w:color w:val="auto"/>
        </w:rPr>
      </w:pPr>
    </w:p>
    <w:p>
      <w:pPr>
        <w:ind w:left="3760" w:hanging="786"/>
        <w:spacing w:after="0"/>
        <w:tabs>
          <w:tab w:leader="none" w:pos="37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“comfort” letter (or, in the case of any such Person which does not satisfy the</w:t>
      </w:r>
    </w:p>
    <w:p>
      <w:pPr>
        <w:spacing w:after="0" w:line="23" w:lineRule="exact"/>
        <w:rPr>
          <w:rFonts w:ascii="Arial" w:cs="Arial" w:eastAsia="Arial" w:hAnsi="Arial"/>
          <w:sz w:val="18"/>
          <w:szCs w:val="18"/>
          <w:color w:val="auto"/>
        </w:rPr>
      </w:pPr>
    </w:p>
    <w:p>
      <w:pPr>
        <w:ind w:right="60"/>
        <w:spacing w:after="0" w:line="253" w:lineRule="auto"/>
        <w:rPr>
          <w:rFonts w:ascii="Arial" w:cs="Arial" w:eastAsia="Arial" w:hAnsi="Arial"/>
          <w:sz w:val="18"/>
          <w:szCs w:val="18"/>
          <w:color w:val="auto"/>
        </w:rPr>
      </w:pPr>
      <w:r>
        <w:rPr>
          <w:rFonts w:ascii="Arial" w:cs="Arial" w:eastAsia="Arial" w:hAnsi="Arial"/>
          <w:sz w:val="18"/>
          <w:szCs w:val="18"/>
          <w:color w:val="auto"/>
        </w:rPr>
        <w:t>conditions for receipt of a “comfort” letter specified in AU Section 634 of the AICPA Professional Standards, an “agreed upon procedures” letter) signed by the independent registered public accountants who have certified the Company’s financial statements included in such registration statement (and, if necessary, any other independent registered public accountant of any Subsidiary of the Company or any business acquired by the Company from which financial statements and financial data are, or are required to be, included in the registration statement);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00"/>
          </w:cols>
          <w:pgMar w:left="900" w:top="152" w:right="899" w:bottom="1440" w:gutter="0" w:footer="0" w:header="0"/>
        </w:sectPr>
      </w:pPr>
    </w:p>
    <w:bookmarkStart w:id="133" w:name="page134"/>
    <w:bookmarkEnd w:id="133"/>
    <w:p>
      <w:pPr>
        <w:ind w:right="520" w:firstLine="2265"/>
        <w:spacing w:after="0" w:line="285" w:lineRule="auto"/>
        <w:tabs>
          <w:tab w:leader="none" w:pos="311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promptly make available for inspection by any Selling Holder, any underwriter participating in any disposition pursuant to any registration statement, and any attorney, accountant or other agent or representative retained by any such Selling Holder or underwriter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financial and other records, pertinent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reasonably necessary to enable such Selling Holder or underwriter to exercise their due diligence responsibility, and cause the Company’s officers, directors and employees to supply all information requested by any such Inspector in connection with such registration statement promptly; provided, however, that, unless the disclosure of such Records is necessary to avoid or correct a misstatement or omission in the registration statement or the release of such Records is ordered pursuant to a subpoena or other order from a court of competent jurisdiction, the Company shall not be required to provide any information under this subparagraph (viii) if (i) the Company believes, after consultation with counsel for the Company, that to do so would cause the Company to forfeit an attorney-client privilege that was applicable to such information or (ii) either (A) the Company has requested and been granted from the Commission confidential treatment of such information contained in any filing with the Commission or documents provided supplementally or otherwise or (B) the Company reasonably determines in good faith that such Records are confidential and so notifies the Inspectors in writing unless prior to furnishing any such information with respect to (i) or (ii) such holder of Registrable Securities requesting such information agrees, and causes each of its Inspectors, to enter into a confidentiality agreement on terms reasonably acceptable to the Company; and provided, further, that each Holder of Registrable Securities agrees that it will, upon learning that disclosure of such Records is sought in a court of competent jurisdiction, give notice to the Company and allow the Company, at its expense, to undertake appropriate action and to prevent disclosure of the Records deemed confidential;</w:t>
      </w:r>
    </w:p>
    <w:p>
      <w:pPr>
        <w:spacing w:after="0" w:line="229" w:lineRule="exact"/>
        <w:rPr>
          <w:rFonts w:ascii="Arial" w:cs="Arial" w:eastAsia="Arial" w:hAnsi="Arial"/>
          <w:sz w:val="16"/>
          <w:szCs w:val="16"/>
          <w:color w:val="auto"/>
        </w:rPr>
      </w:pPr>
    </w:p>
    <w:p>
      <w:pPr>
        <w:ind w:left="3120" w:hanging="855"/>
        <w:spacing w:after="0"/>
        <w:tabs>
          <w:tab w:leader="none" w:pos="31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promptly notify in writing each Selling Holder and the underwriters, if any, of the following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events:</w:t>
      </w:r>
    </w:p>
    <w:p>
      <w:pPr>
        <w:spacing w:after="0" w:line="264" w:lineRule="exact"/>
        <w:rPr>
          <w:rFonts w:ascii="Arial" w:cs="Arial" w:eastAsia="Arial" w:hAnsi="Arial"/>
          <w:sz w:val="18"/>
          <w:szCs w:val="18"/>
          <w:color w:val="auto"/>
        </w:rPr>
      </w:pPr>
    </w:p>
    <w:p>
      <w:pPr>
        <w:ind w:firstLine="2913"/>
        <w:spacing w:after="0" w:line="264" w:lineRule="auto"/>
        <w:tabs>
          <w:tab w:leader="none" w:pos="366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filing of the registration statement, the prospectus or any prospectus supplement related thereto, any Issuer Free Writing Prospectus or post-effective amendment to the registration statement, and, with respect to the registration statement or any post-effective amendment thereto, when the same has become effective;</w:t>
      </w:r>
    </w:p>
    <w:p>
      <w:pPr>
        <w:spacing w:after="0" w:line="235" w:lineRule="exact"/>
        <w:rPr>
          <w:rFonts w:ascii="Arial" w:cs="Arial" w:eastAsia="Arial" w:hAnsi="Arial"/>
          <w:sz w:val="18"/>
          <w:szCs w:val="18"/>
          <w:color w:val="auto"/>
        </w:rPr>
      </w:pPr>
    </w:p>
    <w:p>
      <w:pPr>
        <w:ind w:left="3720" w:hanging="746"/>
        <w:spacing w:after="0"/>
        <w:tabs>
          <w:tab w:leader="none" w:pos="37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request by the Commission or any other Governmental Entity for amendments or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supplements to the registration statement or the prospectus or for additional information;</w:t>
      </w:r>
    </w:p>
    <w:p>
      <w:pPr>
        <w:spacing w:after="0" w:line="264" w:lineRule="exact"/>
        <w:rPr>
          <w:rFonts w:ascii="Arial" w:cs="Arial" w:eastAsia="Arial" w:hAnsi="Arial"/>
          <w:sz w:val="18"/>
          <w:szCs w:val="18"/>
          <w:color w:val="auto"/>
        </w:rPr>
      </w:pPr>
    </w:p>
    <w:p>
      <w:pPr>
        <w:ind w:left="3720" w:hanging="746"/>
        <w:spacing w:after="0"/>
        <w:tabs>
          <w:tab w:leader="none" w:pos="37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issuance by the Commission or any other Governmental Entity of any stop order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suspending the effectiveness of the registration statement or the initiation of any proceedings by any Person for that purpose;</w:t>
      </w:r>
    </w:p>
    <w:p>
      <w:pPr>
        <w:spacing w:after="0" w:line="264" w:lineRule="exact"/>
        <w:rPr>
          <w:rFonts w:ascii="Arial" w:cs="Arial" w:eastAsia="Arial" w:hAnsi="Arial"/>
          <w:sz w:val="18"/>
          <w:szCs w:val="18"/>
          <w:color w:val="auto"/>
        </w:rPr>
      </w:pPr>
    </w:p>
    <w:p>
      <w:pPr>
        <w:ind w:left="3720" w:hanging="746"/>
        <w:spacing w:after="0"/>
        <w:tabs>
          <w:tab w:leader="none" w:pos="37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when any Issuer Free Writing Prospectus includes information that may conflict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the registration statement; and</w:t>
      </w:r>
    </w:p>
    <w:p>
      <w:pPr>
        <w:spacing w:after="0" w:line="200" w:lineRule="exact"/>
        <w:rPr>
          <w:sz w:val="20"/>
          <w:szCs w:val="20"/>
          <w:color w:val="auto"/>
        </w:rPr>
      </w:pPr>
    </w:p>
    <w:p>
      <w:pPr>
        <w:spacing w:after="0" w:line="21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40"/>
          </w:cols>
          <w:pgMar w:left="900" w:top="152" w:right="359" w:bottom="1440" w:gutter="0" w:footer="0" w:header="0"/>
        </w:sectPr>
      </w:pPr>
    </w:p>
    <w:bookmarkStart w:id="134" w:name="page135"/>
    <w:bookmarkEnd w:id="134"/>
    <w:p>
      <w:pPr>
        <w:ind w:left="3720" w:hanging="746"/>
        <w:spacing w:after="0"/>
        <w:tabs>
          <w:tab w:leader="none" w:pos="372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receipt by the Company of any notification with respect to the suspension of the</w:t>
      </w:r>
    </w:p>
    <w:p>
      <w:pPr>
        <w:spacing w:after="0" w:line="34" w:lineRule="exact"/>
        <w:rPr>
          <w:rFonts w:ascii="Arial" w:cs="Arial" w:eastAsia="Arial" w:hAnsi="Arial"/>
          <w:sz w:val="17"/>
          <w:szCs w:val="17"/>
          <w:color w:val="auto"/>
        </w:rPr>
      </w:pPr>
    </w:p>
    <w:p>
      <w:pPr>
        <w:ind w:right="140"/>
        <w:spacing w:after="0" w:line="261" w:lineRule="auto"/>
        <w:rPr>
          <w:rFonts w:ascii="Arial" w:cs="Arial" w:eastAsia="Arial" w:hAnsi="Arial"/>
          <w:sz w:val="17"/>
          <w:szCs w:val="17"/>
          <w:color w:val="auto"/>
        </w:rPr>
      </w:pPr>
      <w:r>
        <w:rPr>
          <w:rFonts w:ascii="Arial" w:cs="Arial" w:eastAsia="Arial" w:hAnsi="Arial"/>
          <w:sz w:val="18"/>
          <w:szCs w:val="18"/>
          <w:color w:val="auto"/>
        </w:rPr>
        <w:t>qualification of any Registrable Securities for sale under the securities or blue sky laws of any jurisdiction or the initiation or threat of any proceeding for such purpose;</w:t>
      </w:r>
    </w:p>
    <w:p>
      <w:pPr>
        <w:spacing w:after="0" w:line="237" w:lineRule="exact"/>
        <w:rPr>
          <w:rFonts w:ascii="Arial" w:cs="Arial" w:eastAsia="Arial" w:hAnsi="Arial"/>
          <w:sz w:val="17"/>
          <w:szCs w:val="17"/>
          <w:color w:val="auto"/>
        </w:rPr>
      </w:pPr>
    </w:p>
    <w:p>
      <w:pPr>
        <w:ind w:right="20" w:firstLine="2265"/>
        <w:spacing w:after="0" w:line="291" w:lineRule="auto"/>
        <w:tabs>
          <w:tab w:leader="none" w:pos="312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notify each Selling Holder, at any time when a prospectus relating thereto is required to be delivered under the Securities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and, at the request of any Selling Holder, promptly prepare and furnish to such Selling Holder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w:t>
      </w:r>
    </w:p>
    <w:p>
      <w:pPr>
        <w:spacing w:after="0" w:line="221" w:lineRule="exact"/>
        <w:rPr>
          <w:rFonts w:ascii="Arial" w:cs="Arial" w:eastAsia="Arial" w:hAnsi="Arial"/>
          <w:sz w:val="16"/>
          <w:szCs w:val="16"/>
          <w:color w:val="auto"/>
        </w:rPr>
      </w:pPr>
    </w:p>
    <w:p>
      <w:pPr>
        <w:ind w:right="840" w:firstLine="2265"/>
        <w:spacing w:after="0" w:line="277" w:lineRule="auto"/>
        <w:tabs>
          <w:tab w:leader="none" w:pos="31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use every reasonable best effort to obtain the withdrawal of any order suspending the effectiveness of such registration statement;</w:t>
      </w:r>
    </w:p>
    <w:p>
      <w:pPr>
        <w:spacing w:after="0" w:line="224" w:lineRule="exact"/>
        <w:rPr>
          <w:rFonts w:ascii="Arial" w:cs="Arial" w:eastAsia="Arial" w:hAnsi="Arial"/>
          <w:sz w:val="18"/>
          <w:szCs w:val="18"/>
          <w:color w:val="auto"/>
        </w:rPr>
      </w:pPr>
    </w:p>
    <w:p>
      <w:pPr>
        <w:ind w:right="20" w:firstLine="2265"/>
        <w:spacing w:after="0" w:line="257" w:lineRule="auto"/>
        <w:tabs>
          <w:tab w:leader="none" w:pos="311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otherwise use commercially reasonable efforts to comply with all applicable rules and regulations of the Commission, and make available to Selling Holders, as promptly as practicable, an earnings statement covering the period of at least 12 months, but not more than 18 months, beginning with the first day of the Company’s first full quarter after the effective date of such registration statement, which earnings statement shall satisfy the provisions of Section 11(a) of the Securities Act and Rule 158 thereunder;</w:t>
      </w:r>
    </w:p>
    <w:p>
      <w:pPr>
        <w:spacing w:after="0" w:line="242" w:lineRule="exact"/>
        <w:rPr>
          <w:rFonts w:ascii="Arial" w:cs="Arial" w:eastAsia="Arial" w:hAnsi="Arial"/>
          <w:sz w:val="18"/>
          <w:szCs w:val="18"/>
          <w:color w:val="auto"/>
        </w:rPr>
      </w:pPr>
    </w:p>
    <w:p>
      <w:pPr>
        <w:ind w:firstLine="2265"/>
        <w:spacing w:after="0" w:line="264" w:lineRule="auto"/>
        <w:tabs>
          <w:tab w:leader="none" w:pos="31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use its reasonable best efforts to assist Shareholders who made a request to the Company to provide for a third party “market maker” for the Class A Shares; provided, however, that the Company shall not be required to serve as such “market maker”;</w:t>
      </w:r>
    </w:p>
    <w:p>
      <w:pPr>
        <w:spacing w:after="0" w:line="235" w:lineRule="exact"/>
        <w:rPr>
          <w:rFonts w:ascii="Arial" w:cs="Arial" w:eastAsia="Arial" w:hAnsi="Arial"/>
          <w:sz w:val="18"/>
          <w:szCs w:val="18"/>
          <w:color w:val="auto"/>
        </w:rPr>
      </w:pPr>
    </w:p>
    <w:p>
      <w:pPr>
        <w:ind w:right="80" w:firstLine="2265"/>
        <w:spacing w:after="0" w:line="255" w:lineRule="auto"/>
        <w:tabs>
          <w:tab w:leader="none" w:pos="315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cooperate with any Selling Holder and any underwriter and the managing underwriter to facilitate the timely preparation and delivery of certificates (which shall not bear any restrictive legends unless required under applicable law), if necessary or appropriate, representing securities sold under any registration statement, and enable such securities to be in such denominations and registered in such names as the managing underwriter or such Selling Holder may request and keep available and make available to the Company’s transfer agent prior to the effectiveness of such registration statement a supply of such certificates as necessary or appropriate;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80"/>
          </w:cols>
          <w:pgMar w:left="900" w:top="152" w:right="919" w:bottom="1440" w:gutter="0" w:footer="0" w:header="0"/>
        </w:sectPr>
      </w:pPr>
    </w:p>
    <w:bookmarkStart w:id="135" w:name="page136"/>
    <w:bookmarkEnd w:id="135"/>
    <w:p>
      <w:pPr>
        <w:ind w:left="660" w:right="780" w:firstLine="2265"/>
        <w:spacing w:after="0" w:line="257" w:lineRule="auto"/>
        <w:tabs>
          <w:tab w:leader="none" w:pos="376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have appropriate officers of the Company prepare and make presentations at any “road shows” and before analysts and rating agencies, as the case may be, and other information meetings organized by the underwriters, take other actions to obtain ratings for any Registrable Securities (if they are eligible to be rated) and otherwise use its reasonable best efforts to cooperate as reasonably requested by the Selling Holders and the underwriters in the offering, marketing or selling of the Registrable Securities;</w:t>
      </w:r>
    </w:p>
    <w:p>
      <w:pPr>
        <w:spacing w:after="0" w:line="242" w:lineRule="exact"/>
        <w:rPr>
          <w:rFonts w:ascii="Arial" w:cs="Arial" w:eastAsia="Arial" w:hAnsi="Arial"/>
          <w:sz w:val="18"/>
          <w:szCs w:val="18"/>
          <w:color w:val="auto"/>
        </w:rPr>
      </w:pPr>
    </w:p>
    <w:p>
      <w:pPr>
        <w:ind w:left="660" w:right="600" w:firstLine="2265"/>
        <w:spacing w:after="0" w:line="264" w:lineRule="auto"/>
        <w:tabs>
          <w:tab w:leader="none" w:pos="381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have appropriate officers of the Company, and cause representatives of the Company’s independent registered public accountants, to participate in any due diligence discussions reasonably requested by any Selling Holder or any underwriter;</w:t>
      </w:r>
    </w:p>
    <w:p>
      <w:pPr>
        <w:spacing w:after="0" w:line="235" w:lineRule="exact"/>
        <w:rPr>
          <w:rFonts w:ascii="Arial" w:cs="Arial" w:eastAsia="Arial" w:hAnsi="Arial"/>
          <w:sz w:val="18"/>
          <w:szCs w:val="18"/>
          <w:color w:val="auto"/>
        </w:rPr>
      </w:pPr>
    </w:p>
    <w:p>
      <w:pPr>
        <w:ind w:left="660" w:right="740" w:firstLine="2265"/>
        <w:spacing w:after="0" w:line="342" w:lineRule="auto"/>
        <w:tabs>
          <w:tab w:leader="none" w:pos="381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requested by any underwriter, agree, and cause the Company and any directors or officers of the Company to agree, to be bound by customary “lock-up” agreements restricting the ability to dispose of Company Securities;</w:t>
      </w:r>
    </w:p>
    <w:p>
      <w:pPr>
        <w:spacing w:after="0" w:line="177" w:lineRule="exact"/>
        <w:rPr>
          <w:rFonts w:ascii="Arial" w:cs="Arial" w:eastAsia="Arial" w:hAnsi="Arial"/>
          <w:sz w:val="16"/>
          <w:szCs w:val="16"/>
          <w:color w:val="auto"/>
        </w:rPr>
      </w:pPr>
    </w:p>
    <w:p>
      <w:pPr>
        <w:jc w:val="both"/>
        <w:ind w:left="660" w:right="700" w:firstLine="2265"/>
        <w:spacing w:after="0" w:line="312" w:lineRule="auto"/>
        <w:tabs>
          <w:tab w:leader="none" w:pos="381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requested by any Selling Holders or any underwriter, promptly incorporate in the registration statement or any prospectus, pursuant to a supplement or post-effective amendment if necessary, such information as such Selling Holders may reasonably request to have included therein, including information relating to the “Plan of Distribution” of the Registrable Securities;</w:t>
      </w:r>
    </w:p>
    <w:p>
      <w:pPr>
        <w:spacing w:after="0" w:line="200" w:lineRule="exact"/>
        <w:rPr>
          <w:rFonts w:ascii="Arial" w:cs="Arial" w:eastAsia="Arial" w:hAnsi="Arial"/>
          <w:sz w:val="16"/>
          <w:szCs w:val="16"/>
          <w:color w:val="auto"/>
        </w:rPr>
      </w:pPr>
    </w:p>
    <w:p>
      <w:pPr>
        <w:ind w:left="660" w:right="700" w:firstLine="2265"/>
        <w:spacing w:after="0" w:line="291" w:lineRule="auto"/>
        <w:tabs>
          <w:tab w:leader="none" w:pos="381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cooperate and assist in any filings required to be made with the FINRA and in the performance of any due diligence investigation by any underwriter that is required to be undertaken in accordance with the rules and regulations of the</w:t>
      </w:r>
    </w:p>
    <w:p>
      <w:pPr>
        <w:ind w:left="660"/>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264" w:lineRule="exact"/>
        <w:rPr>
          <w:rFonts w:ascii="Arial" w:cs="Arial" w:eastAsia="Arial" w:hAnsi="Arial"/>
          <w:sz w:val="16"/>
          <w:szCs w:val="16"/>
          <w:color w:val="auto"/>
        </w:rPr>
      </w:pPr>
    </w:p>
    <w:p>
      <w:pPr>
        <w:ind w:left="3820" w:hanging="895"/>
        <w:spacing w:after="0"/>
        <w:tabs>
          <w:tab w:leader="none" w:pos="3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otherwise use reasonable best efforts to cooperate as reasonably requested by the Selling</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Holders and the underwriters in the offering, marketing or selling of the Registrable Securities;</w:t>
      </w:r>
    </w:p>
    <w:p>
      <w:pPr>
        <w:spacing w:after="0" w:line="264" w:lineRule="exact"/>
        <w:rPr>
          <w:rFonts w:ascii="Arial" w:cs="Arial" w:eastAsia="Arial" w:hAnsi="Arial"/>
          <w:sz w:val="18"/>
          <w:szCs w:val="18"/>
          <w:color w:val="auto"/>
        </w:rPr>
      </w:pPr>
    </w:p>
    <w:p>
      <w:pPr>
        <w:ind w:left="3820" w:hanging="895"/>
        <w:spacing w:after="0"/>
        <w:tabs>
          <w:tab w:leader="none" w:pos="3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otherwise use commercially reasonable efforts to comply with all applicable rules and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regulations of the Commission and all reporting requirements under the rules and regulations of the Exchange Act; and</w:t>
      </w:r>
    </w:p>
    <w:p>
      <w:pPr>
        <w:spacing w:after="0" w:line="264" w:lineRule="exact"/>
        <w:rPr>
          <w:rFonts w:ascii="Arial" w:cs="Arial" w:eastAsia="Arial" w:hAnsi="Arial"/>
          <w:sz w:val="18"/>
          <w:szCs w:val="18"/>
          <w:color w:val="auto"/>
        </w:rPr>
      </w:pPr>
    </w:p>
    <w:p>
      <w:pPr>
        <w:ind w:left="660" w:right="800" w:firstLine="2265"/>
        <w:spacing w:after="0" w:line="264" w:lineRule="auto"/>
        <w:tabs>
          <w:tab w:leader="none" w:pos="386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use reasonable best efforts to take any action requested by the Selling Holders, including any action described in clauses (i) through (xxi) above to prepare for and facilitate any “over-night deal,” Block Trade Offering or other proposed sale of Registrable Securities over a limited timeframe.</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may require each Selling Holder and each underwriter, if any, to furnish the Company in writing such information regarding each Selling Holder or underwriter and the distribution of such Registrable Securities as the Company may from time to time reasonably request to complete or amend the information required by such registration statement.</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52" w:right="299" w:bottom="1440" w:gutter="0" w:footer="0" w:header="0"/>
        </w:sectPr>
      </w:pPr>
    </w:p>
    <w:bookmarkStart w:id="136" w:name="page137"/>
    <w:bookmarkEnd w:id="136"/>
    <w:p>
      <w:pPr>
        <w:ind w:left="-20" w:firstLine="1953"/>
        <w:spacing w:after="0" w:line="291" w:lineRule="auto"/>
        <w:tabs>
          <w:tab w:leader="none" w:pos="267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Without limiting any of the foregoing, in the event that the offering of Registrable Securities is to be made by or through an underwriter, the Company shall enter into an underwriting agreement with a managing underwriter or underwriters containing representations, warranties, indemnities and agreements customarily included (but not inconsistent with the covenants and agreements of the Company contained herein) by an issuer of common stock in underwriting agreements with respect to offerings of common stock for the account of, or on behalf of, such issuers. No Selling Holder shall be required to make any representations, warranties, indemnities or agreements with the Company or the underwriters other than the representations, warranties, indemnities and agreements regarding such Selling Holder, its ownership of the Registrable Securities being registered on its behalf, its intended method of distribution and any other representations, warranties, indemnities and agreements required by law.</w:t>
      </w:r>
    </w:p>
    <w:p>
      <w:pPr>
        <w:spacing w:after="0" w:line="221" w:lineRule="exact"/>
        <w:rPr>
          <w:rFonts w:ascii="Arial" w:cs="Arial" w:eastAsia="Arial" w:hAnsi="Arial"/>
          <w:sz w:val="16"/>
          <w:szCs w:val="16"/>
          <w:color w:val="auto"/>
        </w:rPr>
      </w:pPr>
    </w:p>
    <w:p>
      <w:pPr>
        <w:ind w:left="-20" w:right="20" w:firstLine="1953"/>
        <w:spacing w:after="0" w:line="257" w:lineRule="auto"/>
        <w:tabs>
          <w:tab w:leader="none" w:pos="26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connection with any offering of Registrable Securities registered pursuant to this Agreement, the Company shall furnish to the underwriter, if any (or, if no underwriter, the Selling Holder), unlegended certificates representing ownership of the Registrable Securities being sold (unless, in the Company’s sole discretion, such Registrable Securities are to be issued in uncertificated form pursuant to the customary arrangements for issuing shares in such form), in such denominations as requested and instruct any transfer agent and registrar of the Registrable Securities to release any stop transfer order with respect thereto.</w:t>
      </w:r>
    </w:p>
    <w:p>
      <w:pPr>
        <w:spacing w:after="0" w:line="242" w:lineRule="exact"/>
        <w:rPr>
          <w:rFonts w:ascii="Arial" w:cs="Arial" w:eastAsia="Arial" w:hAnsi="Arial"/>
          <w:sz w:val="18"/>
          <w:szCs w:val="18"/>
          <w:color w:val="auto"/>
        </w:rPr>
      </w:pPr>
    </w:p>
    <w:p>
      <w:pPr>
        <w:ind w:left="-20" w:right="80" w:firstLine="1953"/>
        <w:spacing w:after="0" w:line="270" w:lineRule="auto"/>
        <w:tabs>
          <w:tab w:leader="none" w:pos="267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Each Selling Holder agrees that upon receipt of any notice from the Company of the happening of any event of the kind described in Section 4.5(a)(ix), such Selling Holder shall forthwith discontinue such Selling Holder’s disposition of Registrable Securities pursuant to the applicable registration statement and prospectus relating thereto until such Selling Holder’s receipt of the copies of the supplemented or amended prospectus contemplated by Section 4.5(a)(ix) and, if so directed by the Company, deliver to the Company, at the Company’s expense, all copies, other than permanent file copies, then in such Selling Holder’s possession of the prospectus current at the time of receipt of such notice relating to such Registrable Securities. In the event the Company shall give such notice, any applicable 60 day period during which such registration statement must remain effective pursuant to this Agreement shall be extended by the number of days during the period from the date of giving of a notice regarding the happening of an event of the kind described in Section 4.5(a)(ix) to the date when all such Selling Holders shall receive such a supplemented or amended prospectus and such prospectus shall have been filed with the Commission.</w:t>
      </w:r>
    </w:p>
    <w:p>
      <w:pPr>
        <w:spacing w:after="0" w:line="20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Registration Expenses</w:t>
      </w:r>
      <w:r>
        <w:rPr>
          <w:rFonts w:ascii="Arial" w:cs="Arial" w:eastAsia="Arial" w:hAnsi="Arial"/>
          <w:sz w:val="19"/>
          <w:szCs w:val="19"/>
          <w:color w:val="auto"/>
        </w:rPr>
        <w:t>.</w:t>
      </w:r>
    </w:p>
    <w:p>
      <w:pPr>
        <w:spacing w:after="0" w:line="302" w:lineRule="exact"/>
        <w:rPr>
          <w:sz w:val="20"/>
          <w:szCs w:val="20"/>
          <w:color w:val="auto"/>
        </w:rPr>
      </w:pPr>
    </w:p>
    <w:p>
      <w:pPr>
        <w:ind w:left="-20" w:right="20" w:firstLine="1953"/>
        <w:spacing w:after="0" w:line="267" w:lineRule="auto"/>
        <w:tabs>
          <w:tab w:leader="none" w:pos="266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All expenses incident to the Company’s performance of, or compliance with, its obligations under this Agreement including (i)(A) all registration and filing fees, all fees and expenses of compliance with securities and “blue sky” laws, (B) all fees and expenses associated with filings required to be made with FINRA (including, if applicable, the fees and expenses of any “qualified independent underwriter” as such term is defined in FINRA Rule 5121(f)(12)), (C) all fees and expenses of compliance with securities and “blue sky” laws, (D) all printing (including expenses of printing certificates, if any, for the Registrable Securities in a form eligible for deposit with The Depository Trust Company and of printing prospectuses and Issuer Free Writing Prospectuses if the printing of such prospectuses is requested by a holder of Registrable Securities) and copying expenses, (E) all messenger and delivery expenses, (F) all fees and expenses of the Company’s independent certified public accountants and counsel (including with respect to “comfort” letters, “agreed-upon procedures” letters and opinions), (G) fees and expenses of one firm of counsel to the Shareholders selling in such registration (which firm shall be selected by the Shareholders selling in such registration that hold a majority of the Registrable Securities included in such registration), (H) except as provided in clause (ii) below, the fees and expenses (including underwriting discounts and commissions and transfer taxes) of every nationally recognized investment bank engaged in connection with a Demand Registration or a Piggyback Registration that is not an Underwritten Offering (collectively, the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and (ii) any expenses described in clauses (i)(A) through (H) above incurred in connection with the marketing and sale of Registrable Securities (“</w:t>
      </w:r>
      <w:r>
        <w:rPr>
          <w:rFonts w:ascii="Arial" w:cs="Arial" w:eastAsia="Arial" w:hAnsi="Arial"/>
          <w:sz w:val="17"/>
          <w:szCs w:val="17"/>
          <w:u w:val="single" w:color="auto"/>
          <w:color w:val="auto"/>
        </w:rPr>
        <w:t>Offering Expenses</w:t>
      </w:r>
      <w:r>
        <w:rPr>
          <w:rFonts w:ascii="Arial" w:cs="Arial" w:eastAsia="Arial" w:hAnsi="Arial"/>
          <w:sz w:val="17"/>
          <w:szCs w:val="17"/>
          <w:color w:val="auto"/>
        </w:rPr>
        <w:t>”) shall be borne by the Company, regardless of whether a registration is effected, marketing is commenced or sale is made. The Company will pay its internal expenses (including all salaries and expenses of its officers and employees performing legal or accounting duties, the expense of any annual audit and the expense of any liability insurance) and the expenses and fees for listing the securities to be registered on each securities exchange and included in each established over-the-counter market on which similar securities issued by the Company are then listed or traded.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137" w:name="page138"/>
    <w:bookmarkEnd w:id="137"/>
    <w:p>
      <w:pPr>
        <w:ind w:right="480" w:firstLine="1953"/>
        <w:spacing w:after="0" w:line="277" w:lineRule="auto"/>
        <w:tabs>
          <w:tab w:leader="none" w:pos="2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Selling Holder shall pay its portion of all underwriting discounts and commissions and transfer taxes, if any, relating to the sale of such Selling Holder’s Registrable Securities pursuant to any registration.</w:t>
      </w:r>
    </w:p>
    <w:p>
      <w:pPr>
        <w:spacing w:after="0" w:line="224" w:lineRule="exact"/>
        <w:rPr>
          <w:sz w:val="20"/>
          <w:szCs w:val="20"/>
          <w:color w:val="auto"/>
        </w:rPr>
      </w:pPr>
    </w:p>
    <w:p>
      <w:pPr>
        <w:jc w:val="both"/>
        <w:ind w:right="540" w:firstLine="1297"/>
        <w:spacing w:after="0" w:line="26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10b5-1 Plans</w:t>
      </w:r>
      <w:r>
        <w:rPr>
          <w:rFonts w:ascii="Arial" w:cs="Arial" w:eastAsia="Arial" w:hAnsi="Arial"/>
          <w:sz w:val="18"/>
          <w:szCs w:val="18"/>
          <w:color w:val="auto"/>
        </w:rPr>
        <w:t>. Subject to the expiration of any applicable lock-up periods, upon the request of any Shareholder to establish a written plan for trading Class A Shares in compliance with Rule 10b5-1(c) of the Exchange Act (a “</w:t>
      </w:r>
      <w:r>
        <w:rPr>
          <w:rFonts w:ascii="Arial" w:cs="Arial" w:eastAsia="Arial" w:hAnsi="Arial"/>
          <w:sz w:val="18"/>
          <w:szCs w:val="18"/>
          <w:u w:val="single" w:color="auto"/>
          <w:color w:val="auto"/>
        </w:rPr>
        <w:t>10b5-1 Plan</w:t>
      </w:r>
      <w:r>
        <w:rPr>
          <w:rFonts w:ascii="Arial" w:cs="Arial" w:eastAsia="Arial" w:hAnsi="Arial"/>
          <w:sz w:val="18"/>
          <w:szCs w:val="18"/>
          <w:color w:val="auto"/>
        </w:rPr>
        <w:t>”), the Company shall use commercially reasonable efforts to assist such Shareholder in establishing a 10b5-1 Plan.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ASSISTANCE IN THE SALE OF THE INITIAL SHAREHOLDER’S SHARES</w:t>
      </w:r>
    </w:p>
    <w:p>
      <w:pPr>
        <w:spacing w:after="0" w:line="249"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Share Sale</w:t>
      </w:r>
      <w:r>
        <w:rPr>
          <w:rFonts w:ascii="Arial" w:cs="Arial" w:eastAsia="Arial" w:hAnsi="Arial"/>
          <w:sz w:val="21"/>
          <w:szCs w:val="21"/>
          <w:color w:val="auto"/>
        </w:rPr>
        <w:t>. If any Shareholder seeks to sell its Class A Shares other than pursuant to a registration</w:t>
      </w:r>
      <w:r>
        <w:rPr>
          <w:rFonts w:ascii="Arial" w:cs="Arial" w:eastAsia="Arial" w:hAnsi="Arial"/>
          <w:sz w:val="18"/>
          <w:szCs w:val="18"/>
          <w:color w:val="auto"/>
        </w:rPr>
        <w:t xml:space="preserve"> </w:t>
      </w:r>
      <w:r>
        <w:rPr>
          <w:rFonts w:ascii="Arial" w:cs="Arial" w:eastAsia="Arial" w:hAnsi="Arial"/>
          <w:sz w:val="21"/>
          <w:szCs w:val="21"/>
          <w:color w:val="auto"/>
        </w:rPr>
        <w:t>statement (a “</w:t>
      </w:r>
      <w:r>
        <w:rPr>
          <w:rFonts w:ascii="Arial" w:cs="Arial" w:eastAsia="Arial" w:hAnsi="Arial"/>
          <w:sz w:val="18"/>
          <w:szCs w:val="18"/>
          <w:u w:val="single" w:color="auto"/>
          <w:color w:val="auto"/>
        </w:rPr>
        <w:t>Share Sale</w:t>
      </w:r>
      <w:r>
        <w:rPr>
          <w:rFonts w:ascii="Arial" w:cs="Arial" w:eastAsia="Arial" w:hAnsi="Arial"/>
          <w:sz w:val="21"/>
          <w:szCs w:val="21"/>
          <w:color w:val="auto"/>
        </w:rPr>
        <w:t>”), the Company shall cooperate with and provide all assistance reasonably requested by such Shareholder in connection with such Share Sale, including:</w:t>
      </w:r>
    </w:p>
    <w:p>
      <w:pPr>
        <w:spacing w:after="0" w:line="228" w:lineRule="exact"/>
        <w:rPr>
          <w:sz w:val="20"/>
          <w:szCs w:val="20"/>
          <w:color w:val="auto"/>
        </w:rPr>
      </w:pPr>
    </w:p>
    <w:p>
      <w:pPr>
        <w:ind w:right="540" w:firstLine="1953"/>
        <w:spacing w:after="0" w:line="277" w:lineRule="auto"/>
        <w:tabs>
          <w:tab w:leader="none" w:pos="26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hiring legal counsel, regulatory counsel, accountants and other advisors selected by the Company and reasonably acceptable to such Shareholder to act on behalf of the Company in connection with a Share Sale;</w:t>
      </w:r>
    </w:p>
    <w:p>
      <w:pPr>
        <w:spacing w:after="0" w:line="224" w:lineRule="exact"/>
        <w:rPr>
          <w:rFonts w:ascii="Arial" w:cs="Arial" w:eastAsia="Arial" w:hAnsi="Arial"/>
          <w:sz w:val="18"/>
          <w:szCs w:val="18"/>
          <w:color w:val="auto"/>
        </w:rPr>
      </w:pPr>
    </w:p>
    <w:p>
      <w:pPr>
        <w:ind w:left="2700" w:hanging="747"/>
        <w:spacing w:after="0"/>
        <w:tabs>
          <w:tab w:leader="none" w:pos="27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cooperating with any prospective purchaser, and any investment bank engaged by any prospective purchaser,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evaluation of the Share Sale;</w:t>
      </w:r>
    </w:p>
    <w:p>
      <w:pPr>
        <w:spacing w:after="0" w:line="264" w:lineRule="exact"/>
        <w:rPr>
          <w:rFonts w:ascii="Arial" w:cs="Arial" w:eastAsia="Arial" w:hAnsi="Arial"/>
          <w:sz w:val="16"/>
          <w:szCs w:val="16"/>
          <w:color w:val="auto"/>
        </w:rPr>
      </w:pPr>
    </w:p>
    <w:p>
      <w:pPr>
        <w:ind w:right="240" w:firstLine="1953"/>
        <w:spacing w:after="0" w:line="259" w:lineRule="auto"/>
        <w:tabs>
          <w:tab w:leader="none" w:pos="26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facilitating the due diligence process in respect of any Share Sale including (i) establishing and maintaining an online “data room,” (ii) providing access to the Company’s books and records and any other information and copies of documents reasonably requested by any prospective purchaser pursuant to customary confidentiality agreements and (iii) making members of senior management available to meet with any prospective purchaser as reasonably requested by such prospective purchaser;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138" w:name="page139"/>
    <w:bookmarkEnd w:id="138"/>
    <w:p>
      <w:pPr>
        <w:ind w:right="280" w:firstLine="1953"/>
        <w:spacing w:after="0" w:line="342" w:lineRule="auto"/>
        <w:tabs>
          <w:tab w:leader="none" w:pos="269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providing any financial statements, including financial statements audited or reviewed by the Company’s auditors, or other financial information reasonably requested by such Shareholder, any prospective purchaser or such prospective purchaser’s financing sources;</w:t>
      </w:r>
    </w:p>
    <w:p>
      <w:pPr>
        <w:spacing w:after="0" w:line="177" w:lineRule="exact"/>
        <w:rPr>
          <w:rFonts w:ascii="Arial" w:cs="Arial" w:eastAsia="Arial" w:hAnsi="Arial"/>
          <w:sz w:val="16"/>
          <w:szCs w:val="16"/>
          <w:color w:val="auto"/>
        </w:rPr>
      </w:pPr>
    </w:p>
    <w:p>
      <w:pPr>
        <w:ind w:right="240" w:firstLine="1953"/>
        <w:spacing w:after="0" w:line="257" w:lineRule="auto"/>
        <w:tabs>
          <w:tab w:leader="none" w:pos="26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following the decision by the Board to abandon the exploration of any sales process for the entire Company, (i) providing such Shareholder, upon request, with the names and contact information for each prospective purchaser in connection with such sale process and otherwise reasonably cooperating with such Shareholder to facilitate communications with any such prospective purchaser, and (ii) for the avoidance of doubt, providing any such prospective purchaser with all information the Company is otherwise required to provide pursuant to Section 5.1(c) and Section 5.1(d);</w:t>
      </w:r>
    </w:p>
    <w:p>
      <w:pPr>
        <w:spacing w:after="0" w:line="242" w:lineRule="exact"/>
        <w:rPr>
          <w:rFonts w:ascii="Arial" w:cs="Arial" w:eastAsia="Arial" w:hAnsi="Arial"/>
          <w:sz w:val="18"/>
          <w:szCs w:val="18"/>
          <w:color w:val="auto"/>
        </w:rPr>
      </w:pPr>
    </w:p>
    <w:p>
      <w:pPr>
        <w:ind w:right="940" w:firstLine="1953"/>
        <w:spacing w:after="0" w:line="277" w:lineRule="auto"/>
        <w:tabs>
          <w:tab w:leader="none" w:pos="26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providing customary representations, warranties, covenants, agreements, indemnities, holdbacks and escrow arrangements relating to the Share Sale, as applicable;</w:t>
      </w:r>
    </w:p>
    <w:p>
      <w:pPr>
        <w:spacing w:after="0" w:line="224" w:lineRule="exact"/>
        <w:rPr>
          <w:rFonts w:ascii="Arial" w:cs="Arial" w:eastAsia="Arial" w:hAnsi="Arial"/>
          <w:sz w:val="18"/>
          <w:szCs w:val="18"/>
          <w:color w:val="auto"/>
        </w:rPr>
      </w:pPr>
    </w:p>
    <w:p>
      <w:pPr>
        <w:ind w:left="2700" w:hanging="747"/>
        <w:spacing w:after="0"/>
        <w:tabs>
          <w:tab w:leader="none" w:pos="27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filing any required applications, reports, returns and other documents or instruments with any Governmental Entity;</w:t>
      </w:r>
    </w:p>
    <w:p>
      <w:pPr>
        <w:spacing w:after="0" w:line="290" w:lineRule="exact"/>
        <w:rPr>
          <w:rFonts w:ascii="Arial" w:cs="Arial" w:eastAsia="Arial" w:hAnsi="Arial"/>
          <w:sz w:val="17"/>
          <w:szCs w:val="17"/>
          <w:color w:val="auto"/>
        </w:rPr>
      </w:pPr>
    </w:p>
    <w:p>
      <w:pPr>
        <w:ind w:left="2700" w:hanging="747"/>
        <w:spacing w:after="0"/>
        <w:tabs>
          <w:tab w:leader="none" w:pos="27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executing, acknowledging and delivering any required certificates, agreements, consents, assignments, waivers and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documents or instruments; and</w:t>
      </w:r>
    </w:p>
    <w:p>
      <w:pPr>
        <w:spacing w:after="0" w:line="264" w:lineRule="exact"/>
        <w:rPr>
          <w:rFonts w:ascii="Arial" w:cs="Arial" w:eastAsia="Arial" w:hAnsi="Arial"/>
          <w:sz w:val="16"/>
          <w:szCs w:val="16"/>
          <w:color w:val="auto"/>
        </w:rPr>
      </w:pPr>
    </w:p>
    <w:p>
      <w:pPr>
        <w:ind w:left="2660" w:hanging="707"/>
        <w:spacing w:after="0"/>
        <w:tabs>
          <w:tab w:leader="none" w:pos="2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using reasonable best efforts to obtain any required third party consents.</w:t>
      </w:r>
    </w:p>
    <w:p>
      <w:pPr>
        <w:spacing w:after="0" w:line="245"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Further Assurances</w:t>
      </w:r>
      <w:r>
        <w:rPr>
          <w:rFonts w:ascii="Arial" w:cs="Arial" w:eastAsia="Arial" w:hAnsi="Arial"/>
          <w:sz w:val="21"/>
          <w:szCs w:val="21"/>
          <w:color w:val="auto"/>
        </w:rPr>
        <w:t>. The Company shall take or cause to be taken all such actions as may be reasonably</w:t>
      </w:r>
      <w:r>
        <w:rPr>
          <w:rFonts w:ascii="Arial" w:cs="Arial" w:eastAsia="Arial" w:hAnsi="Arial"/>
          <w:sz w:val="18"/>
          <w:szCs w:val="18"/>
          <w:color w:val="auto"/>
        </w:rPr>
        <w:t xml:space="preserve"> </w:t>
      </w:r>
      <w:r>
        <w:rPr>
          <w:rFonts w:ascii="Arial" w:cs="Arial" w:eastAsia="Arial" w:hAnsi="Arial"/>
          <w:sz w:val="21"/>
          <w:szCs w:val="21"/>
          <w:color w:val="auto"/>
        </w:rPr>
        <w:t>necessary or reasonably desirable in order to expeditiously consummate any Share Sale and any related transactions reasonably requested by any Shareholder.</w:t>
      </w:r>
    </w:p>
    <w:p>
      <w:pPr>
        <w:spacing w:after="0" w:line="194" w:lineRule="exact"/>
        <w:rPr>
          <w:sz w:val="20"/>
          <w:szCs w:val="20"/>
          <w:color w:val="auto"/>
        </w:rPr>
      </w:pPr>
    </w:p>
    <w:p>
      <w:pPr>
        <w:ind w:right="360" w:firstLine="1297"/>
        <w:spacing w:after="0" w:line="252"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Expenses</w:t>
      </w:r>
      <w:r>
        <w:rPr>
          <w:rFonts w:ascii="Arial" w:cs="Arial" w:eastAsia="Arial" w:hAnsi="Arial"/>
          <w:sz w:val="21"/>
          <w:szCs w:val="21"/>
          <w:color w:val="auto"/>
        </w:rPr>
        <w:t>. Whether or not a Share Sale is consummated, the Company shall pay for (a) all fees and</w:t>
      </w:r>
      <w:r>
        <w:rPr>
          <w:rFonts w:ascii="Arial" w:cs="Arial" w:eastAsia="Arial" w:hAnsi="Arial"/>
          <w:sz w:val="18"/>
          <w:szCs w:val="18"/>
          <w:color w:val="auto"/>
        </w:rPr>
        <w:t xml:space="preserve"> </w:t>
      </w:r>
      <w:r>
        <w:rPr>
          <w:rFonts w:ascii="Arial" w:cs="Arial" w:eastAsia="Arial" w:hAnsi="Arial"/>
          <w:sz w:val="21"/>
          <w:szCs w:val="21"/>
          <w:color w:val="auto"/>
        </w:rPr>
        <w:t>expenses incurred by the Company in connection with the pursuit of a Share Sale, including the fees and expenses of the Company’s legal advisors, regulatory counsel and accountants, and (b) all fees and expenses of counsel representing the Shareholder.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49" w:lineRule="exact"/>
        <w:rPr>
          <w:sz w:val="20"/>
          <w:szCs w:val="20"/>
          <w:color w:val="auto"/>
        </w:rPr>
      </w:pPr>
    </w:p>
    <w:p>
      <w:pPr>
        <w:ind w:right="20" w:firstLine="1297"/>
        <w:spacing w:after="0" w:line="257"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General Indemnification</w:t>
      </w:r>
      <w:r>
        <w:rPr>
          <w:rFonts w:ascii="Arial" w:cs="Arial" w:eastAsia="Arial" w:hAnsi="Arial"/>
          <w:sz w:val="20"/>
          <w:szCs w:val="20"/>
          <w:color w:val="auto"/>
        </w:rPr>
        <w:t>. The Company agrees to indemnify and hold harmless each Shareholder and</w:t>
      </w:r>
      <w:r>
        <w:rPr>
          <w:rFonts w:ascii="Arial" w:cs="Arial" w:eastAsia="Arial" w:hAnsi="Arial"/>
          <w:sz w:val="17"/>
          <w:szCs w:val="17"/>
          <w:color w:val="auto"/>
        </w:rPr>
        <w:t xml:space="preserve"> </w:t>
      </w:r>
      <w:r>
        <w:rPr>
          <w:rFonts w:ascii="Arial" w:cs="Arial" w:eastAsia="Arial" w:hAnsi="Arial"/>
          <w:sz w:val="20"/>
          <w:szCs w:val="20"/>
          <w:color w:val="auto"/>
        </w:rPr>
        <w:t>each of the officers, directors, employees, members, managers, partners and agents or Affiliates of each Shareholder against any and all losses, claims, damages, liabilities and expenses (including reasonable expenses of investigation and reasonable attorneys’ fees and expenses) (collectively, the “</w:t>
      </w:r>
      <w:r>
        <w:rPr>
          <w:rFonts w:ascii="Arial" w:cs="Arial" w:eastAsia="Arial" w:hAnsi="Arial"/>
          <w:sz w:val="17"/>
          <w:szCs w:val="17"/>
          <w:u w:val="single" w:color="auto"/>
          <w:color w:val="auto"/>
        </w:rPr>
        <w:t>Losses</w:t>
      </w:r>
      <w:r>
        <w:rPr>
          <w:rFonts w:ascii="Arial" w:cs="Arial" w:eastAsia="Arial" w:hAnsi="Arial"/>
          <w:sz w:val="20"/>
          <w:szCs w:val="20"/>
          <w:color w:val="auto"/>
        </w:rPr>
        <w:t>”), in each case, based on, arising out of, resulting from or in connection with any claim, action, cause of action, suit, proceeding or investigation, whether civil, criminal, administrative, investigative or other (collectively, “</w:t>
      </w:r>
      <w:r>
        <w:rPr>
          <w:rFonts w:ascii="Arial" w:cs="Arial" w:eastAsia="Arial" w:hAnsi="Arial"/>
          <w:sz w:val="17"/>
          <w:szCs w:val="17"/>
          <w:u w:val="single" w:color="auto"/>
          <w:color w:val="auto"/>
        </w:rPr>
        <w:t>Actions</w:t>
      </w:r>
      <w:r>
        <w:rPr>
          <w:rFonts w:ascii="Arial" w:cs="Arial" w:eastAsia="Arial" w:hAnsi="Arial"/>
          <w:sz w:val="20"/>
          <w:szCs w:val="20"/>
          <w:color w:val="auto"/>
        </w:rPr>
        <w:t>”), based on, arising out of, pertaining to or in connection with (i) the ownership or the operation of the assets or properties, and the operation or conduct of the business of, including contracts entered into by, the Company, whether before, on or after the date hereof (ii) any other activity that the Company or its Subsidiaries engages in and (iii) any untrue statement or alleged untrue statement of a material fact contained in any Filing or any omission or alleged omission to state therein a material fact required to be stated therein or necessary to make the statements therein not misleading, other than misstatements or omissions made in reliance on information relating to and furnished by any Shareholder in writing expressly for use in the preparation of such Filing. The indemnity agreement contained in this Section 6.1 shall be applicable whether or not any Action or the facts or transactions giving rise to such Action arose prior to, on or subsequent to the date of this Agreement.</w:t>
      </w:r>
    </w:p>
    <w:p>
      <w:pPr>
        <w:spacing w:after="0" w:line="20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Registration Statement Indemnification</w:t>
      </w:r>
      <w:r>
        <w:rPr>
          <w:rFonts w:ascii="Arial" w:cs="Arial" w:eastAsia="Arial" w:hAnsi="Arial"/>
          <w:sz w:val="19"/>
          <w:szCs w:val="19"/>
          <w:color w:val="auto"/>
        </w:rPr>
        <w:t>.</w:t>
      </w:r>
    </w:p>
    <w:p>
      <w:pPr>
        <w:spacing w:after="0" w:line="302" w:lineRule="exact"/>
        <w:rPr>
          <w:sz w:val="20"/>
          <w:szCs w:val="20"/>
          <w:color w:val="auto"/>
        </w:rPr>
      </w:pPr>
    </w:p>
    <w:p>
      <w:pPr>
        <w:ind w:firstLine="1953"/>
        <w:spacing w:after="0" w:line="269" w:lineRule="auto"/>
        <w:tabs>
          <w:tab w:leader="none" w:pos="257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to the fullest extent permitted by law, each Selling Holder, its officers, directors, employees, managers, members, partners and Affiliates, such Selling Holder or such other indemnified Person from and against all Losses caused by, resulting from or relating to any untrue statement (or alleged untrue statement) of a material fact contained in any registration statement, any Issuer Free Writing Prospectus, any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except insofar as the same are caused by any information furnished in writing to the Company by such Selling Holder expressly for use therein. In connection with an Underwritten Offering and without limiting any of the Company’s other obligations under this Agreement, the Company shall also indemnify such underwriters, their officers, directors, employees and agents and each Person who controls (within the meaning of Section 15 of the Securities Act and Section 20 of the Exchange Act) such underwriters or such other indemnified Person to the same extent as provided above with respect to the indemnification (and exceptions thereto) of the holders of Registrable Securities being sold. Reimbursements payable pursuant to the indemnification contemplated by this Section 6.2(a) will be made by periodic payments during the course of any investigation or defense, as and when bills are received or expenses incurred.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ind w:left="-8" w:firstLine="1953"/>
        <w:spacing w:after="0" w:line="283" w:lineRule="auto"/>
        <w:tabs>
          <w:tab w:leader="none" w:pos="2596"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 holder of Registrable Securities is participating, each such Selling Holder will furnish to the Company in writing information regarding such Selling Holder’s ownership of Registrable Securities and its intended method of distribution thereof and, to the extent permitted by law, shall, severally and not jointly, indemnify the Company, its directors, officers, employees and agents and each Person who controls (within the meaning of Section 15 of the Securities Act and Section 20 of the Exchange Act) the Company or such other indemnified Person against all Losses caused by any untrue statement of material fact contained in the registration statement, any Issuer Free Writing Prospectus, any prospectus or preliminary prospectus or any amendment thereof or supplement thereto or any omission of a material fact required to be stated therein or necessary to make the statements therein, in light of the circumstances under which they were made, not misleading, but only to the extent that such untrue statement or omission is caused by and contained in such information so furnished in writing by such Selling Holder expressly for use therein; provided, however, that each Selling Holder’s obligation to indemnify the Company hereunder shall, to the extent more than one Selling Holder is subject to the same indemnification obligation, be apportioned between each Selling Holder based upon the net amount received by each Selling Holder from the sale of Registrable Securities, as compared to the total net amount received by all of the Selling Holders of Registrable Securities sold pursuant to such registration statement. Notwithstanding the foregoing, no Selling Holder shall be liable to the Company for amounts in excess of the lesser of (i) such apportionment and</w:t>
      </w:r>
    </w:p>
    <w:p>
      <w:pPr>
        <w:spacing w:after="0" w:line="3" w:lineRule="exact"/>
        <w:rPr>
          <w:rFonts w:ascii="Arial" w:cs="Arial" w:eastAsia="Arial" w:hAnsi="Arial"/>
          <w:sz w:val="16"/>
          <w:szCs w:val="16"/>
          <w:color w:val="auto"/>
        </w:rPr>
      </w:pPr>
    </w:p>
    <w:p>
      <w:pPr>
        <w:ind w:left="272" w:hanging="272"/>
        <w:spacing w:after="0"/>
        <w:tabs>
          <w:tab w:leader="none" w:pos="27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net amount received by such holder in the offering giving rise to such liability.</w:t>
      </w:r>
    </w:p>
    <w:p>
      <w:pPr>
        <w:spacing w:after="0" w:line="231"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9"/>
          <w:szCs w:val="19"/>
          <w:color w:val="auto"/>
        </w:rPr>
        <w:t>.</w:t>
      </w:r>
    </w:p>
    <w:p>
      <w:pPr>
        <w:spacing w:after="0" w:line="302" w:lineRule="exact"/>
        <w:rPr>
          <w:sz w:val="20"/>
          <w:szCs w:val="20"/>
          <w:color w:val="auto"/>
        </w:rPr>
      </w:pPr>
    </w:p>
    <w:p>
      <w:pPr>
        <w:ind w:left="-8" w:right="40" w:firstLine="1305"/>
        <w:spacing w:after="0" w:line="270" w:lineRule="auto"/>
        <w:tabs>
          <w:tab w:leader="none" w:pos="202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determining the amount of contribution to which the respective Persons are entitled, there shall be considered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pro rata or per capita allocation. No Person guilty of fraudulent misrepresentation (within the meaning of Section 11(f) of the Securities Act) shall be entitled to contribution from any Person who was not found guilty of such fraudulent misrepresentation. Notwithstanding the foregoing, no Selling Holder or transferee thereof shall be required to make a contribution in excess of the net amount received by such holder from its sale of Registrable Securities in connection with the offering that gave rise to the contribution obligation.</w:t>
      </w:r>
    </w:p>
    <w:p>
      <w:pPr>
        <w:spacing w:after="0" w:line="198"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8"/>
          <w:szCs w:val="18"/>
          <w:color w:val="auto"/>
        </w:rPr>
        <w:t>.</w:t>
      </w:r>
    </w:p>
    <w:p>
      <w:pPr>
        <w:spacing w:after="0" w:line="313" w:lineRule="exact"/>
        <w:rPr>
          <w:sz w:val="20"/>
          <w:szCs w:val="20"/>
          <w:color w:val="auto"/>
        </w:rPr>
      </w:pPr>
    </w:p>
    <w:p>
      <w:pPr>
        <w:ind w:left="-8" w:right="20" w:firstLine="1953"/>
        <w:spacing w:after="0" w:line="286" w:lineRule="auto"/>
        <w:tabs>
          <w:tab w:leader="none" w:pos="26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Person entitled to indemnification hereunder shall give prompt written notice to the indemnifying party of any claim with respect to which it seeks indemnification; provided, however, the failure to give such notice shall not release the indemnifying party from its obligation, except to the extent that the indemnifying party has been materially prejudiced by such failure to provide such notice on a timely basis.</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41" w:name="page142"/>
    <w:bookmarkEnd w:id="141"/>
    <w:p>
      <w:pPr>
        <w:ind w:left="-20" w:right="40" w:firstLine="1953"/>
        <w:spacing w:after="0" w:line="269" w:lineRule="auto"/>
        <w:tabs>
          <w:tab w:leader="none" w:pos="267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any case in which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reasonably objects to such assumption on the grounds that there may be defenses available to it which are different from or in addition to the defenses available to such indemnifying party or (ii) the indemnifying party shall have failed within a reasonable period of time to assume such defense and the indemnified party is or is reasonably likely to be prejudiced by such delay, in either event the indemnified party shall be promptly reimbursed by the indemnifying party for the expenses incurred in connection with retaining separate legal counsel).The indemnifying party shall lose its right to defend, contest, litigate and settle a matter if it shall fail to diligently contest such matter (except to the extent settled in accordance with the next following sentence).</w:t>
      </w:r>
    </w:p>
    <w:p>
      <w:pPr>
        <w:spacing w:after="0" w:line="200"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Other Matters</w:t>
      </w:r>
      <w:r>
        <w:rPr>
          <w:rFonts w:ascii="Arial" w:cs="Arial" w:eastAsia="Arial" w:hAnsi="Arial"/>
          <w:sz w:val="19"/>
          <w:szCs w:val="19"/>
          <w:color w:val="auto"/>
        </w:rPr>
        <w:t>.</w:t>
      </w:r>
    </w:p>
    <w:p>
      <w:pPr>
        <w:spacing w:after="0" w:line="302" w:lineRule="exact"/>
        <w:rPr>
          <w:sz w:val="20"/>
          <w:szCs w:val="20"/>
          <w:color w:val="auto"/>
        </w:rPr>
      </w:pPr>
    </w:p>
    <w:p>
      <w:pPr>
        <w:ind w:left="-20" w:right="140" w:firstLine="1305"/>
        <w:spacing w:after="0" w:line="279" w:lineRule="auto"/>
        <w:tabs>
          <w:tab w:leader="none" w:pos="201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 indemnifying party shall not be liable for any settlement of an Action effected without its consent.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Action.</w:t>
      </w:r>
    </w:p>
    <w:p>
      <w:pPr>
        <w:spacing w:after="0" w:line="225" w:lineRule="exact"/>
        <w:rPr>
          <w:rFonts w:ascii="Arial" w:cs="Arial" w:eastAsia="Arial" w:hAnsi="Arial"/>
          <w:sz w:val="17"/>
          <w:szCs w:val="17"/>
          <w:color w:val="auto"/>
        </w:rPr>
      </w:pPr>
    </w:p>
    <w:p>
      <w:pPr>
        <w:jc w:val="both"/>
        <w:ind w:left="-20" w:firstLine="1305"/>
        <w:spacing w:after="0" w:line="259" w:lineRule="auto"/>
        <w:tabs>
          <w:tab w:leader="none" w:pos="202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Losses for which an indemnified party is entitled to indemnification or contribution under this Article VI shall be paid by the indemnifying party to the indemnified party as such Losses are incurred. The indemnity and contribution agreements contained in this Article VI shall remain operative and in full force and effect, regardless of (i) any investigation made by or on behalf of any Indemnitee, the Company, its directors or officers, or any person controlling the Company, and (ii) any termination of this Agreement.</w:t>
      </w:r>
    </w:p>
    <w:p>
      <w:pPr>
        <w:spacing w:after="0" w:line="240" w:lineRule="exact"/>
        <w:rPr>
          <w:rFonts w:ascii="Arial" w:cs="Arial" w:eastAsia="Arial" w:hAnsi="Arial"/>
          <w:sz w:val="18"/>
          <w:szCs w:val="18"/>
          <w:color w:val="auto"/>
        </w:rPr>
      </w:pPr>
    </w:p>
    <w:p>
      <w:pPr>
        <w:jc w:val="both"/>
        <w:ind w:left="-20" w:right="200" w:firstLine="1305"/>
        <w:spacing w:after="0" w:line="286" w:lineRule="auto"/>
        <w:tabs>
          <w:tab w:leader="none" w:pos="201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parties hereto shall, and shall cause their respective Subsidiaries to, cooperate with each other in a reasonable manner with respect to access to unprivileged information and similar matters in connection with any Action. The provisions of this Article VI are for the benefit of, and are intended to create third party beneficiary rights in favor of, each of the indemnified parties referred to herein.</w:t>
      </w:r>
    </w:p>
    <w:p>
      <w:pPr>
        <w:spacing w:after="0" w:line="219" w:lineRule="exact"/>
        <w:rPr>
          <w:rFonts w:ascii="Arial" w:cs="Arial" w:eastAsia="Arial" w:hAnsi="Arial"/>
          <w:sz w:val="17"/>
          <w:szCs w:val="17"/>
          <w:color w:val="auto"/>
        </w:rPr>
      </w:pPr>
    </w:p>
    <w:p>
      <w:pPr>
        <w:ind w:left="-20" w:right="120" w:firstLine="1305"/>
        <w:spacing w:after="0" w:line="271" w:lineRule="auto"/>
        <w:tabs>
          <w:tab w:leader="none" w:pos="202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Not less than three days before the expected filing date of each registration statement pursuant to this Agreement, the Company shall notify each Shareholder who has timely provided the requisite notice hereunder entitling the Shareholder to register Registrable Securities in such registration statement of the information, documents and instruments from such Shareholder that the Company or any underwriter reasonably requests in connection with such registration statement, including, but not limited to a questionnaire, custody agreement, power of attorney, lock-up letter and underwriting agreement (the “</w:t>
      </w:r>
      <w:r>
        <w:rPr>
          <w:rFonts w:ascii="Arial" w:cs="Arial" w:eastAsia="Arial" w:hAnsi="Arial"/>
          <w:sz w:val="17"/>
          <w:szCs w:val="17"/>
          <w:u w:val="single" w:color="auto"/>
          <w:color w:val="auto"/>
        </w:rPr>
        <w:t>Requested Information</w:t>
      </w:r>
      <w:r>
        <w:rPr>
          <w:rFonts w:ascii="Arial" w:cs="Arial" w:eastAsia="Arial" w:hAnsi="Arial"/>
          <w:sz w:val="17"/>
          <w:szCs w:val="17"/>
          <w:color w:val="auto"/>
        </w:rPr>
        <w:t>”). If the Company has not received, on or before the day before the expected filing date, the Requested Information from such Shareholder, the Company may file the Registration Statement without including Registrable Securities of such Shareholder. The failure to so include in any registration statement the Registrable Securities of a Shareholder (with regard to that registration statement) shall not in and of itself result in any liability on the part of the Company to such Shareholder.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142" w:name="page143"/>
    <w:bookmarkEnd w:id="142"/>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49" w:lineRule="exact"/>
        <w:rPr>
          <w:sz w:val="20"/>
          <w:szCs w:val="20"/>
          <w:color w:val="auto"/>
        </w:rPr>
      </w:pPr>
    </w:p>
    <w:p>
      <w:pPr>
        <w:ind w:right="20" w:firstLine="1297"/>
        <w:spacing w:after="0" w:line="27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Headings</w:t>
      </w:r>
      <w:r>
        <w:rPr>
          <w:rFonts w:ascii="Arial" w:cs="Arial" w:eastAsia="Arial" w:hAnsi="Arial"/>
          <w:sz w:val="21"/>
          <w:szCs w:val="21"/>
          <w:color w:val="auto"/>
        </w:rPr>
        <w:t>. The headings in this Agreement are for convenience of reference only and shall not control</w:t>
      </w:r>
      <w:r>
        <w:rPr>
          <w:rFonts w:ascii="Arial" w:cs="Arial" w:eastAsia="Arial" w:hAnsi="Arial"/>
          <w:sz w:val="18"/>
          <w:szCs w:val="18"/>
          <w:color w:val="auto"/>
        </w:rPr>
        <w:t xml:space="preserve"> </w:t>
      </w:r>
      <w:r>
        <w:rPr>
          <w:rFonts w:ascii="Arial" w:cs="Arial" w:eastAsia="Arial" w:hAnsi="Arial"/>
          <w:sz w:val="21"/>
          <w:szCs w:val="21"/>
          <w:color w:val="auto"/>
        </w:rPr>
        <w:t>or effect the meaning or construction of any provisions hereof.</w:t>
      </w:r>
    </w:p>
    <w:p>
      <w:pPr>
        <w:spacing w:after="0" w:line="212"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of the parties hereto in respect of the subject matter contained herein, and there are no restrictions, promises, representations, warranties, covenants, conditions or undertakings with respect to the subject matter hereof, other than those expressly set forth or referred to herein. This Agreement supersedes all prior agreements and understandings between the parties hereto with respect to the subject matter hereof.</w:t>
      </w:r>
    </w:p>
    <w:p>
      <w:pPr>
        <w:spacing w:after="0" w:line="207" w:lineRule="exact"/>
        <w:rPr>
          <w:sz w:val="20"/>
          <w:szCs w:val="20"/>
          <w:color w:val="auto"/>
        </w:rPr>
      </w:pPr>
    </w:p>
    <w:p>
      <w:pPr>
        <w:ind w:right="20" w:firstLine="1297"/>
        <w:spacing w:after="0" w:line="246"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Further Actions; Cooperation</w:t>
      </w:r>
      <w:r>
        <w:rPr>
          <w:rFonts w:ascii="Arial" w:cs="Arial" w:eastAsia="Arial" w:hAnsi="Arial"/>
          <w:sz w:val="21"/>
          <w:szCs w:val="21"/>
          <w:color w:val="auto"/>
        </w:rPr>
        <w:t>. Each of the Shareholders agrees to use its reasonable efforts to take, or</w:t>
      </w:r>
      <w:r>
        <w:rPr>
          <w:rFonts w:ascii="Arial" w:cs="Arial" w:eastAsia="Arial" w:hAnsi="Arial"/>
          <w:sz w:val="18"/>
          <w:szCs w:val="18"/>
          <w:color w:val="auto"/>
        </w:rPr>
        <w:t xml:space="preserve"> </w:t>
      </w:r>
      <w:r>
        <w:rPr>
          <w:rFonts w:ascii="Arial" w:cs="Arial" w:eastAsia="Arial" w:hAnsi="Arial"/>
          <w:sz w:val="21"/>
          <w:szCs w:val="21"/>
          <w:color w:val="auto"/>
        </w:rPr>
        <w:t>cause to be taken, all actions and to do, or cause to be done, and to assist and cooperate with the other parties in doing, all things necessary, proper or advisable to give effect to the transactions contemplated by this Agreement. Without limiting the generality of the foregoing, each of the Shareholders (i) acknowledges that such Shareholder will, if required, prepare and file with the Commission filings under the Exchange Act, including under Section 13(d) of the Exchange Act, relating to its Beneficial Ownership of the Shares and (ii) agrees to use its reasonable efforts to assist and cooperate with the other parties in promptly preparing, reviewing and executing any such filings required to be made under the Exchange Act, including any amendments thereto.</w:t>
      </w:r>
    </w:p>
    <w:p>
      <w:pPr>
        <w:spacing w:after="0" w:line="208" w:lineRule="exact"/>
        <w:rPr>
          <w:sz w:val="20"/>
          <w:szCs w:val="20"/>
          <w:color w:val="auto"/>
        </w:rPr>
      </w:pPr>
    </w:p>
    <w:p>
      <w:pPr>
        <w:ind w:firstLine="1297"/>
        <w:spacing w:after="0" w:line="24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Notices</w:t>
      </w:r>
      <w:r>
        <w:rPr>
          <w:rFonts w:ascii="Arial" w:cs="Arial" w:eastAsia="Arial" w:hAnsi="Arial"/>
          <w:sz w:val="21"/>
          <w:szCs w:val="21"/>
          <w:color w:val="auto"/>
        </w:rPr>
        <w:t>. All notices, requests, consents and other communications hereunder to any party shall be</w:t>
      </w:r>
      <w:r>
        <w:rPr>
          <w:rFonts w:ascii="Arial" w:cs="Arial" w:eastAsia="Arial" w:hAnsi="Arial"/>
          <w:sz w:val="18"/>
          <w:szCs w:val="18"/>
          <w:color w:val="auto"/>
        </w:rPr>
        <w:t xml:space="preserve"> </w:t>
      </w:r>
      <w:r>
        <w:rPr>
          <w:rFonts w:ascii="Arial" w:cs="Arial" w:eastAsia="Arial" w:hAnsi="Arial"/>
          <w:sz w:val="21"/>
          <w:szCs w:val="21"/>
          <w:color w:val="auto"/>
        </w:rPr>
        <w:t>deemed to be sufficient if contained in a written instrument delivered in person or sent by facsimile, nationally recognized overnight courier or first class registered or certified mail, return receipt requested, postage prepaid, addressed to such party at the address set forth below or such other address as may hereafter be designated on the signature pages of this Agreement or in writing by such party to the other parties: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Initial Shareholder,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Fortress Energy Holdings LLC</w:t>
      </w:r>
    </w:p>
    <w:p>
      <w:pPr>
        <w:ind w:left="196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cmacdougall@fortress.com</w:t>
      </w:r>
    </w:p>
    <w:p>
      <w:pPr>
        <w:spacing w:after="0" w:line="9"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Cameron D. MacDougall</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1001 Fannin, Suite 2500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doelman@velaw.com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rlayne@velaw.com</w:t>
      </w:r>
    </w:p>
    <w:p>
      <w:pPr>
        <w:sectPr>
          <w:pgSz w:w="11900" w:h="16838" w:orient="portrait"/>
          <w:cols w:equalWidth="0" w:num="1">
            <w:col w:w="11340"/>
          </w:cols>
          <w:pgMar w:left="240" w:top="121" w:right="319" w:bottom="1440" w:gutter="0" w:footer="0" w:header="0"/>
        </w:sectPr>
      </w:pPr>
    </w:p>
    <w:p>
      <w:pPr>
        <w:spacing w:after="0" w:line="2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Attn: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David Palmer Oelman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 Ramey Layne</w:t>
      </w:r>
    </w:p>
    <w:p>
      <w:pPr>
        <w:spacing w:after="0" w:line="200" w:lineRule="exact"/>
        <w:rPr>
          <w:sz w:val="20"/>
          <w:szCs w:val="20"/>
          <w:color w:val="auto"/>
        </w:rPr>
      </w:pPr>
    </w:p>
    <w:p>
      <w:pPr>
        <w:sectPr>
          <w:pgSz w:w="11900" w:h="16838" w:orient="portrait"/>
          <w:cols w:equalWidth="0" w:num="2">
            <w:col w:w="2320" w:space="280"/>
            <w:col w:w="8740"/>
          </w:cols>
          <w:pgMar w:left="240" w:top="121" w:right="319" w:bottom="1440" w:gutter="0" w:footer="0" w:header="0"/>
          <w:type w:val="continuous"/>
        </w:sect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143" w:name="page144"/>
    <w:bookmarkEnd w:id="143"/>
    <w:p>
      <w:pPr>
        <w:ind w:left="1300"/>
        <w:spacing w:after="0"/>
        <w:rPr>
          <w:sz w:val="20"/>
          <w:szCs w:val="20"/>
          <w:color w:val="auto"/>
        </w:rPr>
      </w:pPr>
      <w:r>
        <w:rPr>
          <w:rFonts w:ascii="Arial" w:cs="Arial" w:eastAsia="Arial" w:hAnsi="Arial"/>
          <w:sz w:val="18"/>
          <w:szCs w:val="18"/>
          <w:color w:val="auto"/>
        </w:rPr>
        <w:t>If to Wesley R. Edens,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New Fortress Energy Holdings LLC</w:t>
      </w:r>
    </w:p>
    <w:p>
      <w:pPr>
        <w:ind w:left="196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960"/>
        <w:spacing w:after="0"/>
        <w:tabs>
          <w:tab w:leader="none" w:pos="2560" w:val="left"/>
        </w:tabs>
        <w:rPr>
          <w:sz w:val="20"/>
          <w:szCs w:val="20"/>
          <w:color w:val="auto"/>
        </w:rPr>
      </w:pPr>
      <w:r>
        <w:rPr>
          <w:rFonts w:ascii="Arial" w:cs="Arial" w:eastAsia="Arial" w:hAnsi="Arial"/>
          <w:sz w:val="18"/>
          <w:szCs w:val="18"/>
          <w:color w:val="auto"/>
        </w:rPr>
        <w:t>Attn:</w:t>
        <w:tab/>
        <w:t>Wesley R. Edens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Randal A. Nardone,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New Fortress Energy Holdings LLC</w:t>
      </w:r>
    </w:p>
    <w:p>
      <w:pPr>
        <w:ind w:left="196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Attn:</w:t>
        <w:tab/>
        <w:t>Randal A. Nardone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Fortress Energy LLC</w:t>
      </w:r>
    </w:p>
    <w:p>
      <w:pPr>
        <w:ind w:left="196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Email:</w:t>
        <w:tab/>
        <w:t>cmacdougall@fortress.com</w:t>
      </w:r>
    </w:p>
    <w:p>
      <w:pPr>
        <w:spacing w:after="0" w:line="9"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Attn:</w:t>
        <w:tab/>
        <w:t>Cameron D. MacDougall</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a Shareholder that is not listed above, then to the address set forth in the written agreement of such Shareholder provided for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 hereof.</w:t>
      </w:r>
    </w:p>
    <w:p>
      <w:pPr>
        <w:spacing w:after="0" w:line="238"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All such notices, requests, consents and other communications shall be deemed to have been given or made if and when received (including by overnight courier) by the parties at the above addresses or sent by email, facsimile, with confirmation received, to the email addresses or facsimile numbers specified above (or at such other address or facsimile number for a party as shall be specified by like notice). Any notice delivered by any party hereto to any other party hereto shall also be delivered to each other party hereto simultaneously with delivery to the first party receiving such notice.</w:t>
      </w:r>
    </w:p>
    <w:p>
      <w:pPr>
        <w:spacing w:after="0" w:line="174" w:lineRule="exact"/>
        <w:rPr>
          <w:sz w:val="20"/>
          <w:szCs w:val="20"/>
          <w:color w:val="auto"/>
        </w:rPr>
      </w:pPr>
    </w:p>
    <w:p>
      <w:pPr>
        <w:ind w:right="40" w:firstLine="1297"/>
        <w:spacing w:after="0" w:line="274"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Applicable Law</w:t>
      </w:r>
      <w:r>
        <w:rPr>
          <w:rFonts w:ascii="Arial" w:cs="Arial" w:eastAsia="Arial" w:hAnsi="Arial"/>
          <w:sz w:val="21"/>
          <w:szCs w:val="21"/>
          <w:color w:val="auto"/>
        </w:rPr>
        <w:t>. The substantive laws of the State of New York shall govern the interpretation, validity</w:t>
      </w:r>
      <w:r>
        <w:rPr>
          <w:rFonts w:ascii="Arial" w:cs="Arial" w:eastAsia="Arial" w:hAnsi="Arial"/>
          <w:sz w:val="18"/>
          <w:szCs w:val="18"/>
          <w:color w:val="auto"/>
        </w:rPr>
        <w:t xml:space="preserve"> </w:t>
      </w:r>
      <w:r>
        <w:rPr>
          <w:rFonts w:ascii="Arial" w:cs="Arial" w:eastAsia="Arial" w:hAnsi="Arial"/>
          <w:sz w:val="21"/>
          <w:szCs w:val="21"/>
          <w:color w:val="auto"/>
        </w:rPr>
        <w:t>and performance of the terms of this Agreement, without regard to conflicts of law doctrines.</w:t>
      </w:r>
    </w:p>
    <w:p>
      <w:pPr>
        <w:spacing w:after="0" w:line="178" w:lineRule="exact"/>
        <w:rPr>
          <w:sz w:val="20"/>
          <w:szCs w:val="20"/>
          <w:color w:val="auto"/>
        </w:rPr>
      </w:pPr>
    </w:p>
    <w:p>
      <w:pPr>
        <w:ind w:firstLine="1297"/>
        <w:spacing w:after="0" w:line="24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Severability</w:t>
      </w:r>
      <w:r>
        <w:rPr>
          <w:rFonts w:ascii="Arial" w:cs="Arial" w:eastAsia="Arial" w:hAnsi="Arial"/>
          <w:sz w:val="21"/>
          <w:szCs w:val="21"/>
          <w:color w:val="auto"/>
        </w:rPr>
        <w:t>. The provisions of this Agreement are independent of and separable from each other. The</w:t>
      </w:r>
      <w:r>
        <w:rPr>
          <w:rFonts w:ascii="Arial" w:cs="Arial" w:eastAsia="Arial" w:hAnsi="Arial"/>
          <w:sz w:val="18"/>
          <w:szCs w:val="18"/>
          <w:color w:val="auto"/>
        </w:rPr>
        <w:t xml:space="preserve"> </w:t>
      </w:r>
      <w:r>
        <w:rPr>
          <w:rFonts w:ascii="Arial" w:cs="Arial" w:eastAsia="Arial" w:hAnsi="Arial"/>
          <w:sz w:val="21"/>
          <w:szCs w:val="21"/>
          <w:color w:val="auto"/>
        </w:rPr>
        <w:t>invalidity, illegality or unenforceability of one or more of the provisions of this Agreement in any jurisdiction shall not affect the validity, legality or enforceability of the remainder of this Agreement, including any such provisions, in any other jurisdiction, it being intended that all rights and obligations of the parties hereunder shall be enforceable to the fullest extent permitted by law. The parties hereto shall endeavor in good faith negotiations to replace any invalid, illegal or unenforceable provisions with valid provisions the economic effect of which comes as close as possible to that of the invalid, illegal or unenforceable provision, as applicable.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4" w:name="page145"/>
    <w:bookmarkEnd w:id="144"/>
    <w:p>
      <w:pPr>
        <w:ind w:right="80" w:firstLine="1297"/>
        <w:spacing w:after="0" w:line="257"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Successors and Assigns</w:t>
      </w:r>
      <w:r>
        <w:rPr>
          <w:rFonts w:ascii="Arial" w:cs="Arial" w:eastAsia="Arial" w:hAnsi="Arial"/>
          <w:sz w:val="20"/>
          <w:szCs w:val="20"/>
          <w:color w:val="auto"/>
        </w:rPr>
        <w:t>. Except as otherwise provided herein, all the terms and provisions of this</w:t>
      </w:r>
      <w:r>
        <w:rPr>
          <w:rFonts w:ascii="Arial" w:cs="Arial" w:eastAsia="Arial" w:hAnsi="Arial"/>
          <w:sz w:val="17"/>
          <w:szCs w:val="17"/>
          <w:color w:val="auto"/>
        </w:rPr>
        <w:t xml:space="preserve"> </w:t>
      </w:r>
      <w:r>
        <w:rPr>
          <w:rFonts w:ascii="Arial" w:cs="Arial" w:eastAsia="Arial" w:hAnsi="Arial"/>
          <w:sz w:val="20"/>
          <w:szCs w:val="20"/>
          <w:color w:val="auto"/>
        </w:rPr>
        <w:t>Agreement shall be binding upon, shall inure to the benefit of and shall be enforceable by the respective successors and permitted assigns of the parties hereto. No Shareholder may assign any of its rights hereunder to any Person other than a Permitted Transferee. Each Permitted Transferee of any Shareholder shall be subject to all of the terms of this Agreement, and by taking and holding such shares such Person shall be entitled to receive the benefits of and be conclusively deemed to have agreed to be bound by and to comply with all of the terms and provisions of this Agreement; provided, however, no transfer of rights permitted hereunder shall be binding upon or obligate the Company unless and until (i) if required under Section 2.1 hereof, the Company shall have received written notice of such transfer and the joinder of the transferee provided for in Section 2.1 hereof, and (ii) such transferee can establish Beneficial Ownership or ownership of record of a Registrable Amount (whether individually or together with its Affiliates that are Shareholders or transferees of Shareholders and, if applicable, its other Permitted Transferees that are Shareholders or transferees of Shareholders). The Company may not assign any of its rights or obligations hereunder without the prior written consent of each of the Shareholders, and any assignment attempted or effected without obtaining such required consent shall be null and void. Notwithstanding the foregoing, no successor or assignee of the Company shall have any rights granted under this Agreement until such Person shall acknowledge its rights and obligations hereunder by a signed written statement of such Person’s acceptance of such rights and obligations.</w:t>
      </w:r>
    </w:p>
    <w:p>
      <w:pPr>
        <w:spacing w:after="0" w:line="196" w:lineRule="exact"/>
        <w:rPr>
          <w:sz w:val="20"/>
          <w:szCs w:val="20"/>
          <w:color w:val="auto"/>
        </w:rPr>
      </w:pPr>
    </w:p>
    <w:p>
      <w:pPr>
        <w:ind w:right="980" w:firstLine="1297"/>
        <w:spacing w:after="0" w:line="300"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Amendments</w:t>
      </w:r>
      <w:r>
        <w:rPr>
          <w:rFonts w:ascii="Arial" w:cs="Arial" w:eastAsia="Arial" w:hAnsi="Arial"/>
          <w:sz w:val="20"/>
          <w:szCs w:val="20"/>
          <w:color w:val="auto"/>
        </w:rPr>
        <w:t>. This Agreement may not be amended, modified or supplemented unless such</w:t>
      </w:r>
      <w:r>
        <w:rPr>
          <w:rFonts w:ascii="Arial" w:cs="Arial" w:eastAsia="Arial" w:hAnsi="Arial"/>
          <w:sz w:val="17"/>
          <w:szCs w:val="17"/>
          <w:color w:val="auto"/>
        </w:rPr>
        <w:t xml:space="preserve"> </w:t>
      </w:r>
      <w:r>
        <w:rPr>
          <w:rFonts w:ascii="Arial" w:cs="Arial" w:eastAsia="Arial" w:hAnsi="Arial"/>
          <w:sz w:val="20"/>
          <w:szCs w:val="20"/>
          <w:color w:val="auto"/>
        </w:rPr>
        <w:t>amendment, modification or supplement is in writing and signed by each of the Shareholders and the Company.</w:t>
      </w:r>
    </w:p>
    <w:p>
      <w:pPr>
        <w:spacing w:after="0" w:line="154" w:lineRule="exact"/>
        <w:rPr>
          <w:sz w:val="20"/>
          <w:szCs w:val="20"/>
          <w:color w:val="auto"/>
        </w:rPr>
      </w:pPr>
    </w:p>
    <w:p>
      <w:pPr>
        <w:ind w:firstLine="1297"/>
        <w:spacing w:after="0" w:line="248"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Waiver</w:t>
      </w:r>
      <w:r>
        <w:rPr>
          <w:rFonts w:ascii="Arial" w:cs="Arial" w:eastAsia="Arial" w:hAnsi="Arial"/>
          <w:sz w:val="21"/>
          <w:szCs w:val="21"/>
          <w:color w:val="auto"/>
        </w:rPr>
        <w:t>. The failure of a party hereto at any time or times to require performance of any provision</w:t>
      </w:r>
      <w:r>
        <w:rPr>
          <w:rFonts w:ascii="Arial" w:cs="Arial" w:eastAsia="Arial" w:hAnsi="Arial"/>
          <w:sz w:val="18"/>
          <w:szCs w:val="18"/>
          <w:color w:val="auto"/>
        </w:rPr>
        <w:t xml:space="preserve"> </w:t>
      </w:r>
      <w:r>
        <w:rPr>
          <w:rFonts w:ascii="Arial" w:cs="Arial" w:eastAsia="Arial" w:hAnsi="Arial"/>
          <w:sz w:val="21"/>
          <w:szCs w:val="21"/>
          <w:color w:val="auto"/>
        </w:rPr>
        <w:t>hereof shall in no manner affect its right at a later time to enforce the same. No waiver by a party of any condition or of any breach of any term, covenant, representation or warranty contained in this Agreement shall be effective unless in a writing signed by the party against whom the waiver is to be effective, and no waiver in any one or more instances shall be deemed to be a further or continuing waiver of any such condition or breach in other instances or a waiver of any other condition or breach of any other term, covenant, representation or warranty.</w:t>
      </w:r>
    </w:p>
    <w:p>
      <w:pPr>
        <w:spacing w:after="0" w:line="204" w:lineRule="exact"/>
        <w:rPr>
          <w:sz w:val="20"/>
          <w:szCs w:val="20"/>
          <w:color w:val="auto"/>
        </w:rPr>
      </w:pPr>
    </w:p>
    <w:p>
      <w:pPr>
        <w:ind w:right="200" w:firstLine="1297"/>
        <w:spacing w:after="0" w:line="27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Counterparts</w:t>
      </w:r>
      <w:r>
        <w:rPr>
          <w:rFonts w:ascii="Arial" w:cs="Arial" w:eastAsia="Arial" w:hAnsi="Arial"/>
          <w:sz w:val="21"/>
          <w:szCs w:val="21"/>
          <w:color w:val="auto"/>
        </w:rPr>
        <w:t>. This Agreement may be executed in two or more counterparts, each of which shall be</w:t>
      </w:r>
      <w:r>
        <w:rPr>
          <w:rFonts w:ascii="Arial" w:cs="Arial" w:eastAsia="Arial" w:hAnsi="Arial"/>
          <w:sz w:val="18"/>
          <w:szCs w:val="18"/>
          <w:color w:val="auto"/>
        </w:rPr>
        <w:t xml:space="preserve"> </w:t>
      </w:r>
      <w:r>
        <w:rPr>
          <w:rFonts w:ascii="Arial" w:cs="Arial" w:eastAsia="Arial" w:hAnsi="Arial"/>
          <w:sz w:val="21"/>
          <w:szCs w:val="21"/>
          <w:color w:val="auto"/>
        </w:rPr>
        <w:t>deemed an original but all of which shall constitute one and the same Agreement.</w:t>
      </w:r>
    </w:p>
    <w:p>
      <w:pPr>
        <w:spacing w:after="0" w:line="178" w:lineRule="exact"/>
        <w:rPr>
          <w:sz w:val="20"/>
          <w:szCs w:val="20"/>
          <w:color w:val="auto"/>
        </w:rPr>
      </w:pPr>
    </w:p>
    <w:p>
      <w:pPr>
        <w:ind w:firstLine="1297"/>
        <w:spacing w:after="0" w:line="256"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Submission To Jurisdiction</w:t>
      </w:r>
      <w:r>
        <w:rPr>
          <w:rFonts w:ascii="Arial" w:cs="Arial" w:eastAsia="Arial" w:hAnsi="Arial"/>
          <w:sz w:val="20"/>
          <w:szCs w:val="20"/>
          <w:color w:val="auto"/>
        </w:rPr>
        <w:t>. ANY LEGAL ACTION OR PROCEEDING WITH RESPECT TO THIS</w:t>
      </w:r>
      <w:r>
        <w:rPr>
          <w:rFonts w:ascii="Arial" w:cs="Arial" w:eastAsia="Arial" w:hAnsi="Arial"/>
          <w:sz w:val="17"/>
          <w:szCs w:val="17"/>
          <w:color w:val="auto"/>
        </w:rPr>
        <w:t xml:space="preserve"> </w:t>
      </w:r>
      <w:r>
        <w:rPr>
          <w:rFonts w:ascii="Arial" w:cs="Arial" w:eastAsia="Arial" w:hAnsi="Arial"/>
          <w:sz w:val="20"/>
          <w:szCs w:val="20"/>
          <w:color w:val="auto"/>
        </w:rPr>
        <w:t>AGREEMENT AND ANY ACTION FOR ENFORCEMENT OF ANY JUDGMENT IN RESPECT THEREOF MAY BE BROUGHT IN THE COURTS OF THE STATE OF NEW YORK LOCATED IN THE BOROUGH OF MANHATTAN OR OF THE UNITED STATES OF AMERICA FOR THE SOUTHERN DISTRICT OF NEW YORK AND, BY EXECUTION AND DELIVERY OF THIS AGREEMENT, EACH PARTY HERETO HEREBY ACCEPTS FOR ITSELF AND IN RESPECT OF ITS PROPERTY, GENERALLY AND UNCONDITIONALLY, THE NON-EXCLUSIVE JURISDICTION OF THE AFORESAID COURTS AND THE APPELLATE COURTS THEREOF. EACH PARTY HERETO IRREVOCABLY CONSENTS TO THE SERVICE OF PROCESS OUT OF ANY OF THE AFOREMENTIONED COURTS IN ANY SUCH ACTION OR PROCEEDING BY THE MAILING OF COPIES THEREOF BY REGISTERED OR CERTIFIED MAIL, POSTAGE PREPAID, TO SUCH PARTY AT THE ADDRESS FOR NOTICES SET FORTH HEREIN. EACH PARTY HERETO HEREBY IRREVOCABLY 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 THE PARTIES HERETO WAIVE THEIR RIGHT TO A JURY TRIAL WITH RESPECT TO DISPUTES HEREUNDER.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5" w:name="page146"/>
    <w:bookmarkEnd w:id="145"/>
    <w:p>
      <w:pPr>
        <w:ind w:firstLine="1297"/>
        <w:spacing w:after="0" w:line="249"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Injunctive Relief</w:t>
      </w:r>
      <w:r>
        <w:rPr>
          <w:rFonts w:ascii="Arial" w:cs="Arial" w:eastAsia="Arial" w:hAnsi="Arial"/>
          <w:sz w:val="21"/>
          <w:szCs w:val="21"/>
          <w:color w:val="auto"/>
        </w:rPr>
        <w:t>. Each party hereto acknowledges and agrees that a violation of any of the terms of</w:t>
      </w:r>
      <w:r>
        <w:rPr>
          <w:rFonts w:ascii="Arial" w:cs="Arial" w:eastAsia="Arial" w:hAnsi="Arial"/>
          <w:sz w:val="18"/>
          <w:szCs w:val="18"/>
          <w:color w:val="auto"/>
        </w:rPr>
        <w:t xml:space="preserve"> </w:t>
      </w:r>
      <w:r>
        <w:rPr>
          <w:rFonts w:ascii="Arial" w:cs="Arial" w:eastAsia="Arial" w:hAnsi="Arial"/>
          <w:sz w:val="21"/>
          <w:szCs w:val="21"/>
          <w:color w:val="auto"/>
        </w:rPr>
        <w:t>this Agreement will cause the other parties irreparable injury for which an adequate remedy at law is not available. Therefore, the Shareholders agree that each party shall be entitled to, an injunction, restraining order, specific performance or other equitable relief from any court of competent jurisdiction, restraining any party from committing any violations of the provisions of this Agreement, without the need to post a bond or prove the inadequacy of monetary damages.</w:t>
      </w:r>
    </w:p>
    <w:p>
      <w:pPr>
        <w:spacing w:after="0" w:line="206" w:lineRule="exact"/>
        <w:rPr>
          <w:sz w:val="20"/>
          <w:szCs w:val="20"/>
          <w:color w:val="auto"/>
        </w:rPr>
      </w:pPr>
    </w:p>
    <w:p>
      <w:pPr>
        <w:ind w:right="560" w:firstLine="1297"/>
        <w:spacing w:after="0" w:line="248"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Recapitalizations, Exchanges, Etc. Affecting the Common Shares; New Issuance</w:t>
      </w:r>
      <w:r>
        <w:rPr>
          <w:rFonts w:ascii="Arial" w:cs="Arial" w:eastAsia="Arial" w:hAnsi="Arial"/>
          <w:sz w:val="21"/>
          <w:szCs w:val="21"/>
          <w:color w:val="auto"/>
        </w:rPr>
        <w:t>. The provisions of this</w:t>
      </w:r>
      <w:r>
        <w:rPr>
          <w:rFonts w:ascii="Arial" w:cs="Arial" w:eastAsia="Arial" w:hAnsi="Arial"/>
          <w:sz w:val="18"/>
          <w:szCs w:val="18"/>
          <w:color w:val="auto"/>
        </w:rPr>
        <w:t xml:space="preserve"> </w:t>
      </w:r>
      <w:r>
        <w:rPr>
          <w:rFonts w:ascii="Arial" w:cs="Arial" w:eastAsia="Arial" w:hAnsi="Arial"/>
          <w:sz w:val="21"/>
          <w:szCs w:val="21"/>
          <w:color w:val="auto"/>
        </w:rPr>
        <w:t>Agreement shall apply, to the full extent set forth herein, with respect to Company Securities and to any and all equity or debt securities of the Company or any successor or assign of the Company (whether by merger, consolidation, sale of assets, or otherwise) which may be issued in respect of, in exchange for, or in substitution of, such Company Securities and shall be appropriately adjusted for any share dividends, splits, reverse splits, combinations, reclassifications, recapitalizations, reorganizations and the like occurring after the date hereof.</w:t>
      </w:r>
    </w:p>
    <w:p>
      <w:pPr>
        <w:spacing w:after="0" w:line="204" w:lineRule="exact"/>
        <w:rPr>
          <w:sz w:val="20"/>
          <w:szCs w:val="20"/>
          <w:color w:val="auto"/>
        </w:rPr>
      </w:pPr>
    </w:p>
    <w:p>
      <w:pPr>
        <w:ind w:right="40" w:firstLine="1297"/>
        <w:spacing w:after="0" w:line="258"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Termination</w:t>
      </w:r>
      <w:r>
        <w:rPr>
          <w:rFonts w:ascii="Arial" w:cs="Arial" w:eastAsia="Arial" w:hAnsi="Arial"/>
          <w:sz w:val="20"/>
          <w:szCs w:val="20"/>
          <w:color w:val="auto"/>
        </w:rPr>
        <w:t>. Upon the mutual consent of all of the parties hereto or, with respect to each Shareholder,</w:t>
      </w:r>
      <w:r>
        <w:rPr>
          <w:rFonts w:ascii="Arial" w:cs="Arial" w:eastAsia="Arial" w:hAnsi="Arial"/>
          <w:sz w:val="17"/>
          <w:szCs w:val="17"/>
          <w:color w:val="auto"/>
        </w:rPr>
        <w:t xml:space="preserve"> </w:t>
      </w:r>
      <w:r>
        <w:rPr>
          <w:rFonts w:ascii="Arial" w:cs="Arial" w:eastAsia="Arial" w:hAnsi="Arial"/>
          <w:sz w:val="20"/>
          <w:szCs w:val="20"/>
          <w:color w:val="auto"/>
        </w:rPr>
        <w:t>at such earlier time as such Shareholder and its Affiliates and Permitted Transferees ceases to Beneficially Own a Registrable Amount, the terms of this Agreement shall terminate, and be of no further force and effect; provided, however, that the following shall survive the termination of this Agreement: (i) the provisions of Section 4.2 (which shall terminate, and be of no further force and effect, with respect to each Shareholder, at such time as such Shareholder and its Affiliates and Permitted Transferees ceases to Beneficially Own a Registrable Amount), Section 4.6, Article VI, Section 7.5, Section 7.11, this Section 7.14 and Section 7.15; (ii) the rights with respect to the breach of any provision hereof by the Company and (iii) any registration rights vested or obligations accrued as of the date of termination of this Agreement to the extent, in the case of registration rights so vested, if such Shareholder ceases to meet the definition of a Shareholder under this Agreement subsequent to the vesting of such registration rights as a result of action taken by the Company.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ind w:right="20" w:firstLine="1297"/>
        <w:spacing w:after="0" w:line="258"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No Third Party Beneficiaries</w:t>
      </w:r>
      <w:r>
        <w:rPr>
          <w:rFonts w:ascii="Arial" w:cs="Arial" w:eastAsia="Arial" w:hAnsi="Arial"/>
          <w:sz w:val="21"/>
          <w:szCs w:val="21"/>
          <w:color w:val="auto"/>
        </w:rPr>
        <w:t>. Nothing in this Agreement, whether express or implied, shall be construed</w:t>
      </w:r>
      <w:r>
        <w:rPr>
          <w:rFonts w:ascii="Arial" w:cs="Arial" w:eastAsia="Arial" w:hAnsi="Arial"/>
          <w:sz w:val="18"/>
          <w:szCs w:val="18"/>
          <w:color w:val="auto"/>
        </w:rPr>
        <w:t xml:space="preserve"> </w:t>
      </w:r>
      <w:r>
        <w:rPr>
          <w:rFonts w:ascii="Arial" w:cs="Arial" w:eastAsia="Arial" w:hAnsi="Arial"/>
          <w:sz w:val="21"/>
          <w:szCs w:val="21"/>
          <w:color w:val="auto"/>
        </w:rPr>
        <w:t>to give any Person, other than the parties hereto or their respective successors and permitted assigns, any legal or equitable right, remedy, claim or benefit under or in respect of this Agreement.</w:t>
      </w:r>
    </w:p>
    <w:p>
      <w:pPr>
        <w:spacing w:after="0" w:line="194" w:lineRule="exact"/>
        <w:rPr>
          <w:sz w:val="20"/>
          <w:szCs w:val="20"/>
          <w:color w:val="auto"/>
        </w:rPr>
      </w:pPr>
    </w:p>
    <w:p>
      <w:pPr>
        <w:ind w:firstLine="1297"/>
        <w:spacing w:after="0" w:line="245"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Rule 144</w:t>
      </w:r>
      <w:r>
        <w:rPr>
          <w:rFonts w:ascii="Arial" w:cs="Arial" w:eastAsia="Arial" w:hAnsi="Arial"/>
          <w:sz w:val="21"/>
          <w:szCs w:val="21"/>
          <w:color w:val="auto"/>
        </w:rPr>
        <w:t>. The Company covenants and agrees that it will file the reports required to be filed by it</w:t>
      </w:r>
      <w:r>
        <w:rPr>
          <w:rFonts w:ascii="Arial" w:cs="Arial" w:eastAsia="Arial" w:hAnsi="Arial"/>
          <w:sz w:val="18"/>
          <w:szCs w:val="18"/>
          <w:color w:val="auto"/>
        </w:rPr>
        <w:t xml:space="preserve"> </w:t>
      </w:r>
      <w:r>
        <w:rPr>
          <w:rFonts w:ascii="Arial" w:cs="Arial" w:eastAsia="Arial" w:hAnsi="Arial"/>
          <w:sz w:val="21"/>
          <w:szCs w:val="21"/>
          <w:color w:val="auto"/>
        </w:rPr>
        <w:t>under the Securities Act and the Exchange Act and the rules and regulations adopted by the Commission thereunder (or, if it is not required to file such reports, it will, upon the request of any holder of Registrable Securities, make publicly available other information so long as necessary to permit sales in compliance with Rule 144 under the Securities Act), and it will take such further reasonable action, to the extent required from time to time to enable such holder to sell Registrable Securities without registration under the Securities Act within the limitation of the exemptions provided by Rule 144 under the Securities Act, as such Rule 144 may be amended from time to time, or any similar rule or regulation hereafter adopted by the Commission. Upon the reasonable request of any holder of Registrable Securities, the Company will deliver to such holder a written statement as to whether it has complied with such information and filing requirements.</w:t>
      </w:r>
    </w:p>
    <w:p>
      <w:pPr>
        <w:spacing w:after="0" w:line="212" w:lineRule="exact"/>
        <w:rPr>
          <w:sz w:val="20"/>
          <w:szCs w:val="20"/>
          <w:color w:val="auto"/>
        </w:rPr>
      </w:pPr>
    </w:p>
    <w:p>
      <w:pPr>
        <w:ind w:right="140" w:firstLine="1297"/>
        <w:spacing w:after="0" w:line="252"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Information</w:t>
      </w:r>
      <w:r>
        <w:rPr>
          <w:rFonts w:ascii="Arial" w:cs="Arial" w:eastAsia="Arial" w:hAnsi="Arial"/>
          <w:sz w:val="21"/>
          <w:szCs w:val="21"/>
          <w:color w:val="auto"/>
        </w:rPr>
        <w:t>. The Company covenants and agrees that for so long as the Shareholders, together, have</w:t>
      </w:r>
      <w:r>
        <w:rPr>
          <w:rFonts w:ascii="Arial" w:cs="Arial" w:eastAsia="Arial" w:hAnsi="Arial"/>
          <w:sz w:val="18"/>
          <w:szCs w:val="18"/>
          <w:color w:val="auto"/>
        </w:rPr>
        <w:t xml:space="preserve"> </w:t>
      </w:r>
      <w:r>
        <w:rPr>
          <w:rFonts w:ascii="Arial" w:cs="Arial" w:eastAsia="Arial" w:hAnsi="Arial"/>
          <w:sz w:val="21"/>
          <w:szCs w:val="21"/>
          <w:color w:val="auto"/>
        </w:rPr>
        <w:t>Beneficial Ownership of at least 1% of the Voting Power of the Company, it will provide or cause to be provided to persons affiliated with the Initial Shareholder who are covered by applicable Initial Shareholder confidentiality policies, any and all information about the Company and its operations requested by the Initial Shareholder.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7" w:name="page148"/>
    <w:bookmarkEnd w:id="147"/>
    <w:p>
      <w:pPr>
        <w:ind w:firstLine="1297"/>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officers thereunto duly as of the date first above written.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HOLDINGS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Cameron D. MacDougall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Wesley R. Edens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Randal A. Nardone</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10.1</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CONTRIBUTION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NEW FORTRESS ENERGY HOLDINGS LLC</w:t>
      </w:r>
    </w:p>
    <w:p>
      <w:pPr>
        <w:spacing w:after="0" w:line="26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NFE ATLANTIC HOLDINGS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NEW FORTRESS ENERGY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NFE SUB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NEW FORTRESS INTERMEDIATE LLC</w:t>
      </w:r>
    </w:p>
    <w:p>
      <w:pPr>
        <w:spacing w:after="0" w:line="25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9"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Contribution Agreement, dated as of February 4,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New Fortress Energy Holdings LLC, a Delaware limited liability company (“</w:t>
      </w:r>
      <w:r>
        <w:rPr>
          <w:rFonts w:ascii="Arial" w:cs="Arial" w:eastAsia="Arial" w:hAnsi="Arial"/>
          <w:sz w:val="18"/>
          <w:szCs w:val="18"/>
          <w:u w:val="single" w:color="auto"/>
          <w:color w:val="auto"/>
        </w:rPr>
        <w:t>NFE Holdings</w:t>
      </w:r>
      <w:r>
        <w:rPr>
          <w:rFonts w:ascii="Arial" w:cs="Arial" w:eastAsia="Arial" w:hAnsi="Arial"/>
          <w:sz w:val="18"/>
          <w:szCs w:val="18"/>
          <w:color w:val="auto"/>
        </w:rPr>
        <w:t>”), New Fortress Atlantic Holdings LLC, a Delaware limited liability company (“</w:t>
      </w:r>
      <w:r>
        <w:rPr>
          <w:rFonts w:ascii="Arial" w:cs="Arial" w:eastAsia="Arial" w:hAnsi="Arial"/>
          <w:sz w:val="18"/>
          <w:szCs w:val="18"/>
          <w:u w:val="single" w:color="auto"/>
          <w:color w:val="auto"/>
        </w:rPr>
        <w:t>NFE Atlantic</w:t>
      </w:r>
      <w:r>
        <w:rPr>
          <w:rFonts w:ascii="Arial" w:cs="Arial" w:eastAsia="Arial" w:hAnsi="Arial"/>
          <w:sz w:val="18"/>
          <w:szCs w:val="18"/>
          <w:color w:val="auto"/>
        </w:rPr>
        <w:t>”), New Fortress Energy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NFE Sub LLC, a Delaware limited liability company (“</w:t>
      </w:r>
      <w:r>
        <w:rPr>
          <w:rFonts w:ascii="Arial" w:cs="Arial" w:eastAsia="Arial" w:hAnsi="Arial"/>
          <w:sz w:val="18"/>
          <w:szCs w:val="18"/>
          <w:u w:val="single" w:color="auto"/>
          <w:color w:val="auto"/>
        </w:rPr>
        <w:t>NFE Sub</w:t>
      </w:r>
      <w:r>
        <w:rPr>
          <w:rFonts w:ascii="Arial" w:cs="Arial" w:eastAsia="Arial" w:hAnsi="Arial"/>
          <w:sz w:val="18"/>
          <w:szCs w:val="18"/>
          <w:color w:val="auto"/>
        </w:rPr>
        <w:t>”), and New Fortress Intermediate LLC, a Delaware limited liability company (“</w:t>
      </w:r>
      <w:r>
        <w:rPr>
          <w:rFonts w:ascii="Arial" w:cs="Arial" w:eastAsia="Arial" w:hAnsi="Arial"/>
          <w:sz w:val="18"/>
          <w:szCs w:val="18"/>
          <w:u w:val="single" w:color="auto"/>
          <w:color w:val="auto"/>
        </w:rPr>
        <w:t>NFI</w:t>
      </w:r>
      <w:r>
        <w:rPr>
          <w:rFonts w:ascii="Arial" w:cs="Arial" w:eastAsia="Arial" w:hAnsi="Arial"/>
          <w:sz w:val="18"/>
          <w:szCs w:val="18"/>
          <w:color w:val="auto"/>
        </w:rPr>
        <w:t>”). The above named entities are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NFE Holdings has formed the Company under the Delaware Limited Liability Company Act (the “</w:t>
      </w:r>
      <w:r>
        <w:rPr>
          <w:rFonts w:ascii="Arial" w:cs="Arial" w:eastAsia="Arial" w:hAnsi="Arial"/>
          <w:sz w:val="18"/>
          <w:szCs w:val="18"/>
          <w:u w:val="single" w:color="auto"/>
          <w:color w:val="auto"/>
        </w:rPr>
        <w:t>Delaware LLC Act</w:t>
      </w:r>
      <w:r>
        <w:rPr>
          <w:rFonts w:ascii="Arial" w:cs="Arial" w:eastAsia="Arial" w:hAnsi="Arial"/>
          <w:sz w:val="18"/>
          <w:szCs w:val="18"/>
          <w:color w:val="auto"/>
        </w:rPr>
        <w:t>”) and owns a</w:t>
      </w:r>
      <w:r>
        <w:rPr>
          <w:rFonts w:ascii="Arial" w:cs="Arial" w:eastAsia="Arial" w:hAnsi="Arial"/>
          <w:sz w:val="18"/>
          <w:szCs w:val="18"/>
          <w:b w:val="1"/>
          <w:bCs w:val="1"/>
          <w:color w:val="auto"/>
        </w:rPr>
        <w:t xml:space="preserve"> </w:t>
      </w:r>
      <w:r>
        <w:rPr>
          <w:rFonts w:ascii="Arial" w:cs="Arial" w:eastAsia="Arial" w:hAnsi="Arial"/>
          <w:sz w:val="18"/>
          <w:szCs w:val="18"/>
          <w:color w:val="auto"/>
        </w:rPr>
        <w:t>100% membership interest in the Company as of the date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formed NFI under the Delaware LLC Act and owns a 100% membership interest in NFI as of the date hereof;</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formed NFE Sub under the Delaware LLC Act and owns a 100% membership interest in NFE Sub as of the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NFE Holdings owns a 100% membership interest in NFE Atlantic (the “</w:t>
      </w:r>
      <w:r>
        <w:rPr>
          <w:rFonts w:ascii="Arial" w:cs="Arial" w:eastAsia="Arial" w:hAnsi="Arial"/>
          <w:sz w:val="17"/>
          <w:szCs w:val="17"/>
          <w:u w:val="single" w:color="auto"/>
          <w:color w:val="auto"/>
        </w:rPr>
        <w:t>NFE Atlantic Membership Interest</w:t>
      </w:r>
      <w:r>
        <w:rPr>
          <w:rFonts w:ascii="Arial" w:cs="Arial" w:eastAsia="Arial" w:hAnsi="Arial"/>
          <w:sz w:val="17"/>
          <w:szCs w:val="17"/>
          <w:color w:val="auto"/>
        </w:rPr>
        <w:t>”) as of the date hereof;</w:t>
      </w:r>
    </w:p>
    <w:p>
      <w:pPr>
        <w:spacing w:after="0" w:line="2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engage in an initial public offering (the “</w:t>
      </w:r>
      <w:r>
        <w:rPr>
          <w:rFonts w:ascii="Arial" w:cs="Arial" w:eastAsia="Arial" w:hAnsi="Arial"/>
          <w:sz w:val="18"/>
          <w:szCs w:val="18"/>
          <w:u w:val="single" w:color="auto"/>
          <w:color w:val="auto"/>
        </w:rPr>
        <w:t>Company IPO</w:t>
      </w:r>
      <w:r>
        <w:rPr>
          <w:rFonts w:ascii="Arial" w:cs="Arial" w:eastAsia="Arial" w:hAnsi="Arial"/>
          <w:sz w:val="18"/>
          <w:szCs w:val="18"/>
          <w:color w:val="auto"/>
        </w:rPr>
        <w:t>”) of Class A shares representing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interests in the Company (the “</w:t>
      </w:r>
      <w:r>
        <w:rPr>
          <w:rFonts w:ascii="Arial" w:cs="Arial" w:eastAsia="Arial" w:hAnsi="Arial"/>
          <w:sz w:val="18"/>
          <w:szCs w:val="18"/>
          <w:u w:val="single" w:color="auto"/>
          <w:color w:val="auto"/>
        </w:rPr>
        <w:t>Class A shares</w:t>
      </w:r>
      <w:r>
        <w:rPr>
          <w:rFonts w:ascii="Arial" w:cs="Arial" w:eastAsia="Arial" w:hAnsi="Arial"/>
          <w:sz w:val="18"/>
          <w:szCs w:val="18"/>
          <w:color w:val="auto"/>
        </w:rPr>
        <w:t>”), pursuant to, and as more fully described in, a registration statement on Form S-1 filed with the U.S. Securities and Exchange Commission, Registration No. 333-228339;</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Company IPO, the Company and NFI have entered into an underwriting agreement, dated as of January 30,</w:t>
      </w:r>
      <w:r>
        <w:rPr>
          <w:rFonts w:ascii="Arial" w:cs="Arial" w:eastAsia="Arial" w:hAnsi="Arial"/>
          <w:sz w:val="18"/>
          <w:szCs w:val="18"/>
          <w:b w:val="1"/>
          <w:bCs w:val="1"/>
          <w:color w:val="auto"/>
        </w:rPr>
        <w:t xml:space="preserve"> </w:t>
      </w:r>
      <w:r>
        <w:rPr>
          <w:rFonts w:ascii="Arial" w:cs="Arial" w:eastAsia="Arial" w:hAnsi="Arial"/>
          <w:sz w:val="18"/>
          <w:szCs w:val="18"/>
          <w:color w:val="auto"/>
        </w:rPr>
        <w:t>2019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the underwriters named therein, pursuant to which the Company has agreed to issue and sell 20,000,000 Class A shares to the public at a price per share equal to $14.00, less underwriting discounts and commissions as set forth in the Underwriting Agreement (the “</w:t>
      </w:r>
      <w:r>
        <w:rPr>
          <w:rFonts w:ascii="Arial" w:cs="Arial" w:eastAsia="Arial" w:hAnsi="Arial"/>
          <w:sz w:val="18"/>
          <w:szCs w:val="18"/>
          <w:u w:val="single" w:color="auto"/>
          <w:color w:val="auto"/>
        </w:rPr>
        <w:t>Company IPO Proceeds</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Company IPO, the Parties desire to effect the contributions and other transactions set forth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occur on the terms and in the sequence set forth herein; and</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and the stockholders, members, partners, boards of directors or managers of the Parties, as the case may be, have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all corporate, partnership, limited liability company or other action, as the case may be, required to be taken to approve the transactions contemplated by this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other good and valuable consideration, the receipt and sufficiency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hereby, the Parties hereby agree as follows:</w:t>
      </w:r>
    </w:p>
    <w:p>
      <w:pPr>
        <w:spacing w:after="0" w:line="21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CONTRIBUTIONS &amp; DISTRIBUTIONS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contributions and transactions shall be completed in the order set forth below.</w:t>
      </w:r>
    </w:p>
    <w:p>
      <w:pPr>
        <w:spacing w:after="0" w:line="2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Contribution and Assignment of NFE Atlantic Membership Interests by NFE Holdings.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Immediately prior to the Company IPO, NFE Holdings shall contribute, convey, assign, transfer and deliver the NFE Atlantic Membership Interest to NFI in exchange for the issuance by NFI to NFE Holdings of 147,058,824 units representing limited liability company interests in NFI (the “</w:t>
      </w:r>
      <w:r>
        <w:rPr>
          <w:rFonts w:ascii="Arial" w:cs="Arial" w:eastAsia="Arial" w:hAnsi="Arial"/>
          <w:sz w:val="17"/>
          <w:szCs w:val="17"/>
          <w:u w:val="single" w:color="auto"/>
          <w:color w:val="auto"/>
        </w:rPr>
        <w:t>NFI Units</w:t>
      </w:r>
      <w:r>
        <w:rPr>
          <w:rFonts w:ascii="Arial" w:cs="Arial" w:eastAsia="Arial" w:hAnsi="Arial"/>
          <w:sz w:val="17"/>
          <w:szCs w:val="17"/>
          <w:color w:val="auto"/>
        </w:rPr>
        <w:t>”) and the right to receive 147,058,824 Class B shares representing limited liability company interests in the Company (the “</w:t>
      </w:r>
      <w:r>
        <w:rPr>
          <w:rFonts w:ascii="Arial" w:cs="Arial" w:eastAsia="Arial" w:hAnsi="Arial"/>
          <w:sz w:val="17"/>
          <w:szCs w:val="17"/>
          <w:u w:val="single" w:color="auto"/>
          <w:color w:val="auto"/>
        </w:rPr>
        <w:t>Class B shares</w:t>
      </w:r>
      <w:r>
        <w:rPr>
          <w:rFonts w:ascii="Arial" w:cs="Arial" w:eastAsia="Arial" w:hAnsi="Arial"/>
          <w:sz w:val="17"/>
          <w:szCs w:val="17"/>
          <w:color w:val="auto"/>
        </w:rPr>
        <w:t>”).</w:t>
      </w:r>
    </w:p>
    <w:p>
      <w:pPr>
        <w:spacing w:after="0" w:line="22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Distribution in Redemption of NFE Holdings’ Membership Interest in the Company</w:t>
      </w:r>
      <w:r>
        <w:rPr>
          <w:rFonts w:ascii="Arial" w:cs="Arial" w:eastAsia="Arial" w:hAnsi="Arial"/>
          <w:sz w:val="16"/>
          <w:szCs w:val="16"/>
          <w:color w:val="auto"/>
        </w:rPr>
        <w: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Immediately following the Company IPO, the Company shall distribute, convey, assign, transfer and deliver an amount of cash equal to the amount originally contributed to the Company in connection with its formation in complete redemption of NFE Holdings’ membership interest in the Company.</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Contribution of Company IPO Proceeds and Class B shares.</w:t>
      </w:r>
    </w:p>
    <w:p>
      <w:pPr>
        <w:spacing w:after="0" w:line="279" w:lineRule="exact"/>
        <w:rPr>
          <w:sz w:val="20"/>
          <w:szCs w:val="20"/>
          <w:color w:val="auto"/>
        </w:rPr>
      </w:pPr>
    </w:p>
    <w:p>
      <w:pPr>
        <w:ind w:right="240" w:firstLine="980"/>
        <w:spacing w:after="0" w:line="277" w:lineRule="auto"/>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shall contribute all of the Company IPO Proceeds and contribute, convey, assign, transfer and deliver 147,058,824 Class B shares to NFE Sub.</w:t>
      </w:r>
    </w:p>
    <w:p>
      <w:pPr>
        <w:spacing w:after="0" w:line="224" w:lineRule="exact"/>
        <w:rPr>
          <w:rFonts w:ascii="Arial" w:cs="Arial" w:eastAsia="Arial" w:hAnsi="Arial"/>
          <w:sz w:val="18"/>
          <w:szCs w:val="18"/>
          <w:color w:val="auto"/>
        </w:rPr>
      </w:pPr>
    </w:p>
    <w:p>
      <w:pPr>
        <w:ind w:right="20" w:firstLine="980"/>
        <w:spacing w:after="0" w:line="277" w:lineRule="auto"/>
        <w:tabs>
          <w:tab w:leader="none" w:pos="129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NFE Sub shall in turn contribute all of the Company IPO Proceeds and contribute, convey, assign, transfer and deliver 147,057,824 Class B shares to NFI in exchange for the issuance by NFI to NFE Sub of 20,000,000 NFI Units.</w:t>
      </w:r>
    </w:p>
    <w:p>
      <w:pPr>
        <w:spacing w:after="0" w:line="22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Distribution of Class B shares by NFI.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NFI shall distribute, convey, assign, transfer and deliver all of the Class B shares contributed to it by NFE Sub to NFE Holdings.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8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Further Assurances.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and without any further consideration, the Parties agree to execute, acknowledge and deliver all such additional deeds, assignments, bills of sale, conveyances, instruments, notices, releases, acquittances and other documents, and to do all such other acts and things, all in accordance with applicable law, as may be necessary or appropriate (a) more fully to assure that the applicable Parties own all of the properties, rights, titles, interests, estates, remedies, powers and privileges granted by this Agreement, or which are intended to be so granted, (b) more fully and effectively to vest in the applicable Parties and their respective successors and assigns beneficial and record title to the interests contributed and assigned by this Agreement or intended to be so and (c) more fully and effectively carry out the purposes and intent of this Agreement.</w:t>
      </w:r>
    </w:p>
    <w:p>
      <w:pPr>
        <w:spacing w:after="0" w:line="23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Successors and Assigns.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shall be binding upon and inure to the benefit of the Parties and their respective successors and assigns.</w:t>
      </w:r>
    </w:p>
    <w:p>
      <w:pPr>
        <w:spacing w:after="0" w:line="2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No Third Party Rights.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this Agreement are intended to bind the Parties as to each other and are not intended to and do not create rights in any other person or confer upon any other person any benefits, rights or remedies and no person is or is intended to be a third party beneficiary of any of the provisions of this Agreement.</w:t>
      </w:r>
    </w:p>
    <w:p>
      <w:pPr>
        <w:spacing w:after="0" w:line="23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Severability.</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any of the provisions of this Agreement are held by any court of competent jurisdiction to contravene, or to be invalid under, the laws of any political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to the intention of the Parties as expressed in this Agreement at the time of execution of this Agreement.</w:t>
      </w:r>
    </w:p>
    <w:p>
      <w:pPr>
        <w:spacing w:after="0" w:line="20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Entire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Agreement and the instruments referenced herein supersede all previous understandings or agreements among the Parties, whether oral or written, with respect to the subject matter of this Agreement and such instruments. This Agreement and such instruments contain the entire understanding of the Parties with respect to the subject matter hereof and thereof. No understanding, representation, promise or agreement, whether oral or written, is intended to be or shall be included in or form part of this Agreement unless it is contained in a written amendment hereto executed by the Parties after the date of this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ind w:left="660"/>
        <w:spacing w:after="0"/>
        <w:tabs>
          <w:tab w:leader="none" w:pos="198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i w:val="1"/>
          <w:iCs w:val="1"/>
          <w:color w:val="auto"/>
        </w:rPr>
        <w:t>Amendment or Modification.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Agreement may be amended or modified at any time or from time to time only by a written instrument, specifically stating that such written instrument is intended to amend or modify this Agreement, signed by each of the Parties.</w:t>
      </w:r>
    </w:p>
    <w:p>
      <w:pPr>
        <w:spacing w:after="0" w:line="22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i w:val="1"/>
          <w:iCs w:val="1"/>
          <w:color w:val="auto"/>
        </w:rPr>
        <w:t>Construction.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Article and Section headings in this Agreement are for convenience only and shall not be deemed to control or affect the meaning or construction of any of the provisions hereof. All references herein to Articles and Sections shall, unless the context requires a different construction, be deemed to be references to the Articles and Sections of this Agreement. The words “hereof,” “herein” and “hereunder” and words of similar import, when used in this Agreement, shall refer to this Agreement as a whole, and not to any particular provision of this Agreement. All personal pronouns used in this Agreement, whether used in the masculine, feminine or neuter gender, shall include all other genders, and the singular shall include the plural and vice versa.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w:t>
      </w:r>
    </w:p>
    <w:p>
      <w:pPr>
        <w:spacing w:after="0" w:line="23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i w:val="1"/>
          <w:iCs w:val="1"/>
          <w:color w:val="auto"/>
        </w:rPr>
        <w:t>Counterparts.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Agreement may be executed in any number of counterparts with the same effect as if all Parties had signed the same document. All counterparts shall be construed together and shall constitute one and the same instrument. The delivery of an executed counterpart copy of this Agreement by facsimile or electronic transmission in PDF format shall be deemed to be the equivalent of delivery of the originally executed copy thereof.</w:t>
      </w:r>
    </w:p>
    <w:p>
      <w:pPr>
        <w:spacing w:after="0" w:line="20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i w:val="1"/>
          <w:iCs w:val="1"/>
          <w:color w:val="auto"/>
        </w:rPr>
        <w:t>Deed; Bill of Sale; Assignment.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required and permitted by applicable law, this Agreement shall also constitute a “deed,” “bill of sale” or “assignment” of the assets and interests referenced herein.</w:t>
      </w:r>
    </w:p>
    <w:p>
      <w:pPr>
        <w:spacing w:after="0" w:line="22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Applicable Law.</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regard to the principles of conflicts of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IN WITNESS WHEREOF, this Agreement has been duly executed by the Parties as of the date first written above.</w:t>
      </w:r>
    </w:p>
    <w:p>
      <w:pPr>
        <w:spacing w:after="0" w:line="260"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NEW FORTRESS ENERGY HOLDINGS LLC</w:t>
      </w: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14605</wp:posOffset>
            </wp:positionV>
            <wp:extent cx="340487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Cameron D. MacDougall</w:t>
      </w:r>
    </w:p>
    <w:p>
      <w:pPr>
        <w:spacing w:after="0" w:line="23" w:lineRule="exact"/>
        <w:rPr>
          <w:sz w:val="20"/>
          <w:szCs w:val="20"/>
          <w:color w:val="auto"/>
        </w:rPr>
      </w:pPr>
    </w:p>
    <w:p>
      <w:pPr>
        <w:ind w:left="5400"/>
        <w:spacing w:after="0"/>
        <w:tabs>
          <w:tab w:leader="none" w:pos="59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NFE ATLANTIC HOLDINGS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14605</wp:posOffset>
            </wp:positionV>
            <wp:extent cx="340487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400"/>
        <w:spacing w:after="0"/>
        <w:tabs>
          <w:tab w:leader="none" w:pos="59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14605</wp:posOffset>
            </wp:positionV>
            <wp:extent cx="340487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400"/>
        <w:spacing w:after="0"/>
        <w:tabs>
          <w:tab w:leader="none" w:pos="598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NFE SUB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14605</wp:posOffset>
            </wp:positionV>
            <wp:extent cx="340487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400"/>
        <w:spacing w:after="0"/>
        <w:tabs>
          <w:tab w:leader="none" w:pos="598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ONTRIBUTION</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117475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6" w:right="1440" w:bottom="1440" w:gutter="0" w:footer="0" w:header="0"/>
        </w:sectPr>
      </w:pPr>
    </w:p>
    <w:bookmarkStart w:id="154" w:name="page155"/>
    <w:bookmarkEnd w:id="154"/>
    <w:p>
      <w:pPr>
        <w:ind w:left="4520"/>
        <w:spacing w:after="0"/>
        <w:rPr>
          <w:sz w:val="20"/>
          <w:szCs w:val="20"/>
          <w:color w:val="auto"/>
        </w:rPr>
      </w:pPr>
      <w:r>
        <w:rPr>
          <w:rFonts w:ascii="Arial" w:cs="Arial" w:eastAsia="Arial" w:hAnsi="Arial"/>
          <w:sz w:val="18"/>
          <w:szCs w:val="18"/>
          <w:b w:val="1"/>
          <w:bCs w:val="1"/>
          <w:color w:val="auto"/>
        </w:rPr>
        <w:t>NEW FORTRESS INTERMEDIATE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tabs>
          <w:tab w:leader="none" w:pos="544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ONTRIBUTION</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210185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5" w:name="page156"/>
    <w:bookmarkEnd w:id="155"/>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INTERMEDIATE LLC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4, 2019</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LIMITED LIABILITY COMPANY INTERESTS IN NEW FORTRESS INTERMEDIATE LLC HAVE NOT BEEN REGISTERED UNDER THE U.S. SECURITIES ACT OF 1933, AS AMENDED, THE SECURITIES LAWS OF ANY STATE, OR ANY OTHER APPLICABLE SECURITIES LAWS, AND HAVE BEEN OR ARE BEING ISSUED IN RELIANCE UPON EXEMPTIONS FROM THE REGISTRATION REQUIREMENTS OF THE SECURITIES ACT AND SUCH LAWS. SUCH INTERESTS MUST BE ACQUIRED FOR INVESTMENT ONLY AND MAY NOT BE OFFERED FOR SALE, PLEDGED, HYPOTHECATED, SOLD, ASSIGNED OR TRANSFERRED AT ANY TIME EXCEPT IN COMPLIANCE WITH (I) THE SECURITIES ACT, ANY APPLICABLE SECURITIES LAWS OF ANY STATE AND ANY OTHER APPLICABLE SECURITIES LAWS; (II) THE TERMS AND CONDITIONS OF THIS AMENDED AND RESTATED LIMITED LIABILITY COMPANY AGREEMENT; AND (III) ANY OTHER TERMS AND CONDITIONS AGREED TO IN WRITING BETWEEN THE MANAGING MEMBER AND THE APPLICABLE MEMBER. THE LIMITED LIABILITY COMPANY INTERESTS MAY NOT BE TRANSFERRED OF RECORD EXCEPT IN COMPLIANCE WITH SUCH LAWS, THIS AMENDED AND RESTATED LIMITED LIABILITY COMPANY AGREEMENT, AND ANY OTHER TERMS AND CONDITIONS AGREED TO IN WRITING BY THE MANAGING MEMBER AND THE APPLICABLE MEMBER. THEREFORE, PURCHASERS AND OTHER TRANSFEREES OF SUCH LIMITED LIABILITY COMPANY INTERESTS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736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459"/>
        </w:trPr>
        <w:tc>
          <w:tcPr>
            <w:tcW w:w="89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60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73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60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7360" w:type="dxa"/>
            <w:vAlign w:val="bottom"/>
          </w:tcPr>
          <w:p>
            <w:pPr>
              <w:ind w:left="120"/>
              <w:spacing w:after="0"/>
              <w:rPr>
                <w:sz w:val="20"/>
                <w:szCs w:val="20"/>
                <w:color w:val="auto"/>
              </w:rPr>
            </w:pPr>
            <w:r>
              <w:rPr>
                <w:rFonts w:ascii="Arial" w:cs="Arial" w:eastAsia="Arial" w:hAnsi="Arial"/>
                <w:sz w:val="18"/>
                <w:szCs w:val="18"/>
                <w:color w:val="auto"/>
              </w:rPr>
              <w:t>Interpretive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ARTICLE II ORGANIZATION OF THE LIMITED LIABILITY 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60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7360" w:type="dxa"/>
            <w:vAlign w:val="bottom"/>
          </w:tcPr>
          <w:p>
            <w:pPr>
              <w:ind w:left="120"/>
              <w:spacing w:after="0"/>
              <w:rPr>
                <w:sz w:val="20"/>
                <w:szCs w:val="20"/>
                <w:color w:val="auto"/>
              </w:rPr>
            </w:pPr>
            <w:r>
              <w:rPr>
                <w:rFonts w:ascii="Arial" w:cs="Arial" w:eastAsia="Arial" w:hAnsi="Arial"/>
                <w:sz w:val="18"/>
                <w:szCs w:val="18"/>
                <w:color w:val="auto"/>
              </w:rPr>
              <w:t>Formation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7360" w:type="dxa"/>
            <w:vAlign w:val="bottom"/>
          </w:tcPr>
          <w:p>
            <w:pPr>
              <w:ind w:left="120"/>
              <w:spacing w:after="0"/>
              <w:rPr>
                <w:sz w:val="20"/>
                <w:szCs w:val="20"/>
                <w:color w:val="auto"/>
              </w:rPr>
            </w:pPr>
            <w:r>
              <w:rPr>
                <w:rFonts w:ascii="Arial" w:cs="Arial" w:eastAsia="Arial" w:hAnsi="Arial"/>
                <w:sz w:val="18"/>
                <w:szCs w:val="18"/>
                <w:color w:val="auto"/>
              </w:rPr>
              <w:t>Filing</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7360" w:type="dxa"/>
            <w:vAlign w:val="bottom"/>
          </w:tcPr>
          <w:p>
            <w:pPr>
              <w:ind w:left="120"/>
              <w:spacing w:after="0"/>
              <w:rPr>
                <w:sz w:val="20"/>
                <w:szCs w:val="20"/>
                <w:color w:val="auto"/>
              </w:rPr>
            </w:pPr>
            <w:r>
              <w:rPr>
                <w:rFonts w:ascii="Arial" w:cs="Arial" w:eastAsia="Arial" w:hAnsi="Arial"/>
                <w:sz w:val="18"/>
                <w:szCs w:val="18"/>
                <w:color w:val="auto"/>
              </w:rPr>
              <w:t>Name</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2.4   Registered Office; Registered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2.5   Principal Place of Business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2.6</w:t>
            </w:r>
          </w:p>
        </w:tc>
        <w:tc>
          <w:tcPr>
            <w:tcW w:w="7360" w:type="dxa"/>
            <w:vAlign w:val="bottom"/>
          </w:tcPr>
          <w:p>
            <w:pPr>
              <w:ind w:left="120"/>
              <w:spacing w:after="0"/>
              <w:rPr>
                <w:sz w:val="20"/>
                <w:szCs w:val="20"/>
                <w:color w:val="auto"/>
              </w:rPr>
            </w:pPr>
            <w:r>
              <w:rPr>
                <w:rFonts w:ascii="Arial" w:cs="Arial" w:eastAsia="Arial" w:hAnsi="Arial"/>
                <w:sz w:val="18"/>
                <w:szCs w:val="18"/>
                <w:color w:val="auto"/>
              </w:rPr>
              <w:t>Purpose; Powers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2.7</w:t>
            </w:r>
          </w:p>
        </w:tc>
        <w:tc>
          <w:tcPr>
            <w:tcW w:w="7360" w:type="dxa"/>
            <w:vAlign w:val="bottom"/>
          </w:tcPr>
          <w:p>
            <w:pPr>
              <w:ind w:left="120"/>
              <w:spacing w:after="0"/>
              <w:rPr>
                <w:sz w:val="20"/>
                <w:szCs w:val="20"/>
                <w:color w:val="auto"/>
              </w:rPr>
            </w:pPr>
            <w:r>
              <w:rPr>
                <w:rFonts w:ascii="Arial" w:cs="Arial" w:eastAsia="Arial" w:hAnsi="Arial"/>
                <w:sz w:val="18"/>
                <w:szCs w:val="18"/>
                <w:color w:val="auto"/>
              </w:rPr>
              <w:t>Term</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600" w:type="dxa"/>
            <w:vAlign w:val="bottom"/>
          </w:tcPr>
          <w:p>
            <w:pPr>
              <w:ind w:left="660"/>
              <w:spacing w:after="0"/>
              <w:rPr>
                <w:sz w:val="20"/>
                <w:szCs w:val="20"/>
                <w:color w:val="auto"/>
              </w:rPr>
            </w:pPr>
            <w:r>
              <w:rPr>
                <w:rFonts w:ascii="Arial" w:cs="Arial" w:eastAsia="Arial" w:hAnsi="Arial"/>
                <w:sz w:val="18"/>
                <w:szCs w:val="18"/>
                <w:color w:val="auto"/>
              </w:rPr>
              <w:t>Section 2.8</w:t>
            </w:r>
          </w:p>
        </w:tc>
        <w:tc>
          <w:tcPr>
            <w:tcW w:w="7360" w:type="dxa"/>
            <w:vAlign w:val="bottom"/>
          </w:tcPr>
          <w:p>
            <w:pPr>
              <w:ind w:left="120"/>
              <w:spacing w:after="0"/>
              <w:rPr>
                <w:sz w:val="20"/>
                <w:szCs w:val="20"/>
                <w:color w:val="auto"/>
              </w:rPr>
            </w:pPr>
            <w:r>
              <w:rPr>
                <w:rFonts w:ascii="Arial" w:cs="Arial" w:eastAsia="Arial" w:hAnsi="Arial"/>
                <w:sz w:val="18"/>
                <w:szCs w:val="18"/>
                <w:color w:val="auto"/>
              </w:rPr>
              <w:t>Intent</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ARTICLE III CLOSING TRANSACTIONS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60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7360" w:type="dxa"/>
            <w:vAlign w:val="bottom"/>
          </w:tcPr>
          <w:p>
            <w:pPr>
              <w:ind w:left="120"/>
              <w:spacing w:after="0"/>
              <w:rPr>
                <w:sz w:val="20"/>
                <w:szCs w:val="20"/>
                <w:color w:val="auto"/>
              </w:rPr>
            </w:pPr>
            <w:r>
              <w:rPr>
                <w:rFonts w:ascii="Arial" w:cs="Arial" w:eastAsia="Arial" w:hAnsi="Arial"/>
                <w:sz w:val="18"/>
                <w:szCs w:val="18"/>
                <w:color w:val="auto"/>
              </w:rPr>
              <w:t>Reorganization Transactions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ARTICLE IV OWNERSHIP AND CAPITAL CONTRIBUTIONS; CAPITAL ACCOUNTS</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4.1   Authorized Units; General Provisions With Respect to Units</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7360" w:type="dxa"/>
            <w:vAlign w:val="bottom"/>
          </w:tcPr>
          <w:p>
            <w:pPr>
              <w:ind w:left="120"/>
              <w:spacing w:after="0"/>
              <w:rPr>
                <w:sz w:val="20"/>
                <w:szCs w:val="20"/>
                <w:color w:val="auto"/>
              </w:rPr>
            </w:pPr>
            <w:r>
              <w:rPr>
                <w:rFonts w:ascii="Arial" w:cs="Arial" w:eastAsia="Arial" w:hAnsi="Arial"/>
                <w:sz w:val="18"/>
                <w:szCs w:val="18"/>
                <w:color w:val="auto"/>
              </w:rPr>
              <w:t>Voting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4.3   Capital Contributions; Unit Ownership</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4.4</w:t>
            </w:r>
          </w:p>
        </w:tc>
        <w:tc>
          <w:tcPr>
            <w:tcW w:w="7360" w:type="dxa"/>
            <w:vAlign w:val="bottom"/>
          </w:tcPr>
          <w:p>
            <w:pPr>
              <w:ind w:left="120"/>
              <w:spacing w:after="0"/>
              <w:rPr>
                <w:sz w:val="20"/>
                <w:szCs w:val="20"/>
                <w:color w:val="auto"/>
              </w:rPr>
            </w:pPr>
            <w:r>
              <w:rPr>
                <w:rFonts w:ascii="Arial" w:cs="Arial" w:eastAsia="Arial" w:hAnsi="Arial"/>
                <w:sz w:val="18"/>
                <w:szCs w:val="18"/>
                <w:color w:val="auto"/>
              </w:rPr>
              <w:t>Capital Accounts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4.5</w:t>
            </w:r>
          </w:p>
        </w:tc>
        <w:tc>
          <w:tcPr>
            <w:tcW w:w="7360" w:type="dxa"/>
            <w:vAlign w:val="bottom"/>
          </w:tcPr>
          <w:p>
            <w:pPr>
              <w:ind w:left="120"/>
              <w:spacing w:after="0"/>
              <w:rPr>
                <w:sz w:val="20"/>
                <w:szCs w:val="20"/>
                <w:color w:val="auto"/>
              </w:rPr>
            </w:pPr>
            <w:r>
              <w:rPr>
                <w:rFonts w:ascii="Arial" w:cs="Arial" w:eastAsia="Arial" w:hAnsi="Arial"/>
                <w:sz w:val="18"/>
                <w:szCs w:val="18"/>
                <w:color w:val="auto"/>
              </w:rPr>
              <w:t>Other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4.6   Redemption of Units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ARTICLE V ALLOCATIONS OF PROFITS AND LOSSES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5.1   Profits and Losses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5.2</w:t>
            </w:r>
          </w:p>
        </w:tc>
        <w:tc>
          <w:tcPr>
            <w:tcW w:w="7360" w:type="dxa"/>
            <w:vAlign w:val="bottom"/>
          </w:tcPr>
          <w:p>
            <w:pPr>
              <w:ind w:left="120"/>
              <w:spacing w:after="0"/>
              <w:rPr>
                <w:sz w:val="20"/>
                <w:szCs w:val="20"/>
                <w:color w:val="auto"/>
              </w:rPr>
            </w:pPr>
            <w:r>
              <w:rPr>
                <w:rFonts w:ascii="Arial" w:cs="Arial" w:eastAsia="Arial" w:hAnsi="Arial"/>
                <w:sz w:val="18"/>
                <w:szCs w:val="18"/>
                <w:color w:val="auto"/>
              </w:rPr>
              <w:t>Special Allocations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5.3   Allocations for Tax Purposes in General</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5.4   Income Tax Allocations with Respect to Depletable Properties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5.5   Other Allocation Rules</w:t>
            </w:r>
          </w:p>
        </w:tc>
        <w:tc>
          <w:tcPr>
            <w:tcW w:w="2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ARTICLE VI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60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736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7360" w:type="dxa"/>
            <w:vAlign w:val="bottom"/>
          </w:tcPr>
          <w:p>
            <w:pPr>
              <w:ind w:left="120"/>
              <w:spacing w:after="0"/>
              <w:rPr>
                <w:sz w:val="20"/>
                <w:szCs w:val="20"/>
                <w:color w:val="auto"/>
              </w:rPr>
            </w:pPr>
            <w:r>
              <w:rPr>
                <w:rFonts w:ascii="Arial" w:cs="Arial" w:eastAsia="Arial" w:hAnsi="Arial"/>
                <w:sz w:val="18"/>
                <w:szCs w:val="18"/>
                <w:color w:val="auto"/>
              </w:rPr>
              <w:t>Tax-Related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6.3   Distribution Upon Withdrawal</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960" w:type="dxa"/>
            <w:vAlign w:val="bottom"/>
            <w:gridSpan w:val="2"/>
          </w:tcPr>
          <w:p>
            <w:pPr>
              <w:ind w:left="660"/>
              <w:spacing w:after="0"/>
              <w:rPr>
                <w:sz w:val="20"/>
                <w:szCs w:val="20"/>
                <w:color w:val="auto"/>
              </w:rPr>
            </w:pPr>
            <w:r>
              <w:rPr>
                <w:rFonts w:ascii="Arial" w:cs="Arial" w:eastAsia="Arial" w:hAnsi="Arial"/>
                <w:sz w:val="18"/>
                <w:szCs w:val="18"/>
                <w:color w:val="auto"/>
              </w:rPr>
              <w:t>Section 6.4   Issuance of New Equity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ARTICLE VII MANAGEMENT</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7000" w:type="dxa"/>
            <w:vAlign w:val="bottom"/>
          </w:tcPr>
          <w:p>
            <w:pPr>
              <w:ind w:left="80"/>
              <w:spacing w:after="0"/>
              <w:rPr>
                <w:sz w:val="20"/>
                <w:szCs w:val="20"/>
                <w:color w:val="auto"/>
              </w:rPr>
            </w:pPr>
            <w:r>
              <w:rPr>
                <w:rFonts w:ascii="Arial" w:cs="Arial" w:eastAsia="Arial" w:hAnsi="Arial"/>
                <w:sz w:val="18"/>
                <w:szCs w:val="18"/>
                <w:color w:val="auto"/>
              </w:rPr>
              <w:t>The Managing Member; Fiduciary Duties</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7000" w:type="dxa"/>
            <w:vAlign w:val="bottom"/>
          </w:tcPr>
          <w:p>
            <w:pPr>
              <w:ind w:left="80"/>
              <w:spacing w:after="0"/>
              <w:rPr>
                <w:sz w:val="20"/>
                <w:szCs w:val="20"/>
                <w:color w:val="auto"/>
              </w:rPr>
            </w:pPr>
            <w:r>
              <w:rPr>
                <w:rFonts w:ascii="Arial" w:cs="Arial" w:eastAsia="Arial" w:hAnsi="Arial"/>
                <w:sz w:val="18"/>
                <w:szCs w:val="18"/>
                <w:color w:val="auto"/>
              </w:rPr>
              <w:t>Officers</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7000" w:type="dxa"/>
            <w:vAlign w:val="bottom"/>
          </w:tcPr>
          <w:p>
            <w:pPr>
              <w:ind w:left="80"/>
              <w:spacing w:after="0"/>
              <w:rPr>
                <w:sz w:val="20"/>
                <w:szCs w:val="20"/>
                <w:color w:val="auto"/>
              </w:rPr>
            </w:pPr>
            <w:r>
              <w:rPr>
                <w:rFonts w:ascii="Arial" w:cs="Arial" w:eastAsia="Arial" w:hAnsi="Arial"/>
                <w:sz w:val="18"/>
                <w:szCs w:val="18"/>
                <w:color w:val="auto"/>
              </w:rPr>
              <w:t>Warranted Reliance by Officers on Others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700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7.5</w:t>
            </w:r>
          </w:p>
        </w:tc>
        <w:tc>
          <w:tcPr>
            <w:tcW w:w="7000" w:type="dxa"/>
            <w:vAlign w:val="bottom"/>
          </w:tcPr>
          <w:p>
            <w:pPr>
              <w:ind w:left="80"/>
              <w:spacing w:after="0"/>
              <w:rPr>
                <w:sz w:val="20"/>
                <w:szCs w:val="20"/>
                <w:color w:val="auto"/>
              </w:rPr>
            </w:pPr>
            <w:r>
              <w:rPr>
                <w:rFonts w:ascii="Arial" w:cs="Arial" w:eastAsia="Arial" w:hAnsi="Arial"/>
                <w:sz w:val="18"/>
                <w:szCs w:val="18"/>
                <w:color w:val="auto"/>
              </w:rPr>
              <w:t>Maintenance of Insurance or Other Financial Arrangements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7.6</w:t>
            </w:r>
          </w:p>
        </w:tc>
        <w:tc>
          <w:tcPr>
            <w:tcW w:w="7000" w:type="dxa"/>
            <w:vAlign w:val="bottom"/>
          </w:tcPr>
          <w:p>
            <w:pPr>
              <w:ind w:left="80"/>
              <w:spacing w:after="0"/>
              <w:rPr>
                <w:sz w:val="20"/>
                <w:szCs w:val="20"/>
                <w:color w:val="auto"/>
              </w:rPr>
            </w:pPr>
            <w:r>
              <w:rPr>
                <w:rFonts w:ascii="Arial" w:cs="Arial" w:eastAsia="Arial" w:hAnsi="Arial"/>
                <w:sz w:val="18"/>
                <w:szCs w:val="18"/>
                <w:color w:val="auto"/>
              </w:rPr>
              <w:t>Resignation or Termination of Managing Member</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7.7</w:t>
            </w:r>
          </w:p>
        </w:tc>
        <w:tc>
          <w:tcPr>
            <w:tcW w:w="7000" w:type="dxa"/>
            <w:vAlign w:val="bottom"/>
          </w:tcPr>
          <w:p>
            <w:pPr>
              <w:ind w:left="80"/>
              <w:spacing w:after="0"/>
              <w:rPr>
                <w:sz w:val="20"/>
                <w:szCs w:val="20"/>
                <w:color w:val="auto"/>
              </w:rPr>
            </w:pPr>
            <w:r>
              <w:rPr>
                <w:rFonts w:ascii="Arial" w:cs="Arial" w:eastAsia="Arial" w:hAnsi="Arial"/>
                <w:sz w:val="18"/>
                <w:szCs w:val="18"/>
                <w:color w:val="auto"/>
              </w:rPr>
              <w:t>No Inconsistent Obligations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7.8</w:t>
            </w:r>
          </w:p>
        </w:tc>
        <w:tc>
          <w:tcPr>
            <w:tcW w:w="7000" w:type="dxa"/>
            <w:vAlign w:val="bottom"/>
          </w:tcPr>
          <w:p>
            <w:pPr>
              <w:ind w:left="80"/>
              <w:spacing w:after="0"/>
              <w:rPr>
                <w:sz w:val="20"/>
                <w:szCs w:val="20"/>
                <w:color w:val="auto"/>
              </w:rPr>
            </w:pPr>
            <w:r>
              <w:rPr>
                <w:rFonts w:ascii="Arial" w:cs="Arial" w:eastAsia="Arial" w:hAnsi="Arial"/>
                <w:sz w:val="18"/>
                <w:szCs w:val="18"/>
                <w:color w:val="auto"/>
              </w:rPr>
              <w:t>Reclassification Events of PubCo</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rPr>
              <w:t>Section 7.9</w:t>
            </w:r>
          </w:p>
        </w:tc>
        <w:tc>
          <w:tcPr>
            <w:tcW w:w="7000" w:type="dxa"/>
            <w:vAlign w:val="bottom"/>
          </w:tcPr>
          <w:p>
            <w:pPr>
              <w:ind w:left="80"/>
              <w:spacing w:after="0"/>
              <w:rPr>
                <w:sz w:val="20"/>
                <w:szCs w:val="20"/>
                <w:color w:val="auto"/>
              </w:rPr>
            </w:pPr>
            <w:r>
              <w:rPr>
                <w:rFonts w:ascii="Arial" w:cs="Arial" w:eastAsia="Arial" w:hAnsi="Arial"/>
                <w:sz w:val="18"/>
                <w:szCs w:val="18"/>
                <w:color w:val="auto"/>
              </w:rPr>
              <w:t>Certain Costs and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ARTICLE VIII ROLE OF MEMBERS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7000" w:type="dxa"/>
            <w:vAlign w:val="bottom"/>
          </w:tcPr>
          <w:p>
            <w:pPr>
              <w:ind w:left="80"/>
              <w:spacing w:after="0"/>
              <w:rPr>
                <w:sz w:val="20"/>
                <w:szCs w:val="20"/>
                <w:color w:val="auto"/>
              </w:rPr>
            </w:pPr>
            <w:r>
              <w:rPr>
                <w:rFonts w:ascii="Arial" w:cs="Arial" w:eastAsia="Arial" w:hAnsi="Arial"/>
                <w:sz w:val="18"/>
                <w:szCs w:val="18"/>
                <w:color w:val="auto"/>
              </w:rPr>
              <w:t>Rights or Powers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7000" w:type="dxa"/>
            <w:vAlign w:val="bottom"/>
          </w:tcPr>
          <w:p>
            <w:pPr>
              <w:ind w:left="80"/>
              <w:spacing w:after="0"/>
              <w:rPr>
                <w:sz w:val="20"/>
                <w:szCs w:val="20"/>
                <w:color w:val="auto"/>
              </w:rPr>
            </w:pPr>
            <w:r>
              <w:rPr>
                <w:rFonts w:ascii="Arial" w:cs="Arial" w:eastAsia="Arial" w:hAnsi="Arial"/>
                <w:sz w:val="18"/>
                <w:szCs w:val="18"/>
                <w:color w:val="auto"/>
              </w:rPr>
              <w:t>Voting</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8.3</w:t>
            </w:r>
          </w:p>
        </w:tc>
        <w:tc>
          <w:tcPr>
            <w:tcW w:w="7000" w:type="dxa"/>
            <w:vAlign w:val="bottom"/>
          </w:tcPr>
          <w:p>
            <w:pPr>
              <w:ind w:left="80"/>
              <w:spacing w:after="0"/>
              <w:rPr>
                <w:sz w:val="20"/>
                <w:szCs w:val="20"/>
                <w:color w:val="auto"/>
              </w:rPr>
            </w:pPr>
            <w:r>
              <w:rPr>
                <w:rFonts w:ascii="Arial" w:cs="Arial" w:eastAsia="Arial" w:hAnsi="Arial"/>
                <w:sz w:val="18"/>
                <w:szCs w:val="18"/>
                <w:color w:val="auto"/>
              </w:rPr>
              <w:t>Various Capacities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rPr>
              <w:t>Section 8.4</w:t>
            </w:r>
          </w:p>
        </w:tc>
        <w:tc>
          <w:tcPr>
            <w:tcW w:w="7000" w:type="dxa"/>
            <w:vAlign w:val="bottom"/>
          </w:tcPr>
          <w:p>
            <w:pPr>
              <w:ind w:left="80"/>
              <w:spacing w:after="0"/>
              <w:rPr>
                <w:sz w:val="20"/>
                <w:szCs w:val="20"/>
                <w:color w:val="auto"/>
              </w:rPr>
            </w:pPr>
            <w:r>
              <w:rPr>
                <w:rFonts w:ascii="Arial" w:cs="Arial" w:eastAsia="Arial" w:hAnsi="Arial"/>
                <w:sz w:val="18"/>
                <w:szCs w:val="18"/>
                <w:color w:val="auto"/>
              </w:rPr>
              <w:t>Investment Opportunities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ARTICLE IX TRANSFERS OF INTERESTS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7000" w:type="dxa"/>
            <w:vAlign w:val="bottom"/>
          </w:tcPr>
          <w:p>
            <w:pPr>
              <w:ind w:left="80"/>
              <w:spacing w:after="0"/>
              <w:rPr>
                <w:sz w:val="20"/>
                <w:szCs w:val="20"/>
                <w:color w:val="auto"/>
              </w:rPr>
            </w:pPr>
            <w:r>
              <w:rPr>
                <w:rFonts w:ascii="Arial" w:cs="Arial" w:eastAsia="Arial" w:hAnsi="Arial"/>
                <w:sz w:val="18"/>
                <w:szCs w:val="18"/>
                <w:color w:val="auto"/>
              </w:rPr>
              <w:t>Restrictions on Transfer</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7000" w:type="dxa"/>
            <w:vAlign w:val="bottom"/>
          </w:tcPr>
          <w:p>
            <w:pPr>
              <w:ind w:left="80"/>
              <w:spacing w:after="0"/>
              <w:rPr>
                <w:sz w:val="20"/>
                <w:szCs w:val="20"/>
                <w:color w:val="auto"/>
              </w:rPr>
            </w:pPr>
            <w:r>
              <w:rPr>
                <w:rFonts w:ascii="Arial" w:cs="Arial" w:eastAsia="Arial" w:hAnsi="Arial"/>
                <w:sz w:val="18"/>
                <w:szCs w:val="18"/>
                <w:color w:val="auto"/>
              </w:rPr>
              <w:t>Notice of Transfer</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9.3</w:t>
            </w:r>
          </w:p>
        </w:tc>
        <w:tc>
          <w:tcPr>
            <w:tcW w:w="7000" w:type="dxa"/>
            <w:vAlign w:val="bottom"/>
          </w:tcPr>
          <w:p>
            <w:pPr>
              <w:ind w:left="80"/>
              <w:spacing w:after="0"/>
              <w:rPr>
                <w:sz w:val="20"/>
                <w:szCs w:val="20"/>
                <w:color w:val="auto"/>
              </w:rPr>
            </w:pPr>
            <w:r>
              <w:rPr>
                <w:rFonts w:ascii="Arial" w:cs="Arial" w:eastAsia="Arial" w:hAnsi="Arial"/>
                <w:sz w:val="18"/>
                <w:szCs w:val="18"/>
                <w:color w:val="auto"/>
              </w:rPr>
              <w:t>Transferee Members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rPr>
              <w:t>Section 9.4</w:t>
            </w:r>
          </w:p>
        </w:tc>
        <w:tc>
          <w:tcPr>
            <w:tcW w:w="7000" w:type="dxa"/>
            <w:vAlign w:val="bottom"/>
          </w:tcPr>
          <w:p>
            <w:pPr>
              <w:ind w:left="80"/>
              <w:spacing w:after="0"/>
              <w:rPr>
                <w:sz w:val="20"/>
                <w:szCs w:val="20"/>
                <w:color w:val="auto"/>
              </w:rPr>
            </w:pPr>
            <w:r>
              <w:rPr>
                <w:rFonts w:ascii="Arial" w:cs="Arial" w:eastAsia="Arial" w:hAnsi="Arial"/>
                <w:sz w:val="18"/>
                <w:szCs w:val="18"/>
                <w:color w:val="auto"/>
              </w:rPr>
              <w:t>Legend</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ARTICLE X ACCOUNTING; CERTAIN TAX MATTERS</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10.1</w:t>
            </w:r>
          </w:p>
        </w:tc>
        <w:tc>
          <w:tcPr>
            <w:tcW w:w="7000" w:type="dxa"/>
            <w:vAlign w:val="bottom"/>
          </w:tcPr>
          <w:p>
            <w:pPr>
              <w:ind w:left="80"/>
              <w:spacing w:after="0"/>
              <w:rPr>
                <w:sz w:val="20"/>
                <w:szCs w:val="20"/>
                <w:color w:val="auto"/>
              </w:rPr>
            </w:pPr>
            <w:r>
              <w:rPr>
                <w:rFonts w:ascii="Arial" w:cs="Arial" w:eastAsia="Arial" w:hAnsi="Arial"/>
                <w:sz w:val="18"/>
                <w:szCs w:val="18"/>
                <w:color w:val="auto"/>
              </w:rPr>
              <w:t>Books of Account</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10.2</w:t>
            </w:r>
          </w:p>
        </w:tc>
        <w:tc>
          <w:tcPr>
            <w:tcW w:w="7000" w:type="dxa"/>
            <w:vAlign w:val="bottom"/>
          </w:tcPr>
          <w:p>
            <w:pPr>
              <w:ind w:left="80"/>
              <w:spacing w:after="0"/>
              <w:rPr>
                <w:sz w:val="20"/>
                <w:szCs w:val="20"/>
                <w:color w:val="auto"/>
              </w:rPr>
            </w:pPr>
            <w:r>
              <w:rPr>
                <w:rFonts w:ascii="Arial" w:cs="Arial" w:eastAsia="Arial" w:hAnsi="Arial"/>
                <w:sz w:val="18"/>
                <w:szCs w:val="18"/>
                <w:color w:val="auto"/>
              </w:rPr>
              <w:t>Tax Elections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10.3</w:t>
            </w:r>
          </w:p>
        </w:tc>
        <w:tc>
          <w:tcPr>
            <w:tcW w:w="7000" w:type="dxa"/>
            <w:vAlign w:val="bottom"/>
          </w:tcPr>
          <w:p>
            <w:pPr>
              <w:ind w:left="80"/>
              <w:spacing w:after="0"/>
              <w:rPr>
                <w:sz w:val="20"/>
                <w:szCs w:val="20"/>
                <w:color w:val="auto"/>
              </w:rPr>
            </w:pPr>
            <w:r>
              <w:rPr>
                <w:rFonts w:ascii="Arial" w:cs="Arial" w:eastAsia="Arial" w:hAnsi="Arial"/>
                <w:sz w:val="18"/>
                <w:szCs w:val="18"/>
                <w:color w:val="auto"/>
              </w:rPr>
              <w:t>Tax Returns; Information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10.4</w:t>
            </w:r>
          </w:p>
        </w:tc>
        <w:tc>
          <w:tcPr>
            <w:tcW w:w="7000" w:type="dxa"/>
            <w:vAlign w:val="bottom"/>
          </w:tcPr>
          <w:p>
            <w:pPr>
              <w:ind w:left="80"/>
              <w:spacing w:after="0"/>
              <w:rPr>
                <w:sz w:val="20"/>
                <w:szCs w:val="20"/>
                <w:color w:val="auto"/>
              </w:rPr>
            </w:pPr>
            <w:r>
              <w:rPr>
                <w:rFonts w:ascii="Arial" w:cs="Arial" w:eastAsia="Arial" w:hAnsi="Arial"/>
                <w:sz w:val="18"/>
                <w:szCs w:val="18"/>
                <w:color w:val="auto"/>
              </w:rPr>
              <w:t>Company Representative</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10.5</w:t>
            </w:r>
          </w:p>
        </w:tc>
        <w:tc>
          <w:tcPr>
            <w:tcW w:w="7000" w:type="dxa"/>
            <w:vAlign w:val="bottom"/>
          </w:tcPr>
          <w:p>
            <w:pPr>
              <w:ind w:left="80"/>
              <w:spacing w:after="0"/>
              <w:rPr>
                <w:sz w:val="20"/>
                <w:szCs w:val="20"/>
                <w:color w:val="auto"/>
              </w:rPr>
            </w:pPr>
            <w:r>
              <w:rPr>
                <w:rFonts w:ascii="Arial" w:cs="Arial" w:eastAsia="Arial" w:hAnsi="Arial"/>
                <w:sz w:val="18"/>
                <w:szCs w:val="18"/>
                <w:color w:val="auto"/>
              </w:rPr>
              <w:t>Withholding Tax Payments and Obligations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ARTICLE XI DISSOLUTION AND 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11.1</w:t>
            </w:r>
          </w:p>
        </w:tc>
        <w:tc>
          <w:tcPr>
            <w:tcW w:w="7000" w:type="dxa"/>
            <w:vAlign w:val="bottom"/>
          </w:tcPr>
          <w:p>
            <w:pPr>
              <w:ind w:left="80"/>
              <w:spacing w:after="0"/>
              <w:rPr>
                <w:sz w:val="20"/>
                <w:szCs w:val="20"/>
                <w:color w:val="auto"/>
              </w:rPr>
            </w:pPr>
            <w:r>
              <w:rPr>
                <w:rFonts w:ascii="Arial" w:cs="Arial" w:eastAsia="Arial" w:hAnsi="Arial"/>
                <w:sz w:val="18"/>
                <w:szCs w:val="18"/>
                <w:color w:val="auto"/>
              </w:rPr>
              <w:t>Liquidating Events</w:t>
            </w:r>
          </w:p>
        </w:tc>
        <w:tc>
          <w:tcPr>
            <w:tcW w:w="2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11.2</w:t>
            </w:r>
          </w:p>
        </w:tc>
        <w:tc>
          <w:tcPr>
            <w:tcW w:w="7000" w:type="dxa"/>
            <w:vAlign w:val="bottom"/>
          </w:tcPr>
          <w:p>
            <w:pPr>
              <w:ind w:left="80"/>
              <w:spacing w:after="0"/>
              <w:rPr>
                <w:sz w:val="20"/>
                <w:szCs w:val="20"/>
                <w:color w:val="auto"/>
              </w:rPr>
            </w:pPr>
            <w:r>
              <w:rPr>
                <w:rFonts w:ascii="Arial" w:cs="Arial" w:eastAsia="Arial" w:hAnsi="Arial"/>
                <w:sz w:val="18"/>
                <w:szCs w:val="18"/>
                <w:color w:val="auto"/>
              </w:rPr>
              <w:t>Bankruptcy</w:t>
            </w:r>
          </w:p>
        </w:tc>
        <w:tc>
          <w:tcPr>
            <w:tcW w:w="2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11.3</w:t>
            </w:r>
          </w:p>
        </w:tc>
        <w:tc>
          <w:tcPr>
            <w:tcW w:w="7000" w:type="dxa"/>
            <w:vAlign w:val="bottom"/>
          </w:tcPr>
          <w:p>
            <w:pPr>
              <w:ind w:left="80"/>
              <w:spacing w:after="0"/>
              <w:rPr>
                <w:sz w:val="20"/>
                <w:szCs w:val="20"/>
                <w:color w:val="auto"/>
              </w:rPr>
            </w:pPr>
            <w:r>
              <w:rPr>
                <w:rFonts w:ascii="Arial" w:cs="Arial" w:eastAsia="Arial" w:hAnsi="Arial"/>
                <w:sz w:val="18"/>
                <w:szCs w:val="18"/>
                <w:color w:val="auto"/>
              </w:rPr>
              <w:t>Procedure</w:t>
            </w:r>
          </w:p>
        </w:tc>
        <w:tc>
          <w:tcPr>
            <w:tcW w:w="2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11.4</w:t>
            </w:r>
          </w:p>
        </w:tc>
        <w:tc>
          <w:tcPr>
            <w:tcW w:w="7000" w:type="dxa"/>
            <w:vAlign w:val="bottom"/>
          </w:tcPr>
          <w:p>
            <w:pPr>
              <w:ind w:left="80"/>
              <w:spacing w:after="0"/>
              <w:rPr>
                <w:sz w:val="20"/>
                <w:szCs w:val="20"/>
                <w:color w:val="auto"/>
              </w:rPr>
            </w:pPr>
            <w:r>
              <w:rPr>
                <w:rFonts w:ascii="Arial" w:cs="Arial" w:eastAsia="Arial" w:hAnsi="Arial"/>
                <w:sz w:val="18"/>
                <w:szCs w:val="18"/>
                <w:color w:val="auto"/>
              </w:rPr>
              <w:t>Rights of Members</w:t>
            </w:r>
          </w:p>
        </w:tc>
        <w:tc>
          <w:tcPr>
            <w:tcW w:w="2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11.5</w:t>
            </w:r>
          </w:p>
        </w:tc>
        <w:tc>
          <w:tcPr>
            <w:tcW w:w="7000" w:type="dxa"/>
            <w:vAlign w:val="bottom"/>
          </w:tcPr>
          <w:p>
            <w:pPr>
              <w:ind w:left="80"/>
              <w:spacing w:after="0"/>
              <w:rPr>
                <w:sz w:val="20"/>
                <w:szCs w:val="20"/>
                <w:color w:val="auto"/>
              </w:rPr>
            </w:pPr>
            <w:r>
              <w:rPr>
                <w:rFonts w:ascii="Arial" w:cs="Arial" w:eastAsia="Arial" w:hAnsi="Arial"/>
                <w:sz w:val="18"/>
                <w:szCs w:val="18"/>
                <w:color w:val="auto"/>
              </w:rPr>
              <w:t>Notices of Dissolution</w:t>
            </w:r>
          </w:p>
        </w:tc>
        <w:tc>
          <w:tcPr>
            <w:tcW w:w="2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11.6</w:t>
            </w:r>
          </w:p>
        </w:tc>
        <w:tc>
          <w:tcPr>
            <w:tcW w:w="7000" w:type="dxa"/>
            <w:vAlign w:val="bottom"/>
          </w:tcPr>
          <w:p>
            <w:pPr>
              <w:ind w:left="80"/>
              <w:spacing w:after="0"/>
              <w:rPr>
                <w:sz w:val="20"/>
                <w:szCs w:val="20"/>
                <w:color w:val="auto"/>
              </w:rPr>
            </w:pPr>
            <w:r>
              <w:rPr>
                <w:rFonts w:ascii="Arial" w:cs="Arial" w:eastAsia="Arial" w:hAnsi="Arial"/>
                <w:sz w:val="18"/>
                <w:szCs w:val="18"/>
                <w:color w:val="auto"/>
              </w:rPr>
              <w:t>Reasonable Time for Winding Up</w:t>
            </w:r>
          </w:p>
        </w:tc>
        <w:tc>
          <w:tcPr>
            <w:tcW w:w="2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11.7</w:t>
            </w:r>
          </w:p>
        </w:tc>
        <w:tc>
          <w:tcPr>
            <w:tcW w:w="7000" w:type="dxa"/>
            <w:vAlign w:val="bottom"/>
          </w:tcPr>
          <w:p>
            <w:pPr>
              <w:ind w:left="80"/>
              <w:spacing w:after="0"/>
              <w:rPr>
                <w:sz w:val="20"/>
                <w:szCs w:val="20"/>
                <w:color w:val="auto"/>
              </w:rPr>
            </w:pPr>
            <w:r>
              <w:rPr>
                <w:rFonts w:ascii="Arial" w:cs="Arial" w:eastAsia="Arial" w:hAnsi="Arial"/>
                <w:sz w:val="18"/>
                <w:szCs w:val="18"/>
                <w:color w:val="auto"/>
              </w:rPr>
              <w:t>No Deficit Restoration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ARTICLE XII GENERAL</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12.1</w:t>
            </w:r>
          </w:p>
        </w:tc>
        <w:tc>
          <w:tcPr>
            <w:tcW w:w="7000" w:type="dxa"/>
            <w:vAlign w:val="bottom"/>
          </w:tcPr>
          <w:p>
            <w:pPr>
              <w:ind w:left="80"/>
              <w:spacing w:after="0"/>
              <w:rPr>
                <w:sz w:val="20"/>
                <w:szCs w:val="20"/>
                <w:color w:val="auto"/>
              </w:rPr>
            </w:pPr>
            <w:r>
              <w:rPr>
                <w:rFonts w:ascii="Arial" w:cs="Arial" w:eastAsia="Arial" w:hAnsi="Arial"/>
                <w:sz w:val="18"/>
                <w:szCs w:val="18"/>
                <w:color w:val="auto"/>
              </w:rPr>
              <w:t>Amendments; Waivers</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12.2</w:t>
            </w:r>
          </w:p>
        </w:tc>
        <w:tc>
          <w:tcPr>
            <w:tcW w:w="700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12.3</w:t>
            </w:r>
          </w:p>
        </w:tc>
        <w:tc>
          <w:tcPr>
            <w:tcW w:w="700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12.4</w:t>
            </w:r>
          </w:p>
        </w:tc>
        <w:tc>
          <w:tcPr>
            <w:tcW w:w="7000" w:type="dxa"/>
            <w:vAlign w:val="bottom"/>
          </w:tcPr>
          <w:p>
            <w:pPr>
              <w:ind w:left="80"/>
              <w:spacing w:after="0"/>
              <w:rPr>
                <w:sz w:val="20"/>
                <w:szCs w:val="20"/>
                <w:color w:val="auto"/>
              </w:rPr>
            </w:pPr>
            <w:r>
              <w:rPr>
                <w:rFonts w:ascii="Arial" w:cs="Arial" w:eastAsia="Arial" w:hAnsi="Arial"/>
                <w:sz w:val="18"/>
                <w:szCs w:val="18"/>
                <w:color w:val="auto"/>
              </w:rPr>
              <w:t>Certain Representations by Members</w:t>
            </w:r>
          </w:p>
        </w:tc>
        <w:tc>
          <w:tcPr>
            <w:tcW w:w="27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w w:val="95"/>
              </w:rPr>
              <w:t>Section 12.5</w:t>
            </w:r>
          </w:p>
        </w:tc>
        <w:tc>
          <w:tcPr>
            <w:tcW w:w="700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12.6</w:t>
            </w:r>
          </w:p>
        </w:tc>
        <w:tc>
          <w:tcPr>
            <w:tcW w:w="6320" w:type="dxa"/>
            <w:vAlign w:val="bottom"/>
          </w:tcPr>
          <w:p>
            <w:pPr>
              <w:ind w:left="40"/>
              <w:spacing w:after="0"/>
              <w:rPr>
                <w:sz w:val="20"/>
                <w:szCs w:val="20"/>
                <w:color w:val="auto"/>
              </w:rPr>
            </w:pPr>
            <w:r>
              <w:rPr>
                <w:rFonts w:ascii="Arial" w:cs="Arial" w:eastAsia="Arial" w:hAnsi="Arial"/>
                <w:sz w:val="18"/>
                <w:szCs w:val="18"/>
                <w:color w:val="auto"/>
              </w:rPr>
              <w:t>Rights of Members Independent</w:t>
            </w:r>
          </w:p>
        </w:tc>
        <w:tc>
          <w:tcPr>
            <w:tcW w:w="3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12.7</w:t>
            </w:r>
          </w:p>
        </w:tc>
        <w:tc>
          <w:tcPr>
            <w:tcW w:w="632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3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12.8</w:t>
            </w:r>
          </w:p>
        </w:tc>
        <w:tc>
          <w:tcPr>
            <w:tcW w:w="6320" w:type="dxa"/>
            <w:vAlign w:val="bottom"/>
          </w:tcPr>
          <w:p>
            <w:pPr>
              <w:ind w:left="40"/>
              <w:spacing w:after="0"/>
              <w:rPr>
                <w:sz w:val="20"/>
                <w:szCs w:val="20"/>
                <w:color w:val="auto"/>
              </w:rPr>
            </w:pPr>
            <w:r>
              <w:rPr>
                <w:rFonts w:ascii="Arial" w:cs="Arial" w:eastAsia="Arial" w:hAnsi="Arial"/>
                <w:sz w:val="18"/>
                <w:szCs w:val="18"/>
                <w:color w:val="auto"/>
              </w:rPr>
              <w:t>Jurisdiction and Venue</w:t>
            </w:r>
          </w:p>
        </w:tc>
        <w:tc>
          <w:tcPr>
            <w:tcW w:w="3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12.9</w:t>
            </w:r>
          </w:p>
        </w:tc>
        <w:tc>
          <w:tcPr>
            <w:tcW w:w="6320" w:type="dxa"/>
            <w:vAlign w:val="bottom"/>
          </w:tcPr>
          <w:p>
            <w:pPr>
              <w:ind w:left="40"/>
              <w:spacing w:after="0"/>
              <w:rPr>
                <w:sz w:val="20"/>
                <w:szCs w:val="20"/>
                <w:color w:val="auto"/>
              </w:rPr>
            </w:pPr>
            <w:r>
              <w:rPr>
                <w:rFonts w:ascii="Arial" w:cs="Arial" w:eastAsia="Arial" w:hAnsi="Arial"/>
                <w:sz w:val="18"/>
                <w:szCs w:val="18"/>
                <w:color w:val="auto"/>
              </w:rPr>
              <w:t>Headings</w:t>
            </w:r>
          </w:p>
        </w:tc>
        <w:tc>
          <w:tcPr>
            <w:tcW w:w="3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0"/>
              </w:rPr>
              <w:t>Section 12.10</w:t>
            </w:r>
          </w:p>
        </w:tc>
        <w:tc>
          <w:tcPr>
            <w:tcW w:w="632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0"/>
              </w:rPr>
              <w:t>Section 12.11</w:t>
            </w:r>
          </w:p>
        </w:tc>
        <w:tc>
          <w:tcPr>
            <w:tcW w:w="6320" w:type="dxa"/>
            <w:vAlign w:val="bottom"/>
          </w:tcPr>
          <w:p>
            <w:pPr>
              <w:ind w:left="40"/>
              <w:spacing w:after="0"/>
              <w:rPr>
                <w:sz w:val="20"/>
                <w:szCs w:val="20"/>
                <w:color w:val="auto"/>
              </w:rPr>
            </w:pPr>
            <w:r>
              <w:rPr>
                <w:rFonts w:ascii="Arial" w:cs="Arial" w:eastAsia="Arial" w:hAnsi="Arial"/>
                <w:sz w:val="18"/>
                <w:szCs w:val="18"/>
                <w:color w:val="auto"/>
              </w:rPr>
              <w:t>Notices</w:t>
            </w:r>
          </w:p>
        </w:tc>
        <w:tc>
          <w:tcPr>
            <w:tcW w:w="3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0"/>
              </w:rPr>
              <w:t>Section 12.12</w:t>
            </w:r>
          </w:p>
        </w:tc>
        <w:tc>
          <w:tcPr>
            <w:tcW w:w="6320" w:type="dxa"/>
            <w:vAlign w:val="bottom"/>
          </w:tcPr>
          <w:p>
            <w:pPr>
              <w:ind w:left="40"/>
              <w:spacing w:after="0"/>
              <w:rPr>
                <w:sz w:val="20"/>
                <w:szCs w:val="20"/>
                <w:color w:val="auto"/>
              </w:rPr>
            </w:pPr>
            <w:r>
              <w:rPr>
                <w:rFonts w:ascii="Arial" w:cs="Arial" w:eastAsia="Arial" w:hAnsi="Arial"/>
                <w:sz w:val="18"/>
                <w:szCs w:val="18"/>
                <w:color w:val="auto"/>
              </w:rPr>
              <w:t>Representation By Counsel; Interpretation</w:t>
            </w:r>
          </w:p>
        </w:tc>
        <w:tc>
          <w:tcPr>
            <w:tcW w:w="3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0"/>
              </w:rPr>
              <w:t>Section 12.13</w:t>
            </w:r>
          </w:p>
        </w:tc>
        <w:tc>
          <w:tcPr>
            <w:tcW w:w="632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0"/>
              </w:rPr>
              <w:t>Section 12.14</w:t>
            </w:r>
          </w:p>
        </w:tc>
        <w:tc>
          <w:tcPr>
            <w:tcW w:w="63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0"/>
              </w:rPr>
              <w:t>Section 12.15</w:t>
            </w:r>
          </w:p>
        </w:tc>
        <w:tc>
          <w:tcPr>
            <w:tcW w:w="632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3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0"/>
              </w:rPr>
              <w:t>Section 12.16</w:t>
            </w:r>
          </w:p>
        </w:tc>
        <w:tc>
          <w:tcPr>
            <w:tcW w:w="6320" w:type="dxa"/>
            <w:vAlign w:val="bottom"/>
          </w:tcPr>
          <w:p>
            <w:pPr>
              <w:ind w:left="40"/>
              <w:spacing w:after="0"/>
              <w:rPr>
                <w:sz w:val="20"/>
                <w:szCs w:val="20"/>
                <w:color w:val="auto"/>
              </w:rPr>
            </w:pPr>
            <w:r>
              <w:rPr>
                <w:rFonts w:ascii="Arial" w:cs="Arial" w:eastAsia="Arial" w:hAnsi="Arial"/>
                <w:sz w:val="18"/>
                <w:szCs w:val="18"/>
                <w:color w:val="auto"/>
              </w:rPr>
              <w:t>No Third Party Beneficiaries</w:t>
            </w:r>
          </w:p>
        </w:tc>
        <w:tc>
          <w:tcPr>
            <w:tcW w:w="342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12"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INTERMEDIATE LLC</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AMENDED AND RESTATED LIMITED LIABILITY COMPANY AGREEMENT (as amended, supplemented or restated from time to time,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February 4, 2019, by and among New Fortress Intermediate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New Fortress Energy LLC, a Delaware limited liability company (“</w:t>
      </w:r>
      <w:r>
        <w:rPr>
          <w:rFonts w:ascii="Arial" w:cs="Arial" w:eastAsia="Arial" w:hAnsi="Arial"/>
          <w:sz w:val="18"/>
          <w:szCs w:val="18"/>
          <w:u w:val="single" w:color="auto"/>
          <w:color w:val="auto"/>
        </w:rPr>
        <w:t>PubCo</w:t>
      </w:r>
      <w:r>
        <w:rPr>
          <w:rFonts w:ascii="Arial" w:cs="Arial" w:eastAsia="Arial" w:hAnsi="Arial"/>
          <w:sz w:val="18"/>
          <w:szCs w:val="18"/>
          <w:color w:val="auto"/>
        </w:rPr>
        <w:t>”), NFE Sub LLC, a Delaware limited liability company (“</w:t>
      </w:r>
      <w:r>
        <w:rPr>
          <w:rFonts w:ascii="Arial" w:cs="Arial" w:eastAsia="Arial" w:hAnsi="Arial"/>
          <w:sz w:val="18"/>
          <w:szCs w:val="18"/>
          <w:b w:val="1"/>
          <w:bCs w:val="1"/>
          <w:u w:val="single" w:color="auto"/>
          <w:color w:val="auto"/>
        </w:rPr>
        <w:t>NFE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Sub</w:t>
      </w:r>
      <w:r>
        <w:rPr>
          <w:rFonts w:ascii="Arial" w:cs="Arial" w:eastAsia="Arial" w:hAnsi="Arial"/>
          <w:sz w:val="18"/>
          <w:szCs w:val="18"/>
          <w:color w:val="auto"/>
        </w:rPr>
        <w:t>”), and each other Person who is or at any time becomes a Member in accordance with the terms of this Agreement and the Act. Capitalized terms used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herein and not otherwise defined have the respective meanings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formed pursuant to a Certificate of Formation filed in the office of the Secretary of State of the State of Delaware on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18, 2019 and was originally governed by a Limited Liability Company Agreement effective as of January 18, 2019 (the “</w:t>
      </w:r>
      <w:r>
        <w:rPr>
          <w:rFonts w:ascii="Arial" w:cs="Arial" w:eastAsia="Arial" w:hAnsi="Arial"/>
          <w:sz w:val="18"/>
          <w:szCs w:val="18"/>
          <w:b w:val="1"/>
          <w:bCs w:val="1"/>
          <w:u w:val="single" w:color="auto"/>
          <w:color w:val="auto"/>
        </w:rPr>
        <w:t>Existing LLC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the Members of the Company consist of New Fortress Energy Holdings and NFE Sub;</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NFE Sub is a wholly owned subsidiary of PubCo;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the Company shall be recapitalized;</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contemplated that PubCo will, subject to the approval of its board of directors, issue 20,000,000 Class A Shares to the public for</w:t>
      </w:r>
      <w:r>
        <w:rPr>
          <w:rFonts w:ascii="Arial" w:cs="Arial" w:eastAsia="Arial" w:hAnsi="Arial"/>
          <w:sz w:val="18"/>
          <w:szCs w:val="18"/>
          <w:b w:val="1"/>
          <w:bCs w:val="1"/>
          <w:color w:val="auto"/>
        </w:rPr>
        <w:t xml:space="preserve"> </w:t>
      </w:r>
      <w:r>
        <w:rPr>
          <w:rFonts w:ascii="Arial" w:cs="Arial" w:eastAsia="Arial" w:hAnsi="Arial"/>
          <w:sz w:val="18"/>
          <w:szCs w:val="18"/>
          <w:color w:val="auto"/>
        </w:rPr>
        <w:t>cash in the initial underwritten public offering of its limited liability company interests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if the IPO is consummated, (i) PubCo will contribute all of the net proceeds received by it from the IPO and Class B Shares to NFE</w:t>
      </w:r>
      <w:r>
        <w:rPr>
          <w:rFonts w:ascii="Arial" w:cs="Arial" w:eastAsia="Arial" w:hAnsi="Arial"/>
          <w:sz w:val="17"/>
          <w:szCs w:val="17"/>
          <w:b w:val="1"/>
          <w:bCs w:val="1"/>
          <w:color w:val="auto"/>
        </w:rPr>
        <w:t xml:space="preserve"> </w:t>
      </w:r>
      <w:r>
        <w:rPr>
          <w:rFonts w:ascii="Arial" w:cs="Arial" w:eastAsia="Arial" w:hAnsi="Arial"/>
          <w:sz w:val="17"/>
          <w:szCs w:val="17"/>
          <w:color w:val="auto"/>
        </w:rPr>
        <w:t>Sub and (ii) NFE Sub will in turn contribute to the Company all of such net proceeds of the IPO and Class B Shares in exchange for a number of Units equal to the number of Class A Shares issued in the IPO and the Company will then distribute such Class B Shares to New Fortress Energy Holdings;</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Unit (other than any Unit held by the PubCo Holdings Group) may be redeemed, at the election of the holder of such Unit</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the surrender and delivery by such holder of one Class B Share), for one Class A Share in accordance with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0" w:name="page161"/>
    <w:bookmarkEnd w:id="160"/>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Members of the Company desire that NFE Sub become the sole managing Member of the Company (in its capacity as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as well as in any other capacity, the “</w:t>
      </w:r>
      <w:r>
        <w:rPr>
          <w:rFonts w:ascii="Arial" w:cs="Arial" w:eastAsia="Arial" w:hAnsi="Arial"/>
          <w:sz w:val="18"/>
          <w:szCs w:val="18"/>
          <w:b w:val="1"/>
          <w:bCs w:val="1"/>
          <w:u w:val="single" w:color="auto"/>
          <w:color w:val="auto"/>
        </w:rPr>
        <w:t>Managing Member</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Members of the Company desire to amend and restate the Existing LLC Agreement and adopt this Agreement;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shall supersede the Existing LLC Agreement in its entirety as of the date hereof.</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and intending to be legally bound, the Existing LLC Agreement is hereby amended and restated and the parties hereby agree as follows: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7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and the Schedules and Exhibits attached to this Agreement, the following definitions shall apply: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5% Holder</w:t>
      </w:r>
      <w:r>
        <w:rPr>
          <w:rFonts w:ascii="Arial" w:cs="Arial" w:eastAsia="Arial" w:hAnsi="Arial"/>
          <w:sz w:val="18"/>
          <w:szCs w:val="18"/>
          <w:color w:val="auto"/>
        </w:rPr>
        <w:t>” means any Member that is a 5% Owner.</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5% Owner</w:t>
      </w:r>
      <w:r>
        <w:rPr>
          <w:rFonts w:ascii="Arial" w:cs="Arial" w:eastAsia="Arial" w:hAnsi="Arial"/>
          <w:sz w:val="18"/>
          <w:szCs w:val="18"/>
          <w:color w:val="auto"/>
        </w:rPr>
        <w:t>” means any Person that (i) together with its Affiliates, directly or indirectly, has a pecuniary interest in at least five percent (5%) of the Units outstanding at the time of the IPO (other than through PubCo), except for any member of the PubCo Holdings Group, or (ii) is an Additional Permitted Transferee.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10b5-1 Plan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4.6(b)(i)(E)</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10b5-1 Plan Redemption</w:t>
      </w:r>
      <w:r>
        <w:rPr>
          <w:rFonts w:ascii="Arial" w:cs="Arial" w:eastAsia="Arial" w:hAnsi="Arial"/>
          <w:sz w:val="18"/>
          <w:szCs w:val="18"/>
          <w:color w:val="auto"/>
        </w:rPr>
        <w:t xml:space="preserve">” means a Redemption pursuant to </w:t>
      </w:r>
      <w:r>
        <w:rPr>
          <w:rFonts w:ascii="Arial" w:cs="Arial" w:eastAsia="Arial" w:hAnsi="Arial"/>
          <w:sz w:val="18"/>
          <w:szCs w:val="18"/>
          <w:u w:val="single" w:color="auto"/>
          <w:color w:val="auto"/>
        </w:rPr>
        <w:t>Section 4.6(b)(i)(E)</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10b5-1 Plan Redemption Date</w:t>
      </w:r>
      <w:r>
        <w:rPr>
          <w:rFonts w:ascii="Arial" w:cs="Arial" w:eastAsia="Arial" w:hAnsi="Arial"/>
          <w:sz w:val="18"/>
          <w:szCs w:val="18"/>
          <w:color w:val="auto"/>
        </w:rPr>
        <w:t xml:space="preserve">” means the first Business Day of each calendar month in the twelve (12) month period with respect to which any Eligible Member exercises a Redemption right under </w:t>
      </w:r>
      <w:r>
        <w:rPr>
          <w:rFonts w:ascii="Arial" w:cs="Arial" w:eastAsia="Arial" w:hAnsi="Arial"/>
          <w:sz w:val="18"/>
          <w:szCs w:val="18"/>
          <w:u w:val="single" w:color="auto"/>
          <w:color w:val="auto"/>
        </w:rPr>
        <w:t>Section 4.6(b)(i)(E)</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10b5-1 Plan Redemption Right Exercise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4.6(b)(i)(E)</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means the Delaware Limited Liability Company Act, 6 Del. C. § 18-101, et seq., as amended from time to time (or any corresponding provisions of succeeding Law).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Action</w:t>
      </w:r>
      <w:r>
        <w:rPr>
          <w:rFonts w:ascii="Arial" w:cs="Arial" w:eastAsia="Arial" w:hAnsi="Arial"/>
          <w:sz w:val="18"/>
          <w:szCs w:val="18"/>
          <w:color w:val="auto"/>
        </w:rPr>
        <w:t>” means any claim, action, suit, arbitration, inquiry, proceeding or investigation by or before any Governmental Entity.</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Additional Permitted Transferee</w:t>
      </w:r>
      <w:r>
        <w:rPr>
          <w:rFonts w:ascii="Arial" w:cs="Arial" w:eastAsia="Arial" w:hAnsi="Arial"/>
          <w:sz w:val="17"/>
          <w:szCs w:val="17"/>
          <w:color w:val="auto"/>
        </w:rPr>
        <w:t xml:space="preserve">” means a trust or family limited partnership (i) established by or for the benefit of any Person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of “5% Owner” and (ii) of which only such Person and his or her immediate family members are beneficiaries or partners.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Adjusted Basis</w:t>
      </w:r>
      <w:r>
        <w:rPr>
          <w:rFonts w:ascii="Arial" w:cs="Arial" w:eastAsia="Arial" w:hAnsi="Arial"/>
          <w:sz w:val="18"/>
          <w:szCs w:val="18"/>
          <w:color w:val="auto"/>
        </w:rPr>
        <w:t>” has the meaning given such term in Section 1011 of the Code.</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Additional Tax Distribution Amount</w:t>
      </w:r>
      <w:r>
        <w:rPr>
          <w:rFonts w:ascii="Arial" w:cs="Arial" w:eastAsia="Arial" w:hAnsi="Arial"/>
          <w:sz w:val="18"/>
          <w:szCs w:val="18"/>
          <w:color w:val="auto"/>
        </w:rPr>
        <w:t xml:space="preserve">” means, for a Member with respect to a Tax Distribution Date, an amount equal to the excess (not to be less than zero) of (A) such Member’s Assumed Tax Liability for the last Fiscal Year ending prior to such Tax Distribution Date (in the case of any Tax Distribution Date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thereof) or an estimate of such Member’s Assumed Tax Liability as of the end of the quarterly portion of a Fiscal Year ending immediately prior to such Tax Distribution Date (in the case of any Tax Distribution Date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(x) all distributions previously made to such Member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during such Fiscal Year, (y) all distributions previously made to such Member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with respect to such Fiscal Year, and (z) any distribution reasonably expected to be made to such Member pursuant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at least five (5) Business Days prior to the due date for the payment of taxes with respect to such Tax Distribution Date that is taken into account in the determination of available cash for purposes of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For purposes of this definition, each distribution under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shall first be considered to have been made in the prior Fiscal Year to the extent (i) such distribution is made before the Tax Distribution Date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thereof with respect to such prior Fiscal Year and (ii) the amount distributable on such Tax Distribution Date is otherwise positive for any Member.</w:t>
      </w:r>
    </w:p>
    <w:p>
      <w:pPr>
        <w:spacing w:after="0" w:line="22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Adjusted Capital Account Deficit</w:t>
      </w:r>
      <w:r>
        <w:rPr>
          <w:rFonts w:ascii="Arial" w:cs="Arial" w:eastAsia="Arial" w:hAnsi="Arial"/>
          <w:sz w:val="18"/>
          <w:szCs w:val="18"/>
          <w:color w:val="auto"/>
        </w:rPr>
        <w:t>” means the deficit balance, if any, in such Member’s Capital Account at the end of any Fiscal Year or other taxable period, with the following adjustments:</w:t>
      </w:r>
    </w:p>
    <w:p>
      <w:pPr>
        <w:spacing w:after="0" w:line="193" w:lineRule="exact"/>
        <w:rPr>
          <w:sz w:val="20"/>
          <w:szCs w:val="20"/>
          <w:color w:val="auto"/>
        </w:rPr>
      </w:pPr>
    </w:p>
    <w:p>
      <w:pPr>
        <w:jc w:val="both"/>
        <w:ind w:left="1300" w:hanging="644"/>
        <w:spacing w:after="0" w:line="312" w:lineRule="auto"/>
        <w:tabs>
          <w:tab w:leader="none" w:pos="13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credit to such Capital Account any amount that such Member is obligated to restore under Treasury Regulations Section 1.704-1(b)(2)(ii) (</w:t>
      </w:r>
      <w:r>
        <w:rPr>
          <w:rFonts w:ascii="Arial" w:cs="Arial" w:eastAsia="Arial" w:hAnsi="Arial"/>
          <w:sz w:val="16"/>
          <w:szCs w:val="16"/>
          <w:i w:val="1"/>
          <w:iCs w:val="1"/>
          <w:color w:val="auto"/>
        </w:rPr>
        <w:t>c</w:t>
      </w:r>
      <w:r>
        <w:rPr>
          <w:rFonts w:ascii="Arial" w:cs="Arial" w:eastAsia="Arial" w:hAnsi="Arial"/>
          <w:sz w:val="16"/>
          <w:szCs w:val="16"/>
          <w:color w:val="auto"/>
        </w:rPr>
        <w:t>), as well as any addition thereto pursuant to the next to last sentences of Treasury Regulations Sections 1.704-2(g)(1) and 1.704-2(i)(5) after taking into account thereunder any changes during such year in Company Minimum Gain and Member Minimum Gain; and</w:t>
      </w:r>
    </w:p>
    <w:p>
      <w:pPr>
        <w:spacing w:after="0" w:line="173" w:lineRule="exact"/>
        <w:rPr>
          <w:rFonts w:ascii="Arial" w:cs="Arial" w:eastAsia="Arial" w:hAnsi="Arial"/>
          <w:sz w:val="16"/>
          <w:szCs w:val="16"/>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Treasury Regulations Sections 1.704-1(b)(2)(ii)(</w:t>
      </w:r>
      <w:r>
        <w:rPr>
          <w:rFonts w:ascii="Arial" w:cs="Arial" w:eastAsia="Arial" w:hAnsi="Arial"/>
          <w:sz w:val="18"/>
          <w:szCs w:val="18"/>
          <w:i w:val="1"/>
          <w:iCs w:val="1"/>
          <w:color w:val="auto"/>
        </w:rPr>
        <w:t>d</w:t>
      </w:r>
      <w:r>
        <w:rPr>
          <w:rFonts w:ascii="Arial" w:cs="Arial" w:eastAsia="Arial" w:hAnsi="Arial"/>
          <w:sz w:val="18"/>
          <w:szCs w:val="18"/>
          <w:color w:val="auto"/>
        </w:rPr>
        <w:t>)(4), (5) and (6).</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definition of Adjusted Capital Account Deficit is intended to comply with the provisions of Treasury Regulations Section 1.704-1(b)(2)(ii)(</w:t>
      </w:r>
      <w:r>
        <w:rPr>
          <w:rFonts w:ascii="Arial" w:cs="Arial" w:eastAsia="Arial" w:hAnsi="Arial"/>
          <w:sz w:val="18"/>
          <w:szCs w:val="18"/>
          <w:i w:val="1"/>
          <w:iCs w:val="1"/>
          <w:color w:val="auto"/>
        </w:rPr>
        <w:t>d</w:t>
      </w:r>
      <w:r>
        <w:rPr>
          <w:rFonts w:ascii="Arial" w:cs="Arial" w:eastAsia="Arial" w:hAnsi="Arial"/>
          <w:sz w:val="18"/>
          <w:szCs w:val="18"/>
          <w:color w:val="auto"/>
        </w:rPr>
        <w:t>) and shall be interpreted consistently therewith.</w:t>
      </w:r>
    </w:p>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Person. For these purposes, “control” means the possession, direct or indirect, of the power to direct or cause the direction of the management and policies of such Person, whether through the ownership of voting securities, by contract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Agreement, (a) no Member shall be deemed an Affiliate of the Company or any of its Subsidiaries and (b) none of the Company or any of its Subsidiaries shall be deemed an Affiliate of any Member.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defined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Block Redemption</w:t>
      </w:r>
      <w:r>
        <w:rPr>
          <w:rFonts w:ascii="Arial" w:cs="Arial" w:eastAsia="Arial" w:hAnsi="Arial"/>
          <w:sz w:val="18"/>
          <w:szCs w:val="18"/>
          <w:color w:val="auto"/>
        </w:rPr>
        <w:t xml:space="preserve">” means a Redemption pursuant to </w:t>
      </w:r>
      <w:r>
        <w:rPr>
          <w:rFonts w:ascii="Arial" w:cs="Arial" w:eastAsia="Arial" w:hAnsi="Arial"/>
          <w:sz w:val="18"/>
          <w:szCs w:val="18"/>
          <w:u w:val="single" w:color="auto"/>
          <w:color w:val="auto"/>
        </w:rPr>
        <w:t>Section 4.6(b)(i)(D)</w:t>
      </w:r>
      <w:r>
        <w:rPr>
          <w:rFonts w:ascii="Arial" w:cs="Arial" w:eastAsia="Arial" w:hAnsi="Arial"/>
          <w:sz w:val="18"/>
          <w:szCs w:val="18"/>
          <w:color w:val="auto"/>
        </w:rPr>
        <w:t>.</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Assumed Tax Liability</w:t>
      </w:r>
      <w:r>
        <w:rPr>
          <w:rFonts w:ascii="Arial" w:cs="Arial" w:eastAsia="Arial" w:hAnsi="Arial"/>
          <w:sz w:val="16"/>
          <w:szCs w:val="16"/>
          <w:color w:val="auto"/>
        </w:rPr>
        <w:t>” means, with respect to any Member for any Fiscal Year or other taxable period shorter than a Fiscal Year, the product of</w:t>
      </w:r>
    </w:p>
    <w:p>
      <w:pPr>
        <w:spacing w:after="0" w:line="50" w:lineRule="exact"/>
        <w:rPr>
          <w:sz w:val="20"/>
          <w:szCs w:val="20"/>
          <w:color w:val="auto"/>
        </w:rPr>
      </w:pPr>
    </w:p>
    <w:p>
      <w:pPr>
        <w:jc w:val="both"/>
        <w:ind w:firstLine="8"/>
        <w:spacing w:after="0" w:line="281" w:lineRule="auto"/>
        <w:tabs>
          <w:tab w:leader="none" w:pos="25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U.S. federal taxable income (other than taxable income incurred in connection with the receipt of a guaranteed payment for services by such Member or the Redemption or Transfer of any Units held by such Member) allocated by the Company to such Member in such Fiscal Year or other taxable period, less the U.S. federal taxable loss allocated by the Company to such Member in such Fiscal Year or other taxable period (taking into account for purposes of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 xml:space="preserve">, (x) adjustments and allocations under Sections 704(c), 734 and 743 of the Code, (y) items determined at the Member level with respect to Depletable Properties owned by the Company, as if such items were allocated at the Company level and (z) any applicable limitations on the deductibility of capital losses);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highest applicable U.S. federal, state and local income tax rate (including any tax rate imposed on “net investment income” by Section 1411 of the Code and taking into account any applicable deduction under Section 199A of the Code) applicable to an individual or, if higher, a corporation, resident in New York, New York, with respect to the character of U.S. federal taxable income or loss allocated by the Company to such Member (e.g., capital gains or losses, dividends, ordinary income, etc.) during such Fiscal Year or other taxable period. NFI Holdings, in consultation with the Company Representative, shall reasonably determine the Assumed Tax Liability for each Member based on such assumptions and adjustments as NFI Holdings, in consultation with the Company Representative, deems necessary or appropriate, including adjustments on account of the resolution of tax audits.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beneficial owner</w:t>
      </w:r>
      <w:r>
        <w:rPr>
          <w:rFonts w:ascii="Arial" w:cs="Arial" w:eastAsia="Arial" w:hAnsi="Arial"/>
          <w:sz w:val="18"/>
          <w:szCs w:val="18"/>
          <w:color w:val="auto"/>
        </w:rPr>
        <w:t>” shall be as defined in Rule 13d-3 of the rules promulgated under the Exchange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Block Redemption</w:t>
      </w:r>
      <w:r>
        <w:rPr>
          <w:rFonts w:ascii="Arial" w:cs="Arial" w:eastAsia="Arial" w:hAnsi="Arial"/>
          <w:sz w:val="18"/>
          <w:szCs w:val="18"/>
          <w:color w:val="auto"/>
        </w:rPr>
        <w:t xml:space="preserve">” means a Redemption pursuant to </w:t>
      </w:r>
      <w:r>
        <w:rPr>
          <w:rFonts w:ascii="Arial" w:cs="Arial" w:eastAsia="Arial" w:hAnsi="Arial"/>
          <w:sz w:val="18"/>
          <w:szCs w:val="18"/>
          <w:u w:val="single" w:color="auto"/>
          <w:color w:val="auto"/>
        </w:rPr>
        <w:t>Section 4.6(b)(i)(B)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PubCo.</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Opportunities Exempt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Call Election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4.6(f)(ii)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Call Right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4.6(f)(i)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Capital Account</w:t>
      </w:r>
      <w:r>
        <w:rPr>
          <w:rFonts w:ascii="Arial" w:cs="Arial" w:eastAsia="Arial" w:hAnsi="Arial"/>
          <w:sz w:val="17"/>
          <w:szCs w:val="17"/>
          <w:color w:val="auto"/>
        </w:rPr>
        <w:t xml:space="preserve">” means, with respect to any Member, the Capital Account maintained for such Member in accordance with </w:t>
      </w:r>
      <w:r>
        <w:rPr>
          <w:rFonts w:ascii="Arial" w:cs="Arial" w:eastAsia="Arial" w:hAnsi="Arial"/>
          <w:sz w:val="17"/>
          <w:szCs w:val="17"/>
          <w:u w:val="single" w:color="auto"/>
          <w:color w:val="auto"/>
        </w:rPr>
        <w:t>Section 4.4</w:t>
      </w:r>
      <w:r>
        <w:rPr>
          <w:rFonts w:ascii="Arial" w:cs="Arial" w:eastAsia="Arial" w:hAnsi="Arial"/>
          <w:sz w:val="17"/>
          <w:szCs w:val="17"/>
          <w:color w:val="auto"/>
        </w:rPr>
        <w:t>.</w:t>
      </w:r>
    </w:p>
    <w:p>
      <w:pPr>
        <w:spacing w:after="0" w:line="2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Capital Contribution</w:t>
      </w:r>
      <w:r>
        <w:rPr>
          <w:rFonts w:ascii="Arial" w:cs="Arial" w:eastAsia="Arial" w:hAnsi="Arial"/>
          <w:sz w:val="17"/>
          <w:szCs w:val="17"/>
          <w:color w:val="auto"/>
        </w:rPr>
        <w:t>” means, with respect to any Member, the amount of cash and the initial Gross Asset Value of any property (other than cash) contributed to the Company by such Member. Any reference to the Capital Contribution of a Member will include any Capital Contributions made by a predecessor holder of such Member’s Units to the extent that such Capital Contribution was made in respect of Units Transferred to such Member.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3" w:name="page164"/>
    <w:bookmarkEnd w:id="163"/>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Election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4.6(d)</w:t>
      </w:r>
      <w:r>
        <w:rPr>
          <w:rFonts w:ascii="Arial" w:cs="Arial" w:eastAsia="Arial" w:hAnsi="Arial"/>
          <w:sz w:val="18"/>
          <w:szCs w:val="18"/>
          <w:color w:val="auto"/>
        </w:rPr>
        <w:t xml:space="preserve"> and shall also include any election by a member of the PubCo Holdings Group to purchase Units for cash pursuant to an exercise of the Call Right set forth in </w:t>
      </w:r>
      <w:r>
        <w:rPr>
          <w:rFonts w:ascii="Arial" w:cs="Arial" w:eastAsia="Arial" w:hAnsi="Arial"/>
          <w:sz w:val="18"/>
          <w:szCs w:val="18"/>
          <w:u w:val="single" w:color="auto"/>
          <w:color w:val="auto"/>
        </w:rPr>
        <w:t>Section 4.6(k)</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Election Amount</w:t>
      </w:r>
      <w:r>
        <w:rPr>
          <w:rFonts w:ascii="Arial" w:cs="Arial" w:eastAsia="Arial" w:hAnsi="Arial"/>
          <w:sz w:val="18"/>
          <w:szCs w:val="18"/>
          <w:color w:val="auto"/>
        </w:rPr>
        <w:t>” means, with respect to a particular Redemption for which a Cash Election has been made, an amount of cash equal to the product of (a) the number of Class A Shares that would have been received in such Redemption if a Cash Election had not been made and (b) the Unit Redemption Price.</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color w:val="auto"/>
        </w:rPr>
        <w:t xml:space="preserve">” means the person appointed as the Chief Executive Officer of the Company by the Managing Member pursuant to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A Shares</w:t>
      </w:r>
      <w:r>
        <w:rPr>
          <w:rFonts w:ascii="Arial" w:cs="Arial" w:eastAsia="Arial" w:hAnsi="Arial"/>
          <w:sz w:val="18"/>
          <w:szCs w:val="18"/>
          <w:color w:val="auto"/>
        </w:rPr>
        <w:t>” means, as applicable, (a) the Class A Shares representing limited liability company interests of PubCo or (b) following any consolidation, merger, reclassification or other similar event involving PubCo, any shares or other securities of PubCo or any other Person or cash or other property that become payable in consideration for the Class A Shares or into which the Class A Shares are exchanged or converted as a result of such consolidation, merger, reclassification or other similar event.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Shares</w:t>
      </w:r>
      <w:r>
        <w:rPr>
          <w:rFonts w:ascii="Arial" w:cs="Arial" w:eastAsia="Arial" w:hAnsi="Arial"/>
          <w:sz w:val="18"/>
          <w:szCs w:val="18"/>
          <w:color w:val="auto"/>
        </w:rPr>
        <w:t>” means, as applicable, (a) the Class B Shares representing limited liability company interests of PubCo or (b) following any consolidation, merger, reclassification or other similar event involving PubCo, any shares or other securities of PubCo or any other Person or cash or other property that become payable in consideration for the Class B Shares or into which the Class B Shares are exchanged or converted as a result of such consolidation, merger, reclassification or other similar event.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 Capital Account Balance</w:t>
      </w:r>
      <w:r>
        <w:rPr>
          <w:rFonts w:ascii="Arial" w:cs="Arial" w:eastAsia="Arial" w:hAnsi="Arial"/>
          <w:sz w:val="18"/>
          <w:szCs w:val="18"/>
          <w:color w:val="auto"/>
        </w:rPr>
        <w:t xml:space="preserve">” means, with respect to any Member, the positive Capital Account balance of such Member as of the date hereof after giving effect to the IPO and related transactions, the amount or deemed value of which will be set forth by the Company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within 180 calendar days following the execution of this Agreement.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means the United States Internal Revenue Code of 1986, as amended from time to time (or any corresponding provisions of succeeding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means the U.S. Securities and Exchange Commission, including any governmental body or agency succeeding to the functions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Level Taxes</w:t>
      </w:r>
      <w:r>
        <w:rPr>
          <w:rFonts w:ascii="Arial" w:cs="Arial" w:eastAsia="Arial" w:hAnsi="Arial"/>
          <w:sz w:val="18"/>
          <w:szCs w:val="18"/>
          <w:color w:val="auto"/>
        </w:rPr>
        <w:t>” means any federal, state, or local taxes, additions to tax, penalties, and interest payable by the Company or any of its Subsidiaries as a result of any examination of the Company’s or any of its Subsidiaries’ affairs by any federal, state, or local tax authorities, including resulting administrative and judicial proceedings under the Partnership Tax Audit Rules.</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Minimum Gain</w:t>
      </w:r>
      <w:r>
        <w:rPr>
          <w:rFonts w:ascii="Arial" w:cs="Arial" w:eastAsia="Arial" w:hAnsi="Arial"/>
          <w:sz w:val="16"/>
          <w:szCs w:val="16"/>
          <w:color w:val="auto"/>
        </w:rPr>
        <w:t>” has the meaning of “partnership minimum gain” set forth in Treasury Regulations Sections 1.704-2(b)(2) and 1.704-2(d). It is further understood that Company Minimum Gain shall be determined in a manner consistent with the rules of Treasury Regulations Section 1.704-</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2(b)(2), including the requirement that if the adjusted Gross Asset Value of property subject to one or more Nonrecourse Liabilities differs from its adjusted tax basis, Company Minimum Gain shall be determined with reference to such Gross Asset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64" w:name="page165"/>
    <w:bookmarkEnd w:id="16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Representative</w:t>
      </w:r>
      <w:r>
        <w:rPr>
          <w:rFonts w:ascii="Arial" w:cs="Arial" w:eastAsia="Arial" w:hAnsi="Arial"/>
          <w:sz w:val="18"/>
          <w:szCs w:val="18"/>
          <w:color w:val="auto"/>
        </w:rPr>
        <w:t xml:space="preserve">” has the meaning assigned to the term “partnership representative” in Section 6223 of the Code and any Treasury Regulations or other administrative or judicial pronouncements promulgated thereunder, as appointed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Contribution Agreement</w:t>
      </w:r>
      <w:r>
        <w:rPr>
          <w:rFonts w:ascii="Arial" w:cs="Arial" w:eastAsia="Arial" w:hAnsi="Arial"/>
          <w:sz w:val="18"/>
          <w:szCs w:val="18"/>
          <w:color w:val="auto"/>
        </w:rPr>
        <w:t>” means that certain Contribution Agreement, dated February 4, 2019, by and among the New Fortress Energy Holdings, NFE Atlantic, PubCo, NFE Sub and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w:t>
      </w:r>
      <w:r>
        <w:rPr>
          <w:rFonts w:ascii="Arial" w:cs="Arial" w:eastAsia="Arial" w:hAnsi="Arial"/>
          <w:sz w:val="18"/>
          <w:szCs w:val="18"/>
          <w:color w:val="auto"/>
        </w:rPr>
        <w:t>” means any written agreement, contract, lease, sublease, license, sublicense, obligation, promise or undertaking.</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(including the terms “controlled by” and “under common control with”), with respect to the relationship between or among two or more Persons, means the possession, directly or indirectly or as trustee, personal representative or executor, of the power to direct or cause the direction of the affairs or management of a Person, whether through the ownership of voting securities, as trustee, personal representative or executor, by contract, credit arrangement or otherwise.</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Covered Audit Adjustment</w:t>
      </w:r>
      <w:r>
        <w:rPr>
          <w:rFonts w:ascii="Arial" w:cs="Arial" w:eastAsia="Arial" w:hAnsi="Arial"/>
          <w:sz w:val="16"/>
          <w:szCs w:val="16"/>
          <w:color w:val="auto"/>
        </w:rPr>
        <w:t>” means an adjustment to any partnership-related item (within the meaning of Section 6241(2)(B) of the Code) to the extent such adjustment results in an “imputed underpayment” as described in Section 6225(b) of the Code or any analogous provision of state or local Law.</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 Securities</w:t>
      </w:r>
      <w:r>
        <w:rPr>
          <w:rFonts w:ascii="Arial" w:cs="Arial" w:eastAsia="Arial" w:hAnsi="Arial"/>
          <w:sz w:val="18"/>
          <w:szCs w:val="18"/>
          <w:color w:val="auto"/>
        </w:rPr>
        <w:t>” means, with respect to PubCo, any and all debt instruments or debt securities that are not convertible or exchangeable into Equity Securities of PubCo.</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Depletable Property</w:t>
      </w:r>
      <w:r>
        <w:rPr>
          <w:rFonts w:ascii="Arial" w:cs="Arial" w:eastAsia="Arial" w:hAnsi="Arial"/>
          <w:sz w:val="18"/>
          <w:szCs w:val="18"/>
          <w:color w:val="auto"/>
        </w:rPr>
        <w:t>” means each separate oil and gas property as defined in Code Section 614.</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Depreciation</w:t>
      </w:r>
      <w:r>
        <w:rPr>
          <w:rFonts w:ascii="Arial" w:cs="Arial" w:eastAsia="Arial" w:hAnsi="Arial"/>
          <w:sz w:val="17"/>
          <w:szCs w:val="17"/>
          <w:color w:val="auto"/>
        </w:rPr>
        <w:t xml:space="preserve">” means, for each Fiscal Year or other taxable period, an amount equal to the depreciation, amortization, or other cost recovery deduction (excluding depletion) allowable with respect to an asset for such Fiscal Year or other taxable period, except that (a) with respect to any such property the Gross Asset Value of which differs from its Adjusted Basis for U.S. federal income tax purposes and which difference is being eliminated by use of the “remedial method” pursuant to Treasury Regulations Section 1.704-3(d), Depreciation for such Fiscal Year or other taxable period shall be the amount of book basis recovered for such Fiscal Year or other taxable period under the rules prescribed by Treasury Regulations Section 1.704-3(d)(2), and (b) with respect to any other such property the Gross Asset Value of which differs from its Adjusted Basis for U.S. federal income tax purposes at the beginning of such Fiscal Year or other taxable period, Depreciation shall be an amount which bears the same ratio to such beginning Gross Asset Value as the federal income tax depreciation, amortization, or other cost recovery deduction for such Fiscal Year or other taxable period bears to such beginning Adjusted Basis;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the Adjusted Basis for U.S. federal income tax purposes of an asset at the beginning of such Fiscal Year or other taxable period is</w:t>
      </w:r>
      <w:r>
        <w:rPr>
          <w:rFonts w:ascii="Arial" w:cs="Arial" w:eastAsia="Arial" w:hAnsi="Arial"/>
          <w:sz w:val="17"/>
          <w:szCs w:val="17"/>
          <w:i w:val="1"/>
          <w:iCs w:val="1"/>
          <w:color w:val="auto"/>
        </w:rPr>
        <w:t xml:space="preserve"> </w:t>
      </w:r>
      <w:r>
        <w:rPr>
          <w:rFonts w:ascii="Arial" w:cs="Arial" w:eastAsia="Arial" w:hAnsi="Arial"/>
          <w:sz w:val="17"/>
          <w:szCs w:val="17"/>
          <w:color w:val="auto"/>
        </w:rPr>
        <w:t>zero, Depreciation with respect to such asset shall be determined with reference to such beginning Gross Asset Value using any reasonable method selected by the Company Representative.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5" w:name="page166"/>
    <w:bookmarkEnd w:id="16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means the General Corporation Law of the State of Delaware, as amended from time to time (or any corresponding provisions of succeeding Law).</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Discount</w:t>
      </w:r>
      <w:r>
        <w:rPr>
          <w:rFonts w:ascii="Arial" w:cs="Arial" w:eastAsia="Arial" w:hAnsi="Arial"/>
          <w:sz w:val="17"/>
          <w:szCs w:val="17"/>
          <w:color w:val="auto"/>
        </w:rPr>
        <w:t>” means any underwriters’ discounts or commissions and brokers’ fees or commissions, including, for the avoidance of doubt, any deferred discounts or commissions and brokers’ fees or commissions payable in connection with or as a result of any Public Offering.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Time</w:t>
      </w:r>
      <w:r>
        <w:rPr>
          <w:rFonts w:ascii="Arial" w:cs="Arial" w:eastAsia="Arial" w:hAnsi="Arial"/>
          <w:sz w:val="18"/>
          <w:szCs w:val="18"/>
          <w:color w:val="auto"/>
        </w:rPr>
        <w:t>” means 12:01 a.m. Central Daylight Time on the date of the initial closing of the IPO.</w:t>
      </w:r>
    </w:p>
    <w:p>
      <w:pPr>
        <w:spacing w:after="0" w:line="25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Eligible Member</w:t>
      </w:r>
      <w:r>
        <w:rPr>
          <w:rFonts w:ascii="Arial" w:cs="Arial" w:eastAsia="Arial" w:hAnsi="Arial"/>
          <w:sz w:val="17"/>
          <w:szCs w:val="17"/>
          <w:color w:val="auto"/>
        </w:rPr>
        <w:t>” means (a) in the case of a Quarterly Redemption, any 5% Holder, any Permitted Transferee thereof that is a 5% Owner, and any other Member permitted by an independent committee of the Board that does not include such other Member; (b) in the case of a Block Redemption, a Piggyback Redemption, or a 10b5-1 Plan Redemption, any 5% Holder, any Permitted Transferee thereof that is a 5% Owner; and (c) in the case of an Annual Block Redemption, any direct or indirect owner of NFI Holdings (or Affiliate thereof) that is a 5% Holder.</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Equity Securities</w:t>
      </w:r>
      <w:r>
        <w:rPr>
          <w:rFonts w:ascii="Arial" w:cs="Arial" w:eastAsia="Arial" w:hAnsi="Arial"/>
          <w:sz w:val="17"/>
          <w:szCs w:val="17"/>
          <w:color w:val="auto"/>
        </w:rPr>
        <w:t>” means (a) with respect to a partnership, limited liability company or similar Person, any and all units, interests, rights to purchase, warrants, options or other equivalents of, or other ownership interests in, any such Person as well as debt or equity instruments convertible, exchangeable or exercisable into any such units, interests, rights or other ownership interests and (b) with respect to a corporation, any and all shares, interests, participation or other equivalents (however designated) of corporate stock, including all common stock and preferred stock, or warrants, options or other rights to acquire any of the foregoing, including any debt instrument convertible or exchangeable into any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Security Act of 1974,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Excess Tax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10.5(c)</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and the rules and regulations promulgated thereunder, as the same may be amended from time to time (or any corresponding provisions of succeeding Law).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LLC Agreement</w:t>
      </w:r>
      <w:r>
        <w:rPr>
          <w:rFonts w:ascii="Arial" w:cs="Arial" w:eastAsia="Arial" w:hAnsi="Arial"/>
          <w:sz w:val="18"/>
          <w:szCs w:val="18"/>
          <w:color w:val="auto"/>
        </w:rPr>
        <w:t>” is defined in the recitals to this Agreement.</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means the fair market value of any property as determined in Good Faith by the Managing Member after taking into account such factors as the Managing Member shall deem appropriate.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Federal Bankruptcy Code</w:t>
      </w:r>
      <w:r>
        <w:rPr>
          <w:rFonts w:ascii="Arial" w:cs="Arial" w:eastAsia="Arial" w:hAnsi="Arial"/>
          <w:sz w:val="18"/>
          <w:szCs w:val="18"/>
          <w:color w:val="auto"/>
        </w:rPr>
        <w:t>” means Title 11 of the United States Code, as amended from time to time, and all rules and regulations promulgated thereunder.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6" w:name="page167"/>
    <w:bookmarkEnd w:id="166"/>
    <w:p>
      <w:pPr>
        <w:ind w:right="20" w:firstLine="70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Fiscal Year</w:t>
      </w:r>
      <w:r>
        <w:rPr>
          <w:rFonts w:ascii="Arial" w:cs="Arial" w:eastAsia="Arial" w:hAnsi="Arial"/>
          <w:sz w:val="16"/>
          <w:szCs w:val="16"/>
          <w:color w:val="auto"/>
        </w:rPr>
        <w:t>” means the fiscal year of the Company, which shall end on December 31 of each calendar year unless, for U.S. federal income tax purposes, another fiscal year is required. The Company shall have the same fiscal year for U.S. federal income tax purposes and for accounting purposes.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U.S. generally accepted accounting principles at the time.</w:t>
      </w:r>
    </w:p>
    <w:p>
      <w:pPr>
        <w:spacing w:after="0" w:line="252"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Faith</w:t>
      </w:r>
      <w:r>
        <w:rPr>
          <w:rFonts w:ascii="Arial" w:cs="Arial" w:eastAsia="Arial" w:hAnsi="Arial"/>
          <w:sz w:val="17"/>
          <w:szCs w:val="17"/>
          <w:color w:val="auto"/>
        </w:rPr>
        <w:t>” means a Person having acted in good faith and in a manner such Person reasonably believed to be in or not opposed to the best interests of the Company, and, with respect to a criminal proceeding, having had no reasonable cause to believe such Person’s conduct was unlawful.</w:t>
      </w:r>
    </w:p>
    <w:p>
      <w:pPr>
        <w:spacing w:after="0" w:line="16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Entity</w:t>
      </w:r>
      <w:r>
        <w:rPr>
          <w:rFonts w:ascii="Arial" w:cs="Arial" w:eastAsia="Arial" w:hAnsi="Arial"/>
          <w:sz w:val="18"/>
          <w:szCs w:val="18"/>
          <w:color w:val="auto"/>
        </w:rPr>
        <w:t>” means any federal, national, supranational, state, provincial, local, foreign or other government, governmental, stock exchange, regulatory or administrative authority, agency or commission or any court, tribunal, or judicial or arbitral body.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Gross Asset Value</w:t>
      </w:r>
      <w:r>
        <w:rPr>
          <w:rFonts w:ascii="Arial" w:cs="Arial" w:eastAsia="Arial" w:hAnsi="Arial"/>
          <w:sz w:val="16"/>
          <w:szCs w:val="16"/>
          <w:color w:val="auto"/>
        </w:rPr>
        <w:t>” means, with respect to any asset, the asset’s Adjusted Basis for U.S. federal income tax purposes (which, in the case of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Depletable Property, shall be determined pursuant to Treasury Regulations Section 1.613A-3(e)(3)(iii)(</w:t>
      </w:r>
      <w:r>
        <w:rPr>
          <w:rFonts w:ascii="Arial" w:cs="Arial" w:eastAsia="Arial" w:hAnsi="Arial"/>
          <w:sz w:val="18"/>
          <w:szCs w:val="18"/>
          <w:i w:val="1"/>
          <w:iCs w:val="1"/>
          <w:color w:val="auto"/>
        </w:rPr>
        <w:t>c</w:t>
      </w:r>
      <w:r>
        <w:rPr>
          <w:rFonts w:ascii="Arial" w:cs="Arial" w:eastAsia="Arial" w:hAnsi="Arial"/>
          <w:sz w:val="18"/>
          <w:szCs w:val="18"/>
          <w:color w:val="auto"/>
        </w:rPr>
        <w:t>)), except as follows:</w:t>
      </w:r>
    </w:p>
    <w:p>
      <w:pPr>
        <w:spacing w:after="0" w:line="238" w:lineRule="exact"/>
        <w:rPr>
          <w:sz w:val="20"/>
          <w:szCs w:val="20"/>
          <w:color w:val="auto"/>
        </w:rPr>
      </w:pPr>
    </w:p>
    <w:p>
      <w:pPr>
        <w:ind w:left="1300" w:right="20" w:hanging="644"/>
        <w:spacing w:after="0" w:line="277"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initial Gross Asset Value of any asset contributed by a Member to the Company shall be the gross Fair Market Value of such asset as of the date of such contribution;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Gross Asset Values of all Company assets shall be adjusted to equal their respective gross Fair Market Values as of the following times:</w:t>
      </w:r>
    </w:p>
    <w:p>
      <w:pPr>
        <w:spacing w:after="0" w:line="46" w:lineRule="exact"/>
        <w:rPr>
          <w:rFonts w:ascii="Arial" w:cs="Arial" w:eastAsia="Arial" w:hAnsi="Arial"/>
          <w:sz w:val="16"/>
          <w:szCs w:val="16"/>
          <w:color w:val="auto"/>
        </w:rPr>
      </w:pPr>
    </w:p>
    <w:p>
      <w:pPr>
        <w:jc w:val="both"/>
        <w:ind w:left="1300" w:firstLine="5"/>
        <w:spacing w:after="0" w:line="285" w:lineRule="auto"/>
        <w:tabs>
          <w:tab w:leader="none" w:pos="1531"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the acquisition of an interest (or additional interest) in the Company by any new or existing Member in exchange for more than a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Capital Contribution to the Company or in exchange for the performance of more than a</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amount of services to or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 of the Company; (ii) the distribution by the Company to a Member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Company assets as consideration for an interest in the Company; (iii) the liquidation of the Company within the meaning of Treasury Regulations Section 1.704-1(b)(2)(ii)(g)(1), (iv) the acquisition of an interest in the Company by any new or existing Member upon the exercise of a noncompensatory option in accordance with Treasury Regulations Section 1.704-1(b)(2)(iv)(</w:t>
      </w:r>
      <w:r>
        <w:rPr>
          <w:rFonts w:ascii="Arial" w:cs="Arial" w:eastAsia="Arial" w:hAnsi="Arial"/>
          <w:sz w:val="16"/>
          <w:szCs w:val="16"/>
          <w:i w:val="1"/>
          <w:iCs w:val="1"/>
          <w:color w:val="auto"/>
        </w:rPr>
        <w:t>s</w:t>
      </w:r>
      <w:r>
        <w:rPr>
          <w:rFonts w:ascii="Arial" w:cs="Arial" w:eastAsia="Arial" w:hAnsi="Arial"/>
          <w:sz w:val="16"/>
          <w:szCs w:val="16"/>
          <w:color w:val="auto"/>
        </w:rPr>
        <w:t>); or (v) any other event to the extent determined by the Company Representative to be permitted and necessary or appropriate to properly reflect Gross Asset Values in accordance with the standards set forth in Treasury Regulations Section 1.704-1(b)(2)(iv)(</w:t>
      </w:r>
      <w:r>
        <w:rPr>
          <w:rFonts w:ascii="Arial" w:cs="Arial" w:eastAsia="Arial" w:hAnsi="Arial"/>
          <w:sz w:val="16"/>
          <w:szCs w:val="16"/>
          <w:i w:val="1"/>
          <w:iCs w:val="1"/>
          <w:color w:val="auto"/>
        </w:rPr>
        <w:t>q</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adjustments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above shall be made only if the Company Representative reasonably determines that such adjustments are necessary or appropriate to reflect the relative economic interests of the Members in the Company. If any noncompensatory options are outstanding upon the occurrence of an event described in clauses </w:t>
      </w:r>
      <w:r>
        <w:rPr>
          <w:rFonts w:ascii="Arial" w:cs="Arial" w:eastAsia="Arial" w:hAnsi="Arial"/>
          <w:sz w:val="16"/>
          <w:szCs w:val="16"/>
          <w:u w:val="single" w:color="auto"/>
          <w:color w:val="auto"/>
        </w:rPr>
        <w:t>(b)(i)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(b)(v)</w:t>
      </w:r>
      <w:r>
        <w:rPr>
          <w:rFonts w:ascii="Arial" w:cs="Arial" w:eastAsia="Arial" w:hAnsi="Arial"/>
          <w:sz w:val="16"/>
          <w:szCs w:val="16"/>
          <w:color w:val="auto"/>
        </w:rPr>
        <w:t xml:space="preserve"> above, the Company shall adjust the Gross Asset Values of its properties in accordance with Treasury Regulations Sections 1.704-1(b)(2)(iv)</w:t>
      </w:r>
      <w:r>
        <w:rPr>
          <w:rFonts w:ascii="Arial" w:cs="Arial" w:eastAsia="Arial" w:hAnsi="Arial"/>
          <w:sz w:val="16"/>
          <w:szCs w:val="16"/>
          <w:i w:val="1"/>
          <w:iCs w:val="1"/>
          <w:color w:val="auto"/>
        </w:rPr>
        <w:t>(f</w:t>
      </w:r>
      <w:r>
        <w:rPr>
          <w:rFonts w:ascii="Arial" w:cs="Arial" w:eastAsia="Arial" w:hAnsi="Arial"/>
          <w:sz w:val="16"/>
          <w:szCs w:val="16"/>
          <w:color w:val="auto"/>
        </w:rPr>
        <w:t>)(1) and 1.704-1(b)(2)(iv)</w:t>
      </w:r>
      <w:r>
        <w:rPr>
          <w:rFonts w:ascii="Arial" w:cs="Arial" w:eastAsia="Arial" w:hAnsi="Arial"/>
          <w:sz w:val="16"/>
          <w:szCs w:val="16"/>
          <w:i w:val="1"/>
          <w:iCs w:val="1"/>
          <w:color w:val="auto"/>
        </w:rPr>
        <w:t>(h</w:t>
      </w:r>
      <w:r>
        <w:rPr>
          <w:rFonts w:ascii="Arial" w:cs="Arial" w:eastAsia="Arial" w:hAnsi="Arial"/>
          <w:sz w:val="16"/>
          <w:szCs w:val="16"/>
          <w:color w:val="auto"/>
        </w:rPr>
        <w:t>)(2);</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7" w:name="page168"/>
    <w:bookmarkEnd w:id="167"/>
    <w:p>
      <w:pPr>
        <w:ind w:left="1300" w:hanging="644"/>
        <w:spacing w:after="0" w:line="277"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Gross Asset Value of any Company asset distributed to any Member shall be adjusted to equal the gross Fair Market Value of such asset on the date of such distribution;</w:t>
      </w:r>
    </w:p>
    <w:p>
      <w:pPr>
        <w:spacing w:after="0" w:line="197"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Gross Asset Values of Company assets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1.704-1(b)(2)(iv)(</w:t>
      </w:r>
      <w:r>
        <w:rPr>
          <w:rFonts w:ascii="Arial" w:cs="Arial" w:eastAsia="Arial" w:hAnsi="Arial"/>
          <w:sz w:val="16"/>
          <w:szCs w:val="16"/>
          <w:i w:val="1"/>
          <w:iCs w:val="1"/>
          <w:color w:val="auto"/>
        </w:rPr>
        <w:t>m</w:t>
      </w:r>
      <w:r>
        <w:rPr>
          <w:rFonts w:ascii="Arial" w:cs="Arial" w:eastAsia="Arial" w:hAnsi="Arial"/>
          <w:sz w:val="16"/>
          <w:szCs w:val="16"/>
          <w:color w:val="auto"/>
        </w:rPr>
        <w:t xml:space="preserve">) and subsection </w:t>
      </w:r>
      <w:r>
        <w:rPr>
          <w:rFonts w:ascii="Arial" w:cs="Arial" w:eastAsia="Arial" w:hAnsi="Arial"/>
          <w:sz w:val="16"/>
          <w:szCs w:val="16"/>
          <w:u w:val="single" w:color="auto"/>
          <w:color w:val="auto"/>
        </w:rPr>
        <w:t>(g)</w:t>
      </w:r>
      <w:r>
        <w:rPr>
          <w:rFonts w:ascii="Arial" w:cs="Arial" w:eastAsia="Arial" w:hAnsi="Arial"/>
          <w:sz w:val="16"/>
          <w:szCs w:val="16"/>
          <w:color w:val="auto"/>
        </w:rPr>
        <w:t xml:space="preserve"> in the definition of “Profits” or “Losses” below or </w:t>
      </w:r>
      <w:r>
        <w:rPr>
          <w:rFonts w:ascii="Arial" w:cs="Arial" w:eastAsia="Arial" w:hAnsi="Arial"/>
          <w:sz w:val="16"/>
          <w:szCs w:val="16"/>
          <w:u w:val="single" w:color="auto"/>
          <w:color w:val="auto"/>
        </w:rPr>
        <w:t>Section 5.2(h)</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Gross Asset Value of a Company asset shall not be adjusted pursuant to this subsection to the extent the Company Representative determines that an adjustment pursuant to subsection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is necessary or appropriate in connection with a transaction that would otherwise result in an adjustment pursuant to this subsection </w:t>
      </w:r>
      <w:r>
        <w:rPr>
          <w:rFonts w:ascii="Arial" w:cs="Arial" w:eastAsia="Arial" w:hAnsi="Arial"/>
          <w:sz w:val="16"/>
          <w:szCs w:val="16"/>
          <w:u w:val="single" w:color="auto"/>
          <w:color w:val="auto"/>
        </w:rPr>
        <w:t>(d)</w:t>
      </w:r>
      <w:r>
        <w:rPr>
          <w:rFonts w:ascii="Arial" w:cs="Arial" w:eastAsia="Arial" w:hAnsi="Arial"/>
          <w:sz w:val="16"/>
          <w:szCs w:val="16"/>
          <w:color w:val="auto"/>
        </w:rPr>
        <w:t>; and</w:t>
      </w:r>
    </w:p>
    <w:p>
      <w:pPr>
        <w:spacing w:after="0" w:line="191"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if the Gross Asset Value of a Company asset has been determined or adjusted pursuant to subsections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definition of Gross Asset Value, such Gross Asset Value shall thereafter be adjusted by the Depreciation taken into account with respect to such asset for purposes of computing Profits, Losses, Simulated Depletion and other items allocated pursuant to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means (a) all indebtedness for borrowed money (including capitalized lease obligations, sale-leaseback transactions or other similar transactions, however evidenced), (b) any other indebtedness that is evidenced by a note, bond, debenture, draft or similar instrument, (c) notes payable and (d) lines of credit and any other agreements relating to the borrowing of money or extension of credit.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8.1(b)</w:t>
      </w:r>
      <w:r>
        <w:rPr>
          <w:rFonts w:ascii="Arial" w:cs="Arial" w:eastAsia="Arial" w:hAnsi="Arial"/>
          <w:sz w:val="18"/>
          <w:szCs w:val="18"/>
          <w:color w:val="auto"/>
        </w:rPr>
        <w:t>.</w:t>
      </w:r>
    </w:p>
    <w:p>
      <w:pPr>
        <w:spacing w:after="0" w:line="2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w:t>
      </w:r>
      <w:r>
        <w:rPr>
          <w:rFonts w:ascii="Arial" w:cs="Arial" w:eastAsia="Arial" w:hAnsi="Arial"/>
          <w:sz w:val="18"/>
          <w:szCs w:val="18"/>
          <w:color w:val="auto"/>
        </w:rPr>
        <w:t>” means the entire interest of a Member in the Company, including the Units and all of such Member’s rights, powers and privileges under this Agreement and the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is defined in the recitals to this Agreement.</w:t>
      </w:r>
    </w:p>
    <w:p>
      <w:pPr>
        <w:spacing w:after="0" w:line="2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Law</w:t>
      </w:r>
      <w:r>
        <w:rPr>
          <w:rFonts w:ascii="Arial" w:cs="Arial" w:eastAsia="Arial" w:hAnsi="Arial"/>
          <w:sz w:val="18"/>
          <w:szCs w:val="18"/>
          <w:color w:val="auto"/>
        </w:rPr>
        <w:t>” means any federal, national, supranational, state, provincial, local or similar statute, law, ordinance, regulation, rule, code, order, requirement or rule of law (including common law).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Legal 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Liability</w:t>
      </w:r>
      <w:r>
        <w:rPr>
          <w:rFonts w:ascii="Arial" w:cs="Arial" w:eastAsia="Arial" w:hAnsi="Arial"/>
          <w:sz w:val="18"/>
          <w:szCs w:val="18"/>
          <w:color w:val="auto"/>
        </w:rPr>
        <w:t>” means any liability or obligation, whether known or unknown, asserted or unasserted, absolute or contingent, accrued or unaccrued, liquidated or unliquidated and whether due or to become due, regardless of when asserted.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Liquidating Event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Managing Member</w:t>
      </w:r>
      <w:r>
        <w:rPr>
          <w:rFonts w:ascii="Arial" w:cs="Arial" w:eastAsia="Arial" w:hAnsi="Arial"/>
          <w:sz w:val="18"/>
          <w:szCs w:val="18"/>
          <w:color w:val="auto"/>
        </w:rPr>
        <w:t>” is defined in the recitals to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w:t>
      </w:r>
      <w:r>
        <w:rPr>
          <w:rFonts w:ascii="Arial" w:cs="Arial" w:eastAsia="Arial" w:hAnsi="Arial"/>
          <w:sz w:val="18"/>
          <w:szCs w:val="18"/>
          <w:color w:val="auto"/>
        </w:rPr>
        <w:t>” means any Person that executes this Agreement as a Member, and any other Person admitted to the Company as an additional or substituted Member, that has not made a disposition of such Person’s entire Interest.</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Member Minimum Gain</w:t>
      </w:r>
      <w:r>
        <w:rPr>
          <w:rFonts w:ascii="Arial" w:cs="Arial" w:eastAsia="Arial" w:hAnsi="Arial"/>
          <w:sz w:val="16"/>
          <w:szCs w:val="16"/>
          <w:color w:val="auto"/>
        </w:rPr>
        <w:t>” has the meaning ascribed to “partner nonrecourse debt minimum gain” set forth in Treasury Regulations Section 1.704-2(i). It is further understood that the determination of Member Minimum Gain and the net increase or decrease in Member Minimum Gain shall be made in the same manner as required for such determination of Company Minimum Gain under Treasury Regulations Sections 1.704-2(d) and 1.704-2(g)(3).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 Nonrecourse Debt</w:t>
      </w:r>
      <w:r>
        <w:rPr>
          <w:rFonts w:ascii="Arial" w:cs="Arial" w:eastAsia="Arial" w:hAnsi="Arial"/>
          <w:sz w:val="18"/>
          <w:szCs w:val="18"/>
          <w:color w:val="auto"/>
        </w:rPr>
        <w:t>” has the meaning of “partner nonrecourse debt” set forth in Treasury Regulations Section 1.704-2(b)(4).</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 Nonrecourse Deductions</w:t>
      </w:r>
      <w:r>
        <w:rPr>
          <w:rFonts w:ascii="Arial" w:cs="Arial" w:eastAsia="Arial" w:hAnsi="Arial"/>
          <w:sz w:val="18"/>
          <w:szCs w:val="18"/>
          <w:color w:val="auto"/>
        </w:rPr>
        <w:t>” has the meaning of “partner nonrecourse deductions” set forth in Treasury Regulations Sections 1.704-2(i)(1) and 1.704-2(i)(2).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National Securities Exchange</w:t>
      </w:r>
      <w:r>
        <w:rPr>
          <w:rFonts w:ascii="Arial" w:cs="Arial" w:eastAsia="Arial" w:hAnsi="Arial"/>
          <w:sz w:val="18"/>
          <w:szCs w:val="18"/>
          <w:color w:val="auto"/>
        </w:rPr>
        <w:t>” means an exchange registered with the Commission under the Exchange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Fortress Energy Holdings</w:t>
      </w:r>
      <w:r>
        <w:rPr>
          <w:rFonts w:ascii="Arial" w:cs="Arial" w:eastAsia="Arial" w:hAnsi="Arial"/>
          <w:sz w:val="18"/>
          <w:szCs w:val="18"/>
          <w:color w:val="auto"/>
        </w:rPr>
        <w:t>” means New Fortress Energy Holdings LLC, a Delaware limited liability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NFE Atlantic</w:t>
      </w:r>
      <w:r>
        <w:rPr>
          <w:rFonts w:ascii="Arial" w:cs="Arial" w:eastAsia="Arial" w:hAnsi="Arial"/>
          <w:sz w:val="18"/>
          <w:szCs w:val="18"/>
          <w:color w:val="auto"/>
        </w:rPr>
        <w:t>” means NFE Atlantic Holdings LLC, a Delaware limited liability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NFE Sub</w:t>
      </w:r>
      <w:r>
        <w:rPr>
          <w:rFonts w:ascii="Arial" w:cs="Arial" w:eastAsia="Arial" w:hAnsi="Arial"/>
          <w:sz w:val="18"/>
          <w:szCs w:val="18"/>
          <w:color w:val="auto"/>
        </w:rPr>
        <w:t>” is defined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NFI Holdings</w:t>
      </w:r>
      <w:r>
        <w:rPr>
          <w:rFonts w:ascii="Arial" w:cs="Arial" w:eastAsia="Arial" w:hAnsi="Arial"/>
          <w:sz w:val="18"/>
          <w:szCs w:val="18"/>
          <w:color w:val="auto"/>
        </w:rPr>
        <w:t>” means NFI E&amp;N Holdings LLC, a Delaware limited liability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Nonrecourse Deductions</w:t>
      </w:r>
      <w:r>
        <w:rPr>
          <w:rFonts w:ascii="Arial" w:cs="Arial" w:eastAsia="Arial" w:hAnsi="Arial"/>
          <w:sz w:val="18"/>
          <w:szCs w:val="18"/>
          <w:color w:val="auto"/>
        </w:rPr>
        <w:t>” has the meaning assigned that term in Treasury Regulations Section 1.704-2(b).</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Nonrecourse Liability</w:t>
      </w:r>
      <w:r>
        <w:rPr>
          <w:rFonts w:ascii="Arial" w:cs="Arial" w:eastAsia="Arial" w:hAnsi="Arial"/>
          <w:sz w:val="18"/>
          <w:szCs w:val="18"/>
          <w:color w:val="auto"/>
        </w:rPr>
        <w:t>” is defined in Treasury Regulations Section 1.704-2(b)(3).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Officer</w:t>
      </w:r>
      <w:r>
        <w:rPr>
          <w:rFonts w:ascii="Arial" w:cs="Arial" w:eastAsia="Arial" w:hAnsi="Arial"/>
          <w:sz w:val="18"/>
          <w:szCs w:val="18"/>
          <w:color w:val="auto"/>
        </w:rPr>
        <w:t xml:space="preserve">” means each Person appointed as an officer of the Company pursuant to and in accordance with the provisions of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5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Option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option to purchase an additional 3,000,000 Class A Shares granted by PubCo to the underwriters for the IPO as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PubCo’s registration statement on Form S-1 (Registration No. 333-228339), initially filed with the Commission on November 9, 2018.</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 Tax Audit Rules</w:t>
      </w:r>
      <w:r>
        <w:rPr>
          <w:rFonts w:ascii="Arial" w:cs="Arial" w:eastAsia="Arial" w:hAnsi="Arial"/>
          <w:sz w:val="18"/>
          <w:szCs w:val="18"/>
          <w:color w:val="auto"/>
        </w:rPr>
        <w:t>” means Sections 6221 through 6241 of the Code, as amended, together with any final or temporary Treasury Regulations, Revenue Rulings, and case law interpreting Sections 6221 through 6241 of the Code, as amended (and any analogous provision of state or local tax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9" w:name="page170"/>
    <w:bookmarkEnd w:id="16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 as well as any syndicate or group that would be deemed to be a person under Section 13(d)(3) of the Exchange Act.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w:t>
      </w:r>
      <w:r>
        <w:rPr>
          <w:rFonts w:ascii="Arial" w:cs="Arial" w:eastAsia="Arial" w:hAnsi="Arial"/>
          <w:sz w:val="18"/>
          <w:szCs w:val="18"/>
          <w:color w:val="auto"/>
        </w:rPr>
        <w:t>” means, with respect to any Member, (i) any Affiliate of such Member, (ii) any partner, shareholder or member of such Member or any successor of such Persons, (iii) any successor entity of such Member, and (iv) any Person established for the benefit of, and beneficially owned solely by, such Member.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Redemption</w:t>
      </w:r>
      <w:r>
        <w:rPr>
          <w:rFonts w:ascii="Arial" w:cs="Arial" w:eastAsia="Arial" w:hAnsi="Arial"/>
          <w:sz w:val="18"/>
          <w:szCs w:val="18"/>
          <w:color w:val="auto"/>
        </w:rPr>
        <w:t xml:space="preserve">” means a Redemption pursuant to </w:t>
      </w:r>
      <w:r>
        <w:rPr>
          <w:rFonts w:ascii="Arial" w:cs="Arial" w:eastAsia="Arial" w:hAnsi="Arial"/>
          <w:sz w:val="18"/>
          <w:szCs w:val="18"/>
          <w:u w:val="single" w:color="auto"/>
          <w:color w:val="auto"/>
        </w:rPr>
        <w:t>Section 4.6(b)(i)(C)</w:t>
      </w:r>
      <w:r>
        <w:rPr>
          <w:rFonts w:ascii="Arial" w:cs="Arial" w:eastAsia="Arial" w:hAnsi="Arial"/>
          <w:sz w:val="18"/>
          <w:szCs w:val="18"/>
          <w:color w:val="auto"/>
        </w:rPr>
        <w:t>.</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Asset Regulations</w:t>
      </w:r>
      <w:r>
        <w:rPr>
          <w:rFonts w:ascii="Arial" w:cs="Arial" w:eastAsia="Arial" w:hAnsi="Arial"/>
          <w:sz w:val="18"/>
          <w:szCs w:val="18"/>
          <w:color w:val="auto"/>
        </w:rPr>
        <w:t>” means the regulations issued by the U.S. Department of Labor at Section 2510.3-101 of Part 2510 of Chapter XXV, Title 29 of the Code of Federal Regulations, or any successor regulations as the same may be amended from time to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Primary B Shares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Prime Rate</w:t>
      </w:r>
      <w:r>
        <w:rPr>
          <w:rFonts w:ascii="Arial" w:cs="Arial" w:eastAsia="Arial" w:hAnsi="Arial"/>
          <w:sz w:val="18"/>
          <w:szCs w:val="18"/>
          <w:color w:val="auto"/>
        </w:rPr>
        <w:t>” means, on any date of determination, a rate per annum equal to the rate of interest most recently published by The Wall Street Journal as the “prime rate” at large U.S. money center banks.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Proceeding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Profits</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Losses</w:t>
      </w:r>
      <w:r>
        <w:rPr>
          <w:rFonts w:ascii="Arial" w:cs="Arial" w:eastAsia="Arial" w:hAnsi="Arial"/>
          <w:sz w:val="17"/>
          <w:szCs w:val="17"/>
          <w:color w:val="auto"/>
        </w:rPr>
        <w:t>” means, for each Fiscal Year or other taxable period, an amount equal to the Company’s taxable income or loss for such year or period,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189" w:lineRule="exact"/>
        <w:rPr>
          <w:sz w:val="20"/>
          <w:szCs w:val="20"/>
          <w:color w:val="auto"/>
        </w:rPr>
      </w:pPr>
    </w:p>
    <w:p>
      <w:pPr>
        <w:ind w:left="1300" w:hanging="644"/>
        <w:spacing w:after="0" w:line="277"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income or gain of the Company that is exempt from U.S. federal income tax and not otherwise taken into account in computing Profits or Losses shall be added to such taxable income or loss;</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expenditures of the Company described in Code Section 705(a)(2)(B) or treated as Code Section 705(a)(2)(B) expenditures pursuant to Treasury Regulations Section 1.704-1(b)(2)(iv)(</w:t>
      </w:r>
      <w:r>
        <w:rPr>
          <w:rFonts w:ascii="Arial" w:cs="Arial" w:eastAsia="Arial" w:hAnsi="Arial"/>
          <w:sz w:val="18"/>
          <w:szCs w:val="18"/>
          <w:i w:val="1"/>
          <w:iCs w:val="1"/>
          <w:color w:val="auto"/>
        </w:rPr>
        <w:t>i</w:t>
      </w:r>
      <w:r>
        <w:rPr>
          <w:rFonts w:ascii="Arial" w:cs="Arial" w:eastAsia="Arial" w:hAnsi="Arial"/>
          <w:sz w:val="18"/>
          <w:szCs w:val="18"/>
          <w:color w:val="auto"/>
        </w:rPr>
        <w:t>), and not otherwise taken into account in computing Profits or Losses, shall be subtracted from such taxable income or loss;</w:t>
      </w:r>
    </w:p>
    <w:p>
      <w:pPr>
        <w:spacing w:after="0" w:line="208"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in the event the Gross Asset Value of any Company asset is adjusted pursuant to subsections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of Gross Asset Value above, the amount of such adjustment shall be treated as an item of gain (if the adjustment increases the Gross Asset Value of the Company asset) or an item of loss (if the adjustment decreases the Gross Asset Value of the Company asset) from the disposition of such asset and shall, except to the extent allocated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be taken into account for purposes of computing Profits or Losses;</w:t>
      </w:r>
    </w:p>
    <w:p>
      <w:pPr>
        <w:spacing w:after="0" w:line="18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gain or loss resulting from any disposition of Company assets (other than Depletable Property) with respect to which gain or loss is recognized for U.S. federal income tax purposes shall be computed with reference to the Gross Asset Value of the asset disposed of, notwithstanding that the adjusted tax basis of such asset differs from its Gross Asset Value;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0" w:name="page171"/>
    <w:bookmarkEnd w:id="170"/>
    <w:p>
      <w:pPr>
        <w:ind w:left="1300" w:hanging="644"/>
        <w:spacing w:after="0" w:line="27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gain resulting from any disposition of Depletable Property with respect to which gain is recognized for U.S. federal income tax purposes shall be treated as being equal to the corresponding Simulated Gain;</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(excluding depletion) taken into account in computing such taxable income or loss, there shall be taken into account Depreciation;</w:t>
      </w:r>
    </w:p>
    <w:p>
      <w:pPr>
        <w:spacing w:after="0" w:line="197"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asset pursuant to Code Section 734(b) is required, pursuant to Treasury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)(4), to be taken into account in determining Capital Account balances as a result of a distribution other than in liquidation of a Member’s interest in the Company, the amount of such adjustment shall be treated as an item of gain (if the adjustment increases the basis of the asset) or an item of loss (if the adjustment decreases such basis) from the disposition of such asset and shall be taken into account for purposes of computing Profits or Losses; and</w:t>
      </w:r>
    </w:p>
    <w:p>
      <w:pPr>
        <w:spacing w:after="0" w:line="21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any items of income, gain, loss or deduction which are specifically allocated pursuant to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not be taken into account in computing Profits or Losses for any taxable year, but such items available to be specially allocated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will be determined by applying rules analogous to those set forth in subparagraphs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above.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Property</w:t>
      </w:r>
      <w:r>
        <w:rPr>
          <w:rFonts w:ascii="Arial" w:cs="Arial" w:eastAsia="Arial" w:hAnsi="Arial"/>
          <w:sz w:val="17"/>
          <w:szCs w:val="17"/>
          <w:color w:val="auto"/>
        </w:rPr>
        <w:t>” means all real and personal property owned by the Company from time to time, including both tangible and intangible property.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PubCo</w:t>
      </w:r>
      <w:r>
        <w:rPr>
          <w:rFonts w:ascii="Arial" w:cs="Arial" w:eastAsia="Arial" w:hAnsi="Arial"/>
          <w:sz w:val="18"/>
          <w:szCs w:val="18"/>
          <w:color w:val="auto"/>
        </w:rPr>
        <w:t>” is defined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PubCo Holdings Group</w:t>
      </w:r>
      <w:r>
        <w:rPr>
          <w:rFonts w:ascii="Arial" w:cs="Arial" w:eastAsia="Arial" w:hAnsi="Arial"/>
          <w:sz w:val="17"/>
          <w:szCs w:val="17"/>
          <w:color w:val="auto"/>
        </w:rPr>
        <w:t>” means PubCo, NFE Sub, and each other Subsidiary of PubCo (other than the Company and its Subsidiaries).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PubCo Shares</w:t>
      </w:r>
      <w:r>
        <w:rPr>
          <w:rFonts w:ascii="Arial" w:cs="Arial" w:eastAsia="Arial" w:hAnsi="Arial"/>
          <w:sz w:val="16"/>
          <w:szCs w:val="16"/>
          <w:color w:val="auto"/>
        </w:rPr>
        <w:t>” means all classes and series of limited liability company interests of PubCo, including the Class A Shares and the Class B Shares.</w:t>
      </w:r>
    </w:p>
    <w:p>
      <w:pPr>
        <w:spacing w:after="0" w:line="2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Public Offering</w:t>
      </w:r>
      <w:r>
        <w:rPr>
          <w:rFonts w:ascii="Arial" w:cs="Arial" w:eastAsia="Arial" w:hAnsi="Arial"/>
          <w:sz w:val="18"/>
          <w:szCs w:val="18"/>
          <w:color w:val="auto"/>
        </w:rPr>
        <w:t>” means an underwritten offering and sale of Equity Securities to the public pursuant to a registration statement, including a “bought” deal or “overnight” public offering.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Quarterly Redemption</w:t>
      </w:r>
      <w:r>
        <w:rPr>
          <w:rFonts w:ascii="Arial" w:cs="Arial" w:eastAsia="Arial" w:hAnsi="Arial"/>
          <w:sz w:val="18"/>
          <w:szCs w:val="18"/>
          <w:color w:val="auto"/>
        </w:rPr>
        <w:t xml:space="preserve">” means a Redemption pursuant to </w:t>
      </w:r>
      <w:r>
        <w:rPr>
          <w:rFonts w:ascii="Arial" w:cs="Arial" w:eastAsia="Arial" w:hAnsi="Arial"/>
          <w:sz w:val="18"/>
          <w:szCs w:val="18"/>
          <w:u w:val="single" w:color="auto"/>
          <w:color w:val="auto"/>
        </w:rPr>
        <w:t>Section 4.6(b)(i)</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Quarterly Redemption Date</w:t>
      </w:r>
      <w:r>
        <w:rPr>
          <w:rFonts w:ascii="Arial" w:cs="Arial" w:eastAsia="Arial" w:hAnsi="Arial"/>
          <w:sz w:val="16"/>
          <w:szCs w:val="16"/>
          <w:color w:val="auto"/>
        </w:rPr>
        <w:t xml:space="preserve">” means the first Business Day of the third calendar month in each calendar quarter, unless otherwise determined by the Board or a committee thereof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Managing Member shall provide written notice to the Members upon the changing of any such date at least twenty (20) calendar days prior to the earlier of the scheduled Quarterly Redemption Date and the new Quarterly Redemption Date, and (b) if any announced date falls on a date that is not a Business Day, the Quarterly Redemption Date shall be the next Business Day.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Reclassification Event</w:t>
      </w:r>
      <w:r>
        <w:rPr>
          <w:rFonts w:ascii="Arial" w:cs="Arial" w:eastAsia="Arial" w:hAnsi="Arial"/>
          <w:sz w:val="18"/>
          <w:szCs w:val="18"/>
          <w:color w:val="auto"/>
        </w:rPr>
        <w:t xml:space="preserve">” means any of the following: (a) any reclassification or recapitalization of PubCo Shares (other than a change in par value, or from par value to no par value, or from no par value to par value, or as a result of a subdivision or combination or any transaction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4.1(g)</w:t>
      </w:r>
      <w:r>
        <w:rPr>
          <w:rFonts w:ascii="Arial" w:cs="Arial" w:eastAsia="Arial" w:hAnsi="Arial"/>
          <w:sz w:val="18"/>
          <w:szCs w:val="18"/>
          <w:color w:val="auto"/>
        </w:rPr>
        <w:t xml:space="preserve">), (b) any merger, consolidation or other combination involving PubCo, or (c) any sale, conveyance, lease, or other disposal of all or substantially all the properties and assets of PubCo to any other Person, in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 result of which holders of PubCo Shares shall be entitled to receive cash, securities or other property for their PubCo Shares.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Redeeming Member</w:t>
      </w:r>
      <w:r>
        <w:rPr>
          <w:rFonts w:ascii="Arial" w:cs="Arial" w:eastAsia="Arial" w:hAnsi="Arial"/>
          <w:sz w:val="17"/>
          <w:szCs w:val="17"/>
          <w:color w:val="auto"/>
        </w:rPr>
        <w:t>” means any Eligible Member and any Tag-Along Member, in each case, participating in a particular Redemption.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 Contingency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4.6(b)(ii)(A)(III)</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 Date</w:t>
      </w:r>
      <w:r>
        <w:rPr>
          <w:rFonts w:ascii="Arial" w:cs="Arial" w:eastAsia="Arial" w:hAnsi="Arial"/>
          <w:sz w:val="18"/>
          <w:szCs w:val="18"/>
          <w:color w:val="auto"/>
        </w:rPr>
        <w:t>” means (a) in the case of a Quarterly Redemption, the Quarterly Redemption Date, (b) in the case of a Block Redemption or an Annual Block Redemption, the date stated in the Redemption Notice or the date on which a Redemption Contingency that is specified in the Redemption Notice is satisfied, (c) in the case of a Piggyback Redemption, the date on which a Redemption Contingency that is specified in the Redemption Notice is satisfied and (d) in the case of a 10b5-1 Plan Redemption, the 10b5-1 Plan Redemption Date.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4.6(b)(ii)(A)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 Notice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4.6(b)(ii)(A)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Regulatory Allocations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5.2(i)</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and the rules and regulations promulgated thereunder, as the same may be amended from time to time (or any corresponding provisions of succeeding Law).</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Shareholders’ Agreement</w:t>
      </w:r>
      <w:r>
        <w:rPr>
          <w:rFonts w:ascii="Arial" w:cs="Arial" w:eastAsia="Arial" w:hAnsi="Arial"/>
          <w:sz w:val="18"/>
          <w:szCs w:val="18"/>
          <w:color w:val="auto"/>
        </w:rPr>
        <w:t>” means that certain Shareholders Agreement, dated February 4, 2019, by and among PubCo and New Fortress Energy Holdings.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Simulated Basis</w:t>
      </w:r>
      <w:r>
        <w:rPr>
          <w:rFonts w:ascii="Arial" w:cs="Arial" w:eastAsia="Arial" w:hAnsi="Arial"/>
          <w:sz w:val="17"/>
          <w:szCs w:val="17"/>
          <w:color w:val="auto"/>
        </w:rPr>
        <w:t xml:space="preserve">” means the Gross Asset Value of any Depletable Property. The Simulated Basis of each Depletable Property shall be allocated to each Member pro rata, in accordance with the number of Units owned by such Member as of the time such Depletable Property is acquired by the Company (and any additions to such Simulated Basis resulting from expenditures required to be capitalized in such Simulated Basis shall be allocated among the Members in a manner designed to cause the Members’ proportionate shares of such Simulated Basis to be in accordance with their proportionate ownership of Units as determined at the time of any such additions), and shall be reallocated among the Members pro rata, in accordance with the number of Units owned by such Member as determined immediately following the occurrence of an event giving rise to an adjustment to the Gross Asset Values of the Company’s Depletable Properties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Gross Asset Value.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2" w:name="page173"/>
    <w:bookmarkEnd w:id="172"/>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Simulated Depletion</w:t>
      </w:r>
      <w:r>
        <w:rPr>
          <w:rFonts w:ascii="Arial" w:cs="Arial" w:eastAsia="Arial" w:hAnsi="Arial"/>
          <w:sz w:val="17"/>
          <w:szCs w:val="17"/>
          <w:color w:val="auto"/>
        </w:rPr>
        <w:t>” means, with respect to each Depletable Property, a depletion allowance computed in accordance with federal income tax principles (as if the Simulated Basis of the property were its Adjusted Basis) and in the manner specified in the Treasury Regulations Section 1.704-1(b)(2) (iv)(k)(2). For purposes of computing Simulated Depletion with respect to any Depletable Property, the Simulated Basis of such property shall be deemed to be the Gross Asset Value of such property, and in no event shall such allowance, in the aggregate, exceed such Simulated Basis.</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Simulated Gain</w:t>
      </w:r>
      <w:r>
        <w:rPr>
          <w:rFonts w:ascii="Arial" w:cs="Arial" w:eastAsia="Arial" w:hAnsi="Arial"/>
          <w:sz w:val="18"/>
          <w:szCs w:val="18"/>
          <w:color w:val="auto"/>
        </w:rPr>
        <w:t>” means the amount of gain realized from the sale or other disposition of Depletable Property as calculated in Treasury Regulations Section 1.704-1(b)(2)(iv)(k)(2).</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Simulated Loss</w:t>
      </w:r>
      <w:r>
        <w:rPr>
          <w:rFonts w:ascii="Arial" w:cs="Arial" w:eastAsia="Arial" w:hAnsi="Arial"/>
          <w:sz w:val="18"/>
          <w:szCs w:val="18"/>
          <w:color w:val="auto"/>
        </w:rPr>
        <w:t>” means the amount of loss realized from the sale or other disposition of Depletable Property as calculated in Treasury Regulations Section 1.704-1(b)(2)(iv)(k)(2).</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means, with respect to any specified Person, any other Person with respect to which such specified Person (a) has, directly or indirectly, the power, through the ownership of securities or otherwise, to elect a majority of directors or similar managing body or (b) beneficially owns, directly or indirectly, a majority of such Person’s Equity Securities.</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Tag-Along Member</w:t>
      </w:r>
      <w:r>
        <w:rPr>
          <w:rFonts w:ascii="Arial" w:cs="Arial" w:eastAsia="Arial" w:hAnsi="Arial"/>
          <w:sz w:val="18"/>
          <w:szCs w:val="18"/>
          <w:color w:val="auto"/>
        </w:rPr>
        <w:t xml:space="preserve">” means, with respect to any Redemption, (a) any Member that is not an Eligible Member and (b) any Eligible Member that does not meet the thresholds set forth in </w:t>
      </w:r>
      <w:r>
        <w:rPr>
          <w:rFonts w:ascii="Arial" w:cs="Arial" w:eastAsia="Arial" w:hAnsi="Arial"/>
          <w:sz w:val="18"/>
          <w:szCs w:val="18"/>
          <w:u w:val="single" w:color="auto"/>
          <w:color w:val="auto"/>
        </w:rPr>
        <w:t>Section 4.6(b)</w:t>
      </w:r>
      <w:r>
        <w:rPr>
          <w:rFonts w:ascii="Arial" w:cs="Arial" w:eastAsia="Arial" w:hAnsi="Arial"/>
          <w:sz w:val="18"/>
          <w:szCs w:val="18"/>
          <w:color w:val="auto"/>
        </w:rPr>
        <w:t xml:space="preserve"> to participate in such Redemption.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Tag-Along Opportunity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4.6(c)</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Contribution Obligation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10.5(c)</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Distribution Date</w:t>
      </w:r>
      <w:r>
        <w:rPr>
          <w:rFonts w:ascii="Arial" w:cs="Arial" w:eastAsia="Arial" w:hAnsi="Arial"/>
          <w:sz w:val="18"/>
          <w:szCs w:val="18"/>
          <w:color w:val="auto"/>
        </w:rPr>
        <w:t>” means any date that is five (5) Business Days prior to (a) each date on which quarterly estimated U.S. federal income tax payments are required to be made by calendar year individual taxpayers and (b) each due date for the U.S. federal income tax return of an individual calendar year taxpayer (without regard to extensions).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Offset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10.5(c)</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Trading Day</w:t>
      </w:r>
      <w:r>
        <w:rPr>
          <w:rFonts w:ascii="Arial" w:cs="Arial" w:eastAsia="Arial" w:hAnsi="Arial"/>
          <w:sz w:val="16"/>
          <w:szCs w:val="16"/>
          <w:color w:val="auto"/>
        </w:rPr>
        <w:t>” means a day on which the New York Stock Exchange or such other principal United States securities exchange on which the Class A Shares are listed or admitted to trading is open for the transaction of business (unless such trading shall have been suspended for the entire day).</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means, when used as a noun, any voluntary or involuntary, direct or indirect (whether through a change of control of the Transferor or any Person that controls the Transferor, the issuance or transfer of Equity Securities of the Transferor, by operation of Law or otherwise), transfer, sale, pledge or hypothecation or other disposition and, when used as a verb, voluntarily or involuntarily, directly or indirectly (whether through a change of control of the Transferor or any Person that controls the Transferor, the issuance or transfer of Equity Securities of the Transferor or any Person that controls the Transferor, by operation of Law or otherwise), to transfer, sell, pledge or hypothecate or otherwise dispose of. The terms “Transferee,” “Transferor,” “Transferred,” and other forms of the word “Transfer” shall have the correlative meanings.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3" w:name="page174"/>
    <w:bookmarkEnd w:id="17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 Agent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4.6(e)(iii)</w:t>
      </w:r>
      <w:r>
        <w:rPr>
          <w:rFonts w:ascii="Arial" w:cs="Arial" w:eastAsia="Arial" w:hAnsi="Arial"/>
          <w:sz w:val="18"/>
          <w:szCs w:val="18"/>
          <w:color w:val="auto"/>
        </w:rPr>
        <w:t>.</w:t>
      </w:r>
    </w:p>
    <w:p>
      <w:pPr>
        <w:spacing w:after="0" w:line="25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Treasury Regulations</w:t>
      </w:r>
      <w:r>
        <w:rPr>
          <w:rFonts w:ascii="Arial" w:cs="Arial" w:eastAsia="Arial" w:hAnsi="Arial"/>
          <w:sz w:val="17"/>
          <w:szCs w:val="17"/>
          <w:color w:val="auto"/>
        </w:rPr>
        <w:t>” means pronouncements, as amended from time to time, or their successor pronouncements, which clarify, interpret and apply the provisions of the Code, and which are designated as “Treasury Regulations” by the United States Department of the Treasury.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Uniform Commercial Code</w:t>
      </w:r>
      <w:r>
        <w:rPr>
          <w:rFonts w:ascii="Arial" w:cs="Arial" w:eastAsia="Arial" w:hAnsi="Arial"/>
          <w:sz w:val="18"/>
          <w:szCs w:val="18"/>
          <w:color w:val="auto"/>
        </w:rPr>
        <w:t>” means the Uniform Commercial Code or any successor provision thereof as the same may from time to time be in effect in the State of Delaware.</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Units</w:t>
      </w:r>
      <w:r>
        <w:rPr>
          <w:rFonts w:ascii="Arial" w:cs="Arial" w:eastAsia="Arial" w:hAnsi="Arial"/>
          <w:sz w:val="17"/>
          <w:szCs w:val="17"/>
          <w:color w:val="auto"/>
        </w:rPr>
        <w:t>” means the Units issued hereunder and shall also include any Equity Security of the Company issued in respect of or in exchange for Units, whether by way of dividend or other distribution, split, recapitalization, merger, rollup transaction, consolidation, conversion or reorganization.</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Unit Redemption Price</w:t>
      </w:r>
      <w:r>
        <w:rPr>
          <w:rFonts w:ascii="Arial" w:cs="Arial" w:eastAsia="Arial" w:hAnsi="Arial"/>
          <w:sz w:val="17"/>
          <w:szCs w:val="17"/>
          <w:color w:val="auto"/>
        </w:rPr>
        <w:t xml:space="preserve">” means, with respect to a particular Redemption for which a Cash Election has been made, (a) if the Class A Shares trade on a securities exchange or automated or electronic quotation system, an amount equal to the closing price for a Class A Share on the principal U.S. securities exchange or automated or electronic quotation system on which the Class A Shares trade, as reported by Bloomberg, L.P., or its successor, on the last full Trading Day immediately prior to the Redemption Date, subject to appropriate and equitable adjustment for any stock splits, reverse splits, stock dividends or similar events affecting the Class A Shares and (b) if the Class A Shares no longer trade on a securities exchange or automated or electronic quotation system, an amount equal to the fair market value of one Class A Share, as determined by the Managing Member in good faith, that would be obtained in an arms’ length transaction for cash between an informed and willing buyer and an informed and willing seller, neither of whom is under any compulsion to buy or sell, and without regard to the particular circumstances of the buyer or seller;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PubCo conducts a Public Offering to fund any Cash Election Amount as permitted by this Agreement, then the Unit Redemption Price shall be net of each Redeeming Member’s pro rata share of any Discount in connection with such Public Offering.</w:t>
      </w:r>
    </w:p>
    <w:p>
      <w:pPr>
        <w:spacing w:after="0" w:line="2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 Reinvestment Price</w:t>
      </w:r>
      <w:r>
        <w:rPr>
          <w:rFonts w:ascii="Arial" w:cs="Arial" w:eastAsia="Arial" w:hAnsi="Arial"/>
          <w:sz w:val="18"/>
          <w:szCs w:val="18"/>
          <w:color w:val="auto"/>
        </w:rPr>
        <w:t xml:space="preserve">” means, for a particular contribution on a Tax Distribution Date, an amount equal to (a) the Unit Redemption Price, as determined by substituting “Tax Distribution Date” for “Redemption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quotient of (i) the total distributions made on such Tax Distribution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total number of Units outstanding as of such Tax Distribution Date (without taking into account any Units issued on such Tax Distribution Date pursuant to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as used in this definition, the term Unit Redemption Price shall be applied as if the Discount is zero.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Winding-Up Member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186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9560" w:type="dxa"/>
            <w:vAlign w:val="bottom"/>
            <w:gridSpan w:val="3"/>
          </w:tcPr>
          <w:p>
            <w:pPr>
              <w:ind w:left="360"/>
              <w:spacing w:after="0"/>
              <w:rPr>
                <w:sz w:val="20"/>
                <w:szCs w:val="20"/>
                <w:color w:val="auto"/>
              </w:rPr>
            </w:pPr>
            <w:r>
              <w:rPr>
                <w:rFonts w:ascii="Arial" w:cs="Arial" w:eastAsia="Arial" w:hAnsi="Arial"/>
                <w:sz w:val="18"/>
                <w:szCs w:val="18"/>
                <w:b w:val="1"/>
                <w:bCs w:val="1"/>
                <w:color w:val="auto"/>
                <w:w w:val="93"/>
              </w:rPr>
              <w:t>Interpretive Provisions</w:t>
            </w:r>
            <w:r>
              <w:rPr>
                <w:rFonts w:ascii="Arial" w:cs="Arial" w:eastAsia="Arial" w:hAnsi="Arial"/>
                <w:sz w:val="18"/>
                <w:szCs w:val="18"/>
                <w:color w:val="auto"/>
                <w:w w:val="93"/>
              </w:rPr>
              <w:t>.  For all purposes of this Agreement, except as otherwise expressly provided or unless the context</w:t>
            </w:r>
          </w:p>
        </w:tc>
      </w:tr>
      <w:tr>
        <w:trPr>
          <w:trHeight w:val="237"/>
        </w:trPr>
        <w:tc>
          <w:tcPr>
            <w:tcW w:w="1860" w:type="dxa"/>
            <w:vAlign w:val="bottom"/>
          </w:tcPr>
          <w:p>
            <w:pPr>
              <w:spacing w:after="0"/>
              <w:rPr>
                <w:sz w:val="20"/>
                <w:szCs w:val="20"/>
                <w:color w:val="auto"/>
              </w:rPr>
            </w:pPr>
            <w:r>
              <w:rPr>
                <w:rFonts w:ascii="Arial" w:cs="Arial" w:eastAsia="Arial" w:hAnsi="Arial"/>
                <w:sz w:val="18"/>
                <w:szCs w:val="18"/>
                <w:color w:val="auto"/>
              </w:rPr>
              <w:t>otherwise requires:</w:t>
            </w:r>
          </w:p>
        </w:tc>
        <w:tc>
          <w:tcPr>
            <w:tcW w:w="3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7420" w:type="dxa"/>
            <w:vAlign w:val="bottom"/>
          </w:tcPr>
          <w:p>
            <w:pPr>
              <w:spacing w:after="0"/>
              <w:rPr>
                <w:sz w:val="20"/>
                <w:szCs w:val="20"/>
                <w:color w:val="auto"/>
              </w:rPr>
            </w:pPr>
          </w:p>
        </w:tc>
      </w:tr>
    </w:tbl>
    <w:p>
      <w:pPr>
        <w:spacing w:after="0" w:line="229" w:lineRule="exact"/>
        <w:rPr>
          <w:sz w:val="20"/>
          <w:szCs w:val="20"/>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terms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are applicable to the singular as well as the plural forms of such terms;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under GAAP;</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references to currency, monetary values and dollars set forth herein shall mean United States (U.S.) dollars and all payments hereunder shall be made in United States dollars;</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Section, Exhibit or Schedule, such reference is to an Article or Section of, or an Exhibit or Schedule to, this Agreement unless otherwise indicated;</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whenever the words “include,” “includes” or “including” are used in this Agreement, they shall be deemed to be followed by the words “without limitation”;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pronouns of either gender or neuter shall include, as appropriate, the other pronoun forms;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 OF THE LIMITED LIABILITY COMPANY</w:t>
      </w:r>
    </w:p>
    <w:p>
      <w:pPr>
        <w:spacing w:after="0" w:line="27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b w:val="1"/>
          <w:bCs w:val="1"/>
          <w:u w:val="single" w:color="auto"/>
          <w:color w:val="auto"/>
        </w:rPr>
        <w:t>Formation</w:t>
      </w:r>
      <w:r>
        <w:rPr>
          <w:rFonts w:ascii="Arial" w:cs="Arial" w:eastAsia="Arial" w:hAnsi="Arial"/>
          <w:sz w:val="16"/>
          <w:szCs w:val="16"/>
          <w:color w:val="auto"/>
        </w:rPr>
        <w:t>. The Company has been formed as a limited liability company subject to the provisions of the Act upon the terms,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provisions and conditions set forth in this Agreement.</w:t>
      </w:r>
    </w:p>
    <w:p>
      <w:pPr>
        <w:spacing w:after="0" w:line="2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Filing</w:t>
      </w:r>
      <w:r>
        <w:rPr>
          <w:rFonts w:ascii="Arial" w:cs="Arial" w:eastAsia="Arial" w:hAnsi="Arial"/>
          <w:sz w:val="18"/>
          <w:szCs w:val="18"/>
          <w:color w:val="auto"/>
        </w:rPr>
        <w:t>. The Company’s Certificate of Formation has been filed with the Secretary of State of the State of Delaware in accordance with the Act. The Members shall execute such further documents (including amendments to such Certificate of Formation) and take such further action as is appropriate to comply with the requirements of Law for the formation or operation of a limited liability company in Delaware and in all states and counties where the Company may conduct its business.</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Name</w:t>
      </w:r>
      <w:r>
        <w:rPr>
          <w:rFonts w:ascii="Arial" w:cs="Arial" w:eastAsia="Arial" w:hAnsi="Arial"/>
          <w:sz w:val="18"/>
          <w:szCs w:val="18"/>
          <w:color w:val="auto"/>
        </w:rPr>
        <w:t>. The name of the Company is “NEW FORTRESS INTERMEDIATE LLC” and all business of the Company shall be conducted in such name or, in the discretion of the Managing Member, under any other name.</w:t>
      </w:r>
    </w:p>
    <w:p>
      <w:pPr>
        <w:spacing w:after="0" w:line="2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b w:val="1"/>
          <w:bCs w:val="1"/>
          <w:u w:val="single" w:color="auto"/>
          <w:color w:val="auto"/>
        </w:rPr>
        <w:t>Registered Office; Registered Agent</w:t>
      </w:r>
      <w:r>
        <w:rPr>
          <w:rFonts w:ascii="Arial" w:cs="Arial" w:eastAsia="Arial" w:hAnsi="Arial"/>
          <w:sz w:val="17"/>
          <w:szCs w:val="17"/>
          <w:color w:val="auto"/>
        </w:rPr>
        <w:t>. The location of the registered office of the Company in the State of Delaware is 1209 Orange Street, Wilmington, Delaware 19801, or at such other place as the Managing Member from time to time may select. The name and address for service of process on the Company in the State of Delaware are The Corporation Trust Company, 1209 Orange Street, Wilmington, Delaware 19801, or such other qualified Person as the Managing Member may designate from time to time and its business address.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75" w:name="page176"/>
    <w:bookmarkEnd w:id="175"/>
    <w:p>
      <w:pPr>
        <w:jc w:val="both"/>
        <w:ind w:firstLine="648"/>
        <w:spacing w:after="0" w:line="282"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Principal Place of Business</w:t>
      </w:r>
      <w:r>
        <w:rPr>
          <w:rFonts w:ascii="Arial" w:cs="Arial" w:eastAsia="Arial" w:hAnsi="Arial"/>
          <w:sz w:val="18"/>
          <w:szCs w:val="18"/>
          <w:color w:val="auto"/>
        </w:rPr>
        <w:t>. The principal place of business of the Company shall be located in such place as is determined by the Managing Member from time to time.</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u w:val="single" w:color="auto"/>
          <w:color w:val="auto"/>
        </w:rPr>
        <w:t>Purpose; Powers</w:t>
      </w:r>
      <w:r>
        <w:rPr>
          <w:rFonts w:ascii="Arial" w:cs="Arial" w:eastAsia="Arial" w:hAnsi="Arial"/>
          <w:sz w:val="18"/>
          <w:szCs w:val="18"/>
          <w:color w:val="auto"/>
        </w:rPr>
        <w:t>. The nature of the business or purposes to be conducted or promoted by the Company is to engage in any lawful act or activity for which limited liability companies may be formed under the Act. The Company shall have the power and authority to take any and all actions and engage in any and all activities necessary, appropriate, desirable, advisable, ancillary or incidental to the accomplishment of the foregoing purpose.</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xml:space="preserve">. The term of the Company commenced on the date of filing of the Certificate of Formation of the Company with the office of the Secretary of State of the State of Delaware in accordance with the Act and shall continue indefinitely. The Company may be dissolved and its affairs wound up only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2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u w:val="single" w:color="auto"/>
          <w:color w:val="auto"/>
        </w:rPr>
        <w:t>Intent</w:t>
      </w:r>
      <w:r>
        <w:rPr>
          <w:rFonts w:ascii="Arial" w:cs="Arial" w:eastAsia="Arial" w:hAnsi="Arial"/>
          <w:sz w:val="18"/>
          <w:szCs w:val="18"/>
          <w:color w:val="auto"/>
        </w:rPr>
        <w:t xml:space="preserve">. It is the intent of the Members that the Company be operated in a manner consistent with its treatment as a “partnership” for U.S. federal and state income tax purposes. It is also the intent of the Members that the Company not be operated or treated as a “partnership” for purposes of Section 303 of the Federal Bankruptcy Code. Neither the Company nor any Member shall take any action inconsistent with the express intent of the parties hereto as set forth in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TRANSACTIONS</w:t>
      </w:r>
    </w:p>
    <w:p>
      <w:pPr>
        <w:spacing w:after="0" w:line="2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b w:val="1"/>
          <w:bCs w:val="1"/>
          <w:u w:val="single" w:color="auto"/>
          <w:color w:val="auto"/>
        </w:rPr>
        <w:t>Reorganization Transactions</w:t>
      </w:r>
      <w:r>
        <w:rPr>
          <w:rFonts w:ascii="Arial" w:cs="Arial" w:eastAsia="Arial" w:hAnsi="Arial"/>
          <w:sz w:val="16"/>
          <w:szCs w:val="16"/>
          <w:color w:val="auto"/>
        </w:rPr>
        <w:t>.</w:t>
      </w:r>
    </w:p>
    <w:p>
      <w:pPr>
        <w:spacing w:after="0" w:line="256" w:lineRule="exact"/>
        <w:rPr>
          <w:sz w:val="20"/>
          <w:szCs w:val="20"/>
          <w:color w:val="auto"/>
        </w:rPr>
      </w:pPr>
    </w:p>
    <w:p>
      <w:pPr>
        <w:jc w:val="both"/>
        <w:ind w:left="1300" w:hanging="644"/>
        <w:spacing w:after="0" w:line="312" w:lineRule="auto"/>
        <w:tabs>
          <w:tab w:leader="none" w:pos="13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Pursuant to the Contribution Agreement, the Members, among others, agreed that, on the date of, but at a time prior to, the initial close of the IPO, (i) the Existing LLC Agreement shall be amended and restated and this Agreement shall be adopted and (ii) New Fortress Energy Holdings will contribute its membership interests in NFE Atlantic to the Company in exchange for the issuance of 147,058,824 Units.</w:t>
      </w:r>
    </w:p>
    <w:p>
      <w:pPr>
        <w:spacing w:after="0" w:line="173"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Immediately following the initial closing of the IPO, (i) PubCo shall contribute to NFE Sub the net proceeds received by PubCo in connection with such initial closing and 147,058,824 Class B Shares (the “</w:t>
      </w:r>
      <w:r>
        <w:rPr>
          <w:rFonts w:ascii="Arial" w:cs="Arial" w:eastAsia="Arial" w:hAnsi="Arial"/>
          <w:sz w:val="17"/>
          <w:szCs w:val="17"/>
          <w:b w:val="1"/>
          <w:bCs w:val="1"/>
          <w:u w:val="single" w:color="auto"/>
          <w:color w:val="auto"/>
        </w:rPr>
        <w:t>Primary B Shares</w:t>
      </w:r>
      <w:r>
        <w:rPr>
          <w:rFonts w:ascii="Arial" w:cs="Arial" w:eastAsia="Arial" w:hAnsi="Arial"/>
          <w:sz w:val="17"/>
          <w:szCs w:val="17"/>
          <w:color w:val="auto"/>
        </w:rPr>
        <w:t>”) and (ii) NFE Sub will in turn contribute to the Company such net proceeds of the initial closing and such Primary B Shares in exchange for the issuance of 20,000,000 Units.</w:t>
      </w:r>
    </w:p>
    <w:p>
      <w:pPr>
        <w:spacing w:after="0" w:line="192" w:lineRule="exact"/>
        <w:rPr>
          <w:rFonts w:ascii="Arial" w:cs="Arial" w:eastAsia="Arial" w:hAnsi="Arial"/>
          <w:sz w:val="17"/>
          <w:szCs w:val="17"/>
          <w:color w:val="auto"/>
        </w:rPr>
      </w:pPr>
    </w:p>
    <w:p>
      <w:pPr>
        <w:ind w:left="1300" w:right="20" w:hanging="644"/>
        <w:spacing w:after="0" w:line="308" w:lineRule="auto"/>
        <w:tabs>
          <w:tab w:leader="none" w:pos="13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Immediately following the contributions described in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this Agreement, the Company shall distribute to each of the Members (other than PubCo), </w:t>
      </w:r>
      <w:r>
        <w:rPr>
          <w:rFonts w:ascii="Arial" w:cs="Arial" w:eastAsia="Arial" w:hAnsi="Arial"/>
          <w:sz w:val="17"/>
          <w:szCs w:val="17"/>
          <w:i w:val="1"/>
          <w:iCs w:val="1"/>
          <w:color w:val="auto"/>
        </w:rPr>
        <w:t>pro rata</w:t>
      </w:r>
      <w:r>
        <w:rPr>
          <w:rFonts w:ascii="Arial" w:cs="Arial" w:eastAsia="Arial" w:hAnsi="Arial"/>
          <w:sz w:val="17"/>
          <w:szCs w:val="17"/>
          <w:color w:val="auto"/>
        </w:rPr>
        <w:t>, in accordance with the number of Units owned by each Member, the Primary B Shares.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76" w:name="page177"/>
    <w:bookmarkEnd w:id="176"/>
    <w:p>
      <w:pPr>
        <w:jc w:val="both"/>
        <w:ind w:left="644" w:hanging="644"/>
        <w:spacing w:after="0" w:line="259" w:lineRule="auto"/>
        <w:tabs>
          <w:tab w:leader="none" w:pos="6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Immediately following any closing of the issuance and sale of Class A Shares pursuant to the Option, PubCo shall contribute all of the net proceeds received by it pursuant to such Option exercise to NFE Sub, and NFE Sub shall in turn contribute such net proceeds to the Company in exchange for a number of Units equal to the number of Class A Shares issued and sold by PubCo pursuant to such Option exercise.</w:t>
      </w:r>
    </w:p>
    <w:p>
      <w:pPr>
        <w:spacing w:after="0" w:line="210"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2084"/>
        <w:spacing w:after="0"/>
        <w:rPr>
          <w:sz w:val="20"/>
          <w:szCs w:val="20"/>
          <w:color w:val="auto"/>
        </w:rPr>
      </w:pPr>
      <w:r>
        <w:rPr>
          <w:rFonts w:ascii="Arial" w:cs="Arial" w:eastAsia="Arial" w:hAnsi="Arial"/>
          <w:sz w:val="18"/>
          <w:szCs w:val="18"/>
          <w:b w:val="1"/>
          <w:bCs w:val="1"/>
          <w:color w:val="auto"/>
        </w:rPr>
        <w:t>OWNERSHIP AND CAPITAL CONTRIBUTIONS; CAPITAL ACCOUNTS</w:t>
      </w:r>
    </w:p>
    <w:p>
      <w:pPr>
        <w:spacing w:after="0" w:line="279"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b w:val="1"/>
          <w:bCs w:val="1"/>
          <w:u w:val="single" w:color="auto"/>
          <w:color w:val="auto"/>
        </w:rPr>
        <w:t>Authorized Units; General Provisions With Respect to Units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59" w:lineRule="auto"/>
        <w:tabs>
          <w:tab w:leader="none" w:pos="6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Agreement, the Company shall be authorized to issue from time to time such number of Units and such other Equity Securities as the Managing Member shall determine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 Each authorized Unit may be issued pursuant to such agreements as the Managing Member shall approve, including pursuant to options and warrants. The Company may reissue any Units that have been repurchased or acquired by the Company.</w:t>
      </w:r>
    </w:p>
    <w:p>
      <w:pPr>
        <w:spacing w:after="0" w:line="213" w:lineRule="exact"/>
        <w:rPr>
          <w:rFonts w:ascii="Arial" w:cs="Arial" w:eastAsia="Arial" w:hAnsi="Arial"/>
          <w:sz w:val="18"/>
          <w:szCs w:val="18"/>
          <w:color w:val="auto"/>
        </w:rPr>
      </w:pPr>
    </w:p>
    <w:p>
      <w:pPr>
        <w:ind w:left="644" w:hanging="644"/>
        <w:spacing w:after="0"/>
        <w:tabs>
          <w:tab w:leader="none" w:pos="6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Except to the extent explicitly provided otherwise herein (including </w:t>
      </w:r>
      <w:r>
        <w:rPr>
          <w:rFonts w:ascii="Arial" w:cs="Arial" w:eastAsia="Arial" w:hAnsi="Arial"/>
          <w:sz w:val="18"/>
          <w:szCs w:val="18"/>
          <w:u w:val="single" w:color="auto"/>
          <w:color w:val="auto"/>
        </w:rPr>
        <w:t>Section 4.3</w:t>
      </w:r>
      <w:r>
        <w:rPr>
          <w:rFonts w:ascii="Arial" w:cs="Arial" w:eastAsia="Arial" w:hAnsi="Arial"/>
          <w:sz w:val="18"/>
          <w:szCs w:val="18"/>
          <w:color w:val="auto"/>
        </w:rPr>
        <w:t>), each outstanding Unit shall be identical.</w:t>
      </w:r>
    </w:p>
    <w:p>
      <w:pPr>
        <w:spacing w:after="0" w:line="252"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Initially, none of the Units will be represented by certificates. If the Managing Member determines that it is in the interest of the Company to issue certificates representing the Units, certificates will be issued and the Units will be represented by those certificates, and this Agreement shall be amended as necessary or desirable to reflect the issuance of certificated Units for purposes of the Uniform Commercial Code. Nothing contained in this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shall be deemed to authorize or permit any Member to Transfer its Units except as otherwise permitted under this Agreement.</w:t>
      </w:r>
    </w:p>
    <w:p>
      <w:pPr>
        <w:spacing w:after="0" w:line="215"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total number of Units issued and outstanding and held by the Members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amended from time to time in accordance with the terms of this Agreement) as of the date set forth therein.</w:t>
      </w:r>
    </w:p>
    <w:p>
      <w:pPr>
        <w:spacing w:after="0" w:line="13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77" w:name="page178"/>
    <w:bookmarkEnd w:id="177"/>
    <w:p>
      <w:pPr>
        <w:jc w:val="both"/>
        <w:ind w:left="644" w:hanging="644"/>
        <w:spacing w:after="0" w:line="283" w:lineRule="auto"/>
        <w:tabs>
          <w:tab w:leader="none" w:pos="64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If, at any time after the Effective Time, PubCo issues a Class A Share or any other Equity Security of PubCo (other than Class B Shares), (i) the Company shall concurrently issue to PubCo one Unit (if PubCo issues a Class A Share), or such other Equity Security of the Company (if PubCo issues Equity Securities other than Class A Shares) corresponding to the Equity Securities issued by PubCo, and with substantially the same rights to dividends and distributions (including distributions upon liquidation, but taking into account differences as a result of any tax or other liabilities borne by PubCo) and other economic rights as those of such Equity Securities of PubCo to be issued and (ii) PubCo shall concurrently contribute to the Company the net proceeds (in cash or other property, as the case may be), if any, received by PubCo for such Class A Share or other Equity Security;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PubCo issues any Class A Shares in order to acquire or fund the acquisition from a Member (other than PubCo) of a number of Units (and Class B Shares) equal to the number of Class A Shares so issued, then the Company shall not issue any new Units in connection therewith and, where such Class A Shares have been issued for cash to fund such an acquisition by PubCo pursuant to a Cash Election, PubCo shall not be required to transfer such net proceeds to the Company, and such net proceeds shall instead be transferred to such Member as consideration for such acquisition as required pursuant to </w:t>
      </w:r>
      <w:r>
        <w:rPr>
          <w:rFonts w:ascii="Arial" w:cs="Arial" w:eastAsia="Arial" w:hAnsi="Arial"/>
          <w:sz w:val="16"/>
          <w:szCs w:val="16"/>
          <w:u w:val="single" w:color="auto"/>
          <w:color w:val="auto"/>
        </w:rPr>
        <w:t>Section 4.6(d)</w:t>
      </w:r>
      <w:r>
        <w:rPr>
          <w:rFonts w:ascii="Arial" w:cs="Arial" w:eastAsia="Arial" w:hAnsi="Arial"/>
          <w:sz w:val="16"/>
          <w:szCs w:val="16"/>
          <w:color w:val="auto"/>
        </w:rPr>
        <w:t xml:space="preserve">. For the avoidance of doubt, if PubCo issues any Class A Shares or other Equity Security for cash to be used to fund the acquisition by any member of the PubCo Holdings Group of any Person or the assets of any Person, then PubCo shall not be required to transfer such cash proceeds to the Company but instead such member of the PubCo Holdings Group shall be required to contribute such Person or the assets and liabilities of such Person to the Company or any of its Subsidiaries. Notwithstanding the foregoing, this </w:t>
      </w:r>
      <w:r>
        <w:rPr>
          <w:rFonts w:ascii="Arial" w:cs="Arial" w:eastAsia="Arial" w:hAnsi="Arial"/>
          <w:sz w:val="16"/>
          <w:szCs w:val="16"/>
          <w:u w:val="single" w:color="auto"/>
          <w:color w:val="auto"/>
        </w:rPr>
        <w:t>Section 4.1(e)</w:t>
      </w:r>
      <w:r>
        <w:rPr>
          <w:rFonts w:ascii="Arial" w:cs="Arial" w:eastAsia="Arial" w:hAnsi="Arial"/>
          <w:sz w:val="16"/>
          <w:szCs w:val="16"/>
          <w:color w:val="auto"/>
        </w:rPr>
        <w:t xml:space="preserve"> shall not apply to the issuance and distribution to holders of PubCo Shares of rights to purchase Equity Securities of PubCo under a “poison pill” or similar shareholders rights plan (and upon any redemption of Units for Class A Shares, such Class A Shares will be issued together with a corresponding right under such plan), or to the issuance under PubCo’s employee benefit plans of any warrants, options,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rights, warrants, options or other rights or property. Except pursuant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(x) the Company may not issue any additional Units to the PubCo Holdings Group unless substantially simultaneously therewith the PubCo Holdings Group issues or sells an equal number of newly-issued Class A Shares of PubCo to another Person, and (y) the Company may not issue any other Equity Securities of the Company to the PubCo Holdings Group unless substantially simultaneously the PubCo Holdings Group issues or sells, to another Person, an equal number of newly-issued shares of a new class or series of Equity Securities of the PubCo Holdings Group with substantially the same rights to dividends and distributions (including distributions upon liquidation, but taking into account differences as a result of any tax or other liabilities borne by the PubCo Holdings Group) and other economic rights as those of such Equity Securities of the Company. If at any time any member of the PubCo Holdings Group issues Debt Securities, such member of the PubCo Holdings Group shall transfer to the Company (in a manner to be determined by the Managing Member in its reasonable discretion) the proceeds received by such member of the PubCo Holdings Group in exchange for such Debt Securities in a manner that directly or indirectly burdens the Company with the repayment of the Debt Securities. In the event any Equity Security outstanding at PubCo is exercised or otherwise converted and, as a result, any Class A Shares or other Equity Securities of PubCo are issued, (1) the corresponding Equity Security outstanding at the Company shall be similarly exercised or otherwise converted, as applicable, and an equivalent number of Units or other Equity Securities of the Company shall be issued to PubCo as contemplated by the first sentence of this </w:t>
      </w:r>
      <w:r>
        <w:rPr>
          <w:rFonts w:ascii="Arial" w:cs="Arial" w:eastAsia="Arial" w:hAnsi="Arial"/>
          <w:sz w:val="16"/>
          <w:szCs w:val="16"/>
          <w:u w:val="single" w:color="auto"/>
          <w:color w:val="auto"/>
        </w:rPr>
        <w:t>Section 4.1(e)</w:t>
      </w:r>
      <w:r>
        <w:rPr>
          <w:rFonts w:ascii="Arial" w:cs="Arial" w:eastAsia="Arial" w:hAnsi="Arial"/>
          <w:sz w:val="16"/>
          <w:szCs w:val="16"/>
          <w:color w:val="auto"/>
        </w:rPr>
        <w:t>, and (2) PubCo shall concurrently contribute to the Company the net proceeds received by PubCo from any such exercise.</w:t>
      </w:r>
    </w:p>
    <w:p>
      <w:pPr>
        <w:spacing w:after="0" w:line="14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78" w:name="page179"/>
    <w:bookmarkEnd w:id="178"/>
    <w:p>
      <w:pPr>
        <w:jc w:val="both"/>
        <w:ind w:left="644" w:hanging="644"/>
        <w:spacing w:after="0" w:line="285" w:lineRule="auto"/>
        <w:tabs>
          <w:tab w:leader="none" w:pos="64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No member of the PubCo Holdings Group may redeem, repurchase or otherwise acquire (i) except pursuant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any Class A Shares (including upon forfeiture of any unvested Class A Shares) unless substantially simultaneously the Company redeems, repurchases or otherwise acquires from the PubCo Holdings Group an equal number of Units for the same price per security or (ii) any other Equity Securities of PubCo, unless substantially simultaneously the Company redeems, repurchases or otherwise acquires from the PubCo Holdings Group an equal number of Equity Securities of the Company of a corresponding class or series with substantially the same rights to dividends and distributions (including distributions upon liquidation, but taking into account differences as a result of any tax or other liabilities borne by the PubCo Holdings Group) and other economic rights as those of such Equity Securities of PubCo for the same price per security. The Company may not redeem, repurchase or otherwise acquire (x) except pursuant to </w:t>
      </w:r>
      <w:r>
        <w:rPr>
          <w:rFonts w:ascii="Arial" w:cs="Arial" w:eastAsia="Arial" w:hAnsi="Arial"/>
          <w:sz w:val="16"/>
          <w:szCs w:val="16"/>
          <w:u w:val="single" w:color="auto"/>
          <w:color w:val="auto"/>
        </w:rPr>
        <w:t>Section 4.6</w:t>
      </w:r>
      <w:r>
        <w:rPr>
          <w:rFonts w:ascii="Arial" w:cs="Arial" w:eastAsia="Arial" w:hAnsi="Arial"/>
          <w:sz w:val="16"/>
          <w:szCs w:val="16"/>
          <w:color w:val="auto"/>
        </w:rPr>
        <w:t>, any Units from the PubCo Holdings Group unless substantially simultaneously the PubCo Holdings Group redeems, repurchases or otherwise acquires an equal number of Class A Shares for the same price per security from holders thereof, or (y) any other Equity Securities of the Company from the PubCo Holdings Group unless substantially simultaneously the PubCo Holdings Group redeems, repurchases or otherwise acquires for the same price per security an equal number of Equity Securities of PubCo of a corresponding class or series with substantially the same rights to dividends and distributions (including distribution upon liquidation, but taking into account differences as a result of any tax or other liabilities borne by the PubCo Holdings Group) and other economic rights as those of such Equity Securities of PubCo. Notwithstanding the foregoing, to the extent that any consideration payable by PubCo in connection with the redemption or repurchase of any Class A Shares or other Equity Securities of the PubCo Holdings Group consists (in whole or in part) of Class A Shares or such other Equity Securities (including, for the avoidance of doubt, in connection with the cashless exercise of an option or warrant), then the redemption or repurchase of the corresponding Units or other Equity Securities of the Company shall be effectuated in an equivalent manner.</w:t>
      </w:r>
    </w:p>
    <w:p>
      <w:pPr>
        <w:spacing w:after="0" w:line="199" w:lineRule="exact"/>
        <w:rPr>
          <w:rFonts w:ascii="Arial" w:cs="Arial" w:eastAsia="Arial" w:hAnsi="Arial"/>
          <w:sz w:val="16"/>
          <w:szCs w:val="16"/>
          <w:color w:val="auto"/>
        </w:rPr>
      </w:pPr>
    </w:p>
    <w:p>
      <w:pPr>
        <w:jc w:val="both"/>
        <w:ind w:left="644" w:hanging="644"/>
        <w:spacing w:after="0" w:line="290" w:lineRule="auto"/>
        <w:tabs>
          <w:tab w:leader="none" w:pos="64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Except pursuant to </w:t>
      </w:r>
      <w:r>
        <w:rPr>
          <w:rFonts w:ascii="Arial" w:cs="Arial" w:eastAsia="Arial" w:hAnsi="Arial"/>
          <w:sz w:val="16"/>
          <w:szCs w:val="16"/>
          <w:u w:val="single" w:color="auto"/>
          <w:color w:val="auto"/>
        </w:rPr>
        <w:t>Section 4.1(i)</w:t>
      </w:r>
      <w:r>
        <w:rPr>
          <w:rFonts w:ascii="Arial" w:cs="Arial" w:eastAsia="Arial" w:hAnsi="Arial"/>
          <w:sz w:val="16"/>
          <w:szCs w:val="16"/>
          <w:color w:val="auto"/>
        </w:rPr>
        <w:t xml:space="preserve"> or as provided in or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the Company shall not in any manner effect any subdivision (by any equity split, equity distribution, reclassification, recapitalization or otherwise) or combination (by reverse equity split, reclassification, recapitalization or otherwise) of the outstanding Units unless accompanied by an identical subdivision or combination, as applicable, of the outstanding PubCo Shares, with corresponding changes made with respect to any other exchangeable or convertible securities. Unless in connection with any action taken pursuant to </w:t>
      </w:r>
      <w:r>
        <w:rPr>
          <w:rFonts w:ascii="Arial" w:cs="Arial" w:eastAsia="Arial" w:hAnsi="Arial"/>
          <w:sz w:val="16"/>
          <w:szCs w:val="16"/>
          <w:u w:val="single" w:color="auto"/>
          <w:color w:val="auto"/>
        </w:rPr>
        <w:t>Section 4.1(i)</w:t>
      </w:r>
      <w:r>
        <w:rPr>
          <w:rFonts w:ascii="Arial" w:cs="Arial" w:eastAsia="Arial" w:hAnsi="Arial"/>
          <w:sz w:val="16"/>
          <w:szCs w:val="16"/>
          <w:color w:val="auto"/>
        </w:rPr>
        <w:t>, PubCo shall not in any manner effect any subdivision (by any equity split, equity distribution, reclassification, recapitalization or otherwise) or combination (by reverse equity split, reclassification, recapitalization or otherwise) of the outstanding PubCo Shares unless accompanied by an identical subdivision or combination, as applicable, of the outstanding Units, with corresponding changes made with respect to any other exchangeable or convertible securities.</w:t>
      </w:r>
    </w:p>
    <w:p>
      <w:pPr>
        <w:spacing w:after="0" w:line="12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79" w:name="page180"/>
    <w:bookmarkEnd w:id="179"/>
    <w:p>
      <w:pPr>
        <w:jc w:val="both"/>
        <w:ind w:left="1300" w:hanging="644"/>
        <w:spacing w:after="0" w:line="257" w:lineRule="auto"/>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the Company may redeem Units from the PubCo Holdings Group for cash to fund any acquisition by the PubCo Holdings Group of another Person or the assets and liabilities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promptly after such redemption and acquisition the PubCo Holdings Group contributes or causes to be contributed, directly or indirectly, such Person or the assets and liabilities of such Person to the Company or any of its Subsidiaries in exchange for a number of Units equal to the number of Units so redeemed.</w:t>
      </w:r>
    </w:p>
    <w:p>
      <w:pPr>
        <w:spacing w:after="0" w:line="215"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(including </w:t>
      </w:r>
      <w:r>
        <w:rPr>
          <w:rFonts w:ascii="Arial" w:cs="Arial" w:eastAsia="Arial" w:hAnsi="Arial"/>
          <w:sz w:val="18"/>
          <w:szCs w:val="18"/>
          <w:u w:val="single" w:color="auto"/>
          <w:color w:val="auto"/>
        </w:rPr>
        <w:t>Section 4.1(e)</w:t>
      </w:r>
      <w:r>
        <w:rPr>
          <w:rFonts w:ascii="Arial" w:cs="Arial" w:eastAsia="Arial" w:hAnsi="Arial"/>
          <w:sz w:val="18"/>
          <w:szCs w:val="18"/>
          <w:color w:val="auto"/>
        </w:rPr>
        <w:t xml:space="preserve">), if the PubCo Holdings Group acquires or holds any material amount of cash in excess of any monetary obligations PubCo reasonably anticipates, PubCo may, in its sole discretion, use or cause to be used such excess cash amount in such manner, and make such adjustments to or take such other actions with respect to the capitalization of PubCo and the Company, as PubCo (including in its capacity as the Managing Member) in Good Faith determines to be fair and reasonable to the holders of PubCo Shares and to the Members and to preserve the intended economic effect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and the other provisions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PubCo Holdings Group contributes any such excess cash to the Company in exchange for Units, the number of Units issued to the PubCo Holdings Group shall be determined consistent with the provisions of </w:t>
      </w:r>
      <w:r>
        <w:rPr>
          <w:rFonts w:ascii="Arial" w:cs="Arial" w:eastAsia="Arial" w:hAnsi="Arial"/>
          <w:sz w:val="18"/>
          <w:szCs w:val="18"/>
          <w:u w:val="single" w:color="auto"/>
          <w:color w:val="auto"/>
        </w:rPr>
        <w:t>Section 6.2(c)</w:t>
      </w:r>
      <w:r>
        <w:rPr>
          <w:rFonts w:ascii="Arial" w:cs="Arial" w:eastAsia="Arial" w:hAnsi="Arial"/>
          <w:sz w:val="18"/>
          <w:szCs w:val="18"/>
          <w:color w:val="auto"/>
        </w:rPr>
        <w:t>.</w:t>
      </w:r>
    </w:p>
    <w:p>
      <w:pPr>
        <w:spacing w:after="0" w:line="2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 No Member has any voting right except with respect to those matters specifically reserved for a Member vote under the Act and for matters expressly requiring the approval of Members under this Agreement. Except as otherwise required by the Act, each Unit will entitle the holder thereof to one vote on all matters to be voted on by the Members. Except as otherwise expressly provided in this Agreement, the holders of Units having voting rights will vote together as a single class on all matters to be approved by the Members.</w:t>
      </w:r>
    </w:p>
    <w:p>
      <w:pPr>
        <w:spacing w:after="0" w:line="23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b w:val="1"/>
          <w:bCs w:val="1"/>
          <w:u w:val="single" w:color="auto"/>
          <w:color w:val="auto"/>
        </w:rPr>
        <w:t>Capital Contributions; Unit Ownership</w:t>
      </w:r>
      <w:r>
        <w:rPr>
          <w:rFonts w:ascii="Arial" w:cs="Arial" w:eastAsia="Arial" w:hAnsi="Arial"/>
          <w:sz w:val="16"/>
          <w:szCs w:val="16"/>
          <w:color w:val="auto"/>
        </w:rPr>
        <w:t>.</w:t>
      </w:r>
    </w:p>
    <w:p>
      <w:pPr>
        <w:spacing w:after="0" w:line="256" w:lineRule="exact"/>
        <w:rPr>
          <w:sz w:val="20"/>
          <w:szCs w:val="20"/>
          <w:color w:val="auto"/>
        </w:rPr>
      </w:pPr>
    </w:p>
    <w:p>
      <w:pPr>
        <w:ind w:left="1300" w:right="20" w:hanging="644"/>
        <w:spacing w:after="0" w:line="277" w:lineRule="auto"/>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Capital Contributions</w:t>
      </w:r>
      <w:r>
        <w:rPr>
          <w:rFonts w:ascii="Arial" w:cs="Arial" w:eastAsia="Arial" w:hAnsi="Arial"/>
          <w:sz w:val="18"/>
          <w:szCs w:val="18"/>
          <w:color w:val="auto"/>
        </w:rPr>
        <w:t>. Except as otherwise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4.1(e)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obligations of PubCo, no Member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make additional Capital Contributions.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jc w:val="both"/>
        <w:ind w:left="1300" w:hanging="644"/>
        <w:spacing w:after="0" w:line="285" w:lineRule="auto"/>
        <w:tabs>
          <w:tab w:leader="none" w:pos="1300"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Issuance of Additional Units or Interests</w:t>
      </w:r>
      <w:r>
        <w:rPr>
          <w:rFonts w:ascii="Arial" w:cs="Arial" w:eastAsia="Arial" w:hAnsi="Arial"/>
          <w:sz w:val="16"/>
          <w:szCs w:val="16"/>
          <w:color w:val="auto"/>
        </w:rPr>
        <w:t>. Except as otherwise expressly provided in this Agreement, the Managing Member shall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right to authorize and cause the Company to issue on such terms (including price) as may be determined by the Managing Member (i) subject to the limitations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additional Units or other Equity Securities in the Company (including creating preferred interests or other classes or series of interests having such rights, preferences and privileges as determined by the Managing Member, which rights, preferences and privileges may be senior to the Units), and (ii) obligations, evidences of Indebtedness or other securities or interests convertible or exchangeable for Units or other Equity Securities in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any time following the date hereof, in each case the Company shall not issue Equity Securities in the Company to any Person unless such Person shall have executed a counterpart to this Agreement and all other documents, agreements or instruments deemed necessary or desirable in the discretion of the Managing Member. Upon such issuance and execution, such Person shall be admitted as a Member of the Company. In that event, the Managing Member shall amend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reflect such additional issuances. Subject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the Managing Member is hereby authorized to amend this Agreement to set forth the designations, preferences, rights, powers and duties of such additional Units or other Equity Securities in the Company, or such other amendments that the Managing Member determines to be otherwise necessary or appropriate in connection with the creation, authorization or issuance of, any class or series of Units or other Equity Securities in the Company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the Managing Member shall have the right to amend this Agreement as set forth in this sentence without the approval of any other Person (including any Member) and notwithstanding any other provision of this Agreement (including </w:t>
      </w:r>
      <w:r>
        <w:rPr>
          <w:rFonts w:ascii="Arial" w:cs="Arial" w:eastAsia="Arial" w:hAnsi="Arial"/>
          <w:sz w:val="16"/>
          <w:szCs w:val="16"/>
          <w:u w:val="single" w:color="auto"/>
          <w:color w:val="auto"/>
        </w:rPr>
        <w:t>Section 12.1</w:t>
      </w:r>
      <w:r>
        <w:rPr>
          <w:rFonts w:ascii="Arial" w:cs="Arial" w:eastAsia="Arial" w:hAnsi="Arial"/>
          <w:sz w:val="16"/>
          <w:szCs w:val="16"/>
          <w:color w:val="auto"/>
        </w:rPr>
        <w:t>) if such amendment is necessary, and then only to the extent necessary, in order to consummate any offering of PubCo Shares or other Equity Securities of PubCo provided that the designations, preferences, rights, powers and duties of any such additional Units or other Equity Securities of the Company as set forth in such amendment are substantially similar to those applicable to such PubCo Shares or other Equity Securities of PubCo.</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b w:val="1"/>
          <w:bCs w:val="1"/>
          <w:u w:val="single" w:color="auto"/>
          <w:color w:val="auto"/>
        </w:rPr>
        <w:t>Capital Accounts</w:t>
      </w:r>
      <w:r>
        <w:rPr>
          <w:rFonts w:ascii="Arial" w:cs="Arial" w:eastAsia="Arial" w:hAnsi="Arial"/>
          <w:sz w:val="16"/>
          <w:szCs w:val="16"/>
          <w:color w:val="auto"/>
        </w:rPr>
        <w:t xml:space="preserve">. A Capital Account shall be maintained for each Member in accordance with the provisions of Treasury Regulations Section 1.704-1(b)(2)(iv) and, to the extent consistent with such regulations, the other provisions of this Agreement. Each Member’s Capital Account shall be (a) increased by (i) allocations to such Member of Profits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any other items of income or gain allocated to such Member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(ii) the amount of cash or the initial Gross Asset Value of any asset (net of any Liabilities assumed by the Company and any Liabilities to which the asset is subject) contributed to the Company by such Member, and (iii) any other increases allowed or required by Treasury Regulations Section 1.704-1(b)(2)(iv), and (b) decreased by (i) allocations to such Member of Losses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any other items of deduction or loss allocated to such Member pursuant to the provisions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(ii) the amount of any cash or the Gross Asset Value of any asset (net of any Liabilities assumed by the Member and any Liabilities to which the asset is subject) distributed to such Member, and (iii) any other decreases allowed or required by Treasury Regulations Section 1.704-1(b)(2)(iv). In the event of a Transfer of Units made in accordance with this Agreement (including a deemed Transfer for U.S. federal income tax purposes as described in </w:t>
      </w:r>
      <w:r>
        <w:rPr>
          <w:rFonts w:ascii="Arial" w:cs="Arial" w:eastAsia="Arial" w:hAnsi="Arial"/>
          <w:sz w:val="16"/>
          <w:szCs w:val="16"/>
          <w:u w:val="single" w:color="auto"/>
          <w:color w:val="auto"/>
        </w:rPr>
        <w:t>Section 4.6(g)</w:t>
      </w:r>
      <w:r>
        <w:rPr>
          <w:rFonts w:ascii="Arial" w:cs="Arial" w:eastAsia="Arial" w:hAnsi="Arial"/>
          <w:sz w:val="16"/>
          <w:szCs w:val="16"/>
          <w:color w:val="auto"/>
        </w:rPr>
        <w:t>), the Capital Account of the Transferor that is attributable to the Transferred Units shall carry over to the Transferee Member in accordance with the provisions of Treasury Regulations Section 1.704-1(b)(2)(iv)(</w:t>
      </w:r>
      <w:r>
        <w:rPr>
          <w:rFonts w:ascii="Arial" w:cs="Arial" w:eastAsia="Arial" w:hAnsi="Arial"/>
          <w:sz w:val="16"/>
          <w:szCs w:val="16"/>
          <w:i w:val="1"/>
          <w:iCs w:val="1"/>
          <w:color w:val="auto"/>
        </w:rPr>
        <w:t>l</w:t>
      </w:r>
      <w:r>
        <w:rPr>
          <w:rFonts w:ascii="Arial" w:cs="Arial" w:eastAsia="Arial" w:hAnsi="Arial"/>
          <w:sz w:val="16"/>
          <w:szCs w:val="16"/>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1" w:name="page182"/>
    <w:bookmarkEnd w:id="181"/>
    <w:p>
      <w:pPr>
        <w:ind w:left="4"/>
        <w:spacing w:after="0"/>
        <w:tabs>
          <w:tab w:leader="none" w:pos="1323"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7"/>
          <w:szCs w:val="17"/>
          <w:b w:val="1"/>
          <w:bCs w:val="1"/>
          <w:u w:val="single" w:color="auto"/>
          <w:color w:val="auto"/>
        </w:rPr>
        <w:t>Other Matters</w:t>
      </w:r>
      <w:r>
        <w:rPr>
          <w:rFonts w:ascii="Arial" w:cs="Arial" w:eastAsia="Arial" w:hAnsi="Arial"/>
          <w:sz w:val="17"/>
          <w:szCs w:val="17"/>
          <w:color w:val="auto"/>
        </w:rPr>
        <w:t>.</w:t>
      </w:r>
    </w:p>
    <w:p>
      <w:pPr>
        <w:spacing w:after="0" w:line="256" w:lineRule="exact"/>
        <w:rPr>
          <w:sz w:val="20"/>
          <w:szCs w:val="20"/>
          <w:color w:val="auto"/>
        </w:rPr>
      </w:pPr>
    </w:p>
    <w:p>
      <w:pPr>
        <w:jc w:val="both"/>
        <w:ind w:left="644" w:hanging="644"/>
        <w:spacing w:after="0" w:line="264" w:lineRule="auto"/>
        <w:tabs>
          <w:tab w:leader="none" w:pos="64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Member shall demand or receive a return on or of its Capital Contributions or withdraw from the Company without the consent of the Managing Member. Under circumstances requiring a return of any Capital Contributions, no Member has the right to receive property other than cash.</w:t>
      </w:r>
    </w:p>
    <w:p>
      <w:pPr>
        <w:spacing w:after="0" w:line="208"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No Member shall receive any interest, salary, compensation, draw or reimbursement with respect to its Capital Contributions or its Capital Account, or for services rendered or expenses incurred on behalf of the Company or otherwise in its capacity as a Member, except as otherwise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or as otherwise contemplated by this Agreement.</w:t>
      </w:r>
    </w:p>
    <w:p>
      <w:pPr>
        <w:spacing w:after="0" w:line="208"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Liability of each Member shall be limited as set forth in the Act and other applicable Law and, except as expressly set forth in this Agreement or required by Law, no Member (or any of its Affiliates) shall be personally liable, whether to the Company, any of the other Members, the creditors of the Company, or any other third party, for any debt or Liability of the Company, whether arising in contract, tort or otherwise, solely by reason of being a Member of the Company.</w:t>
      </w:r>
    </w:p>
    <w:p>
      <w:pPr>
        <w:spacing w:after="0" w:line="213" w:lineRule="exact"/>
        <w:rPr>
          <w:rFonts w:ascii="Arial" w:cs="Arial" w:eastAsia="Arial" w:hAnsi="Arial"/>
          <w:sz w:val="18"/>
          <w:szCs w:val="18"/>
          <w:color w:val="auto"/>
        </w:rPr>
      </w:pPr>
    </w:p>
    <w:p>
      <w:pPr>
        <w:ind w:left="644" w:hanging="644"/>
        <w:spacing w:after="0" w:line="342" w:lineRule="auto"/>
        <w:tabs>
          <w:tab w:leader="none" w:pos="64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Except as otherwise required by the Act, a Member shall not be required to restore a deficit balance in such Member’s Capital Account, to lend any funds to the Company or, except as otherwise set forth herein, to make any additional contributions or payments to the Company.</w:t>
      </w:r>
    </w:p>
    <w:p>
      <w:pPr>
        <w:spacing w:after="0" w:line="150" w:lineRule="exact"/>
        <w:rPr>
          <w:rFonts w:ascii="Arial" w:cs="Arial" w:eastAsia="Arial" w:hAnsi="Arial"/>
          <w:sz w:val="16"/>
          <w:szCs w:val="16"/>
          <w:color w:val="auto"/>
        </w:rPr>
      </w:pPr>
    </w:p>
    <w:p>
      <w:pPr>
        <w:ind w:left="644" w:hanging="644"/>
        <w:spacing w:after="0"/>
        <w:tabs>
          <w:tab w:leader="none" w:pos="64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shall not be obligated to repay any Capital Contributions of any Member.</w:t>
      </w:r>
    </w:p>
    <w:p>
      <w:pPr>
        <w:spacing w:after="0" w:line="275"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b w:val="1"/>
          <w:bCs w:val="1"/>
          <w:u w:val="single" w:color="auto"/>
          <w:color w:val="auto"/>
        </w:rPr>
        <w:t>Redemption of Units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57" w:lineRule="auto"/>
        <w:tabs>
          <w:tab w:leader="none" w:pos="64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Redemptions Generally</w:t>
      </w:r>
      <w:r>
        <w:rPr>
          <w:rFonts w:ascii="Arial" w:cs="Arial" w:eastAsia="Arial" w:hAnsi="Arial"/>
          <w:sz w:val="18"/>
          <w:szCs w:val="18"/>
          <w:color w:val="auto"/>
        </w:rPr>
        <w:t xml:space="preserve">. Upon the terms and subject to the conditions set forth in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including without limitation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4.6(m)</w:t>
      </w:r>
      <w:r>
        <w:rPr>
          <w:rFonts w:ascii="Arial" w:cs="Arial" w:eastAsia="Arial" w:hAnsi="Arial"/>
          <w:sz w:val="18"/>
          <w:szCs w:val="18"/>
          <w:color w:val="auto"/>
        </w:rPr>
        <w:t>, each Member as indicated herein shall be entitled to cause the Company to redeem all or a portion of such Member’s Units (together with the surrender and delivery of the same number of Class B Shares) for an equivalent number of Class A Shares (a “</w:t>
      </w: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xml:space="preserve">”) or, at the Company’s election made in accordance with </w:t>
      </w:r>
      <w:r>
        <w:rPr>
          <w:rFonts w:ascii="Arial" w:cs="Arial" w:eastAsia="Arial" w:hAnsi="Arial"/>
          <w:sz w:val="18"/>
          <w:szCs w:val="18"/>
          <w:u w:val="single" w:color="auto"/>
          <w:color w:val="auto"/>
        </w:rPr>
        <w:t>Section 4.6(d)</w:t>
      </w:r>
      <w:r>
        <w:rPr>
          <w:rFonts w:ascii="Arial" w:cs="Arial" w:eastAsia="Arial" w:hAnsi="Arial"/>
          <w:sz w:val="18"/>
          <w:szCs w:val="18"/>
          <w:color w:val="auto"/>
        </w:rPr>
        <w:t>, cash equal to the Cash Election Amount calculated with respect to such Redemption.</w:t>
      </w:r>
    </w:p>
    <w:p>
      <w:pPr>
        <w:spacing w:after="0" w:line="215" w:lineRule="exact"/>
        <w:rPr>
          <w:rFonts w:ascii="Arial" w:cs="Arial" w:eastAsia="Arial" w:hAnsi="Arial"/>
          <w:sz w:val="18"/>
          <w:szCs w:val="18"/>
          <w:color w:val="auto"/>
        </w:rPr>
      </w:pPr>
    </w:p>
    <w:p>
      <w:pPr>
        <w:ind w:left="644" w:hanging="644"/>
        <w:spacing w:after="0"/>
        <w:tabs>
          <w:tab w:leader="none" w:pos="64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Redemptions by Eligible Members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Permitted Redemptions by Eligible Members.</w:t>
      </w:r>
    </w:p>
    <w:p>
      <w:pPr>
        <w:spacing w:after="0" w:line="252" w:lineRule="exact"/>
        <w:rPr>
          <w:rFonts w:ascii="Arial" w:cs="Arial" w:eastAsia="Arial" w:hAnsi="Arial"/>
          <w:sz w:val="18"/>
          <w:szCs w:val="18"/>
          <w:color w:val="auto"/>
        </w:rPr>
      </w:pPr>
    </w:p>
    <w:p>
      <w:pPr>
        <w:jc w:val="both"/>
        <w:ind w:left="1944" w:hanging="647"/>
        <w:spacing w:after="0" w:line="255" w:lineRule="auto"/>
        <w:tabs>
          <w:tab w:leader="none" w:pos="1944" w:val="left"/>
        </w:tabs>
        <w:numPr>
          <w:ilvl w:val="2"/>
          <w:numId w:val="181"/>
        </w:numPr>
        <w:rPr>
          <w:rFonts w:ascii="Arial" w:cs="Arial" w:eastAsia="Arial" w:hAnsi="Arial"/>
          <w:sz w:val="18"/>
          <w:szCs w:val="18"/>
          <w:color w:val="auto"/>
        </w:rPr>
      </w:pPr>
      <w:r>
        <w:rPr>
          <w:rFonts w:ascii="Arial" w:cs="Arial" w:eastAsia="Arial" w:hAnsi="Arial"/>
          <w:sz w:val="18"/>
          <w:szCs w:val="18"/>
          <w:i w:val="1"/>
          <w:iCs w:val="1"/>
          <w:color w:val="auto"/>
        </w:rPr>
        <w:t>Quarterly Redemptions</w:t>
      </w:r>
      <w:r>
        <w:rPr>
          <w:rFonts w:ascii="Arial" w:cs="Arial" w:eastAsia="Arial" w:hAnsi="Arial"/>
          <w:sz w:val="18"/>
          <w:szCs w:val="18"/>
          <w:color w:val="auto"/>
        </w:rPr>
        <w:t>. Each Eligible Member may effect Redemptions on a quarterly basis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4.6(b)(i)</w:t>
      </w:r>
      <w:r>
        <w:rPr>
          <w:rFonts w:ascii="Arial" w:cs="Arial" w:eastAsia="Arial" w:hAnsi="Arial"/>
          <w:sz w:val="18"/>
          <w:szCs w:val="18"/>
          <w:color w:val="auto"/>
        </w:rPr>
        <w:t xml:space="preserve"> (such Redemption, a “</w:t>
      </w:r>
      <w:r>
        <w:rPr>
          <w:rFonts w:ascii="Arial" w:cs="Arial" w:eastAsia="Arial" w:hAnsi="Arial"/>
          <w:sz w:val="18"/>
          <w:szCs w:val="18"/>
          <w:b w:val="1"/>
          <w:bCs w:val="1"/>
          <w:u w:val="single" w:color="auto"/>
          <w:color w:val="auto"/>
        </w:rPr>
        <w:t>Quarterly Redemption</w:t>
      </w:r>
      <w:r>
        <w:rPr>
          <w:rFonts w:ascii="Arial" w:cs="Arial" w:eastAsia="Arial" w:hAnsi="Arial"/>
          <w:sz w:val="18"/>
          <w:szCs w:val="18"/>
          <w:color w:val="auto"/>
        </w:rPr>
        <w:t xml:space="preserve">”) so long as, absent the prior written consent of the Managing Member to the contrary, any such Eligible Members redeem at least a number of Units equal to (x) in the aggregate, the lesser of 835,294 Units or Units with a value of at least $10.0 million at the time of such Redemption, or (y) in the case of a 5% Holder, all of the Units held at such time by such 5% Holder, if lower than the amount in </w:t>
      </w:r>
      <w:r>
        <w:rPr>
          <w:rFonts w:ascii="Arial" w:cs="Arial" w:eastAsia="Arial" w:hAnsi="Arial"/>
          <w:sz w:val="18"/>
          <w:szCs w:val="18"/>
          <w:u w:val="single" w:color="auto"/>
          <w:color w:val="auto"/>
        </w:rPr>
        <w:t>clause (x)</w:t>
      </w:r>
      <w:r>
        <w:rPr>
          <w:rFonts w:ascii="Arial" w:cs="Arial" w:eastAsia="Arial" w:hAnsi="Arial"/>
          <w:sz w:val="18"/>
          <w:szCs w:val="18"/>
          <w:color w:val="auto"/>
        </w:rPr>
        <w:t>. Quarterly Redemptions shall occur no more frequently than once per calendar quarter on the Quarterly Redemption Date for such calendar quarter.</w:t>
      </w:r>
    </w:p>
    <w:p>
      <w:pPr>
        <w:spacing w:after="0" w:line="14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48" w:right="239" w:bottom="1440" w:gutter="0" w:footer="0" w:header="0"/>
        </w:sectPr>
      </w:pPr>
    </w:p>
    <w:bookmarkStart w:id="182" w:name="page183"/>
    <w:bookmarkEnd w:id="182"/>
    <w:p>
      <w:pPr>
        <w:ind w:left="1400" w:hanging="647"/>
        <w:spacing w:after="0"/>
        <w:tabs>
          <w:tab w:leader="none" w:pos="140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Regular Block Redemptions</w:t>
      </w:r>
      <w:r>
        <w:rPr>
          <w:rFonts w:ascii="Arial" w:cs="Arial" w:eastAsia="Arial" w:hAnsi="Arial"/>
          <w:sz w:val="16"/>
          <w:szCs w:val="16"/>
          <w:color w:val="auto"/>
        </w:rPr>
        <w:t>. Each Eligible Member may effect a Redemption at any time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4.6(b)(i)</w:t>
      </w:r>
    </w:p>
    <w:p>
      <w:pPr>
        <w:spacing w:after="0" w:line="46" w:lineRule="exact"/>
        <w:rPr>
          <w:rFonts w:ascii="Arial" w:cs="Arial" w:eastAsia="Arial" w:hAnsi="Arial"/>
          <w:sz w:val="16"/>
          <w:szCs w:val="16"/>
          <w:color w:val="auto"/>
        </w:rPr>
      </w:pPr>
    </w:p>
    <w:p>
      <w:pPr>
        <w:jc w:val="both"/>
        <w:ind w:left="1400" w:right="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(such Redemption, a “</w:t>
      </w:r>
      <w:r>
        <w:rPr>
          <w:rFonts w:ascii="Arial" w:cs="Arial" w:eastAsia="Arial" w:hAnsi="Arial"/>
          <w:sz w:val="18"/>
          <w:szCs w:val="18"/>
          <w:b w:val="1"/>
          <w:bCs w:val="1"/>
          <w:u w:val="single" w:color="auto"/>
          <w:color w:val="auto"/>
        </w:rPr>
        <w:t>Block Redemption</w:t>
      </w:r>
      <w:r>
        <w:rPr>
          <w:rFonts w:ascii="Arial" w:cs="Arial" w:eastAsia="Arial" w:hAnsi="Arial"/>
          <w:sz w:val="18"/>
          <w:szCs w:val="18"/>
          <w:color w:val="auto"/>
        </w:rPr>
        <w:t>”) so long as, absent the prior written consent of the Managing Member to the contrary, such Eligible Member redeems at least a number of Units equal to the lesser of 3,341,176 Units or Units with a value of at least $50.0 million at the time of such Redemption.</w:t>
      </w:r>
    </w:p>
    <w:p>
      <w:pPr>
        <w:spacing w:after="0" w:line="217" w:lineRule="exact"/>
        <w:rPr>
          <w:rFonts w:ascii="Arial" w:cs="Arial" w:eastAsia="Arial" w:hAnsi="Arial"/>
          <w:sz w:val="16"/>
          <w:szCs w:val="16"/>
          <w:color w:val="auto"/>
        </w:rPr>
      </w:pPr>
    </w:p>
    <w:p>
      <w:pPr>
        <w:jc w:val="both"/>
        <w:ind w:left="1400" w:hanging="647"/>
        <w:spacing w:after="0" w:line="293" w:lineRule="auto"/>
        <w:tabs>
          <w:tab w:leader="none" w:pos="140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Piggyback Redemptions</w:t>
      </w:r>
      <w:r>
        <w:rPr>
          <w:rFonts w:ascii="Arial" w:cs="Arial" w:eastAsia="Arial" w:hAnsi="Arial"/>
          <w:sz w:val="16"/>
          <w:szCs w:val="16"/>
          <w:color w:val="auto"/>
        </w:rPr>
        <w:t>. Each Eligible Member may effect a Redemption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4.6(b)(i)(C)</w:t>
      </w:r>
      <w:r>
        <w:rPr>
          <w:rFonts w:ascii="Arial" w:cs="Arial" w:eastAsia="Arial" w:hAnsi="Arial"/>
          <w:sz w:val="16"/>
          <w:szCs w:val="16"/>
          <w:i w:val="1"/>
          <w:iCs w:val="1"/>
          <w:color w:val="auto"/>
        </w:rPr>
        <w:t xml:space="preserve"> </w:t>
      </w:r>
      <w:r>
        <w:rPr>
          <w:rFonts w:ascii="Arial" w:cs="Arial" w:eastAsia="Arial" w:hAnsi="Arial"/>
          <w:sz w:val="16"/>
          <w:szCs w:val="16"/>
          <w:color w:val="auto"/>
        </w:rPr>
        <w:t>(such</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a “</w:t>
      </w:r>
      <w:r>
        <w:rPr>
          <w:rFonts w:ascii="Arial" w:cs="Arial" w:eastAsia="Arial" w:hAnsi="Arial"/>
          <w:sz w:val="16"/>
          <w:szCs w:val="16"/>
          <w:u w:val="single" w:color="auto"/>
          <w:color w:val="auto"/>
        </w:rPr>
        <w:t>Piggyback Redemption</w:t>
      </w:r>
      <w:r>
        <w:rPr>
          <w:rFonts w:ascii="Arial" w:cs="Arial" w:eastAsia="Arial" w:hAnsi="Arial"/>
          <w:sz w:val="16"/>
          <w:szCs w:val="16"/>
          <w:color w:val="auto"/>
        </w:rPr>
        <w:t>”) so long as (x) absent the prior written consent of the Managing Member to the contrary, any such Eligible Members redeem at least a number of Units equal to, in the aggregate, the lesser of 835,294 Units or Units with a value of at least $10.0 million at the time of such Redemption, and (y) such Piggyback Redemption right is exercised in connection with a valid exercise of such Eligible Member’s rights to have the Class A Shares issuable in connection with such Redemption to participate in either the registration or an offering of securities by PubCo.</w:t>
      </w:r>
    </w:p>
    <w:p>
      <w:pPr>
        <w:spacing w:after="0" w:line="191" w:lineRule="exact"/>
        <w:rPr>
          <w:rFonts w:ascii="Arial" w:cs="Arial" w:eastAsia="Arial" w:hAnsi="Arial"/>
          <w:sz w:val="16"/>
          <w:szCs w:val="16"/>
          <w:color w:val="auto"/>
        </w:rPr>
      </w:pPr>
    </w:p>
    <w:p>
      <w:pPr>
        <w:jc w:val="both"/>
        <w:ind w:left="1400" w:hanging="647"/>
        <w:spacing w:after="0" w:line="290" w:lineRule="auto"/>
        <w:tabs>
          <w:tab w:leader="none" w:pos="140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Annual Block Redemptions</w:t>
      </w:r>
      <w:r>
        <w:rPr>
          <w:rFonts w:ascii="Arial" w:cs="Arial" w:eastAsia="Arial" w:hAnsi="Arial"/>
          <w:sz w:val="16"/>
          <w:szCs w:val="16"/>
          <w:color w:val="auto"/>
        </w:rPr>
        <w:t>. Each Eligible Member may effect a Redemption pursuant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4.6(b)(i)(D)</w:t>
      </w:r>
      <w:r>
        <w:rPr>
          <w:rFonts w:ascii="Arial" w:cs="Arial" w:eastAsia="Arial" w:hAnsi="Arial"/>
          <w:sz w:val="16"/>
          <w:szCs w:val="16"/>
          <w:i w:val="1"/>
          <w:iCs w:val="1"/>
          <w:color w:val="auto"/>
        </w:rPr>
        <w:t xml:space="preserve"> </w:t>
      </w:r>
      <w:r>
        <w:rPr>
          <w:rFonts w:ascii="Arial" w:cs="Arial" w:eastAsia="Arial" w:hAnsi="Arial"/>
          <w:sz w:val="16"/>
          <w:szCs w:val="16"/>
          <w:color w:val="auto"/>
        </w:rPr>
        <w:t>(such</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an “</w:t>
      </w:r>
      <w:r>
        <w:rPr>
          <w:rFonts w:ascii="Arial" w:cs="Arial" w:eastAsia="Arial" w:hAnsi="Arial"/>
          <w:sz w:val="16"/>
          <w:szCs w:val="16"/>
          <w:b w:val="1"/>
          <w:bCs w:val="1"/>
          <w:u w:val="single" w:color="auto"/>
          <w:color w:val="auto"/>
        </w:rPr>
        <w:t>Annual Block Redemption</w:t>
      </w:r>
      <w:r>
        <w:rPr>
          <w:rFonts w:ascii="Arial" w:cs="Arial" w:eastAsia="Arial" w:hAnsi="Arial"/>
          <w:sz w:val="16"/>
          <w:szCs w:val="16"/>
          <w:color w:val="auto"/>
        </w:rPr>
        <w:t xml:space="preserve">”) not more than once per calendar year with a Redemption Date one (1) Business Day after the Redemption Notice Date, (x) so long as, absent the prior written consent of the Managing Member, any such Eligible Members redeem at least 3,341,176 Units, in the aggregate, and (y) solely to the extent that PubCo and/or the Company have sufficient capacity to reasonably pay the Cash Election Amount with respect to such Annual Block Redemption within eight (8) calendar days of the applicable Redemption Notice Date, taking into account available cash of PubCo and the Company (as calculated consistent with </w:t>
      </w:r>
      <w:r>
        <w:rPr>
          <w:rFonts w:ascii="Arial" w:cs="Arial" w:eastAsia="Arial" w:hAnsi="Arial"/>
          <w:sz w:val="16"/>
          <w:szCs w:val="16"/>
          <w:u w:val="single" w:color="auto"/>
          <w:color w:val="auto"/>
        </w:rPr>
        <w:t>Section 6.2(b)</w:t>
      </w:r>
      <w:r>
        <w:rPr>
          <w:rFonts w:ascii="Arial" w:cs="Arial" w:eastAsia="Arial" w:hAnsi="Arial"/>
          <w:sz w:val="16"/>
          <w:szCs w:val="16"/>
          <w:color w:val="auto"/>
        </w:rPr>
        <w:t>) and the reasonably estimated net cash proceeds of any potential equity offerings that could reasonably be completed within such eight-day period.</w:t>
      </w:r>
    </w:p>
    <w:p>
      <w:pPr>
        <w:spacing w:after="0" w:line="1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3" w:name="page184"/>
    <w:bookmarkEnd w:id="183"/>
    <w:p>
      <w:pPr>
        <w:jc w:val="both"/>
        <w:ind w:left="1400" w:hanging="647"/>
        <w:spacing w:after="0" w:line="268" w:lineRule="auto"/>
        <w:tabs>
          <w:tab w:leader="none" w:pos="1400" w:val="left"/>
        </w:tabs>
        <w:numPr>
          <w:ilvl w:val="1"/>
          <w:numId w:val="183"/>
        </w:numPr>
        <w:rPr>
          <w:rFonts w:ascii="Arial" w:cs="Arial" w:eastAsia="Arial" w:hAnsi="Arial"/>
          <w:sz w:val="17"/>
          <w:szCs w:val="17"/>
          <w:color w:val="auto"/>
        </w:rPr>
      </w:pPr>
      <w:r>
        <w:rPr>
          <w:rFonts w:ascii="Arial" w:cs="Arial" w:eastAsia="Arial" w:hAnsi="Arial"/>
          <w:sz w:val="17"/>
          <w:szCs w:val="17"/>
          <w:i w:val="1"/>
          <w:iCs w:val="1"/>
          <w:color w:val="auto"/>
        </w:rPr>
        <w:t>10b5-1 Plan Redemptions</w:t>
      </w:r>
      <w:r>
        <w:rPr>
          <w:rFonts w:ascii="Arial" w:cs="Arial" w:eastAsia="Arial" w:hAnsi="Arial"/>
          <w:sz w:val="17"/>
          <w:szCs w:val="17"/>
          <w:color w:val="auto"/>
        </w:rPr>
        <w:t>. Each Eligible Member may establish a written plan for selling Class A Shares in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Rule 10b5-1(c) of the Exchange Act (a “</w:t>
      </w:r>
      <w:r>
        <w:rPr>
          <w:rFonts w:ascii="Arial" w:cs="Arial" w:eastAsia="Arial" w:hAnsi="Arial"/>
          <w:sz w:val="17"/>
          <w:szCs w:val="17"/>
          <w:b w:val="1"/>
          <w:bCs w:val="1"/>
          <w:u w:val="single" w:color="auto"/>
          <w:color w:val="auto"/>
        </w:rPr>
        <w:t>10b5-1 Plan</w:t>
      </w:r>
      <w:r>
        <w:rPr>
          <w:rFonts w:ascii="Arial" w:cs="Arial" w:eastAsia="Arial" w:hAnsi="Arial"/>
          <w:sz w:val="17"/>
          <w:szCs w:val="17"/>
          <w:color w:val="auto"/>
        </w:rPr>
        <w:t xml:space="preserve">”) and may effect a Redemption as described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4.6(b)(i)(E)</w:t>
      </w:r>
      <w:r>
        <w:rPr>
          <w:rFonts w:ascii="Arial" w:cs="Arial" w:eastAsia="Arial" w:hAnsi="Arial"/>
          <w:sz w:val="17"/>
          <w:szCs w:val="17"/>
          <w:color w:val="auto"/>
        </w:rPr>
        <w:t xml:space="preserve"> (such Redemption, a “</w:t>
      </w:r>
      <w:r>
        <w:rPr>
          <w:rFonts w:ascii="Arial" w:cs="Arial" w:eastAsia="Arial" w:hAnsi="Arial"/>
          <w:sz w:val="17"/>
          <w:szCs w:val="17"/>
          <w:b w:val="1"/>
          <w:bCs w:val="1"/>
          <w:u w:val="single" w:color="auto"/>
          <w:color w:val="auto"/>
        </w:rPr>
        <w:t>10b5-1 Plan Redemption</w:t>
      </w:r>
      <w:r>
        <w:rPr>
          <w:rFonts w:ascii="Arial" w:cs="Arial" w:eastAsia="Arial" w:hAnsi="Arial"/>
          <w:sz w:val="17"/>
          <w:szCs w:val="17"/>
          <w:color w:val="auto"/>
        </w:rPr>
        <w:t>”). Each such Eligible Member may, no more than once with respect to any twelve (12) month period, exercise the 10b5-1 Plan Redemption right in connection with any such 10b5-1 Plan (each such exercise, a “</w:t>
      </w:r>
      <w:r>
        <w:rPr>
          <w:rFonts w:ascii="Arial" w:cs="Arial" w:eastAsia="Arial" w:hAnsi="Arial"/>
          <w:sz w:val="17"/>
          <w:szCs w:val="17"/>
          <w:b w:val="1"/>
          <w:bCs w:val="1"/>
          <w:u w:val="single" w:color="auto"/>
          <w:color w:val="auto"/>
        </w:rPr>
        <w:t>10b5-1 Plan Redemption Right Exercise</w:t>
      </w:r>
      <w:r>
        <w:rPr>
          <w:rFonts w:ascii="Arial" w:cs="Arial" w:eastAsia="Arial" w:hAnsi="Arial"/>
          <w:sz w:val="17"/>
          <w:szCs w:val="17"/>
          <w:color w:val="auto"/>
        </w:rPr>
        <w:t xml:space="preserve">”) with respect to at least 1,670,588 Units,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the Units subject to such 10b5-1 Plan Redemption Right Exercise shall be in a number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by such Eligible Member to provide Class A Shares to be sold under such 10b5-1 Plan(s); (B) the Units subject to such 10b5-1 Plan Redemption Right Exercise shall either, at the election of such Eligible Member (x) be redeemed in an equal amount on each 10b5-1 Plan Redemption Date during such twelve (12) month period or (y) all be redeemed at one time on the first 10b5-1 Plan Redemption Date following such 10b5-1 Plan Redemption Right Exercise; and (C) for the avoidance of doubt, such Eligible Member shall not be entitled to any other 10b5-1 Plan Redemption Right Exercise with respect to any overlapping twelve (12) month period. The 1,670,588 Unit threshold described above shall be determined with respect to a new 10b5-1 Plan Redemption Right Exercise by taking into account any Units to be redeemed (x) pursuant to any 10b5-1 Plan Redemption Right Exercise by any other Eligible Member that is then in effect (or contemporaneously entered into) and (y) during the twelve (12) month period with respect to which such new 10b5-1 Plan Redemption Right Exercise applies.</w:t>
      </w:r>
    </w:p>
    <w:p>
      <w:pPr>
        <w:spacing w:after="0" w:line="207" w:lineRule="exact"/>
        <w:rPr>
          <w:rFonts w:ascii="Arial" w:cs="Arial" w:eastAsia="Arial" w:hAnsi="Arial"/>
          <w:sz w:val="17"/>
          <w:szCs w:val="17"/>
          <w:color w:val="auto"/>
        </w:rPr>
      </w:pPr>
    </w:p>
    <w:p>
      <w:pPr>
        <w:ind w:left="760" w:hanging="655"/>
        <w:spacing w:after="0"/>
        <w:tabs>
          <w:tab w:leader="none" w:pos="76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Notice Requirements for Eligible Members.</w:t>
      </w:r>
    </w:p>
    <w:p>
      <w:pPr>
        <w:spacing w:after="0" w:line="252" w:lineRule="exact"/>
        <w:rPr>
          <w:rFonts w:ascii="Arial" w:cs="Arial" w:eastAsia="Arial" w:hAnsi="Arial"/>
          <w:sz w:val="18"/>
          <w:szCs w:val="18"/>
          <w:color w:val="auto"/>
        </w:rPr>
      </w:pPr>
    </w:p>
    <w:p>
      <w:pPr>
        <w:jc w:val="both"/>
        <w:ind w:left="1400" w:hanging="647"/>
        <w:spacing w:after="0" w:line="264" w:lineRule="auto"/>
        <w:tabs>
          <w:tab w:leader="none" w:pos="1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In order to exercise any Redemption right under </w:t>
      </w:r>
      <w:r>
        <w:rPr>
          <w:rFonts w:ascii="Arial" w:cs="Arial" w:eastAsia="Arial" w:hAnsi="Arial"/>
          <w:sz w:val="18"/>
          <w:szCs w:val="18"/>
          <w:u w:val="single" w:color="auto"/>
          <w:color w:val="auto"/>
        </w:rPr>
        <w:t>Section 4.6(b)</w:t>
      </w:r>
      <w:r>
        <w:rPr>
          <w:rFonts w:ascii="Arial" w:cs="Arial" w:eastAsia="Arial" w:hAnsi="Arial"/>
          <w:sz w:val="18"/>
          <w:szCs w:val="18"/>
          <w:color w:val="auto"/>
        </w:rPr>
        <w:t>, the Eligible Member shall provide written notice (the “</w:t>
      </w:r>
      <w:r>
        <w:rPr>
          <w:rFonts w:ascii="Arial" w:cs="Arial" w:eastAsia="Arial" w:hAnsi="Arial"/>
          <w:sz w:val="18"/>
          <w:szCs w:val="18"/>
          <w:b w:val="1"/>
          <w:bCs w:val="1"/>
          <w:u w:val="single" w:color="auto"/>
          <w:color w:val="auto"/>
        </w:rPr>
        <w:t>Redemption Notice</w:t>
      </w:r>
      <w:r>
        <w:rPr>
          <w:rFonts w:ascii="Arial" w:cs="Arial" w:eastAsia="Arial" w:hAnsi="Arial"/>
          <w:sz w:val="18"/>
          <w:szCs w:val="18"/>
          <w:color w:val="auto"/>
        </w:rPr>
        <w:t>”) to the Company, with a copy to PubCo (the date of delivery of such Redemption Notice, the “</w:t>
      </w:r>
      <w:r>
        <w:rPr>
          <w:rFonts w:ascii="Arial" w:cs="Arial" w:eastAsia="Arial" w:hAnsi="Arial"/>
          <w:sz w:val="18"/>
          <w:szCs w:val="18"/>
          <w:b w:val="1"/>
          <w:bCs w:val="1"/>
          <w:u w:val="single" w:color="auto"/>
          <w:color w:val="auto"/>
        </w:rPr>
        <w:t>Redemption Notice Date</w:t>
      </w:r>
      <w:r>
        <w:rPr>
          <w:rFonts w:ascii="Arial" w:cs="Arial" w:eastAsia="Arial" w:hAnsi="Arial"/>
          <w:sz w:val="18"/>
          <w:szCs w:val="18"/>
          <w:color w:val="auto"/>
        </w:rPr>
        <w:t>”), stating:</w:t>
      </w:r>
    </w:p>
    <w:p>
      <w:pPr>
        <w:spacing w:after="0" w:line="208" w:lineRule="exact"/>
        <w:rPr>
          <w:sz w:val="20"/>
          <w:szCs w:val="20"/>
          <w:color w:val="auto"/>
        </w:rPr>
      </w:pPr>
    </w:p>
    <w:p>
      <w:pPr>
        <w:ind w:left="2040" w:right="20" w:hanging="639"/>
        <w:spacing w:after="0" w:line="277" w:lineRule="auto"/>
        <w:tabs>
          <w:tab w:leader="none" w:pos="20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number of Units (together with the surrender and delivery of an equal number of Class B Shares) the Eligible Member elects to have the Company redeem;</w:t>
      </w:r>
    </w:p>
    <w:p>
      <w:pPr>
        <w:spacing w:after="0" w:line="197" w:lineRule="exact"/>
        <w:rPr>
          <w:sz w:val="20"/>
          <w:szCs w:val="20"/>
          <w:color w:val="auto"/>
        </w:rPr>
      </w:pPr>
    </w:p>
    <w:p>
      <w:pPr>
        <w:ind w:left="2040" w:hanging="639"/>
        <w:spacing w:after="0" w:line="277" w:lineRule="auto"/>
        <w:tabs>
          <w:tab w:leader="none" w:pos="20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Class A Shares to be received are to be issued other than in the name of the Eligible Member, the name(s) of the Person(s) in whose name or on whose order the Class A Shares are to be issued;</w:t>
      </w:r>
    </w:p>
    <w:p>
      <w:pPr>
        <w:spacing w:after="0" w:line="197" w:lineRule="exact"/>
        <w:rPr>
          <w:sz w:val="20"/>
          <w:szCs w:val="20"/>
          <w:color w:val="auto"/>
        </w:rPr>
      </w:pPr>
    </w:p>
    <w:p>
      <w:pPr>
        <w:jc w:val="both"/>
        <w:ind w:left="2040" w:hanging="639"/>
        <w:spacing w:after="0" w:line="257" w:lineRule="auto"/>
        <w:tabs>
          <w:tab w:leader="none" w:pos="20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whether the Redemption is to be contingent (including as to timing) upon the closing of a Public Offering of the Class A Shares for which the Units will be redeemed or the closing of an announced merger, consolidation or other transaction or event to which PubCo is a party in which the Class A Shares would be exchanged or converted or become exchangeable for or convertible into cash or other securities or property (such contingency, a “</w:t>
      </w:r>
      <w:r>
        <w:rPr>
          <w:rFonts w:ascii="Arial" w:cs="Arial" w:eastAsia="Arial" w:hAnsi="Arial"/>
          <w:sz w:val="18"/>
          <w:szCs w:val="18"/>
          <w:b w:val="1"/>
          <w:bCs w:val="1"/>
          <w:u w:val="single" w:color="auto"/>
          <w:color w:val="auto"/>
        </w:rPr>
        <w:t>Redemption Contingency</w:t>
      </w:r>
      <w:r>
        <w:rPr>
          <w:rFonts w:ascii="Arial" w:cs="Arial" w:eastAsia="Arial" w:hAnsi="Arial"/>
          <w:sz w:val="18"/>
          <w:szCs w:val="18"/>
          <w:color w:val="auto"/>
        </w:rPr>
        <w:t>”);</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4" w:name="page185"/>
    <w:bookmarkEnd w:id="184"/>
    <w:p>
      <w:pPr>
        <w:jc w:val="center"/>
        <w:ind w:left="2520"/>
        <w:spacing w:after="0"/>
        <w:tabs>
          <w:tab w:leader="none" w:pos="3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pursuant to which section of this Agreement the Redemption right is being exercised;</w:t>
      </w:r>
    </w:p>
    <w:p>
      <w:pPr>
        <w:spacing w:after="0" w:line="252" w:lineRule="exact"/>
        <w:rPr>
          <w:sz w:val="20"/>
          <w:szCs w:val="20"/>
          <w:color w:val="auto"/>
        </w:rPr>
      </w:pPr>
    </w:p>
    <w:p>
      <w:pPr>
        <w:jc w:val="both"/>
        <w:ind w:left="2584" w:hanging="639"/>
        <w:spacing w:after="0" w:line="259" w:lineRule="auto"/>
        <w:tabs>
          <w:tab w:leader="none" w:pos="258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it is a 10b5-1 Plan Redemption, (x) the first 10b5-1 Plan Redemption Date and (y) whether such Eligible Member elects for such Redemptions to occur in an equal amount on each 10b5-1 Plan Redemption Date during the relevant twelve (12) month period or at one time on the first 10b5-1 Plan Redemption Date following such 10b5-1 Plan Redemption Right Exercise; and</w:t>
      </w:r>
    </w:p>
    <w:p>
      <w:pPr>
        <w:spacing w:after="0" w:line="214" w:lineRule="exact"/>
        <w:rPr>
          <w:sz w:val="20"/>
          <w:szCs w:val="20"/>
          <w:color w:val="auto"/>
        </w:rPr>
      </w:pPr>
    </w:p>
    <w:p>
      <w:pPr>
        <w:ind w:left="1944"/>
        <w:spacing w:after="0"/>
        <w:tabs>
          <w:tab w:leader="none" w:pos="2563"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if it is a Block Redemption or Annual Block Redemption, the intended Redemption Date.</w:t>
      </w:r>
    </w:p>
    <w:p>
      <w:pPr>
        <w:spacing w:after="0" w:line="252" w:lineRule="exact"/>
        <w:rPr>
          <w:sz w:val="20"/>
          <w:szCs w:val="20"/>
          <w:color w:val="auto"/>
        </w:rPr>
      </w:pPr>
    </w:p>
    <w:p>
      <w:pPr>
        <w:jc w:val="both"/>
        <w:ind w:left="1944" w:hanging="647"/>
        <w:spacing w:after="0" w:line="288" w:lineRule="auto"/>
        <w:tabs>
          <w:tab w:leader="none" w:pos="1944" w:val="left"/>
        </w:tabs>
        <w:numPr>
          <w:ilvl w:val="2"/>
          <w:numId w:val="189"/>
        </w:numPr>
        <w:rPr>
          <w:rFonts w:ascii="Arial" w:cs="Arial" w:eastAsia="Arial" w:hAnsi="Arial"/>
          <w:sz w:val="16"/>
          <w:szCs w:val="16"/>
          <w:color w:val="auto"/>
        </w:rPr>
      </w:pPr>
      <w:r>
        <w:rPr>
          <w:rFonts w:ascii="Arial" w:cs="Arial" w:eastAsia="Arial" w:hAnsi="Arial"/>
          <w:sz w:val="16"/>
          <w:szCs w:val="16"/>
          <w:color w:val="auto"/>
        </w:rPr>
        <w:t xml:space="preserve">With respect to a Quarterly Redemption, such Redemption Notice shall be delivered to the Company, PubCo and New Fortress Energy Holdings (if New Fortress Energy Holdings is not a Redeeming Member), at least ten (10) calendar days prior to the Quarterly Redemption Date. With respect to a Block Redemption, such Redemption Notice shall be delivered to the Company at least five (5) Business Days prior to the Redemption Date stated in such Redemption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Redemption Notice may be delivered to the Company up to three (3) Business Days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Redemption Date stated in such Redemption Notice if the Eligible Member waives any rights to revoke the Redemption Notice under </w:t>
      </w:r>
      <w:r>
        <w:rPr>
          <w:rFonts w:ascii="Arial" w:cs="Arial" w:eastAsia="Arial" w:hAnsi="Arial"/>
          <w:sz w:val="16"/>
          <w:szCs w:val="16"/>
          <w:u w:val="single" w:color="auto"/>
          <w:color w:val="auto"/>
        </w:rPr>
        <w:t>Section 4.6(e)(i)</w:t>
      </w:r>
      <w:r>
        <w:rPr>
          <w:rFonts w:ascii="Arial" w:cs="Arial" w:eastAsia="Arial" w:hAnsi="Arial"/>
          <w:sz w:val="16"/>
          <w:szCs w:val="16"/>
          <w:color w:val="auto"/>
        </w:rPr>
        <w:t>. With respect to a Piggyback Redemption, such Redemption Notice shall be delivered to the Company reasonably promptly after the Eligible Member’s receipt of notice of any applicable offering. With respect to a 10b5-1 Plan Redemption, such Redemption Notice shall be delivered to the Company at least five (5) Business Days prior to the first 10b5-1 Plan Redemption Date as stated in such Redemption Notice.</w:t>
      </w:r>
    </w:p>
    <w:p>
      <w:pPr>
        <w:spacing w:after="0" w:line="196" w:lineRule="exact"/>
        <w:rPr>
          <w:rFonts w:ascii="Arial" w:cs="Arial" w:eastAsia="Arial" w:hAnsi="Arial"/>
          <w:sz w:val="16"/>
          <w:szCs w:val="16"/>
          <w:color w:val="auto"/>
        </w:rPr>
      </w:pPr>
    </w:p>
    <w:p>
      <w:pPr>
        <w:ind w:left="644" w:hanging="644"/>
        <w:spacing w:after="0"/>
        <w:tabs>
          <w:tab w:leader="none" w:pos="644"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Redemptions by Tag-Along Members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4" w:hanging="655"/>
        <w:spacing w:after="0" w:line="276" w:lineRule="auto"/>
        <w:tabs>
          <w:tab w:leader="none" w:pos="1304"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Permitted Redemptions by Tag-Along Members. </w:t>
      </w:r>
      <w:r>
        <w:rPr>
          <w:rFonts w:ascii="Arial" w:cs="Arial" w:eastAsia="Arial" w:hAnsi="Arial"/>
          <w:sz w:val="17"/>
          <w:szCs w:val="17"/>
          <w:color w:val="auto"/>
        </w:rPr>
        <w:t>If any Eligible Member exercises (A) the Quarterly Redemption right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Block Redemption right, then any Tag-Along Member shall be entitled to participate in such Quarterly Redemption or Block Redemption, as applicable or (B) the 10b5-1 Plan Redemption right, then any Tag-Along Member shall be entitled to participate in the first such 10b5-1 Plan Redemption during a calendar quarter, provided that, in each case, any Tag-Along Member may participate only by redeeming all Units held by such Tag-Along Member.</w:t>
      </w:r>
    </w:p>
    <w:p>
      <w:pPr>
        <w:spacing w:after="0" w:line="13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85" w:name="page186"/>
    <w:bookmarkEnd w:id="185"/>
    <w:p>
      <w:pPr>
        <w:jc w:val="both"/>
        <w:ind w:left="760" w:hanging="655"/>
        <w:spacing w:after="0" w:line="287" w:lineRule="auto"/>
        <w:tabs>
          <w:tab w:leader="none" w:pos="760"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Tag-Along Notice Requirements for the Company. </w:t>
      </w:r>
      <w:r>
        <w:rPr>
          <w:rFonts w:ascii="Arial" w:cs="Arial" w:eastAsia="Arial" w:hAnsi="Arial"/>
          <w:sz w:val="16"/>
          <w:szCs w:val="16"/>
          <w:color w:val="auto"/>
        </w:rPr>
        <w:t>If an Eligible Member elects to effect a Quarterly Redemption or a 10b5-1 Plan</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in which Tag-Along Members are entitled to participate, then the Company shall promptly notify all Tag-Along Members of such Redemption as soon as reasonably practicable in advance of the anticipated Redemption Date (the “</w:t>
      </w:r>
      <w:r>
        <w:rPr>
          <w:rFonts w:ascii="Arial" w:cs="Arial" w:eastAsia="Arial" w:hAnsi="Arial"/>
          <w:sz w:val="16"/>
          <w:szCs w:val="16"/>
          <w:b w:val="1"/>
          <w:bCs w:val="1"/>
          <w:u w:val="single" w:color="auto"/>
          <w:color w:val="auto"/>
        </w:rPr>
        <w:t>Tag-Along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Opportunity Notice</w:t>
      </w:r>
      <w:r>
        <w:rPr>
          <w:rFonts w:ascii="Arial" w:cs="Arial" w:eastAsia="Arial" w:hAnsi="Arial"/>
          <w:sz w:val="16"/>
          <w:szCs w:val="16"/>
          <w:color w:val="auto"/>
        </w:rPr>
        <w:t>”), but in any case, at least one (1) Business Day before the associated request for inclusion from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Members would be due pursuant to this </w:t>
      </w:r>
      <w:r>
        <w:rPr>
          <w:rFonts w:ascii="Arial" w:cs="Arial" w:eastAsia="Arial" w:hAnsi="Arial"/>
          <w:sz w:val="16"/>
          <w:szCs w:val="16"/>
          <w:u w:val="single" w:color="auto"/>
          <w:color w:val="auto"/>
        </w:rPr>
        <w:t>Section 4.6(c)</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10b5-1 Plan Redemption, the Company shall only be required to give a Tag-Along Opportunity Notice once per twelve (12) month period, as soon as reasonably practicable after receipt of the Redemption Notice for a 10b5-1 Plan Redemption Right Exercise with respect to such twelve (12) month period. If an Eligible Member elects to effect a Block Redemption in which Tag-Along Members are entitled to participate, then the Company shall notify any Tag-Along Member that has timely provided a valid request under </w:t>
      </w:r>
      <w:r>
        <w:rPr>
          <w:rFonts w:ascii="Arial" w:cs="Arial" w:eastAsia="Arial" w:hAnsi="Arial"/>
          <w:sz w:val="16"/>
          <w:szCs w:val="16"/>
          <w:u w:val="single" w:color="auto"/>
          <w:color w:val="auto"/>
        </w:rPr>
        <w:t>Section 4.6(c)(iii)</w:t>
      </w:r>
      <w:r>
        <w:rPr>
          <w:rFonts w:ascii="Arial" w:cs="Arial" w:eastAsia="Arial" w:hAnsi="Arial"/>
          <w:sz w:val="16"/>
          <w:szCs w:val="16"/>
          <w:color w:val="auto"/>
        </w:rPr>
        <w:t xml:space="preserve"> for inclusion in any such Block Redemption reasonably in advance of the relevant Redemption Date and shall specify what documents and/or items are needed from such Tag-Along Member in connection with such Redemption.</w:t>
      </w:r>
    </w:p>
    <w:p>
      <w:pPr>
        <w:spacing w:after="0" w:line="199" w:lineRule="exact"/>
        <w:rPr>
          <w:rFonts w:ascii="Arial" w:cs="Arial" w:eastAsia="Arial" w:hAnsi="Arial"/>
          <w:sz w:val="16"/>
          <w:szCs w:val="16"/>
          <w:color w:val="auto"/>
        </w:rPr>
      </w:pPr>
    </w:p>
    <w:p>
      <w:pPr>
        <w:jc w:val="both"/>
        <w:ind w:left="760" w:hanging="655"/>
        <w:spacing w:after="0" w:line="287" w:lineRule="auto"/>
        <w:tabs>
          <w:tab w:leader="none" w:pos="760"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Notice Requirements for Tag-Along Member. </w:t>
      </w:r>
      <w:r>
        <w:rPr>
          <w:rFonts w:ascii="Arial" w:cs="Arial" w:eastAsia="Arial" w:hAnsi="Arial"/>
          <w:sz w:val="16"/>
          <w:szCs w:val="16"/>
          <w:color w:val="auto"/>
        </w:rPr>
        <w:t>The Company shall use commercially reasonable efforts to redeem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Date for any Redemption in which Tag-Along Members are entitled to participate, such Units for which the Company has received a written request for inclusion (and any other documents or other items that the Managing Member reasonably requests): (A) with respect to a Quarterly Redemption, at least seven (7) calendar days prior to such Redemption Date and (B) with respect to a 10b5-1 Plan Redemption, at least three (3) Business Days prior to the applicable Redemption Date. With respect to a Block Redemption, a Tag-Along Member may deliver at any time an irrevocable written request for inclusion in any Block Redemption, and the Company shall use commercially reasonable efforts to redeem such Tag-Along Member’s Units on the next Redemption Date, if any, for a Block Redemption, provided such Member has delivered to the Company any other documents or other items that the Managing Member reasonably requests. The Company shall not be required to include in such Redemption any Tag-Along Member’s Units in the event such Tag-Along Member does not request for inclusion all of the Units held by such Tag-Along Member or if the Redemption of any such Units is not practical to effect on the same Redemption Date.</w:t>
      </w:r>
    </w:p>
    <w:p>
      <w:pPr>
        <w:spacing w:after="0" w:line="1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6" w:name="page187"/>
    <w:bookmarkEnd w:id="186"/>
    <w:p>
      <w:pPr>
        <w:jc w:val="both"/>
        <w:ind w:left="644" w:hanging="644"/>
        <w:spacing w:after="0" w:line="268" w:lineRule="auto"/>
        <w:tabs>
          <w:tab w:leader="none" w:pos="644"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Cash Election Right</w:t>
      </w:r>
      <w:r>
        <w:rPr>
          <w:rFonts w:ascii="Arial" w:cs="Arial" w:eastAsia="Arial" w:hAnsi="Arial"/>
          <w:sz w:val="17"/>
          <w:szCs w:val="17"/>
          <w:color w:val="auto"/>
        </w:rPr>
        <w:t>. Upon receipt of a Redemption Notice or request for inclusion by a Tag-Along Member in connection with any Redemption, the Company shall be entitled to elect (a “</w:t>
      </w:r>
      <w:r>
        <w:rPr>
          <w:rFonts w:ascii="Arial" w:cs="Arial" w:eastAsia="Arial" w:hAnsi="Arial"/>
          <w:sz w:val="17"/>
          <w:szCs w:val="17"/>
          <w:b w:val="1"/>
          <w:bCs w:val="1"/>
          <w:u w:val="single" w:color="auto"/>
          <w:color w:val="auto"/>
        </w:rPr>
        <w:t>Cash Election</w:t>
      </w:r>
      <w:r>
        <w:rPr>
          <w:rFonts w:ascii="Arial" w:cs="Arial" w:eastAsia="Arial" w:hAnsi="Arial"/>
          <w:sz w:val="17"/>
          <w:szCs w:val="17"/>
          <w:color w:val="auto"/>
        </w:rPr>
        <w:t xml:space="preserve">”) to settle the Redemption by delivering to the Redeeming Member, in lieu of all, but not less than all, of the applicable number of Class A Shares that would be received in such Redemption, an amount of cash equal to the Cash Election Amount for such Redemption. In order to make a Cash Election with respect to a Quarterly Redemption or a Block Redemption, the Company must provide written notice of such election to the Redeeming Member (with a copy to PubCo) prior to 1:00 p.m., New York time, on the date that is two (2) Business Days prior to the Redemption Date. Notwithstanding the foregoing, (x) with respect to a Piggyback Redemption, the Company shall be entitled make the Cash Election by providing written notice reasonably promptly after receiving the Redemption Notice, and (y) with respect to an Annual Block Redemption, the Company shall be entitled make the Cash Election without providing written notice to NFI Holdings. In addition to the foregoing, a Cash Election with respect to a 10b5-1 Plan Redemption shall be made on a quarterly basis, on the date that is two (2) Business Days prior to the first 10b5-1 Plan Redemption Date in such calendar quarter, and shall apply to all 10b5-1 Plan Redemptions in connection with such 10b5-1 Plan that occur in such calendar quarter. If the Company fails to provide written notice of a Cash Election prior to the time specified in this </w:t>
      </w:r>
      <w:r>
        <w:rPr>
          <w:rFonts w:ascii="Arial" w:cs="Arial" w:eastAsia="Arial" w:hAnsi="Arial"/>
          <w:sz w:val="17"/>
          <w:szCs w:val="17"/>
          <w:u w:val="single" w:color="auto"/>
          <w:color w:val="auto"/>
        </w:rPr>
        <w:t>Section 4.6(d)</w:t>
      </w:r>
      <w:r>
        <w:rPr>
          <w:rFonts w:ascii="Arial" w:cs="Arial" w:eastAsia="Arial" w:hAnsi="Arial"/>
          <w:sz w:val="17"/>
          <w:szCs w:val="17"/>
          <w:color w:val="auto"/>
        </w:rPr>
        <w:t>, it shall not be entitled to make a Cash Election with respect to such Redemption.</w:t>
      </w:r>
    </w:p>
    <w:p>
      <w:pPr>
        <w:spacing w:after="0" w:line="214" w:lineRule="exact"/>
        <w:rPr>
          <w:rFonts w:ascii="Arial" w:cs="Arial" w:eastAsia="Arial" w:hAnsi="Arial"/>
          <w:sz w:val="17"/>
          <w:szCs w:val="17"/>
          <w:color w:val="auto"/>
        </w:rPr>
      </w:pPr>
    </w:p>
    <w:p>
      <w:pPr>
        <w:ind w:left="644" w:hanging="644"/>
        <w:spacing w:after="0"/>
        <w:tabs>
          <w:tab w:leader="none" w:pos="64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Procedure for Redemptions; Revocations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4" w:hanging="655"/>
        <w:spacing w:after="0" w:line="268" w:lineRule="auto"/>
        <w:tabs>
          <w:tab w:leader="none" w:pos="1304"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Subject to the satisfaction of any Redemption Contingency that is specified in the relevant Redemption Notice, the Redemption shall be completed on the Redemption Date and such Class A Shares issuable upon the Redemption, or, if a Cash Election has been made, the Cash Election Amount shall be delivered to the Redeeming Member, as applicable, as soon as reasonably practicable on or following the Redemption Date. Unless a valid Cash Election has been made, a Redemption Notice in connection with a Quarterly Redemption or Block Redemption may be revoked at any time prior to the date that is three (3) Business Days prior to the Redemption Date (except, for the avoidance of doubt, if the Redeeming Member has waived such revocation right in respect of a Block Redemption pursuant to </w:t>
      </w:r>
      <w:r>
        <w:rPr>
          <w:rFonts w:ascii="Arial" w:cs="Arial" w:eastAsia="Arial" w:hAnsi="Arial"/>
          <w:sz w:val="17"/>
          <w:szCs w:val="17"/>
          <w:u w:val="single" w:color="auto"/>
          <w:color w:val="auto"/>
        </w:rPr>
        <w:t>Section 4.6(b)(ii)(B)</w:t>
      </w:r>
      <w:r>
        <w:rPr>
          <w:rFonts w:ascii="Arial" w:cs="Arial" w:eastAsia="Arial" w:hAnsi="Arial"/>
          <w:sz w:val="17"/>
          <w:szCs w:val="17"/>
          <w:color w:val="auto"/>
        </w:rPr>
        <w:t xml:space="preserve">). If a valid revocation pursuant to this </w:t>
      </w:r>
      <w:r>
        <w:rPr>
          <w:rFonts w:ascii="Arial" w:cs="Arial" w:eastAsia="Arial" w:hAnsi="Arial"/>
          <w:sz w:val="17"/>
          <w:szCs w:val="17"/>
          <w:u w:val="single" w:color="auto"/>
          <w:color w:val="auto"/>
        </w:rPr>
        <w:t>Section 4.6(e)(i)</w:t>
      </w:r>
      <w:r>
        <w:rPr>
          <w:rFonts w:ascii="Arial" w:cs="Arial" w:eastAsia="Arial" w:hAnsi="Arial"/>
          <w:sz w:val="17"/>
          <w:szCs w:val="17"/>
          <w:color w:val="auto"/>
        </w:rPr>
        <w:t xml:space="preserve"> causes the total number of Units to be redeemed in connection with a Quarterly Redemption or Block Redemption to be less than the minimum number of Units required to be redeemed under </w:t>
      </w:r>
      <w:r>
        <w:rPr>
          <w:rFonts w:ascii="Arial" w:cs="Arial" w:eastAsia="Arial" w:hAnsi="Arial"/>
          <w:sz w:val="17"/>
          <w:szCs w:val="17"/>
          <w:u w:val="single" w:color="auto"/>
          <w:color w:val="auto"/>
        </w:rPr>
        <w:t>Section 4.6(b)(i)(A)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4.6(b)(i)(B)</w:t>
      </w:r>
      <w:r>
        <w:rPr>
          <w:rFonts w:ascii="Arial" w:cs="Arial" w:eastAsia="Arial" w:hAnsi="Arial"/>
          <w:sz w:val="17"/>
          <w:szCs w:val="17"/>
          <w:color w:val="auto"/>
        </w:rPr>
        <w:t xml:space="preserve">, as applicable, then such Redemption shall be cancelled with respect to all Units. With respect to a 10b5-1 Plan Redemption, each Redeeming Member may revoke such Redemption once per calendar quarter by written election at least three (3) Business Days prior to the 10b5-1 Plan Redemption Date for the first month of such quarter,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revocation will apply to all Units that would be otherwise by redeemed in connection with such 10b5-1 Plan during such calendar quarter, and such 10b5-1 Plan has been established for at least one calendar quarter.</w:t>
      </w:r>
    </w:p>
    <w:p>
      <w:pPr>
        <w:spacing w:after="0" w:line="14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87" w:name="page188"/>
    <w:bookmarkEnd w:id="187"/>
    <w:p>
      <w:pPr>
        <w:jc w:val="both"/>
        <w:ind w:left="760" w:hanging="655"/>
        <w:spacing w:after="0" w:line="285" w:lineRule="auto"/>
        <w:tabs>
          <w:tab w:leader="none" w:pos="7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Unless a member of the PubCo Holdings Group has elected the Call Right pursuant to </w:t>
      </w:r>
      <w:r>
        <w:rPr>
          <w:rFonts w:ascii="Arial" w:cs="Arial" w:eastAsia="Arial" w:hAnsi="Arial"/>
          <w:sz w:val="16"/>
          <w:szCs w:val="16"/>
          <w:u w:val="single" w:color="auto"/>
          <w:color w:val="auto"/>
        </w:rPr>
        <w:t>Section 4.6(f)</w:t>
      </w:r>
      <w:r>
        <w:rPr>
          <w:rFonts w:ascii="Arial" w:cs="Arial" w:eastAsia="Arial" w:hAnsi="Arial"/>
          <w:sz w:val="16"/>
          <w:szCs w:val="16"/>
          <w:color w:val="auto"/>
        </w:rPr>
        <w:t xml:space="preserve">, on the Redemption Date (to be effective immediately prior to the close of business on the Redemption Date) (A) the Redeeming Member shall transfer and surrender the Units to be redeemed (and a corresponding number of Class B Shares) to the Company, in each case free and clear of all liens and encumbrances, (B) PubCo, directly or indirectly through any other member(s) of the PubCo Holdings Group, shall contribute to the Company the consideration the Redeeming Member is entitled to receive under </w:t>
      </w:r>
      <w:r>
        <w:rPr>
          <w:rFonts w:ascii="Arial" w:cs="Arial" w:eastAsia="Arial" w:hAnsi="Arial"/>
          <w:sz w:val="16"/>
          <w:szCs w:val="16"/>
          <w:u w:val="single" w:color="auto"/>
          <w:color w:val="auto"/>
        </w:rPr>
        <w:t>Section 4.6(b)</w:t>
      </w:r>
      <w:r>
        <w:rPr>
          <w:rFonts w:ascii="Arial" w:cs="Arial" w:eastAsia="Arial" w:hAnsi="Arial"/>
          <w:sz w:val="16"/>
          <w:szCs w:val="16"/>
          <w:color w:val="auto"/>
        </w:rPr>
        <w:t xml:space="preserve"> and, as described in </w:t>
      </w:r>
      <w:r>
        <w:rPr>
          <w:rFonts w:ascii="Arial" w:cs="Arial" w:eastAsia="Arial" w:hAnsi="Arial"/>
          <w:sz w:val="16"/>
          <w:szCs w:val="16"/>
          <w:u w:val="single" w:color="auto"/>
          <w:color w:val="auto"/>
        </w:rPr>
        <w:t>Section 4.1(e)</w:t>
      </w:r>
      <w:r>
        <w:rPr>
          <w:rFonts w:ascii="Arial" w:cs="Arial" w:eastAsia="Arial" w:hAnsi="Arial"/>
          <w:sz w:val="16"/>
          <w:szCs w:val="16"/>
          <w:color w:val="auto"/>
        </w:rPr>
        <w:t xml:space="preserve">, the Company shall issue to PubCo or such other member(s) of the PubCo Holdings Group, as applicable, a number of Units or other Equity Securities of the Company as consideration for such contribution, (C) the Company shall (x) cancel the redeemed Units, (y) transfer to the Redeeming Member the consideration the Redeeming Member is entitled to receive under </w:t>
      </w:r>
      <w:r>
        <w:rPr>
          <w:rFonts w:ascii="Arial" w:cs="Arial" w:eastAsia="Arial" w:hAnsi="Arial"/>
          <w:sz w:val="16"/>
          <w:szCs w:val="16"/>
          <w:u w:val="single" w:color="auto"/>
          <w:color w:val="auto"/>
        </w:rPr>
        <w:t>Section 4.6(b)</w:t>
      </w:r>
      <w:r>
        <w:rPr>
          <w:rFonts w:ascii="Arial" w:cs="Arial" w:eastAsia="Arial" w:hAnsi="Arial"/>
          <w:sz w:val="16"/>
          <w:szCs w:val="16"/>
          <w:color w:val="auto"/>
        </w:rPr>
        <w:t xml:space="preserve">, and (z) if the Units are certificated, issue to the Redeeming Member a certificate for a number of Units equal to the difference (if any) between the number of Units evidenced by the certificate surrendered by the Redeeming Member pursuant to </w:t>
      </w:r>
      <w:r>
        <w:rPr>
          <w:rFonts w:ascii="Arial" w:cs="Arial" w:eastAsia="Arial" w:hAnsi="Arial"/>
          <w:sz w:val="16"/>
          <w:szCs w:val="16"/>
          <w:u w:val="single" w:color="auto"/>
          <w:color w:val="auto"/>
        </w:rPr>
        <w:t>clause (ii)(A)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4.6(e)</w:t>
      </w:r>
      <w:r>
        <w:rPr>
          <w:rFonts w:ascii="Arial" w:cs="Arial" w:eastAsia="Arial" w:hAnsi="Arial"/>
          <w:sz w:val="16"/>
          <w:szCs w:val="16"/>
          <w:color w:val="auto"/>
        </w:rPr>
        <w:t xml:space="preserve"> and the number of redeemed Units, and (D) PubCo shall cancel the surrendered Class B Shares. Notwithstanding any other provisions of this Agreement to the contrary, in the event that the Company makes a valid Cash Election, PubCo shall only be obligated to contribute to the Company an amount in cash equal to the net proceeds (after deduction of the Discount) from the sale by PubCo of a number of Class A Shares equal to the number of Units and Class B Shares to be redeemed with such cash or from the sale of other PubCo Equity Securities used to fund the Cash Election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PubCo’s Capital Account (or the Capital Account(s) of the other member(s) of the PubCo Holdings Group, as applicable) shall be increased by the amount of such Discount in accordance with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contribution of such net proceeds shall in no event affect the Redeeming Member’s right to receive the Cash Election Amount.</w:t>
      </w:r>
    </w:p>
    <w:p>
      <w:pPr>
        <w:spacing w:after="0" w:line="199" w:lineRule="exact"/>
        <w:rPr>
          <w:rFonts w:ascii="Arial" w:cs="Arial" w:eastAsia="Arial" w:hAnsi="Arial"/>
          <w:sz w:val="16"/>
          <w:szCs w:val="16"/>
          <w:color w:val="auto"/>
        </w:rPr>
      </w:pPr>
    </w:p>
    <w:p>
      <w:pPr>
        <w:jc w:val="both"/>
        <w:ind w:left="760" w:hanging="655"/>
        <w:spacing w:after="0" w:line="271" w:lineRule="auto"/>
        <w:tabs>
          <w:tab w:leader="none" w:pos="7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Units to be redeemed (or the Class B Shares to be transferred and surrendered) by the Redeeming Member are represented by a certificate or certificates, prior to the Redemption Date, the Redeeming Member shall also present and surrender such certificate or certificates representing such Units (or Class B Shares) during normal business hours at the principal executive offices of the Company, or if any agent for the registration or transfer of Class A Shares is then duly appointed and acting (the “</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Agent</w:t>
      </w:r>
      <w:r>
        <w:rPr>
          <w:rFonts w:ascii="Arial" w:cs="Arial" w:eastAsia="Arial" w:hAnsi="Arial"/>
          <w:sz w:val="17"/>
          <w:szCs w:val="17"/>
          <w:color w:val="auto"/>
        </w:rPr>
        <w:t>”), at the office of the Transfer Agent. If required by the Managing Member, any certificate for Units and any certificate for</w:t>
      </w:r>
      <w:r>
        <w:rPr>
          <w:rFonts w:ascii="Arial" w:cs="Arial" w:eastAsia="Arial" w:hAnsi="Arial"/>
          <w:sz w:val="17"/>
          <w:szCs w:val="17"/>
          <w:b w:val="1"/>
          <w:bCs w:val="1"/>
          <w:color w:val="auto"/>
        </w:rPr>
        <w:t xml:space="preserve"> </w:t>
      </w:r>
      <w:r>
        <w:rPr>
          <w:rFonts w:ascii="Arial" w:cs="Arial" w:eastAsia="Arial" w:hAnsi="Arial"/>
          <w:sz w:val="17"/>
          <w:szCs w:val="17"/>
          <w:color w:val="auto"/>
        </w:rPr>
        <w:t>Class B Shares (in each case, if certificated) surrendered to the Company hereunder shall be accompanied by instruments of transfer, in forms reasonably satisfactory to the Managing Member and the Transfer Agent, duly executed by the Redeeming Member or the Redeeming Member’s duly authorized representative.</w:t>
      </w:r>
    </w:p>
    <w:p>
      <w:pPr>
        <w:spacing w:after="0" w:line="1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8" w:name="page189"/>
    <w:bookmarkEnd w:id="188"/>
    <w:p>
      <w:pPr>
        <w:ind w:left="644" w:hanging="644"/>
        <w:spacing w:after="0"/>
        <w:tabs>
          <w:tab w:leader="none" w:pos="644"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Call Right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4" w:hanging="655"/>
        <w:spacing w:after="0" w:line="268" w:lineRule="auto"/>
        <w:tabs>
          <w:tab w:leader="none" w:pos="1304"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 Redeeming Member shall be deemed to have offered to sell its Units as described in the Redemption Notice to each member of the PubCo Holdings Group, and any member of the PubCo Holdings Group may, in its sole discretion, by means of delivery of a Call Election Notice in accordance with, and subject to the terms of, this </w:t>
      </w:r>
      <w:r>
        <w:rPr>
          <w:rFonts w:ascii="Arial" w:cs="Arial" w:eastAsia="Arial" w:hAnsi="Arial"/>
          <w:sz w:val="17"/>
          <w:szCs w:val="17"/>
          <w:u w:val="single" w:color="auto"/>
          <w:color w:val="auto"/>
        </w:rPr>
        <w:t>Section 4.6(f)</w:t>
      </w:r>
      <w:r>
        <w:rPr>
          <w:rFonts w:ascii="Arial" w:cs="Arial" w:eastAsia="Arial" w:hAnsi="Arial"/>
          <w:sz w:val="17"/>
          <w:szCs w:val="17"/>
          <w:color w:val="auto"/>
        </w:rPr>
        <w:t xml:space="preserve">, elect to purchase directly and acquire such Units (together with the surrender and delivery of the same number of Class B Shares) on the Redemption Date by paying to the Redeeming Member (or, on the Redeeming Member’s written order, its designee) that number of Class A Shares the Redeeming Member (or its designees) would otherwise receive pursuant to </w:t>
      </w:r>
      <w:r>
        <w:rPr>
          <w:rFonts w:ascii="Arial" w:cs="Arial" w:eastAsia="Arial" w:hAnsi="Arial"/>
          <w:sz w:val="17"/>
          <w:szCs w:val="17"/>
          <w:u w:val="single" w:color="auto"/>
          <w:color w:val="auto"/>
        </w:rPr>
        <w:t>Section 4.6(b)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4.6(c)(i)</w:t>
      </w:r>
      <w:r>
        <w:rPr>
          <w:rFonts w:ascii="Arial" w:cs="Arial" w:eastAsia="Arial" w:hAnsi="Arial"/>
          <w:sz w:val="17"/>
          <w:szCs w:val="17"/>
          <w:color w:val="auto"/>
        </w:rPr>
        <w:t xml:space="preserve"> or, at the election of such member of the PubCo Holdings Group, an amount of cash equal to the Cash Election Amount of such Class A Shares (the “</w:t>
      </w:r>
      <w:r>
        <w:rPr>
          <w:rFonts w:ascii="Arial" w:cs="Arial" w:eastAsia="Arial" w:hAnsi="Arial"/>
          <w:sz w:val="17"/>
          <w:szCs w:val="17"/>
          <w:b w:val="1"/>
          <w:bCs w:val="1"/>
          <w:u w:val="single" w:color="auto"/>
          <w:color w:val="auto"/>
        </w:rPr>
        <w:t>Call Right</w:t>
      </w:r>
      <w:r>
        <w:rPr>
          <w:rFonts w:ascii="Arial" w:cs="Arial" w:eastAsia="Arial" w:hAnsi="Arial"/>
          <w:sz w:val="17"/>
          <w:szCs w:val="17"/>
          <w:color w:val="auto"/>
        </w:rPr>
        <w:t xml:space="preserve">”), whereupon such member of the PubCo Holdings Group shall acquire the Units offered for redemption by the Redeeming Member (together with the surrender and delivery of the same number of Class B Shares to PubCo for cancellation). Such member of the PubCo Holdings Group shall be treated for all purposes of this Agreement as the owner of such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Cash Election Amount is funded other than through the issuance of Class A Shares, such Units will be reclassified into another Equity Security of the Company if the Managing Member determines such reclassification is necessary.</w:t>
      </w:r>
    </w:p>
    <w:p>
      <w:pPr>
        <w:spacing w:after="0" w:line="214" w:lineRule="exact"/>
        <w:rPr>
          <w:rFonts w:ascii="Arial" w:cs="Arial" w:eastAsia="Arial" w:hAnsi="Arial"/>
          <w:sz w:val="17"/>
          <w:szCs w:val="17"/>
          <w:color w:val="auto"/>
        </w:rPr>
      </w:pPr>
    </w:p>
    <w:p>
      <w:pPr>
        <w:jc w:val="both"/>
        <w:ind w:left="1304" w:hanging="655"/>
        <w:spacing w:after="0" w:line="293" w:lineRule="auto"/>
        <w:tabs>
          <w:tab w:leader="none" w:pos="130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Each member of the PubCo Holdings Group may, at any time prior to the Redemption Date, in its sole discretion deliver written notice (a “</w:t>
      </w:r>
      <w:r>
        <w:rPr>
          <w:rFonts w:ascii="Arial" w:cs="Arial" w:eastAsia="Arial" w:hAnsi="Arial"/>
          <w:sz w:val="16"/>
          <w:szCs w:val="16"/>
          <w:b w:val="1"/>
          <w:bCs w:val="1"/>
          <w:u w:val="single" w:color="auto"/>
          <w:color w:val="auto"/>
        </w:rPr>
        <w:t>Call Election Notice</w:t>
      </w:r>
      <w:r>
        <w:rPr>
          <w:rFonts w:ascii="Arial" w:cs="Arial" w:eastAsia="Arial" w:hAnsi="Arial"/>
          <w:sz w:val="16"/>
          <w:szCs w:val="16"/>
          <w:color w:val="auto"/>
        </w:rPr>
        <w:t xml:space="preserve">”) to the Company and the Redeeming Member setting forth its election to exercise the Call Right. A Call Election Notice may be revoked by the applicable member of the PubCo Holdings Group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revocation does not prejudice the ability of the parties to consummate a Redemption on the Redemption Date. Except as otherwise provided by this </w:t>
      </w:r>
      <w:r>
        <w:rPr>
          <w:rFonts w:ascii="Arial" w:cs="Arial" w:eastAsia="Arial" w:hAnsi="Arial"/>
          <w:sz w:val="16"/>
          <w:szCs w:val="16"/>
          <w:u w:val="single" w:color="auto"/>
          <w:color w:val="auto"/>
        </w:rPr>
        <w:t>Section 4.6(f)</w:t>
      </w:r>
      <w:r>
        <w:rPr>
          <w:rFonts w:ascii="Arial" w:cs="Arial" w:eastAsia="Arial" w:hAnsi="Arial"/>
          <w:sz w:val="16"/>
          <w:szCs w:val="16"/>
          <w:color w:val="auto"/>
        </w:rPr>
        <w:t>, an exercise of the Call Right shall be consummated pursuant to the same timeframe and in the same manner as the relevant Redemption would have been consummated if PubCo had not delivered a Call Election Notice.</w:t>
      </w:r>
    </w:p>
    <w:p>
      <w:pPr>
        <w:spacing w:after="0" w:line="191" w:lineRule="exact"/>
        <w:rPr>
          <w:rFonts w:ascii="Arial" w:cs="Arial" w:eastAsia="Arial" w:hAnsi="Arial"/>
          <w:sz w:val="16"/>
          <w:szCs w:val="16"/>
          <w:color w:val="auto"/>
        </w:rPr>
      </w:pPr>
    </w:p>
    <w:p>
      <w:pPr>
        <w:jc w:val="both"/>
        <w:ind w:left="644" w:hanging="644"/>
        <w:spacing w:after="0" w:line="276" w:lineRule="auto"/>
        <w:tabs>
          <w:tab w:leader="none" w:pos="64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For U.S. federal income (and applicable state and local) tax purposes, each of the Redeeming Member, the Company and PubCo (and any other member of the PubCo Holdings Group, as applicable) agree to treat each Redemption or, in the event any member of the PubCo Holdings Group exercises the Call Right, each transaction between the Redeeming Member and such member of the PubCo Holdings Group, as a sale of the Redeeming Member’s Units (together with the same number of Class B Shares) to PubCo or any other participating member of the PubCo Holdings Group in exchange for Class A Shares or cash, as applicable.</w:t>
      </w:r>
    </w:p>
    <w:p>
      <w:pPr>
        <w:spacing w:after="0" w:line="13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89" w:name="page190"/>
    <w:bookmarkEnd w:id="189"/>
    <w:p>
      <w:pPr>
        <w:jc w:val="both"/>
        <w:ind w:left="644" w:hanging="644"/>
        <w:spacing w:after="0" w:line="267" w:lineRule="auto"/>
        <w:tabs>
          <w:tab w:leader="none" w:pos="64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If (i) there is any reclassification, reorganization, recapitalization or other similar transaction pursuant to which the Class A Shares are converted or changed into another security, securities or other property (other than as a result of a subdivision or combination or any transaction subject to </w:t>
      </w:r>
      <w:r>
        <w:rPr>
          <w:rFonts w:ascii="Arial" w:cs="Arial" w:eastAsia="Arial" w:hAnsi="Arial"/>
          <w:sz w:val="17"/>
          <w:szCs w:val="17"/>
          <w:u w:val="single" w:color="auto"/>
          <w:color w:val="auto"/>
        </w:rPr>
        <w:t>Section 4.1(g)</w:t>
      </w:r>
      <w:r>
        <w:rPr>
          <w:rFonts w:ascii="Arial" w:cs="Arial" w:eastAsia="Arial" w:hAnsi="Arial"/>
          <w:sz w:val="17"/>
          <w:szCs w:val="17"/>
          <w:color w:val="auto"/>
        </w:rPr>
        <w:t xml:space="preserve">), or (ii) except in connection with actions taken with respect to the capitalization of PubCo or the Company pursuant to </w:t>
      </w:r>
      <w:r>
        <w:rPr>
          <w:rFonts w:ascii="Arial" w:cs="Arial" w:eastAsia="Arial" w:hAnsi="Arial"/>
          <w:sz w:val="17"/>
          <w:szCs w:val="17"/>
          <w:u w:val="single" w:color="auto"/>
          <w:color w:val="auto"/>
        </w:rPr>
        <w:t>Section 4.1(i)</w:t>
      </w:r>
      <w:r>
        <w:rPr>
          <w:rFonts w:ascii="Arial" w:cs="Arial" w:eastAsia="Arial" w:hAnsi="Arial"/>
          <w:sz w:val="17"/>
          <w:szCs w:val="17"/>
          <w:color w:val="auto"/>
        </w:rPr>
        <w:t xml:space="preserve">, PubCo, by dividend or otherwise, distributes to all holders of the Class A Shares evidences of its Indebtedness or assets, including securities (including Class A Shares and any rights, options or warrants to all holders of the Class A Shares to subscribe for or to purchase or to otherwise acquire Class A Shares, or other securities or rights convertible into, exchangeable for or exercisable for Class A Shares) but excluding (A) any cash dividend or distribution, or (B) any such distribution of Indebtedness or assets, in either case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received by PubCo from the Company in respect of the Units, then upon any subsequent Redemption, in addition to the Class A Shares or the Cash Election Amount, as applicable, each Member shall be entitled to receive the amount of such security, securities or other property that such Member would have received if such Redemption had occurred immediately prior to the effective date of such reclassification, reorganization, recapitalization, other similar transaction, dividend or other distribution,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Class A Shares are converted or changed into another security, securities or other property, or any dividend or distribution (other than an excluded dividend or distribution, as described above),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shall continue to be applicable, </w:t>
      </w:r>
      <w:r>
        <w:rPr>
          <w:rFonts w:ascii="Arial" w:cs="Arial" w:eastAsia="Arial" w:hAnsi="Arial"/>
          <w:sz w:val="17"/>
          <w:szCs w:val="17"/>
          <w:i w:val="1"/>
          <w:iCs w:val="1"/>
          <w:color w:val="auto"/>
        </w:rPr>
        <w:t>mutatis mutandis</w:t>
      </w:r>
      <w:r>
        <w:rPr>
          <w:rFonts w:ascii="Arial" w:cs="Arial" w:eastAsia="Arial" w:hAnsi="Arial"/>
          <w:sz w:val="17"/>
          <w:szCs w:val="17"/>
          <w:color w:val="auto"/>
        </w:rPr>
        <w:t>, with respect to such security or other property. This Agreement shall apply to the Units held by the Members as of the date hereof, as well as any Units hereafter acquired by a Member.</w:t>
      </w:r>
    </w:p>
    <w:p>
      <w:pPr>
        <w:spacing w:after="0" w:line="216"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PubCo covenants that all Class A Shares that shall be issued upon a Redemption shall, upon issuance thereof, be validly issued, fully paid and non-assessable. In addition, for so long as the Class A Shares are listed on a National Securities Exchange, PubCo shall use its reasonable best efforts to cause all Class A Shares issued upon a Redemption to be listed on such National Securities Exchange at the time of such issuance.</w:t>
      </w:r>
    </w:p>
    <w:p>
      <w:pPr>
        <w:spacing w:after="0" w:line="213" w:lineRule="exact"/>
        <w:rPr>
          <w:rFonts w:ascii="Arial" w:cs="Arial" w:eastAsia="Arial" w:hAnsi="Arial"/>
          <w:sz w:val="18"/>
          <w:szCs w:val="18"/>
          <w:color w:val="auto"/>
        </w:rPr>
      </w:pPr>
    </w:p>
    <w:p>
      <w:pPr>
        <w:jc w:val="both"/>
        <w:ind w:left="644" w:hanging="644"/>
        <w:spacing w:after="0" w:line="268" w:lineRule="auto"/>
        <w:tabs>
          <w:tab w:leader="none" w:pos="64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issuance of Class A Shares upon a Redemption shall be made without charge to the Redeeming Member for any stamp or other similar tax in respect of such issuance;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Class A Shares are to be issued in a name other than that of the Redeeming Member, then the Person or Persons in whose name the shares are to be issued shall pay to PubCo the amount of any tax that may be payable in respect of any transfer involved in such issuance or shall establish to the reasonable satisfaction of PubCo that such tax has been paid or is not payable. The Company and each member of the PubCo Holdings Group shall be entitled to deduct and withhold from any consideration payable or otherwise deliverable upon a Redemption such amounts as may be required to be deducted or withheld therefrom under the Code or any provision of applicable Law, and to the extent deduction and withholding is required, such deduction and withholding may be taken in Class A Shares. To the extent such amounts are so deducted or withheld and paid over to the relevant governmental authority, such amounts shall be treated for all purposes under this Agreement as having been paid to the Redeeming Member and, if withholding is taken in Class A Shares, the relevant withholding party shall be treated as having sold such Class A Shares on behalf of such Redeeming Member for an amount of cash equal to the fair market value thereof at the time of such deemed sale and paid such cash proceeds to the appropriate governmental authority. Notwithstanding the foregoing, in the event any deduction or withholding is required upon the issuance of Class A Shares, the relevant withholding party may require the Redeeming Member to pay to the relevant withholding party promptly, and in any no event later than ten (10) Business Days after the Redemption Date, cash equal to the amount of any such required deduction or withholding.</w:t>
      </w:r>
    </w:p>
    <w:p>
      <w:pPr>
        <w:spacing w:after="0" w:line="14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0" w:name="page191"/>
    <w:bookmarkEnd w:id="190"/>
    <w:p>
      <w:pPr>
        <w:jc w:val="both"/>
        <w:ind w:left="644" w:hanging="644"/>
        <w:spacing w:after="0" w:line="297" w:lineRule="auto"/>
        <w:tabs>
          <w:tab w:leader="none" w:pos="64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No Redemption shall impair the right of the Redeeming Member to receive any distributions payable on the Units redeemed pursuant to such Redemption in respect of a record date that occurs prior to the Redemption Date for such Redemption. For the avoidance of doubt, no Redeeming Member or a Person designated by a Redeeming Member to receive Class A Shares, shall be entitled to receive, with respect to such record date, distributions or dividends both on Units redeemed by the Company from such Redeeming Member and on Class A Shares received by such Redeeming Member, or other Person so designated, if applicable, in such Redemption.</w:t>
      </w:r>
    </w:p>
    <w:p>
      <w:pPr>
        <w:spacing w:after="0" w:line="185" w:lineRule="exact"/>
        <w:rPr>
          <w:rFonts w:ascii="Arial" w:cs="Arial" w:eastAsia="Arial" w:hAnsi="Arial"/>
          <w:sz w:val="16"/>
          <w:szCs w:val="16"/>
          <w:color w:val="auto"/>
        </w:rPr>
      </w:pPr>
    </w:p>
    <w:p>
      <w:pPr>
        <w:jc w:val="both"/>
        <w:ind w:left="644" w:hanging="644"/>
        <w:spacing w:after="0" w:line="257" w:lineRule="auto"/>
        <w:tabs>
          <w:tab w:leader="none" w:pos="6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Any Units acquired by the Company under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and transferred by the Company to any member of the PubCo Holdings Group shall remain outstanding and shall not be cancelled as a result of their acquisition by the Company. Notwithstanding any other provision of this Agreement, the applicable member(s) of the PubCo Holdings Group shall be automatically admitted as a Member of the Company with respect to any Units or other Equity Securities in the Company it receives under this Agreement (including under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in connection with any Redemption).</w:t>
      </w:r>
    </w:p>
    <w:p>
      <w:pPr>
        <w:spacing w:after="0" w:line="215" w:lineRule="exact"/>
        <w:rPr>
          <w:rFonts w:ascii="Arial" w:cs="Arial" w:eastAsia="Arial" w:hAnsi="Arial"/>
          <w:sz w:val="18"/>
          <w:szCs w:val="18"/>
          <w:color w:val="auto"/>
        </w:rPr>
      </w:pPr>
    </w:p>
    <w:p>
      <w:pPr>
        <w:jc w:val="both"/>
        <w:ind w:left="644" w:hanging="644"/>
        <w:spacing w:after="0" w:line="270" w:lineRule="auto"/>
        <w:tabs>
          <w:tab w:leader="none" w:pos="64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Managing Member may impose additional limitations and restrictions on Redemptions (including limiting Redemptions or creating priority procedures for Redemptions), to the extent it determines, in its sole discretion, such limitations and restrictions to be necessary or appropriate to avoid undue risk that the Company may be classified as a “publicly traded partnership” within the meaning of Section 7704 of the Code. Furthermore, the Managing Member may require any Member or group of Members to redeem all of their Units to the extent it determines, in its sole discretion, that such Redemption is necessary or appropriate to avoid undue risk that the Company may be classified as a “publicly traded partnership” within the meaning of Section 7704 of the Code. Upon delivery of any notice by the Managing Member to such Member or group of Members requiring such Redemption, such Member or group of Members shall exchange, subject to exercise by any member of the PubCo Holdings Group of the Call Right pursuant to </w:t>
      </w:r>
      <w:r>
        <w:rPr>
          <w:rFonts w:ascii="Arial" w:cs="Arial" w:eastAsia="Arial" w:hAnsi="Arial"/>
          <w:sz w:val="17"/>
          <w:szCs w:val="17"/>
          <w:u w:val="single" w:color="auto"/>
          <w:color w:val="auto"/>
        </w:rPr>
        <w:t>Section 4.6(f)(i)</w:t>
      </w:r>
      <w:r>
        <w:rPr>
          <w:rFonts w:ascii="Arial" w:cs="Arial" w:eastAsia="Arial" w:hAnsi="Arial"/>
          <w:sz w:val="17"/>
          <w:szCs w:val="17"/>
          <w:color w:val="auto"/>
        </w:rPr>
        <w:t xml:space="preserve">, all of their Units effective as of the date specified in such notice (and such date shall be deemed to be a Redemption Date for purposes of this Agreement) in accordance with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otherwise in accordance with the requirements set forth in such notice.</w:t>
      </w:r>
    </w:p>
    <w:p>
      <w:pPr>
        <w:spacing w:after="0" w:line="13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ALLOCATIONS OF PROFITS AND LOSSES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b w:val="1"/>
          <w:bCs w:val="1"/>
          <w:u w:val="single" w:color="auto"/>
          <w:color w:val="auto"/>
        </w:rPr>
        <w:t>Profits and Losses</w:t>
      </w:r>
      <w:r>
        <w:rPr>
          <w:rFonts w:ascii="Arial" w:cs="Arial" w:eastAsia="Arial" w:hAnsi="Arial"/>
          <w:sz w:val="17"/>
          <w:szCs w:val="17"/>
          <w:color w:val="auto"/>
        </w:rPr>
        <w:t xml:space="preserve">. After giving effect to the allocations under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Profits and Losses (and, to the extent determined by the Company Representative to be necessary and appropriate to achieve the resulting Capital Account balances described below, any allocable items of income, gain, loss, deduction or credit includable in the computation of Profits and Losses) for each Fiscal Year or other taxable period shall be allocated among the Members during such Fiscal Year or other taxable period in a manner such that, after giving effect to the special allocations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and all distributions through the end of such Fiscal Year or other taxable period, the Capital Account balance of each Member, immediately after making such allocation, is, as nearly as possible, equal to (i) the amount such Member would receive pursuant to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if all assets of the Company on hand at the end of such Fiscal Year or other taxable period were sold for cash equal to their Gross Asset Values, all liabilities of the Company were satisfied in cash in accordance with their terms (limited with respect to each nonrecourse liability to the Gross Asset Value of the assets securing such liability), and all remaining or resulting cash was distributed, in accordance with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to the Members immediately after making such allocation,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such Member’s share of Company Minimum Gain and Member Minimum Gain, computed immediately prior to the hypothetical sale of assets, and the amount any such Member is treated as obligated to contribute to the Company, computed immediately after the hypothetical sale of assets.</w:t>
      </w:r>
    </w:p>
    <w:p>
      <w:pPr>
        <w:spacing w:after="0" w:line="23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5"/>
          <w:szCs w:val="15"/>
          <w:b w:val="1"/>
          <w:bCs w:val="1"/>
          <w:u w:val="single" w:color="auto"/>
          <w:color w:val="auto"/>
        </w:rPr>
        <w:t>Special Allocations</w:t>
      </w:r>
      <w:r>
        <w:rPr>
          <w:rFonts w:ascii="Arial" w:cs="Arial" w:eastAsia="Arial" w:hAnsi="Arial"/>
          <w:sz w:val="15"/>
          <w:szCs w:val="15"/>
          <w:color w:val="auto"/>
        </w:rPr>
        <w:t>.</w:t>
      </w:r>
    </w:p>
    <w:p>
      <w:pPr>
        <w:spacing w:after="0" w:line="256" w:lineRule="exact"/>
        <w:rPr>
          <w:sz w:val="20"/>
          <w:szCs w:val="20"/>
          <w:color w:val="auto"/>
        </w:rPr>
      </w:pPr>
    </w:p>
    <w:p>
      <w:pPr>
        <w:jc w:val="both"/>
        <w:ind w:left="1300" w:hanging="644"/>
        <w:spacing w:after="0" w:line="273" w:lineRule="auto"/>
        <w:tabs>
          <w:tab w:leader="none" w:pos="13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Nonrecourse Deductions for any Fiscal Year or other taxable period shall be specially allocated to the Members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 number of Units owned by each Member as of the last day of such Fiscal Year or other taxable period. The amount of Nonrecourse Deductions for a Fiscal Year or other taxable period shall equal the excess, if any, of the net increase, if any, in the amount of Company Minimum Gain during that Fiscal Year or other taxable period over the aggregate amount of any distributions during that Fiscal Year or other taxable period of proceeds of a Nonrecourse Liability that are allocable to an increase in Company Minimum Gain, determined in accordance with the provisions of Treasury Regulations Section 1.704-2(d).</w:t>
      </w:r>
    </w:p>
    <w:p>
      <w:pPr>
        <w:spacing w:after="0" w:line="205" w:lineRule="exact"/>
        <w:rPr>
          <w:rFonts w:ascii="Arial" w:cs="Arial" w:eastAsia="Arial" w:hAnsi="Arial"/>
          <w:sz w:val="17"/>
          <w:szCs w:val="17"/>
          <w:color w:val="auto"/>
        </w:rPr>
      </w:pPr>
    </w:p>
    <w:p>
      <w:pPr>
        <w:jc w:val="both"/>
        <w:ind w:left="1300" w:hanging="644"/>
        <w:spacing w:after="0" w:line="273" w:lineRule="auto"/>
        <w:tabs>
          <w:tab w:leader="none" w:pos="13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Any Member Nonrecourse Deductions for any Fiscal Year or other taxable period shall be specially allocated to the Member who bears economic risk of loss with respect to the Member Nonrecourse Debt to which such Member Nonrecourse Deductions are attributable in accordance with Treasury Regulations Section 1.704-2(i). If more than one Member bears the economic risk of loss for such Member Nonrecourse Debt, the Member Nonrecourse Deductions attributable to such Member Nonrecourse Debt shall be allocated among the Members according to the ratio in which they bear the economic risk of loss. This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is intended to comply with the provisions of Treasury Regulations Section 1.704-2(i) and shall be interpreted consistently therewith.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2" w:name="page193"/>
    <w:bookmarkEnd w:id="192"/>
    <w:p>
      <w:pPr>
        <w:jc w:val="both"/>
        <w:ind w:left="644" w:hanging="644"/>
        <w:spacing w:after="0" w:line="272" w:lineRule="auto"/>
        <w:tabs>
          <w:tab w:leader="none" w:pos="64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to the contrary, if there is a net decrease in Company Minimum Gain during any Fiscal Year or other taxable period (or if there was a net decrease in Company Minimum Gain for a prior Fiscal Year or other taxable period and the Company did not have sufficient amounts of income and gain during prior periods to allocate among the Members under this </w:t>
      </w:r>
      <w:r>
        <w:rPr>
          <w:rFonts w:ascii="Arial" w:cs="Arial" w:eastAsia="Arial" w:hAnsi="Arial"/>
          <w:sz w:val="17"/>
          <w:szCs w:val="17"/>
          <w:u w:val="single" w:color="auto"/>
          <w:color w:val="auto"/>
        </w:rPr>
        <w:t>Section 5.2(c)</w:t>
      </w:r>
      <w:r>
        <w:rPr>
          <w:rFonts w:ascii="Arial" w:cs="Arial" w:eastAsia="Arial" w:hAnsi="Arial"/>
          <w:sz w:val="17"/>
          <w:szCs w:val="17"/>
          <w:color w:val="auto"/>
        </w:rPr>
        <w:t>), each Member shall be specially allocated items of Company income and gain for such Fiscal Year or other taxable period in an amount equal to such Member’s share of the net decrease in Company Minimum Gain during such year (as determined pursuant to Treasury Regulations Section 1.704-2(g)(2)). This section is intended to constitute a minimum gain chargeback under Treasury Regulations Section 1.704-2(f) and shall be interpreted consistently therewith.</w:t>
      </w:r>
    </w:p>
    <w:p>
      <w:pPr>
        <w:spacing w:after="0" w:line="204" w:lineRule="exact"/>
        <w:rPr>
          <w:rFonts w:ascii="Arial" w:cs="Arial" w:eastAsia="Arial" w:hAnsi="Arial"/>
          <w:sz w:val="17"/>
          <w:szCs w:val="17"/>
          <w:color w:val="auto"/>
        </w:rPr>
      </w:pPr>
    </w:p>
    <w:p>
      <w:pPr>
        <w:jc w:val="both"/>
        <w:ind w:left="644" w:hanging="644"/>
        <w:spacing w:after="0" w:line="284" w:lineRule="auto"/>
        <w:tabs>
          <w:tab w:leader="none" w:pos="64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except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if there is a net decrease in Member Minimum Gain during any Fiscal Year or other taxable period (or if there was a net decrease in Member Minimum Gain for a prior Fiscal Year or other taxable period and the Company did not have sufficient amounts of income and gain during prior periods to allocate among the Members under this </w:t>
      </w:r>
      <w:r>
        <w:rPr>
          <w:rFonts w:ascii="Arial" w:cs="Arial" w:eastAsia="Arial" w:hAnsi="Arial"/>
          <w:sz w:val="16"/>
          <w:szCs w:val="16"/>
          <w:u w:val="single" w:color="auto"/>
          <w:color w:val="auto"/>
        </w:rPr>
        <w:t>Section 5.2(d)</w:t>
      </w:r>
      <w:r>
        <w:rPr>
          <w:rFonts w:ascii="Arial" w:cs="Arial" w:eastAsia="Arial" w:hAnsi="Arial"/>
          <w:sz w:val="16"/>
          <w:szCs w:val="16"/>
          <w:color w:val="auto"/>
        </w:rPr>
        <w:t>), each Member shall be specially allocated items of Company income and gain for such year in an amount equal to such Member’s share of the net decrease in Member Minimum Gain (as determined pursuant to Treasury Regulations Section 1.704-2(i)(4)). This section is intended to constitute a partner nonrecourse debt minimum gain chargeback under Treasury Regulations Section 1.704-2(i)</w:t>
      </w:r>
    </w:p>
    <w:p>
      <w:pPr>
        <w:spacing w:after="0" w:line="4"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(4) and shall be interpreted consistently therewith.</w:t>
      </w:r>
    </w:p>
    <w:p>
      <w:pPr>
        <w:spacing w:after="0" w:line="237" w:lineRule="exact"/>
        <w:rPr>
          <w:rFonts w:ascii="Arial" w:cs="Arial" w:eastAsia="Arial" w:hAnsi="Arial"/>
          <w:sz w:val="16"/>
          <w:szCs w:val="16"/>
          <w:color w:val="auto"/>
        </w:rPr>
      </w:pPr>
    </w:p>
    <w:p>
      <w:pPr>
        <w:jc w:val="both"/>
        <w:ind w:left="644" w:hanging="644"/>
        <w:spacing w:after="0" w:line="273" w:lineRule="auto"/>
        <w:tabs>
          <w:tab w:leader="none" w:pos="64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Notwithstanding any provision hereof to the contrary except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no Losses or other items of loss or expense shall be allocated to any Member to the extent that such allocation would cause such Member to have an Adjusted Capital Account Deficit (or increase any existing Adjusted Capital Account Deficit) at the end of such Fiscal Year or other taxable period. All Losses and other items of loss and expense in excess of the limitation set forth in this </w:t>
      </w:r>
      <w:r>
        <w:rPr>
          <w:rFonts w:ascii="Arial" w:cs="Arial" w:eastAsia="Arial" w:hAnsi="Arial"/>
          <w:sz w:val="17"/>
          <w:szCs w:val="17"/>
          <w:u w:val="single" w:color="auto"/>
          <w:color w:val="auto"/>
        </w:rPr>
        <w:t>Section 5.2(e)</w:t>
      </w:r>
      <w:r>
        <w:rPr>
          <w:rFonts w:ascii="Arial" w:cs="Arial" w:eastAsia="Arial" w:hAnsi="Arial"/>
          <w:sz w:val="17"/>
          <w:szCs w:val="17"/>
          <w:color w:val="auto"/>
        </w:rPr>
        <w:t xml:space="preserve"> shall be allocated to the Members who do not have an Adjusted Capital Account Deficit in proportion to their relative positive Capital Accounts but only to the extent that such Losses and other items of loss and expense do not cause any such Member to have an Adjusted Capital Account Deficit.</w:t>
      </w:r>
    </w:p>
    <w:p>
      <w:pPr>
        <w:spacing w:after="0" w:line="205" w:lineRule="exact"/>
        <w:rPr>
          <w:rFonts w:ascii="Arial" w:cs="Arial" w:eastAsia="Arial" w:hAnsi="Arial"/>
          <w:sz w:val="17"/>
          <w:szCs w:val="17"/>
          <w:color w:val="auto"/>
        </w:rPr>
      </w:pPr>
    </w:p>
    <w:p>
      <w:pPr>
        <w:jc w:val="both"/>
        <w:ind w:left="644" w:hanging="644"/>
        <w:spacing w:after="0" w:line="290" w:lineRule="auto"/>
        <w:tabs>
          <w:tab w:leader="none" w:pos="64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Notwithstanding any provision hereof to the contrary except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5.2(d)</w:t>
      </w:r>
      <w:r>
        <w:rPr>
          <w:rFonts w:ascii="Arial" w:cs="Arial" w:eastAsia="Arial" w:hAnsi="Arial"/>
          <w:sz w:val="16"/>
          <w:szCs w:val="16"/>
          <w:color w:val="auto"/>
        </w:rPr>
        <w:t>, in the event any Member unexpectedly receives any adjustment, allocation or distribution described in paragraph (4), (5) or (6) of Treasury Regulations Section 1.704-1(b)(2)(ii) (</w:t>
      </w:r>
      <w:r>
        <w:rPr>
          <w:rFonts w:ascii="Arial" w:cs="Arial" w:eastAsia="Arial" w:hAnsi="Arial"/>
          <w:sz w:val="16"/>
          <w:szCs w:val="16"/>
          <w:i w:val="1"/>
          <w:iCs w:val="1"/>
          <w:color w:val="auto"/>
        </w:rPr>
        <w:t>d</w:t>
      </w:r>
      <w:r>
        <w:rPr>
          <w:rFonts w:ascii="Arial" w:cs="Arial" w:eastAsia="Arial" w:hAnsi="Arial"/>
          <w:sz w:val="16"/>
          <w:szCs w:val="16"/>
          <w:color w:val="auto"/>
        </w:rPr>
        <w:t xml:space="preserve">), items of income and gain (consisting of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each item of income, including gross income, and gain for the Fiscal Year or other taxable period) shall be specially allocated to such Member in an amount and manner sufficient to eliminate any Adjusted Capital Account Deficit of that Member as quickly as possible; provided that an allocation pursuant to this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shall be made only if and to the extent that such Member would have an Adjusted Capital Account Deficit after all other allocations provided for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have been tentatively made as if this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were not in this Agreement. This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is intended to constitute a qualified income offset under Treasury Regulations Section 1.704-1(b)(2)(ii)</w:t>
      </w:r>
      <w:r>
        <w:rPr>
          <w:rFonts w:ascii="Arial" w:cs="Arial" w:eastAsia="Arial" w:hAnsi="Arial"/>
          <w:sz w:val="16"/>
          <w:szCs w:val="16"/>
          <w:i w:val="1"/>
          <w:iCs w:val="1"/>
          <w:color w:val="auto"/>
        </w:rPr>
        <w:t>(d</w:t>
      </w:r>
      <w:r>
        <w:rPr>
          <w:rFonts w:ascii="Arial" w:cs="Arial" w:eastAsia="Arial" w:hAnsi="Arial"/>
          <w:sz w:val="16"/>
          <w:szCs w:val="16"/>
          <w:color w:val="auto"/>
        </w:rPr>
        <w:t>) and shall be interpreted consistently therewith.</w:t>
      </w:r>
    </w:p>
    <w:p>
      <w:pPr>
        <w:spacing w:after="0" w:line="12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3" w:name="page194"/>
    <w:bookmarkEnd w:id="193"/>
    <w:p>
      <w:pPr>
        <w:jc w:val="both"/>
        <w:ind w:left="644" w:hanging="644"/>
        <w:spacing w:after="0" w:line="255"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If any Member has a deficit balance in its Capital Account at the end of any Fiscal Year or other taxable period that is in excess of the sum of (i) the amount that such Member is obligated to restore and (ii) the amount that the Member is deemed to be obligated to restore pursuant to the penultimate sentence of Treasury Regulations Sections 1.704-2(g)(1) and (i)(5), that Member shall be specially allocated items of Company income and gain and Simulated Gain in the amount of such excess as quickly as possible, provided that an allocation pursuant to this </w:t>
      </w:r>
      <w:r>
        <w:rPr>
          <w:rFonts w:ascii="Arial" w:cs="Arial" w:eastAsia="Arial" w:hAnsi="Arial"/>
          <w:sz w:val="18"/>
          <w:szCs w:val="18"/>
          <w:u w:val="single" w:color="auto"/>
          <w:color w:val="auto"/>
        </w:rPr>
        <w:t>Section 5.2(g)</w:t>
      </w:r>
      <w:r>
        <w:rPr>
          <w:rFonts w:ascii="Arial" w:cs="Arial" w:eastAsia="Arial" w:hAnsi="Arial"/>
          <w:sz w:val="18"/>
          <w:szCs w:val="18"/>
          <w:color w:val="auto"/>
        </w:rPr>
        <w:t xml:space="preserve"> shall be made only if and to the extent that such Member would have a deficit balance in its Capital Account in excess of such sum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made as if </w:t>
      </w:r>
      <w:r>
        <w:rPr>
          <w:rFonts w:ascii="Arial" w:cs="Arial" w:eastAsia="Arial" w:hAnsi="Arial"/>
          <w:sz w:val="18"/>
          <w:szCs w:val="18"/>
          <w:u w:val="single" w:color="auto"/>
          <w:color w:val="auto"/>
        </w:rPr>
        <w:t>Section 5.2(f)</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5.2(g)</w:t>
      </w:r>
      <w:r>
        <w:rPr>
          <w:rFonts w:ascii="Arial" w:cs="Arial" w:eastAsia="Arial" w:hAnsi="Arial"/>
          <w:sz w:val="18"/>
          <w:szCs w:val="18"/>
          <w:color w:val="auto"/>
        </w:rPr>
        <w:t xml:space="preserve"> were not in this Agreement.</w:t>
      </w:r>
    </w:p>
    <w:p>
      <w:pPr>
        <w:spacing w:after="0" w:line="216"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Code Sections 734(b) or 743(b) is required, pursuant to Treasury Regulations Sections 1.704-1(b)(2)(iv)(</w:t>
      </w:r>
      <w:r>
        <w:rPr>
          <w:rFonts w:ascii="Arial" w:cs="Arial" w:eastAsia="Arial" w:hAnsi="Arial"/>
          <w:sz w:val="18"/>
          <w:szCs w:val="18"/>
          <w:i w:val="1"/>
          <w:iCs w:val="1"/>
          <w:color w:val="auto"/>
        </w:rPr>
        <w:t>m</w:t>
      </w:r>
      <w:r>
        <w:rPr>
          <w:rFonts w:ascii="Arial" w:cs="Arial" w:eastAsia="Arial" w:hAnsi="Arial"/>
          <w:sz w:val="18"/>
          <w:szCs w:val="18"/>
          <w:color w:val="auto"/>
        </w:rPr>
        <w:t>)(2) or 1.704-1(b)(2)(iv)</w:t>
      </w:r>
      <w:r>
        <w:rPr>
          <w:rFonts w:ascii="Arial" w:cs="Arial" w:eastAsia="Arial" w:hAnsi="Arial"/>
          <w:sz w:val="18"/>
          <w:szCs w:val="18"/>
          <w:i w:val="1"/>
          <w:iCs w:val="1"/>
          <w:color w:val="auto"/>
        </w:rPr>
        <w:t>(m)</w:t>
      </w:r>
      <w:r>
        <w:rPr>
          <w:rFonts w:ascii="Arial" w:cs="Arial" w:eastAsia="Arial" w:hAnsi="Arial"/>
          <w:sz w:val="18"/>
          <w:szCs w:val="18"/>
          <w:color w:val="auto"/>
        </w:rPr>
        <w:t>(4), to be taken into account in determining Capital Accounts as a result of a distribution to any Member in complete liquidation of such Member’s Interest in the Company, the amount of such adjustment to the Capital Accounts shall be treated as an item of gain (if the adjustment increases the basis of the asset) or loss (if the adjustment decreases such basis) and such item of gain or loss shall be allocated to the Members in accordance with Treasury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(2) if such section applies or to the Member to whom such distribution was made if Treasury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(4) applies.</w:t>
      </w:r>
    </w:p>
    <w:p>
      <w:pPr>
        <w:spacing w:after="0" w:line="216" w:lineRule="exact"/>
        <w:rPr>
          <w:rFonts w:ascii="Arial" w:cs="Arial" w:eastAsia="Arial" w:hAnsi="Arial"/>
          <w:sz w:val="18"/>
          <w:szCs w:val="18"/>
          <w:color w:val="auto"/>
        </w:rPr>
      </w:pPr>
    </w:p>
    <w:p>
      <w:pPr>
        <w:ind w:left="644" w:hanging="644"/>
        <w:spacing w:after="0" w:line="342" w:lineRule="auto"/>
        <w:tabs>
          <w:tab w:leader="none" w:pos="64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Simulated Depletion for each Depletable Property, and Simulated Loss for Depletable Property upon the disposition of such Depletable Property, shall be allocated among the Members in proportion to their shares of Simulated Basis in such Depletable Property.</w:t>
      </w:r>
    </w:p>
    <w:p>
      <w:pPr>
        <w:spacing w:after="0" w:line="146"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allocations set forth in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5.2(i)</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Regulatory Allocations</w:t>
      </w:r>
      <w:r>
        <w:rPr>
          <w:rFonts w:ascii="Arial" w:cs="Arial" w:eastAsia="Arial" w:hAnsi="Arial"/>
          <w:sz w:val="18"/>
          <w:szCs w:val="18"/>
          <w:color w:val="auto"/>
        </w:rPr>
        <w:t xml:space="preserve">”) are intended to comply with certain requirements of Treasury Regulations Sections 1.704-1(b) and 1.704-2. Notwithstanding any other provision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the Regulatory Allocations), the Regulatory Allocations (and anticipated future Regulatory Allocations) shall be taken into account in allocating other items of income, gain, loss and deduction among the Members so that, to the extent possible, the net amount of such allocation of other items and the Regulatory Allocations to each Member should be equal to the net amount that would have been allocated to each such Member if the Regulatory Allocations had not occurred. This </w:t>
      </w:r>
      <w:r>
        <w:rPr>
          <w:rFonts w:ascii="Arial" w:cs="Arial" w:eastAsia="Arial" w:hAnsi="Arial"/>
          <w:sz w:val="18"/>
          <w:szCs w:val="18"/>
          <w:u w:val="single" w:color="auto"/>
          <w:color w:val="auto"/>
        </w:rPr>
        <w:t>Section 5.2(j)</w:t>
      </w:r>
      <w:r>
        <w:rPr>
          <w:rFonts w:ascii="Arial" w:cs="Arial" w:eastAsia="Arial" w:hAnsi="Arial"/>
          <w:sz w:val="18"/>
          <w:szCs w:val="18"/>
          <w:color w:val="auto"/>
        </w:rPr>
        <w:t xml:space="preserve"> is intended to minimize to the extent possible and to the extent necessary any economic distortions which may result from application of the Regulatory Allocations and shall be interpreted in a manner consistent therewith.</w:t>
      </w:r>
    </w:p>
    <w:p>
      <w:pPr>
        <w:spacing w:after="0" w:line="14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4" w:name="page195"/>
    <w:bookmarkEnd w:id="194"/>
    <w:p>
      <w:pPr>
        <w:ind w:left="644" w:hanging="644"/>
        <w:spacing w:after="0" w:line="277"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Items of income, gain, loss, expense or credit resulting from a Covered Audit Adjustment shall be allocated to the Members in accordance with the applicable provisions of the Partnership Tax Audit Rules.</w:t>
      </w:r>
    </w:p>
    <w:p>
      <w:pPr>
        <w:spacing w:after="0" w:line="220"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b w:val="1"/>
          <w:bCs w:val="1"/>
          <w:u w:val="single" w:color="auto"/>
          <w:color w:val="auto"/>
        </w:rPr>
        <w:t>Allocations for Tax Purposes in General</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342" w:lineRule="auto"/>
        <w:tabs>
          <w:tab w:leader="none" w:pos="64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each item of income, gain, loss and deduction of the Company for U.S. federal income tax purposes shall be allocated among the Members in the same manner as such item is allocated under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jc w:val="both"/>
        <w:ind w:left="644" w:hanging="644"/>
        <w:spacing w:after="0" w:line="272" w:lineRule="auto"/>
        <w:tabs>
          <w:tab w:leader="none" w:pos="64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 accordance with Code Section 704(c) and the Treasury Regulations thereunder (including the Treasury Regulations applying the principles of Code Section 704(c) to changes in Gross Asset Values)</w:t>
      </w:r>
      <w:r>
        <w:rPr>
          <w:rFonts w:ascii="Arial" w:cs="Arial" w:eastAsia="Arial" w:hAnsi="Arial"/>
          <w:sz w:val="17"/>
          <w:szCs w:val="17"/>
          <w:i w:val="1"/>
          <w:iCs w:val="1"/>
          <w:color w:val="auto"/>
        </w:rPr>
        <w:t>,</w:t>
      </w:r>
      <w:r>
        <w:rPr>
          <w:rFonts w:ascii="Arial" w:cs="Arial" w:eastAsia="Arial" w:hAnsi="Arial"/>
          <w:sz w:val="17"/>
          <w:szCs w:val="17"/>
          <w:color w:val="auto"/>
        </w:rPr>
        <w:t xml:space="preserve"> items of income, gain, loss and deduction with respect to any Company property having a Gross Asset Value that differs from such property’s adjusted U.S. federal income tax basis shall, solely for U.S. federal income tax purposes, be allocated among the Members to account for any such difference using such method or methods determined by the Company Representative to be appropriate and in accordance with the applicable Treasury Regulations;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Representative will use the “traditional method with curative allocations,” with the curative allocations applied only to sale gain, under Treasury Regulations Section 1.704-3(c) with respect to the assets owned by the Company at the time of the IPO.</w:t>
      </w:r>
    </w:p>
    <w:p>
      <w:pPr>
        <w:spacing w:after="0" w:line="204"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(i) recapture of depreciation or any other item of deduction shall be allocated, in accordance with Treasury Regulations Sections 1.1245-1(e) and 1.1254-5, to the Members who received the benefit of such deductions, and (ii) recapture of credits shall be allocated to the Members in accordance with applicable Law.</w:t>
      </w:r>
    </w:p>
    <w:p>
      <w:pPr>
        <w:spacing w:after="0" w:line="208"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are solely for purposes of U.S. federal, state and local taxes and shall not affect or in any way be taken into account in computing any Member’s Capital Account or share of Profits, Losses, other items or distributions pursuant to any provision of this Agreement.</w:t>
      </w:r>
    </w:p>
    <w:p>
      <w:pPr>
        <w:spacing w:after="0" w:line="208"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as a result of an exercise of a noncompensatory option to acquire an interest in the Company, a Capital Account reallocation is required under Treasury Regulations Section 1.704-1(b)(2)(iv)(</w:t>
      </w:r>
      <w:r>
        <w:rPr>
          <w:rFonts w:ascii="Arial" w:cs="Arial" w:eastAsia="Arial" w:hAnsi="Arial"/>
          <w:sz w:val="18"/>
          <w:szCs w:val="18"/>
          <w:i w:val="1"/>
          <w:iCs w:val="1"/>
          <w:color w:val="auto"/>
        </w:rPr>
        <w:t>s</w:t>
      </w:r>
      <w:r>
        <w:rPr>
          <w:rFonts w:ascii="Arial" w:cs="Arial" w:eastAsia="Arial" w:hAnsi="Arial"/>
          <w:sz w:val="18"/>
          <w:szCs w:val="18"/>
          <w:color w:val="auto"/>
        </w:rPr>
        <w:t>)(3), the Company shall make corrective allocations pursuant to Treasury Regulations Section 1.704-1(b)(4)(x).</w:t>
      </w:r>
    </w:p>
    <w:p>
      <w:pPr>
        <w:spacing w:after="0" w:line="14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5" w:name="page196"/>
    <w:bookmarkEnd w:id="195"/>
    <w:p>
      <w:pPr>
        <w:ind w:left="4"/>
        <w:spacing w:after="0"/>
        <w:tabs>
          <w:tab w:leader="none" w:pos="1323"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b w:val="1"/>
          <w:bCs w:val="1"/>
          <w:u w:val="single" w:color="auto"/>
          <w:color w:val="auto"/>
        </w:rPr>
        <w:t>Income Tax Allocations with Respect to Depletable Properties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69" w:lineRule="auto"/>
        <w:tabs>
          <w:tab w:leader="none" w:pos="64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Cost and percentage depletion deductions with respect to any Depletable Property shall be computed separately by the Members rather than the Company. For purposes of such computations, the federal income tax basis of each Depletable Property shall be allocated to each Member pro rata, in accordance with the number of Units owned by such Member as of the time such Depletable Property is acquired by the Company (and any additions to such federal income tax basis resulting from expenditures required to be capitalized in such basis shall be allocated among the Members in a manner designed to cause the Members’ proportionate shares of such adjusted federal income tax basis to be in accordance with their proportionate ownership of Units as determined at the time of any such additions), and shall be reallocated among the Members pro rata, in accordance with the number of Units owned by such Member as determined immediately following the occurrence of an event giving rise to an adjustment to the Gross Asset Values of the Company’s Depletable Properties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Gross Asset Value. The Company shall inform each Member of such Member’s allocable share of the federal income tax basis of each Depletable Property promptly following the acquisition of such Depletable Property by the Company, any adjustment resulting from expenditures required to be capitalized in such basis, and any reallocation of such basis as provided in the previous sentence.</w:t>
      </w:r>
    </w:p>
    <w:p>
      <w:pPr>
        <w:spacing w:after="0" w:line="206"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For purposes of the separate computation of gain or loss by each Member on the taxable disposition of Depletable Property, the amount realized from such disposition shall be allocated (i) first, to the Members in an amount equal to the Simulated Basis in such Depletable Property in proportion to their allocable shares thereof and (ii) second, any remaining amount realized shall be allocated consistent with the allocation of Simulated Gains.</w:t>
      </w:r>
    </w:p>
    <w:p>
      <w:pPr>
        <w:spacing w:after="0" w:line="213" w:lineRule="exact"/>
        <w:rPr>
          <w:rFonts w:ascii="Arial" w:cs="Arial" w:eastAsia="Arial" w:hAnsi="Arial"/>
          <w:sz w:val="18"/>
          <w:szCs w:val="18"/>
          <w:color w:val="auto"/>
        </w:rPr>
      </w:pPr>
    </w:p>
    <w:p>
      <w:pPr>
        <w:jc w:val="both"/>
        <w:ind w:left="644" w:hanging="644"/>
        <w:spacing w:after="0" w:line="284" w:lineRule="auto"/>
        <w:tabs>
          <w:tab w:leader="none" w:pos="64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allocations described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are intended to be applied in accordance with the Members’ “interests in partnership capital” under Section 613A(c)(7)(D)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Members understand and agree that the Company Representative may authorize special allocations of federal income tax basis, income, gain, deduction or loss, as computed for federal income tax purposes, in order to eliminate differences between Simulated Basis and adjusted federal income tax basis with respect to Depletable Properties, in such manner as determined consistent with the principles outlined in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5.4(c)</w:t>
      </w:r>
      <w:r>
        <w:rPr>
          <w:rFonts w:ascii="Arial" w:cs="Arial" w:eastAsia="Arial" w:hAnsi="Arial"/>
          <w:sz w:val="16"/>
          <w:szCs w:val="16"/>
          <w:color w:val="auto"/>
        </w:rPr>
        <w:t xml:space="preserve"> and the other provisions of this Agreement relating to allocations under Code Section 613A(c)(7)(D) are intended to comply with Treasury Regulations Section 1.704-1(b)</w:t>
      </w:r>
    </w:p>
    <w:p>
      <w:pPr>
        <w:spacing w:after="0" w:line="4"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(4)(v) and shall be interpreted and applied in a manner consistent with such Treasury Regulations.</w:t>
      </w:r>
    </w:p>
    <w:p>
      <w:pPr>
        <w:spacing w:after="0" w:line="237" w:lineRule="exact"/>
        <w:rPr>
          <w:rFonts w:ascii="Arial" w:cs="Arial" w:eastAsia="Arial" w:hAnsi="Arial"/>
          <w:sz w:val="16"/>
          <w:szCs w:val="16"/>
          <w:color w:val="auto"/>
        </w:rPr>
      </w:pPr>
    </w:p>
    <w:p>
      <w:pPr>
        <w:jc w:val="both"/>
        <w:ind w:left="644" w:hanging="644"/>
        <w:spacing w:after="0" w:line="290" w:lineRule="auto"/>
        <w:tabs>
          <w:tab w:leader="none" w:pos="64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Each Member, with the assistance of the Company, shall separately keep records of its share of the adjusted tax basis in each Depletable Property, adjust such share of the adjusted tax basis for any cost or percentage depletion allowable with respect to such property and use such adjusted tax basis in the computation of its cost depletion or in the computation of its gain or loss on the disposition of such property by the Company. Upon the reasonable request of the Company, each Member shall advise the Company of its adjusted tax basis in each Depletable Property and any depletion computed with respect thereto, both as computed in accordance with the provisions of this subsection for purposes of allowing the Company to make adjustments to the tax basis of its assets as a result of certain transfers of interests in the Company or distributions by the Company. The Company may rely on such information and, if it is not provided by the Member, may make such reasonable assumptions as it shall determine with respect thereto.</w:t>
      </w:r>
    </w:p>
    <w:p>
      <w:pPr>
        <w:spacing w:after="0" w:line="12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48" w:right="239" w:bottom="1440" w:gutter="0" w:footer="0" w:header="0"/>
        </w:sectPr>
      </w:pPr>
    </w:p>
    <w:bookmarkStart w:id="196" w:name="page197"/>
    <w:bookmarkEnd w:id="196"/>
    <w:p>
      <w:pPr>
        <w:ind w:left="4"/>
        <w:spacing w:after="0"/>
        <w:tabs>
          <w:tab w:leader="none" w:pos="1323"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b w:val="1"/>
          <w:bCs w:val="1"/>
          <w:u w:val="single" w:color="auto"/>
          <w:color w:val="auto"/>
        </w:rPr>
        <w:t>Other Allocation Rules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64" w:lineRule="auto"/>
        <w:tabs>
          <w:tab w:leader="none" w:pos="6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Members are aware of the income tax consequences of the allocations made by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economic impact of the allocations on the amounts receivable by them under this Agreement. The Members hereby agree to be bound by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reporting their share of Company income and loss for income tax purposes.</w:t>
      </w:r>
    </w:p>
    <w:p>
      <w:pPr>
        <w:spacing w:after="0" w:line="208"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provisions regarding the establishment and maintenance for each Member of a Capital Account and the allocations set forth herein are intended to comply with the Treasury Regulations and to reflect the intended economic entitlement of the Members. If the Company Representative determines, that the application of these provisions would result in non-compliance with the Treasury Regulations or would be inconsistent with the intended economic entitlement of the Members, the Company Representative is authorized to make any appropriate adjustments to such provisions.</w:t>
      </w:r>
    </w:p>
    <w:p>
      <w:pPr>
        <w:spacing w:after="0" w:line="215"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All items of income, gain, loss, deduction and credit allocable to an interest in the Company that may have been Transferred shall be allocated between the Transferor and the Transferee based on the portion of the Fiscal Year or other taxable period during which each was recognized as the owner of such interest, without regard to the results of Company operations during any particular portion of that year and without regard to whether cash distributions were made to the Transferor or the Transferee during that year;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allocation must be made in accordance with a method determined by the Company Representative and permissible under Code Section 706 and the Treasury Regulations thereunder.</w:t>
      </w:r>
    </w:p>
    <w:p>
      <w:pPr>
        <w:spacing w:after="0" w:line="220"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Members’ proportionate shares of the “excess nonrecourse liabilities” of the Company, within the meaning of Treasury Regulations Section 1.752-3(a)(3), shall be allocated to the Members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accordance with the number of Units owned by each Member.</w:t>
      </w:r>
    </w:p>
    <w:p>
      <w:pPr>
        <w:spacing w:after="0" w:line="3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48" w:right="239" w:bottom="1440" w:gutter="0" w:footer="0" w:header="0"/>
        </w:sectPr>
      </w:pPr>
    </w:p>
    <w:bookmarkStart w:id="197" w:name="page198"/>
    <w:bookmarkEnd w:id="197"/>
    <w:p>
      <w:pPr>
        <w:jc w:val="center"/>
        <w:ind w:right="636"/>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b w:val="1"/>
          <w:bCs w:val="1"/>
          <w:color w:val="auto"/>
        </w:rPr>
        <w:t>DISTRIBUTIONS</w:t>
      </w:r>
    </w:p>
    <w:p>
      <w:pPr>
        <w:spacing w:after="0" w:line="279"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b w:val="1"/>
          <w:bCs w:val="1"/>
          <w:u w:val="single" w:color="auto"/>
          <w:color w:val="auto"/>
        </w:rPr>
        <w:t>Distributions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87" w:lineRule="auto"/>
        <w:tabs>
          <w:tab w:leader="none" w:pos="644"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Distributions</w:t>
      </w:r>
      <w:r>
        <w:rPr>
          <w:rFonts w:ascii="Arial" w:cs="Arial" w:eastAsia="Arial" w:hAnsi="Arial"/>
          <w:sz w:val="16"/>
          <w:szCs w:val="16"/>
          <w:color w:val="auto"/>
        </w:rPr>
        <w:t xml:space="preserve">. To the extent permitted by applicable Law and hereunder, and except as otherwise provided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distributions to Members may be declared by the Managing Member out of funds legally available therefor in such amounts and on such terms (including the payment dates of such distributions) as the Managing Member shall determine using such record date as the Managing Member may designate; any such distribution shall be made to the Members as of the close of business on such record date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(except that, for the avoidance of doubt, repurchases or redemptions made in accordance with </w:t>
      </w:r>
      <w:r>
        <w:rPr>
          <w:rFonts w:ascii="Arial" w:cs="Arial" w:eastAsia="Arial" w:hAnsi="Arial"/>
          <w:sz w:val="16"/>
          <w:szCs w:val="16"/>
          <w:u w:val="single" w:color="auto"/>
          <w:color w:val="auto"/>
        </w:rPr>
        <w:t>Section 4.1(f)</w:t>
      </w:r>
      <w:r>
        <w:rPr>
          <w:rFonts w:ascii="Arial" w:cs="Arial" w:eastAsia="Arial" w:hAnsi="Arial"/>
          <w:sz w:val="16"/>
          <w:szCs w:val="16"/>
          <w:color w:val="auto"/>
        </w:rPr>
        <w:t xml:space="preserve"> or payments made in accordance with </w:t>
      </w:r>
      <w:r>
        <w:rPr>
          <w:rFonts w:ascii="Arial" w:cs="Arial" w:eastAsia="Arial" w:hAnsi="Arial"/>
          <w:sz w:val="16"/>
          <w:szCs w:val="16"/>
          <w:u w:val="single" w:color="auto"/>
          <w:color w:val="auto"/>
        </w:rPr>
        <w:t>Sections 7.4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7.9</w:t>
      </w:r>
      <w:r>
        <w:rPr>
          <w:rFonts w:ascii="Arial" w:cs="Arial" w:eastAsia="Arial" w:hAnsi="Arial"/>
          <w:sz w:val="16"/>
          <w:szCs w:val="16"/>
          <w:color w:val="auto"/>
        </w:rPr>
        <w:t xml:space="preserve"> need not be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the number of Units owned by each Member as of the close of business on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the Managing Member shall have the obligation to make distributions as set forth in </w:t>
      </w:r>
      <w:r>
        <w:rPr>
          <w:rFonts w:ascii="Arial" w:cs="Arial" w:eastAsia="Arial" w:hAnsi="Arial"/>
          <w:sz w:val="16"/>
          <w:szCs w:val="16"/>
          <w:u w:val="single" w:color="auto"/>
          <w:color w:val="auto"/>
        </w:rPr>
        <w:t>Sections 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11.3(b)(iii)</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notwithstanding any other provision herein to the contrary, no distributions shall be made to any Member to the extent such distribution would render the Company insolvent or violate the Act. For purposes of the foregoing sentence, insolvency means the inability of the Company to meet its payment obligations when due. Promptly following the designation of a record date and the declaration of a distribution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Managing Member shall give notice to each Member of the record date, the amount and the terms of the distribution and the payment date thereof.</w:t>
      </w:r>
    </w:p>
    <w:p>
      <w:pPr>
        <w:spacing w:after="0" w:line="195" w:lineRule="exact"/>
        <w:rPr>
          <w:rFonts w:ascii="Arial" w:cs="Arial" w:eastAsia="Arial" w:hAnsi="Arial"/>
          <w:sz w:val="16"/>
          <w:szCs w:val="16"/>
          <w:color w:val="auto"/>
        </w:rPr>
      </w:pPr>
    </w:p>
    <w:p>
      <w:pPr>
        <w:ind w:left="644" w:hanging="644"/>
        <w:spacing w:after="0" w:line="342" w:lineRule="auto"/>
        <w:tabs>
          <w:tab w:leader="none" w:pos="644"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For purposes of determining the amount of distributions, each Member shall be treated as having made the Capital Contributions and as having received the distributions made to or received by its predecessors in respect of any of such Member’s Units.</w:t>
      </w:r>
    </w:p>
    <w:p>
      <w:pPr>
        <w:spacing w:after="0" w:line="150" w:lineRule="exact"/>
        <w:rPr>
          <w:rFonts w:ascii="Arial" w:cs="Arial" w:eastAsia="Arial" w:hAnsi="Arial"/>
          <w:sz w:val="16"/>
          <w:szCs w:val="16"/>
          <w:color w:val="auto"/>
        </w:rPr>
      </w:pPr>
    </w:p>
    <w:p>
      <w:pPr>
        <w:jc w:val="both"/>
        <w:ind w:left="644" w:hanging="644"/>
        <w:spacing w:after="0" w:line="257" w:lineRule="auto"/>
        <w:tabs>
          <w:tab w:leader="none" w:pos="644"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Distributions In-Kind</w:t>
      </w:r>
      <w:r>
        <w:rPr>
          <w:rFonts w:ascii="Arial" w:cs="Arial" w:eastAsia="Arial" w:hAnsi="Arial"/>
          <w:sz w:val="18"/>
          <w:szCs w:val="18"/>
          <w:color w:val="auto"/>
        </w:rPr>
        <w:t xml:space="preserve">. Except as otherwise provided in this Agreement, any distributions may be made in cash or in kind, or partly in cash and partly in kind, as determined by the Managing Member. To the extent that the Company distributes property in-kind to the Members, the Company shall be treated as making a distribution equal to the Fair Market Value of such property for purposes of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and such property shall be treated as if it were sold for an amount equal to its Fair Market Value. Any resulting gain or loss shall be allocated to the Member’s Capital Accounts in accordance with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w:t>
      </w:r>
      <w:r>
        <w:rPr>
          <w:rFonts w:ascii="Arial" w:cs="Arial" w:eastAsia="Arial" w:hAnsi="Arial"/>
          <w:sz w:val="18"/>
          <w:szCs w:val="18"/>
          <w:color w:val="auto"/>
        </w:rPr>
        <w:t>.</w:t>
      </w:r>
    </w:p>
    <w:p>
      <w:pPr>
        <w:spacing w:after="0" w:line="238"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b w:val="1"/>
          <w:bCs w:val="1"/>
          <w:u w:val="single" w:color="auto"/>
          <w:color w:val="auto"/>
        </w:rPr>
        <w:t>Tax-Related Distributions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70" w:lineRule="auto"/>
        <w:tabs>
          <w:tab w:leader="none" w:pos="64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The Company shall, subject to any restrictions contained in any agreement to which the Company is bound, make distributions out of the Company’s available cash for distribution to all Members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at such times and in such amounts as the Managing Member reasonably determines is necessary to enable the PubCo Holdings Group, in the aggregate, to timely satisfy any and all U.S. federal, state and local and non-U.S. tax obligations (including any Company Level Taxes, but excluding any obligations to remit any withholdings withheld from payments to third parties) owed by the PubCo Holdings Group, in the aggregate; provided that, to the extent that the Managing Member determines in Good Faith that the Company does not have sufficient available cash for distribution, the amount of any distributions otherwise required to be made under this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shall be decreased as among the Members on a pro rata basis in accordance with the relative amount of the distribution that otherwise would be required to be made to each Member pursuant to such clause.</w:t>
      </w:r>
    </w:p>
    <w:p>
      <w:pPr>
        <w:spacing w:after="0" w:line="14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1" w:right="239" w:bottom="1440" w:gutter="0" w:footer="0" w:header="0"/>
        </w:sectPr>
      </w:pPr>
    </w:p>
    <w:bookmarkStart w:id="198" w:name="page199"/>
    <w:bookmarkEnd w:id="198"/>
    <w:p>
      <w:pPr>
        <w:jc w:val="both"/>
        <w:ind w:left="644" w:hanging="644"/>
        <w:spacing w:after="0" w:line="287" w:lineRule="auto"/>
        <w:tabs>
          <w:tab w:leader="none" w:pos="64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The Company shall, subject to any restrictions contained in any agreement to which the Company is bound and the Managing Member’s Good Faith determination as to the amount of the Company’s available cash (for the avoidance of doubt, taking into account any distributions reasonably expected to be made pursuant to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reasonably contemporaneously with such Tax Distribution Date), make distributions out of available cash for distribution on such Tax Distribution Date, to all Members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to the extent required to cause (x) any 5% Holder, (y) any Member in which a 5% Owner (or any Affiliate thereof) holds a direct or indirect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Member has notified the Company of such status (unless the Company is otherwise aware of such status), and (z) each other Member (other than any member of the PubCo Holdings Group) who on such Tax Distribution Date holds (together with its Affiliates) at least five percent (5%) of the then-outstanding Units to receive a distribution at least equal to such Member’s Additional Tax Distribution Amount with respect to such Tax Distribution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the Managing Member determines in Good Faith that the Company does not have sufficient available cash for distribution, the amount of any distributions otherwise required to be made on such Tax Distribution Date shall be decreased as among the Members on a pro rata basis in accordance with the relative amount of the distribution that otherwise would be required to be made to each Member pursuant to such clause.</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8"/>
          <w:szCs w:val="18"/>
          <w:color w:val="auto"/>
        </w:rPr>
        <w:t>(c)</w:t>
      </w:r>
    </w:p>
    <w:p>
      <w:pPr>
        <w:spacing w:after="0" w:line="252" w:lineRule="exact"/>
        <w:rPr>
          <w:sz w:val="20"/>
          <w:szCs w:val="20"/>
          <w:color w:val="auto"/>
        </w:rPr>
      </w:pPr>
    </w:p>
    <w:p>
      <w:pPr>
        <w:jc w:val="both"/>
        <w:ind w:left="1304" w:hanging="655"/>
        <w:spacing w:after="0" w:line="290" w:lineRule="auto"/>
        <w:tabs>
          <w:tab w:leader="none" w:pos="130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Each member of the PubCo Holdings Group and each 5% Holder, if such Member so elects in writing at least fifteen (15) Business Days in advance of a Tax Distribution Date, shall be entitled to make a cash contribution to the Company, in an amount not greater than the amount of cash received by such Member pursuant to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on such Tax Distribution Date, in exchange for the issuance by the Company to such Member of a number of Units equal to (i) the amount of cash contributed to the Company divided by (ii) the Unit Reinvestment Price as of such Tax Distribution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such contribution would give rise to the issuance of fractional Units pursuant to the foregoing formula, but taking into account any recapitalization of Units pursuant to </w:t>
      </w:r>
      <w:r>
        <w:rPr>
          <w:rFonts w:ascii="Arial" w:cs="Arial" w:eastAsia="Arial" w:hAnsi="Arial"/>
          <w:sz w:val="16"/>
          <w:szCs w:val="16"/>
          <w:u w:val="single" w:color="auto"/>
          <w:color w:val="auto"/>
        </w:rPr>
        <w:t>Section 6.2(c)(ii)</w:t>
      </w:r>
      <w:r>
        <w:rPr>
          <w:rFonts w:ascii="Arial" w:cs="Arial" w:eastAsia="Arial" w:hAnsi="Arial"/>
          <w:sz w:val="16"/>
          <w:szCs w:val="16"/>
          <w:color w:val="auto"/>
        </w:rPr>
        <w:t>, such cash shall be retained by the contributing Member and no fractional Units shall be issued. Any such contribution and issuance of Units shall be made on such Tax Distribution Date.</w:t>
      </w:r>
    </w:p>
    <w:p>
      <w:pPr>
        <w:spacing w:after="0" w:line="193" w:lineRule="exact"/>
        <w:rPr>
          <w:rFonts w:ascii="Arial" w:cs="Arial" w:eastAsia="Arial" w:hAnsi="Arial"/>
          <w:sz w:val="16"/>
          <w:szCs w:val="16"/>
          <w:color w:val="auto"/>
        </w:rPr>
      </w:pPr>
    </w:p>
    <w:p>
      <w:pPr>
        <w:jc w:val="both"/>
        <w:ind w:left="1304" w:hanging="655"/>
        <w:spacing w:after="0" w:line="273" w:lineRule="auto"/>
        <w:tabs>
          <w:tab w:leader="none" w:pos="130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Effective at the end of such Tax Distribution Date, the Company shall recapitalize its Units (by reverse Unit split or otherwise) to the extent necessary to cause the aggregate number of Units held by the PubCo Holdings Group to equal the number of Class A Shares outstanding, and the Company, NFE Sub and PubCo, as applicable, shall make adjustments to the number of Class B Shares outstanding (including, for the avoidance of doubt, the issuance of new Class B Shares) as may be necessary or appropriate such that each Member (other than any member of the PubCo Holdings Group) holds one Class B Share per Unit held by such Member after taking into account such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-1814830</wp:posOffset>
            </wp:positionV>
            <wp:extent cx="240982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409825" cy="128905"/>
                    </a:xfrm>
                    <a:prstGeom prst="rect">
                      <a:avLst/>
                    </a:prstGeom>
                    <a:noFill/>
                  </pic:spPr>
                </pic:pic>
              </a:graphicData>
            </a:graphic>
          </wp:anchor>
        </w:drawing>
      </w:r>
    </w:p>
    <w:p>
      <w:pPr>
        <w:spacing w:after="0" w:line="11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9" w:name="page200"/>
    <w:bookmarkEnd w:id="199"/>
    <w:p>
      <w:pPr>
        <w:jc w:val="both"/>
        <w:ind w:left="1960" w:hanging="655"/>
        <w:spacing w:after="0" w:line="259" w:lineRule="auto"/>
        <w:tabs>
          <w:tab w:leader="none" w:pos="19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To the extent that the Company makes a material distribution pursuant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the Company shall provide notice to member of the PubCo Holdings Group and each 5% Holder reasonably in advance of such distribution, and the provisions of </w:t>
      </w:r>
      <w:r>
        <w:rPr>
          <w:rFonts w:ascii="Arial" w:cs="Arial" w:eastAsia="Arial" w:hAnsi="Arial"/>
          <w:sz w:val="18"/>
          <w:szCs w:val="18"/>
          <w:u w:val="single" w:color="auto"/>
          <w:color w:val="auto"/>
        </w:rPr>
        <w:t>Sections 6.2(c)(i)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shall apply in respect of such distribution as if it were made on a Tax Distribution Date pursuant to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For U.S. federal income (and applicable state and local) tax purposes, any contribution by a Member pursuant to this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shall not be treated as a contribution in exchange for the issuance of new Units, but instead the distribution to such Member pursuant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6.2(b)</w:t>
      </w:r>
      <w:r>
        <w:rPr>
          <w:rFonts w:ascii="Arial" w:cs="Arial" w:eastAsia="Arial" w:hAnsi="Arial"/>
          <w:sz w:val="18"/>
          <w:szCs w:val="18"/>
          <w:color w:val="auto"/>
        </w:rPr>
        <w:t>, as applicable, shall be treated as having been reduced by the amount of such contribution.</w:t>
      </w:r>
    </w:p>
    <w:p>
      <w:pPr>
        <w:spacing w:after="0" w:line="213"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For purposes of determining whether a distribution may be made under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the amount of the Company’s available cash for distribution shall be determined by taking into account the following: (A) all Indebtedness, obligations and anticipated borrowing needs of the Company and its Subsidiaries, including planned or reasonably contemplated capital expenditures, contractual obligations (including restrictions on distributions under, or required payments with respect to, any credit facilities and other Indebtedness),</w:t>
      </w:r>
    </w:p>
    <w:p>
      <w:pPr>
        <w:spacing w:after="0" w:line="1" w:lineRule="exact"/>
        <w:rPr>
          <w:rFonts w:ascii="Arial" w:cs="Arial" w:eastAsia="Arial" w:hAnsi="Arial"/>
          <w:sz w:val="16"/>
          <w:szCs w:val="16"/>
          <w:color w:val="auto"/>
        </w:rPr>
      </w:pPr>
    </w:p>
    <w:p>
      <w:pPr>
        <w:jc w:val="both"/>
        <w:ind w:left="130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the extent to which the Company and its Subsidiaries may commercially reasonably draw on any undrawn lines of credit or other Indebtedness (considering, for the avoidance of doubt, the cost and other terms of such Indebtedness, the desired leverage ratio and net cash flow of the Company, the Company’s ability to repay any additional borrowing, and any other factors the Managing Member may deem appropriate in its Good Faith discretion), (C) any amounts reasonably expected to be contributed to the Company pursuant to </w:t>
      </w:r>
      <w:r>
        <w:rPr>
          <w:rFonts w:ascii="Arial" w:cs="Arial" w:eastAsia="Arial" w:hAnsi="Arial"/>
          <w:sz w:val="16"/>
          <w:szCs w:val="16"/>
          <w:u w:val="single" w:color="auto"/>
          <w:color w:val="auto"/>
        </w:rPr>
        <w:t>Section 6.2(c)</w:t>
      </w:r>
    </w:p>
    <w:p>
      <w:pPr>
        <w:spacing w:after="0" w:line="2" w:lineRule="exact"/>
        <w:rPr>
          <w:rFonts w:ascii="Arial" w:cs="Arial" w:eastAsia="Arial" w:hAnsi="Arial"/>
          <w:sz w:val="16"/>
          <w:szCs w:val="16"/>
          <w:color w:val="auto"/>
        </w:rPr>
      </w:pPr>
    </w:p>
    <w:p>
      <w:pPr>
        <w:ind w:left="1300" w:right="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and (D) such reserves and available undrawn lines of credit as the Managing Member determines in its Good Faith discretion to be necessary and appropriate.</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Distribution Upon Withdrawal</w:t>
      </w:r>
      <w:r>
        <w:rPr>
          <w:rFonts w:ascii="Arial" w:cs="Arial" w:eastAsia="Arial" w:hAnsi="Arial"/>
          <w:sz w:val="18"/>
          <w:szCs w:val="18"/>
          <w:color w:val="auto"/>
        </w:rPr>
        <w:t>. No withdrawing Member shall be entitled to receive any distribution or the value of such Member’s Interest in the Company as a result of withdrawal from the Company prior to the liquidation of the Company, except as specifically provided in this Agreement.</w:t>
      </w:r>
    </w:p>
    <w:p>
      <w:pPr>
        <w:spacing w:after="0" w:line="2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b w:val="1"/>
          <w:bCs w:val="1"/>
          <w:u w:val="single" w:color="auto"/>
          <w:color w:val="auto"/>
        </w:rPr>
        <w:t>Issuance of New Equity Securities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subject to and, to the extent necessary, amended to reflect the issuance by the Company of any additional Equity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0" w:name="page201"/>
    <w:bookmarkEnd w:id="200"/>
    <w:p>
      <w:pPr>
        <w:jc w:val="center"/>
        <w:ind w:right="636"/>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b w:val="1"/>
          <w:bCs w:val="1"/>
          <w:u w:val="single" w:color="auto"/>
          <w:color w:val="auto"/>
        </w:rPr>
        <w:t>The Managing Member; Fiduciary Duties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93" w:lineRule="auto"/>
        <w:tabs>
          <w:tab w:leader="none" w:pos="6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NFE Sub shall be the sole Managing Member of the Company. Except as otherwise required by Law, (i) the Managing Member shall have full and complete charge of all affairs of the Company, (ii) the management and control of the Company’s business activities and operations shall rest exclusively with the Managing Member, and the Managing Member shall make all decisions regarding the business, activities and operations of the Company (including the incurrence of costs and expenses) in its sole discretion without the consent of any other Member and (iii) the Members other than the Managing Member (in their capacity as such) shall not participate in the control, management, direction or operation of the activities or affairs of the Company and shall have no power to act for or bind the Company.</w:t>
      </w:r>
    </w:p>
    <w:p>
      <w:pPr>
        <w:spacing w:after="0" w:line="191" w:lineRule="exact"/>
        <w:rPr>
          <w:rFonts w:ascii="Arial" w:cs="Arial" w:eastAsia="Arial" w:hAnsi="Arial"/>
          <w:sz w:val="16"/>
          <w:szCs w:val="16"/>
          <w:color w:val="auto"/>
        </w:rPr>
      </w:pPr>
    </w:p>
    <w:p>
      <w:pPr>
        <w:jc w:val="both"/>
        <w:ind w:left="644" w:hanging="644"/>
        <w:spacing w:after="0" w:line="297" w:lineRule="auto"/>
        <w:tabs>
          <w:tab w:leader="none" w:pos="6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connection with the performance of its duties as the Managing Member of the Company, except as otherwise set forth herein, the Managing Member acknowledges that it will owe to the Members the same fiduciary duties as it would owe to the stockholders of a Delaware corporation if it were a member of the board of directors of such a corporation and the Members were stockholders of such corporation. The Members acknowledge that the Managing Member will take action through its board of directors, and that the members of the Managing Member’s board of directors will owe comparable fiduciary duties to the stockholders of the Managing Member.</w:t>
      </w:r>
    </w:p>
    <w:p>
      <w:pPr>
        <w:spacing w:after="0" w:line="208"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b w:val="1"/>
          <w:bCs w:val="1"/>
          <w:u w:val="single" w:color="auto"/>
          <w:color w:val="auto"/>
        </w:rPr>
        <w:t>Officers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86" w:lineRule="auto"/>
        <w:tabs>
          <w:tab w:leader="none" w:pos="64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Managing Member may appoint, employ or otherwise contract with any Person for the transaction of the business of the Company or the performance of services for or on behalf of the Company, and the Managing Member may delegate to any such Persons such authority to act on behalf of the Company as the Managing Member may from time to time deem appropriate.</w:t>
      </w:r>
    </w:p>
    <w:p>
      <w:pPr>
        <w:spacing w:after="0" w:line="192" w:lineRule="exact"/>
        <w:rPr>
          <w:rFonts w:ascii="Arial" w:cs="Arial" w:eastAsia="Arial" w:hAnsi="Arial"/>
          <w:sz w:val="17"/>
          <w:szCs w:val="17"/>
          <w:color w:val="auto"/>
        </w:rPr>
      </w:pPr>
    </w:p>
    <w:p>
      <w:pPr>
        <w:jc w:val="both"/>
        <w:ind w:left="644" w:hanging="644"/>
        <w:spacing w:after="0" w:line="271" w:lineRule="auto"/>
        <w:tabs>
          <w:tab w:leader="none" w:pos="64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Except as otherwise set forth herein, the Chief Executive Officer will be responsible for the general and active management of the business of the Company and its Subsidiaries and will see that all orders of the Managing Member are carried into effect. The Chief Executive Officer will report to the Managing Member and have the general powers and duties of management usually vested in the office of president and chief executive officer of a corporation organized under the DGCL, subject to the terms of this Agreement, and will have such other powers and duties as may be prescribed by the Managing Member or this Agreement. The Chief Executive Officer will have the power to execute bonds, mortgages and other contracts requiring a seal, under the seal of the Company, except where required or permitted by Law to be otherwise signed and executed, and except where the signing and execution thereof will be expressly delegated by the Managing Member to some other Officer or agent of the Company.</w:t>
      </w:r>
    </w:p>
    <w:p>
      <w:pPr>
        <w:spacing w:after="0" w:line="38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51" w:right="239" w:bottom="1440" w:gutter="0" w:footer="0" w:header="0"/>
        </w:sectPr>
      </w:pPr>
    </w:p>
    <w:bookmarkStart w:id="201" w:name="page202"/>
    <w:bookmarkEnd w:id="201"/>
    <w:p>
      <w:pPr>
        <w:jc w:val="both"/>
        <w:ind w:left="1300" w:hanging="644"/>
        <w:spacing w:after="0" w:line="255" w:lineRule="auto"/>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Except as set forth herein, the Managing Member may appoint Officers at any time, and the Officers may include a president, one or more vice presidents, a secretary, one or more assistant secretaries, a chief financial officer, a general counsel, a treasurer, one or more assistant treasurers, a chief operating officer, an executive chairman, and any other officers that the Managing Member deems appropriate. Except as set forth herein, the Officers will serve at the pleasure of the Managing Member, subject to all rights, if any, of such Officer under any contract of employment. Any individual may hold any number of offices, and an Officer may, but need not, be a Member of the Company. The Officers will exercise such powers and perform such duties as specified in this Agreement or as determined from time to time by the Managing Member.</w:t>
      </w:r>
    </w:p>
    <w:p>
      <w:pPr>
        <w:spacing w:after="0" w:line="216"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Subject to this Agreement and to the rights, if any, of an Officer under a contract of employment, any Officer may be removed, either with or without cause, by the Managing Member. Any Officer may resign at any time by giving written notice to the Managing Member. Any resignation will take effect at the date of the receipt of that notice or at any later time specified in that notice; and, unless otherwise specified in that notice, the acceptance of the resignation will not be necessary to make it effective. Any resignation is without prejudice to the rights, if any, of the Company under any contract to which the Officer is a party. A vacancy in any office because of death, resignation, removal, disqualification or any other cause will be filled in the manner prescribed in this Agreement for regular appointments to that office.</w:t>
      </w:r>
    </w:p>
    <w:p>
      <w:pPr>
        <w:spacing w:after="0" w:line="2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b w:val="1"/>
          <w:bCs w:val="1"/>
          <w:u w:val="single" w:color="auto"/>
          <w:color w:val="auto"/>
        </w:rPr>
        <w:t>Warranted Reliance by Officers on Others</w:t>
      </w:r>
      <w:r>
        <w:rPr>
          <w:rFonts w:ascii="Arial" w:cs="Arial" w:eastAsia="Arial" w:hAnsi="Arial"/>
          <w:sz w:val="18"/>
          <w:szCs w:val="18"/>
          <w:color w:val="auto"/>
        </w:rPr>
        <w:t>. In exercising their authority and performing their duties under this Agreement, the Officers shall be entitled to rely on information, opinions, reports, or statements of the following Persons or groups unless they have actual knowledge concerning the matter in question that would cause such reliance to be unwarranted:</w:t>
      </w:r>
    </w:p>
    <w:p>
      <w:pPr>
        <w:spacing w:after="0" w:line="207" w:lineRule="exact"/>
        <w:rPr>
          <w:sz w:val="20"/>
          <w:szCs w:val="20"/>
          <w:color w:val="auto"/>
        </w:rPr>
      </w:pPr>
    </w:p>
    <w:p>
      <w:pPr>
        <w:ind w:left="1300" w:hanging="644"/>
        <w:spacing w:after="0" w:line="277"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one or more employees or other agents of the Company or subordinates whom the Officer reasonably believes to be reliable and competent in the matters presented; and</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attorney, public accountant, or other Person as to matters which the Officer reasonably believes to be within such Person’s professional or expert competence.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2" w:name="page203"/>
    <w:bookmarkEnd w:id="202"/>
    <w:p>
      <w:pPr>
        <w:jc w:val="both"/>
        <w:ind w:firstLine="765"/>
        <w:spacing w:after="0" w:line="267"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The Company shall indemnify and hold harmless, to the fullest extent permitted by applicable Law as it presently exists or may hereafter be amended, any person who was or is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7"/>
          <w:szCs w:val="17"/>
          <w:b w:val="1"/>
          <w:bCs w:val="1"/>
          <w:u w:val="single" w:color="auto"/>
          <w:color w:val="auto"/>
        </w:rPr>
        <w:t>Proceeding</w:t>
      </w:r>
      <w:r>
        <w:rPr>
          <w:rFonts w:ascii="Arial" w:cs="Arial" w:eastAsia="Arial" w:hAnsi="Arial"/>
          <w:sz w:val="17"/>
          <w:szCs w:val="17"/>
          <w:color w:val="auto"/>
        </w:rPr>
        <w:t>”) by reason of the fact that he, or a person for whom he is the legal representative, is or was a Manager entitled to indemnification under the Existing LLC Agreement, a Member, an Officer, or acting as the Managing Member or Company Representative of the Company or, while a Manager entitled to indemnification under the Existing LLC Agreement, a Member, an Officer, or acting as the, Managing Member or Company Representative of the Company, is or was serving at the request of the Company as a member, director, officer, trustee, employee or agent of another limited liability company or of a corporation, partnership, joint venture, trust, other enterprise or nonprofit entity, including service with respect to an employee benefit plan (a “</w:t>
      </w:r>
      <w:r>
        <w:rPr>
          <w:rFonts w:ascii="Arial" w:cs="Arial" w:eastAsia="Arial" w:hAnsi="Arial"/>
          <w:sz w:val="17"/>
          <w:szCs w:val="17"/>
          <w:u w:val="single" w:color="auto"/>
          <w:color w:val="auto"/>
        </w:rPr>
        <w:t>Covered Person</w:t>
      </w:r>
      <w:r>
        <w:rPr>
          <w:rFonts w:ascii="Arial" w:cs="Arial" w:eastAsia="Arial" w:hAnsi="Arial"/>
          <w:sz w:val="17"/>
          <w:szCs w:val="17"/>
          <w:color w:val="auto"/>
        </w:rPr>
        <w:t xml:space="preserve">”), whether the basis of such Proceeding is alleged action in an official capacity as a member, director, officer, trustee, employee or agent, or in any other capacity while serving as a member, director, officer, trustee, employee or agent, against all expenses, liability and loss (including, without limitation, attorneys’ fees, judgments, fines, ERISA excise taxes and penalties and amounts paid in settlement) reasonably incurred or suffered by such Covered Person in connection with such Proceeding. The Company shall, to the fullest extent not prohibited by applicable Law as it presently exists or may hereafter be amended, pay the expenses (including attorneys’ fees) incurred by a Covered Person in defending any Proceeding in advance of its final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required by applicable Law, such payment of expenses in advance of the final disposition of the Proceeding shall be made only upon receipt of an undertaking by the Covered Person to repay all amounts advanced if it should be ultimately determined by final judicial decision from which there is no further right to appeal that the Covered Person is not entitled to be indemnified under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or otherwise. The rights to indemnification and advancement of expenses under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be contract rights and such rights shall continue as to a Covered Person who has ceased to be a member, director, officer, trustee, employee or agent and shall inure to the benefit of his heirs, executors and administrators. Notwithstanding the foregoing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except for Proceedings to enforce rights to indemnification and advancement of expenses, the Company shall indemnify and advance expenses to a Covered Person in connection with a Proceeding (or part thereof) initiated by such Covered Person only if such Proceeding (or part thereof) was authorized by the Managing Member.</w:t>
      </w: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u w:val="single" w:color="auto"/>
          <w:color w:val="auto"/>
        </w:rPr>
        <w:t>Maintenance of Insurance or Other Financial Arrangements</w:t>
      </w:r>
      <w:r>
        <w:rPr>
          <w:rFonts w:ascii="Arial" w:cs="Arial" w:eastAsia="Arial" w:hAnsi="Arial"/>
          <w:sz w:val="18"/>
          <w:szCs w:val="18"/>
          <w:color w:val="auto"/>
        </w:rPr>
        <w:t>. In compliance with applicable Law, the Company (with the approval of the Managing Member) may purchase and maintain insurance or make other financial arrangements on behalf of any Person who is or was a Member, employee or agent of the Company, or at the request of the Company is or was serving as a manager, director, officer, employee or agent of another limited liability company, corporation, partnership, joint venture, trust or other enterprise, for any Liability asserted against such Person and Liability and expenses incurred by such Person in such Person’s capacity as such, or arising out of such Person’s status as such, whether or not the Company has the authority to indemnify such Person against such Liability and expenses.</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b w:val="1"/>
          <w:bCs w:val="1"/>
          <w:u w:val="single" w:color="auto"/>
          <w:color w:val="auto"/>
        </w:rPr>
        <w:t>Resignation or Termination of Managing Member</w:t>
      </w:r>
      <w:r>
        <w:rPr>
          <w:rFonts w:ascii="Arial" w:cs="Arial" w:eastAsia="Arial" w:hAnsi="Arial"/>
          <w:sz w:val="17"/>
          <w:szCs w:val="17"/>
          <w:color w:val="auto"/>
        </w:rPr>
        <w:t xml:space="preserve">. NFE Sub shall not, by any means, resign as, cease to be or be replaced as Managing Member except in compliance with this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No termination or replacement of NFE Sub as Managing Member shall be effective unless proper provision is made, in compliance with this Agreement, so that the obligations of NFE Sub, its successor (if applicable) and any new Managing Member and the rights of all Members under this Agreement and applicable Law remain in full force and effect. No appointment of a Person other than NFE Sub (or its successor, as applicable) as Managing Member shall be effective unless NFE Sub (or its successor, as applicable) and the new Managing Member (as applicable) provide all other Members with contractual rights, directly enforceable by such other Members against NFE Sub (or its successor, as applicable) and the new Managing Member (as applicable), to cause (a) NFE Sub to comply with all NFE Sub’s obligations under this Agreement (including its obligations under </w:t>
      </w:r>
      <w:r>
        <w:rPr>
          <w:rFonts w:ascii="Arial" w:cs="Arial" w:eastAsia="Arial" w:hAnsi="Arial"/>
          <w:sz w:val="17"/>
          <w:szCs w:val="17"/>
          <w:u w:val="single" w:color="auto"/>
          <w:color w:val="auto"/>
        </w:rPr>
        <w:t>Section 4.6</w:t>
      </w:r>
      <w:r>
        <w:rPr>
          <w:rFonts w:ascii="Arial" w:cs="Arial" w:eastAsia="Arial" w:hAnsi="Arial"/>
          <w:sz w:val="17"/>
          <w:szCs w:val="17"/>
          <w:color w:val="auto"/>
        </w:rPr>
        <w:t>) other than those that must necessarily be taken in its capacity as Managing Member and (b) the new Managing Member to comply with all the Managing Member’s obligations under this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9" w:right="239" w:bottom="1440" w:gutter="0" w:footer="0" w:header="0"/>
        </w:sectPr>
      </w:pPr>
    </w:p>
    <w:bookmarkStart w:id="203" w:name="page204"/>
    <w:bookmarkEnd w:id="203"/>
    <w:p>
      <w:pPr>
        <w:jc w:val="both"/>
        <w:ind w:firstLine="648"/>
        <w:spacing w:after="0" w:line="261"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b w:val="1"/>
          <w:bCs w:val="1"/>
          <w:u w:val="single" w:color="auto"/>
          <w:color w:val="auto"/>
        </w:rPr>
        <w:t>No Inconsistent Obligations</w:t>
      </w:r>
      <w:r>
        <w:rPr>
          <w:rFonts w:ascii="Arial" w:cs="Arial" w:eastAsia="Arial" w:hAnsi="Arial"/>
          <w:sz w:val="18"/>
          <w:szCs w:val="18"/>
          <w:color w:val="auto"/>
        </w:rPr>
        <w:t xml:space="preserve">. The Managing Member represents that it does not have any contracts, other agreements, duties or obligations that are inconsistent with its duties and obligations (whether or not in its capacity as Managing Member) under this Agreement and covenants that, except as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 it will not enter into any contracts or other agreements or undertake or acquire any other duties or obligations that are inconsistent with such duties and obligations.</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b w:val="1"/>
          <w:bCs w:val="1"/>
          <w:u w:val="single" w:color="auto"/>
          <w:color w:val="auto"/>
        </w:rPr>
        <w:t>Reclassification Events of PubCo</w:t>
      </w:r>
      <w:r>
        <w:rPr>
          <w:rFonts w:ascii="Arial" w:cs="Arial" w:eastAsia="Arial" w:hAnsi="Arial"/>
          <w:sz w:val="16"/>
          <w:szCs w:val="16"/>
          <w:color w:val="auto"/>
        </w:rPr>
        <w:t xml:space="preserve">. If a Reclassification Event occurs, the Managing Member or its successor, as the case may be, shall, as and to the extent necessary, amend this Agreement in compliance with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and enter into any necessary supplementary or additional agreements, to ensure that, following the effective date of the Reclassification Event: (i) the redemption rights of holders of Units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provide that each Unit (together with the surrender and delivery of one Class B Share) is redeemable for the same amount and same type of property, securities or cash (or combination thereof) that one Class A Share becomes exchangeable for or converted into as a result of the Reclassification Event and</w:t>
      </w:r>
    </w:p>
    <w:p>
      <w:pPr>
        <w:spacing w:after="0" w:line="2" w:lineRule="exact"/>
        <w:rPr>
          <w:sz w:val="20"/>
          <w:szCs w:val="20"/>
          <w:color w:val="auto"/>
        </w:rPr>
      </w:pPr>
    </w:p>
    <w:p>
      <w:pPr>
        <w:jc w:val="both"/>
        <w:ind w:firstLine="8"/>
        <w:spacing w:after="0" w:line="255" w:lineRule="auto"/>
        <w:tabs>
          <w:tab w:leader="none" w:pos="29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PubCo or the successor to PubCo, as applicable, is obligated to deliver such property, securities or cash upon such redemption. PubCo shall not consummate or agree to consummate any Reclassification Event unless the successor Person, if any, becomes obligated to comply with the obligations of PubCo (in whatever capacity) under this Agreement.</w:t>
      </w:r>
    </w:p>
    <w:p>
      <w:pPr>
        <w:spacing w:after="0" w:line="24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b w:val="1"/>
          <w:bCs w:val="1"/>
          <w:u w:val="single" w:color="auto"/>
          <w:color w:val="auto"/>
        </w:rPr>
        <w:t>Certain Costs and Expenses</w:t>
      </w:r>
      <w:r>
        <w:rPr>
          <w:rFonts w:ascii="Arial" w:cs="Arial" w:eastAsia="Arial" w:hAnsi="Arial"/>
          <w:sz w:val="16"/>
          <w:szCs w:val="16"/>
          <w:color w:val="auto"/>
        </w:rPr>
        <w:t xml:space="preserve">. The Company shall (i) pay, or cause to be paid, all costs, fees, operating expenses and other expenses of the Company and its Subsidiaries (including the costs, fees and expenses of attorneys, accountants or other professionals and the compensation of all personnel providing services to the Company and its Subsidiaries) incurred in pursuing and conducting, or otherwise related to, the activities of the Company and (ii) in the sole discretion of the Managing Member, reimburse the Managing Member for any costs, fees or expenses incurred by it in connection with serving as the Managing Member. To the extent that the Managing Member determines in its sole discretion that any costs, fees or expenses of any member of the PubCo Holdings Group are related to the business and affairs of such member that are conducted through the Company and/or its Subsidiaries (including expenses that relate to the business and affairs of the Company and/or its Subsidiaries and that also relate to other activities of such member), the Managing Member may cause the Company to pay or bear all expenses of such member, including, without limitation, costs of securities offerings not borne directly by Members, board of directors compensation and meeting costs, costs of periodic reports to its stockholders, litigation costs and damages arising from litigation, accounting and legal costs;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pay or bear any income tax obligations of any member of the PubCo Holdings Group. Notwithstanding the foregoing, the PubCo Holdings Group shall bear any reasonable, documented out-of-pocket cost or expense incurred by the Company that is related, as determined by the Managing Member, to the calculation of any adjustments under Section 743(b) of the Code with respect to the PubCo Holdings Group’s interest in the Company, either by (at the Managing Member’s option) (x) the PubCo Holdings Group’s reimbursing the Company for any such costs and expenses out of excess cash on hand or (y) the Company’s making a distribution to all Members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6.1(a)</w:t>
      </w:r>
      <w:r>
        <w:rPr>
          <w:rFonts w:ascii="Arial" w:cs="Arial" w:eastAsia="Arial" w:hAnsi="Arial"/>
          <w:sz w:val="16"/>
          <w:szCs w:val="16"/>
          <w:color w:val="auto"/>
        </w:rPr>
        <w:t xml:space="preserve"> such that the PubCo Holdings Group would (but for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receive a distribution equal to the amount of any such costs and expenses, but reducing such distribution to PubCo by the amount of any such costs and expenses. In the event that (i) Class A Shares or other Equity Securities of PubCo were sold to underwriters in any Public Offering after the Effective Time, in each case, at a price per share that is lower than the price per share for which such Class A Shares or other Equity Securities of PubCo are sold to the public in such Public Offering after taking into account any Discounts and (ii) the proceeds from such Public Offering are used to fund the Cash Election Amount for any redeemed Units or otherwise contributed to the Company, the Company shall reimburse the PubCo Holdings Group for such Discount by treating such Discount as an additional Capital Contribution made by the relevant member of the PubCo Holdings Group to the Company, issuing Units in respect of such deemed Capital Contribution in accordance with </w:t>
      </w:r>
      <w:r>
        <w:rPr>
          <w:rFonts w:ascii="Arial" w:cs="Arial" w:eastAsia="Arial" w:hAnsi="Arial"/>
          <w:sz w:val="16"/>
          <w:szCs w:val="16"/>
          <w:u w:val="single" w:color="auto"/>
          <w:color w:val="auto"/>
        </w:rPr>
        <w:t>Section 4.6(e)(ii)</w:t>
      </w:r>
      <w:r>
        <w:rPr>
          <w:rFonts w:ascii="Arial" w:cs="Arial" w:eastAsia="Arial" w:hAnsi="Arial"/>
          <w:sz w:val="16"/>
          <w:szCs w:val="16"/>
          <w:color w:val="auto"/>
        </w:rPr>
        <w:t xml:space="preserve">, and increasing such member’s Capital Account by the amount of such Discount. For the avoidance of doubt, any payments made to or on behalf of the Managing Member or any other Member of the PubCo Holdings Group pursuant to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not be treated as a distribution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6.1(a)</w:t>
      </w:r>
      <w:r>
        <w:rPr>
          <w:rFonts w:ascii="Arial" w:cs="Arial" w:eastAsia="Arial" w:hAnsi="Arial"/>
          <w:sz w:val="16"/>
          <w:szCs w:val="16"/>
          <w:color w:val="auto"/>
        </w:rPr>
        <w:t xml:space="preserve"> but shall instead be treated as an expense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04" w:name="page205"/>
    <w:bookmarkEnd w:id="204"/>
    <w:p>
      <w:pPr>
        <w:jc w:val="center"/>
        <w:ind w:right="636"/>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ROLE OF MEMBERS</w:t>
      </w:r>
    </w:p>
    <w:p>
      <w:pPr>
        <w:spacing w:after="0" w:line="279"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b w:val="1"/>
          <w:bCs w:val="1"/>
          <w:u w:val="single" w:color="auto"/>
          <w:color w:val="auto"/>
        </w:rPr>
        <w:t>Rights or Powers</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89" w:lineRule="auto"/>
        <w:tabs>
          <w:tab w:leader="none" w:pos="64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Other than the Managing Member, the Members, acting in their capacity as Members, shall not have any right or power to take part in the management or control of the Company or its business and affairs or to act for or bind the Company in any way. Notwithstanding the foregoing, the Members have all the rights and powers specifically set forth in this Agreement and, to the extent not inconsistent with this Agreement, in the Act. A Member, any Affiliate thereof or an employee, stockholder, agent, director or officer of a Member or any Affiliate thereof, may also be an employee or be retained as an agent of the Company. The existence of these relationships and acting in such capacities will not result in the Member (other than the Managing Member) being deemed to be participating in the control of the business of the Company or otherwise affect the limited liability of the Member. Except as specifically provided herein, a Member (other than the Managing Member) shall not, in its capacity as a Member, take part in the operation, management or control of the Company’s business, transact any business in the Company’s name or have the power to sign documents for or otherwise bind the Company.</w:t>
      </w:r>
    </w:p>
    <w:p>
      <w:pPr>
        <w:spacing w:after="0" w:line="193" w:lineRule="exact"/>
        <w:rPr>
          <w:rFonts w:ascii="Arial" w:cs="Arial" w:eastAsia="Arial" w:hAnsi="Arial"/>
          <w:sz w:val="16"/>
          <w:szCs w:val="16"/>
          <w:color w:val="auto"/>
        </w:rPr>
      </w:pPr>
    </w:p>
    <w:p>
      <w:pPr>
        <w:jc w:val="both"/>
        <w:ind w:left="644" w:hanging="644"/>
        <w:spacing w:after="0" w:line="286" w:lineRule="auto"/>
        <w:tabs>
          <w:tab w:leader="none" w:pos="64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Company shall promptly (but in any event within three (3) Business Days) notify the Members in writing if, to the Company’s knowledge, for any reason, it would be an “investment company” within the meaning of the Investment Company Act of 1940 (the “</w:t>
      </w:r>
      <w:r>
        <w:rPr>
          <w:rFonts w:ascii="Arial" w:cs="Arial" w:eastAsia="Arial" w:hAnsi="Arial"/>
          <w:sz w:val="17"/>
          <w:szCs w:val="17"/>
          <w:b w:val="1"/>
          <w:bCs w:val="1"/>
          <w:u w:val="single" w:color="auto"/>
          <w:color w:val="auto"/>
        </w:rPr>
        <w:t>Investment Company Act</w:t>
      </w:r>
      <w:r>
        <w:rPr>
          <w:rFonts w:ascii="Arial" w:cs="Arial" w:eastAsia="Arial" w:hAnsi="Arial"/>
          <w:sz w:val="17"/>
          <w:szCs w:val="17"/>
          <w:color w:val="auto"/>
        </w:rPr>
        <w:t>”), as amended, but for the exceptions provided in Sections 3(c)(1) or 3(c)(7) thereunder.</w:t>
      </w:r>
    </w:p>
    <w:p>
      <w:pPr>
        <w:spacing w:after="0" w:line="36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1" w:right="239" w:bottom="1440" w:gutter="0" w:footer="0" w:header="0"/>
        </w:sectPr>
      </w:pPr>
    </w:p>
    <w:bookmarkStart w:id="205" w:name="page206"/>
    <w:bookmarkEnd w:id="205"/>
    <w:p>
      <w:pPr>
        <w:ind w:left="660"/>
        <w:spacing w:after="0"/>
        <w:tabs>
          <w:tab w:leader="none" w:pos="19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b w:val="1"/>
          <w:bCs w:val="1"/>
          <w:u w:val="single" w:color="auto"/>
          <w:color w:val="auto"/>
        </w:rPr>
        <w:t>Voting</w:t>
      </w:r>
      <w:r>
        <w:rPr>
          <w:rFonts w:ascii="Arial" w:cs="Arial" w:eastAsia="Arial" w:hAnsi="Arial"/>
          <w:sz w:val="16"/>
          <w:szCs w:val="16"/>
          <w:color w:val="auto"/>
        </w:rPr>
        <w:t>.</w:t>
      </w:r>
    </w:p>
    <w:p>
      <w:pPr>
        <w:spacing w:after="0" w:line="256" w:lineRule="exact"/>
        <w:rPr>
          <w:sz w:val="20"/>
          <w:szCs w:val="20"/>
          <w:color w:val="auto"/>
        </w:rPr>
      </w:pPr>
    </w:p>
    <w:p>
      <w:pPr>
        <w:jc w:val="both"/>
        <w:ind w:left="1300" w:hanging="644"/>
        <w:spacing w:after="0" w:line="291" w:lineRule="auto"/>
        <w:tabs>
          <w:tab w:leader="none" w:pos="13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Meetings of the Members may be called upon the written request of Members holding at least 50% of the outstanding Units. Such request shall state the location of the meeting and the nature of the business to be transacted at the meeting. Written notice of any such meeting shall be given to all Members not less than two (2) Business Days and not more than thirty (30) days prior to the date of such meeting. Members may vote in person, by proxy or by telephone at any meeting of the Members and may waive advance notice of such meeting. Whenever the vote or consent of Members is permitted or required under this Agreement, such vote or consent may be given at a meeting of the Members or may be given in accordance with the procedure prescribed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Except as otherwise expressly provided in this Agreement, the affirmative vote of the Members holding a majority of the outstanding Units shall constitute the act of the Members.</w:t>
      </w:r>
    </w:p>
    <w:p>
      <w:pPr>
        <w:spacing w:after="0" w:line="194"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Member may authorize any Person or Persons to act for it by proxy on all matters in which such Member is entitled to participate, including waiving notice of any meeting, or voting or participating at a meeting. Every proxy must be signed by such Member or its attorney-in-fact. No proxy shall be valid after the expiration of eleven (11) months from the date thereof unless otherwise provided in the proxy. Every proxy shall be revocable at the pleasure of the Member executing it.</w:t>
      </w:r>
    </w:p>
    <w:p>
      <w:pPr>
        <w:spacing w:after="0" w:line="21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meeting of Members shall be conducted by an Officer designated by the Managing Member or such other individual Person as the Managing Member deems appropriate.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Members may be taken without a meeting if the requisite Members whose approval is necessary consent thereto in writing.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ind w:left="700"/>
              <w:spacing w:after="0"/>
              <w:rPr>
                <w:sz w:val="20"/>
                <w:szCs w:val="20"/>
                <w:color w:val="auto"/>
              </w:rPr>
            </w:pPr>
            <w:r>
              <w:rPr>
                <w:rFonts w:ascii="Arial" w:cs="Arial" w:eastAsia="Arial" w:hAnsi="Arial"/>
                <w:sz w:val="18"/>
                <w:szCs w:val="18"/>
                <w:color w:val="auto"/>
              </w:rPr>
              <w:t>Section 8.3</w:t>
            </w:r>
          </w:p>
        </w:tc>
        <w:tc>
          <w:tcPr>
            <w:tcW w:w="9220" w:type="dxa"/>
            <w:vAlign w:val="bottom"/>
            <w:gridSpan w:val="3"/>
          </w:tcPr>
          <w:p>
            <w:pPr>
              <w:spacing w:after="0"/>
              <w:rPr>
                <w:sz w:val="20"/>
                <w:szCs w:val="20"/>
                <w:color w:val="auto"/>
              </w:rPr>
            </w:pPr>
            <w:r>
              <w:rPr>
                <w:rFonts w:ascii="Arial" w:cs="Arial" w:eastAsia="Arial" w:hAnsi="Arial"/>
                <w:sz w:val="18"/>
                <w:szCs w:val="18"/>
                <w:b w:val="1"/>
                <w:bCs w:val="1"/>
                <w:color w:val="auto"/>
                <w:w w:val="94"/>
              </w:rPr>
              <w:t>Various Capacities</w:t>
            </w:r>
            <w:r>
              <w:rPr>
                <w:rFonts w:ascii="Arial" w:cs="Arial" w:eastAsia="Arial" w:hAnsi="Arial"/>
                <w:sz w:val="18"/>
                <w:szCs w:val="18"/>
                <w:color w:val="auto"/>
                <w:w w:val="94"/>
              </w:rPr>
              <w:t>. The Members acknowledge and agree that the Members or their Affiliates will from time to time act in</w:t>
            </w:r>
          </w:p>
        </w:tc>
      </w:tr>
      <w:tr>
        <w:trPr>
          <w:trHeight w:val="20"/>
        </w:trPr>
        <w:tc>
          <w:tcPr>
            <w:tcW w:w="2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various capacities, including as a Member and as the Company Representative.</w:t>
            </w:r>
          </w:p>
        </w:tc>
      </w:tr>
      <w:tr>
        <w:trPr>
          <w:trHeight w:val="446"/>
        </w:trPr>
        <w:tc>
          <w:tcPr>
            <w:tcW w:w="2200" w:type="dxa"/>
            <w:vAlign w:val="bottom"/>
          </w:tcPr>
          <w:p>
            <w:pPr>
              <w:ind w:left="660"/>
              <w:spacing w:after="0"/>
              <w:rPr>
                <w:sz w:val="20"/>
                <w:szCs w:val="20"/>
                <w:color w:val="auto"/>
              </w:rPr>
            </w:pPr>
            <w:r>
              <w:rPr>
                <w:rFonts w:ascii="Arial" w:cs="Arial" w:eastAsia="Arial" w:hAnsi="Arial"/>
                <w:sz w:val="18"/>
                <w:szCs w:val="18"/>
                <w:color w:val="auto"/>
              </w:rPr>
              <w:t>Section 8.4</w:t>
            </w:r>
          </w:p>
        </w:tc>
        <w:tc>
          <w:tcPr>
            <w:tcW w:w="9220" w:type="dxa"/>
            <w:vAlign w:val="bottom"/>
            <w:gridSpan w:val="3"/>
          </w:tcPr>
          <w:p>
            <w:pPr>
              <w:spacing w:after="0"/>
              <w:rPr>
                <w:sz w:val="20"/>
                <w:szCs w:val="20"/>
                <w:color w:val="auto"/>
              </w:rPr>
            </w:pPr>
            <w:r>
              <w:rPr>
                <w:rFonts w:ascii="Arial" w:cs="Arial" w:eastAsia="Arial" w:hAnsi="Arial"/>
                <w:sz w:val="18"/>
                <w:szCs w:val="18"/>
                <w:b w:val="1"/>
                <w:bCs w:val="1"/>
                <w:color w:val="auto"/>
                <w:w w:val="94"/>
              </w:rPr>
              <w:t>Investment Opportunities</w:t>
            </w:r>
            <w:r>
              <w:rPr>
                <w:rFonts w:ascii="Arial" w:cs="Arial" w:eastAsia="Arial" w:hAnsi="Arial"/>
                <w:sz w:val="18"/>
                <w:szCs w:val="18"/>
                <w:color w:val="auto"/>
                <w:w w:val="94"/>
              </w:rPr>
              <w:t>.  To the fullest extent permitted by applicable Law, the doctrine of corporate opportunity, or any</w:t>
            </w:r>
          </w:p>
        </w:tc>
      </w:tr>
      <w:tr>
        <w:trPr>
          <w:trHeight w:val="20"/>
        </w:trPr>
        <w:tc>
          <w:tcPr>
            <w:tcW w:w="220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analogous doctrine, shall not apply to any Member (other than Members who are officers or employees of the Company, PubCo or any of their respective subsidiaries), any of their respective affiliates (other than the Company, the Managing Member or any of their respective subsidiaries), or any of their respective officers, directors, agents, shareholders, members, and partners (each, a “</w:t>
      </w:r>
      <w:r>
        <w:rPr>
          <w:rFonts w:ascii="Arial" w:cs="Arial" w:eastAsia="Arial" w:hAnsi="Arial"/>
          <w:sz w:val="17"/>
          <w:szCs w:val="17"/>
          <w:b w:val="1"/>
          <w:bCs w:val="1"/>
          <w:u w:val="single" w:color="auto"/>
          <w:color w:val="auto"/>
        </w:rPr>
        <w:t>Business Opportunities Exempt Party</w:t>
      </w:r>
      <w:r>
        <w:rPr>
          <w:rFonts w:ascii="Arial" w:cs="Arial" w:eastAsia="Arial" w:hAnsi="Arial"/>
          <w:sz w:val="17"/>
          <w:szCs w:val="17"/>
          <w:color w:val="auto"/>
        </w:rPr>
        <w:t xml:space="preserve">”). The Company renounces any interest or expectancy of the Company in, or in being offered an opportunity to participate in, business opportunities that are from time to time presented to any Business Opportunities Exempt Party. No Business Opportunities Exempt Party who acquires knowledge of a potential transaction, agreement, arrangement or other matter that may be an opportunity for the Company or any of its subsidiaries shall have any duty to communicate or offer such opportunity to the Company. No amendment or repeal of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shall apply to or have any effect on the liability or alleged liability of any Business Opportunities Exempt Party for or with respect to any opportunities of which any such Business Opportunities Exempt Party becomes aware prior to such amendment or repeal. Any Person purchasing or otherwise acquiring any interest in any Units shall be deemed to have notice of and consented to the provisions of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Neither the alteration, amendment or repeal of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nor the adoption of any provision of this Agreement inconsistent with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shall eliminate or reduce the effect of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in respect of any business opportunity first identified or any other matter occurring, or any cause of action, suit or claim that, but for this </w:t>
      </w:r>
      <w:r>
        <w:rPr>
          <w:rFonts w:ascii="Arial" w:cs="Arial" w:eastAsia="Arial" w:hAnsi="Arial"/>
          <w:sz w:val="17"/>
          <w:szCs w:val="17"/>
          <w:u w:val="single" w:color="auto"/>
          <w:color w:val="auto"/>
        </w:rPr>
        <w:t>Section 8.4</w:t>
      </w:r>
      <w:r>
        <w:rPr>
          <w:rFonts w:ascii="Arial" w:cs="Arial" w:eastAsia="Arial" w:hAnsi="Arial"/>
          <w:sz w:val="17"/>
          <w:szCs w:val="17"/>
          <w:color w:val="auto"/>
        </w:rPr>
        <w:t>, would accrue or arise, prior to such alteration, amendment, repeal or adoption.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06" w:name="page207"/>
    <w:bookmarkEnd w:id="206"/>
    <w:p>
      <w:pPr>
        <w:jc w:val="center"/>
        <w:ind w:right="636"/>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3844"/>
        <w:spacing w:after="0"/>
        <w:rPr>
          <w:sz w:val="20"/>
          <w:szCs w:val="20"/>
          <w:color w:val="auto"/>
        </w:rPr>
      </w:pPr>
      <w:r>
        <w:rPr>
          <w:rFonts w:ascii="Arial" w:cs="Arial" w:eastAsia="Arial" w:hAnsi="Arial"/>
          <w:sz w:val="18"/>
          <w:szCs w:val="18"/>
          <w:b w:val="1"/>
          <w:bCs w:val="1"/>
          <w:color w:val="auto"/>
        </w:rPr>
        <w:t>TRANSFERS OF INTERESTS</w:t>
      </w:r>
    </w:p>
    <w:p>
      <w:pPr>
        <w:spacing w:after="0" w:line="279"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b w:val="1"/>
          <w:bCs w:val="1"/>
          <w:u w:val="single" w:color="auto"/>
          <w:color w:val="auto"/>
        </w:rPr>
        <w:t>Restrictions on Transfer</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68" w:lineRule="auto"/>
        <w:tabs>
          <w:tab w:leader="none" w:pos="64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no Member shall Transfer all or any portion of its Interest without the Managing Member’s prior written consent, which consent shall be granted or withheld in the Managing Member’s sole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such consent shall not be unreasonably withheld, conditioned or delayed in the case of a Transfer to a 5% Owner or Subsidiary thereof (or any other entity through which a 5% Owner indirectly holds its interest in the Company solely for purposes of a substantially contemporaneous transfer to such 5% Owner or Subsidiary thereof). If, notwithstanding the provisions of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all or any portion of a Member’s Interests are Transferred in violation of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involuntarily, by operation of Law or otherwise, then without limiting any other rights and remedies available to the other parties under this Agreement or otherwise, the Transferee of such Interest (or portion thereof) shall not be admitted to the Company as a Member or be entitled to any rights as a Member hereunder, and the Transferor will continue to be bound by all obligations hereunder, unless and until the Managing Member consents in writing to such admission, which consent shall be granted or withheld in the Managing Member’s sole discretion. Any attempted or purported Transfer of all or a portion of a Member’s Interests in violation of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shall be null and void and of no force or effect whatsoever. For the avoidance of doubt, the restrictions on Transfer contained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not apply to the Transfer of any limited liability company interests of the Managing Member;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Class B Shares may be Transferred unless a corresponding number of Units are Transferred therewith in accordance with this Agreement.</w:t>
      </w:r>
    </w:p>
    <w:p>
      <w:pPr>
        <w:spacing w:after="0" w:line="212" w:lineRule="exact"/>
        <w:rPr>
          <w:rFonts w:ascii="Arial" w:cs="Arial" w:eastAsia="Arial" w:hAnsi="Arial"/>
          <w:sz w:val="17"/>
          <w:szCs w:val="17"/>
          <w:color w:val="auto"/>
        </w:rPr>
      </w:pPr>
    </w:p>
    <w:p>
      <w:pPr>
        <w:jc w:val="both"/>
        <w:ind w:left="644" w:hanging="644"/>
        <w:spacing w:after="0" w:line="270" w:lineRule="auto"/>
        <w:tabs>
          <w:tab w:leader="none" w:pos="64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Without the Managing Member’s consent, a Member may Transfer all or a portion of its Units (together with the same number of Class B Shares) to a Permitted Transferee;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Permitted Transferee fails to deliver (and has not previously delivered) a Redemption Notice with respect to such Units to the Company within ten (10) Business Days after such Transfer, or such Redemption for any reason is not completed in accordance with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such Permitted Transferee shall Transfer such Units (and Class B Shares) back to the applicable Member, unless such Transfer is otherwise permitted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In addition, a Member may Transfer all or a portion of its Units (together with the same number of Class B Shares) to a Permitted Transferee or to an Additional Permitted Transferee;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Units (and Class B Shares) are ultimately Transferred to such Additional Permitted Transferee. In the case of multiple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immediately successive Transfers, the provisions of this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Permitted Transferee as though such Permitted Transferee were admitted as a Member.</w:t>
      </w:r>
    </w:p>
    <w:p>
      <w:pPr>
        <w:spacing w:after="0" w:line="3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1" w:right="239" w:bottom="1440" w:gutter="0" w:footer="0" w:header="0"/>
        </w:sectPr>
      </w:pPr>
    </w:p>
    <w:bookmarkStart w:id="207" w:name="page208"/>
    <w:bookmarkEnd w:id="207"/>
    <w:p>
      <w:pPr>
        <w:jc w:val="both"/>
        <w:ind w:left="644" w:hanging="644"/>
        <w:spacing w:after="0" w:line="268" w:lineRule="auto"/>
        <w:tabs>
          <w:tab w:leader="none" w:pos="64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In addition to any other restrictions on Transfer herein contained, including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 no event may any Transfer or assignment of Interests by any Member be made (i) to any Person who lacks the legal right, power or capacity to own Interests; (ii) if such Transfer (A) would be considered to be effected on or through an “established securities market” or a “secondary market or the substantial equivalent thereof,” as such terms are used in Treasury Regulations Section 1.7704-1, (B) would result in the Company having more than one hundred (100) partners, within the meaning of Treasury Regulations Section 1.7704-1(h)(1) (determined taking into account the rules of Treasury Regulations Section 1.7704-1(h)(3)), or (C) would cause the Company to be treated as a “publicly traded partnership” within the meaning of Section 7704 of the Code or a successor provision or to be classified as a corporation pursuant to the Code or successor of the Code; (iii) if such Transfer would cause the Company to become, with respect to any employee benefit plan subject to Title I of ERISA, a “party-in-interest” (as defined in Section 3 (14) of ERISA) or a “disqualified person” (as defined in Section 4975(e)(2) of the Code); (iv) if such Transfer would, in the opinion of counsel to the Company, cause any portion of the assets of the Company to constitute assets of any employee benefit plan pursuant to the Plan Asset Regulations or otherwise cause the Company to be subject to regulation under ERISA; (v) if such Transfer requires the registration of such Interests or any Equity Securities issued upon any exchange of such Interests, pursuant to any applicable U.S. federal or state securities Laws; or (vi) if such Transfer subjects the Company to regulation under the Investment Company Act or the Investment Advisors Act of 1940, each as amended (or any succeeding Law). Any attempted or purported Transfer of all or a portion of a Member’s Interests in violation of this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shall be null and void and of no force or effect whatsoever.</w:t>
      </w:r>
    </w:p>
    <w:p>
      <w:pPr>
        <w:spacing w:after="0" w:line="231"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b w:val="1"/>
          <w:bCs w:val="1"/>
          <w:u w:val="single" w:color="auto"/>
          <w:color w:val="auto"/>
        </w:rPr>
        <w:t>Notice of Transfer</w:t>
      </w:r>
      <w:r>
        <w:rPr>
          <w:rFonts w:ascii="Arial" w:cs="Arial" w:eastAsia="Arial" w:hAnsi="Arial"/>
          <w:sz w:val="16"/>
          <w:szCs w:val="16"/>
          <w:color w:val="auto"/>
        </w:rPr>
        <w:t>.</w:t>
      </w:r>
    </w:p>
    <w:p>
      <w:pPr>
        <w:spacing w:after="0" w:line="256" w:lineRule="exact"/>
        <w:rPr>
          <w:sz w:val="20"/>
          <w:szCs w:val="20"/>
          <w:color w:val="auto"/>
        </w:rPr>
      </w:pPr>
    </w:p>
    <w:p>
      <w:pPr>
        <w:jc w:val="both"/>
        <w:ind w:left="644" w:hanging="644"/>
        <w:spacing w:after="0" w:line="264" w:lineRule="auto"/>
        <w:tabs>
          <w:tab w:leader="none" w:pos="64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Other than in connection with Transfers made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 each Member shall, after complying with the provisions of this Agreement, but in any event no later than three (3) Business Days following any Transfer of Interests, give written notice to the Company of such Transfer. Each such notice shall describe the manner and circumstances of the Transfer.</w:t>
      </w:r>
    </w:p>
    <w:p>
      <w:pPr>
        <w:spacing w:after="0" w:line="208"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Member making a Transfer permitted by this Agreement shall (i) no later than three (3) Business Days following such Transfer, deliver to the Company an affidavit of non-foreign status with respect to such Member that satisfies the requirements of Section 1446(f)(2) of the Code, or (ii) no more than fifteen (15) Business Days following such Transfer, provide to the Company proof that the transferee Member has properly withheld and remitted to the Internal Revenue Service the amount of tax required to be withheld upon the Transfer by Section 1446(f) of the Code.</w:t>
      </w:r>
    </w:p>
    <w:p>
      <w:pPr>
        <w:spacing w:after="0" w:line="39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6" w:right="239" w:bottom="1440" w:gutter="0" w:footer="0" w:header="0"/>
        </w:sectPr>
      </w:pPr>
    </w:p>
    <w:bookmarkStart w:id="208" w:name="page209"/>
    <w:bookmarkEnd w:id="208"/>
    <w:p>
      <w:pPr>
        <w:jc w:val="both"/>
        <w:ind w:firstLine="648"/>
        <w:spacing w:after="0" w:line="269"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b w:val="1"/>
          <w:bCs w:val="1"/>
          <w:u w:val="single" w:color="auto"/>
          <w:color w:val="auto"/>
        </w:rPr>
        <w:t>Transferee Members</w:t>
      </w:r>
      <w:r>
        <w:rPr>
          <w:rFonts w:ascii="Arial" w:cs="Arial" w:eastAsia="Arial" w:hAnsi="Arial"/>
          <w:sz w:val="17"/>
          <w:szCs w:val="17"/>
          <w:color w:val="auto"/>
        </w:rPr>
        <w:t xml:space="preserve">. A Transferee of Interests pursuant to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have the right to become a Member only if (i) the requirements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are met, (ii) such Transferee executes an instrument reasonably satisfactory to the Managing Member agreeing to be bound by the terms and provisions of this Agreement and assuming all of the Transferor’s then existing and future Liabilities arising under or relating to this Agreement, (iii) such Transferee represents that the Transfer was made in accordance with all applicable securities Laws, (iv) the Transferor or Transferee shall have reimbursed the Company for all reasonable expenses (including attorneys’ fees and expenses) of any Transfer or proposed Transfer of a Member’s Interest, whether or not consummated and (v) if such Transferee or his or her spouse is a resident of a community property jurisdiction, then such Transferee’s spouse shall also execute an instrument reasonably satisfactory to the Managing Member agreeing to be bound by the terms and provisions of this Agreement to the extent of his or her community property or quasi-community property interest, if any, in such Member’s Interest. Unless agreed to in writing by the Managing Member, the admission of a Member shall not result in the release of the Transferor from any Liability that the Transferor may have to each remaining Member or to the Company under this Agreement or any other Contract between the Managing Member, the Company or any of its Subsidiaries, on the one hand, and such Transferor or any of its Affiliates, on the other hand. Written notice of the admission of a Member shall be sent promptly by the Company to each remaining Member.</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Section 9.4</w:t>
            </w:r>
          </w:p>
        </w:tc>
        <w:tc>
          <w:tcPr>
            <w:tcW w:w="946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Legend</w:t>
            </w:r>
            <w:r>
              <w:rPr>
                <w:rFonts w:ascii="Arial" w:cs="Arial" w:eastAsia="Arial" w:hAnsi="Arial"/>
                <w:sz w:val="18"/>
                <w:szCs w:val="18"/>
                <w:color w:val="auto"/>
                <w:w w:val="93"/>
              </w:rPr>
              <w:t>. Each certificate representing a Unit, if any, will be stamped or otherwise imprinted with a legend in substantially the</w:t>
            </w:r>
          </w:p>
        </w:tc>
      </w:tr>
      <w:tr>
        <w:trPr>
          <w:trHeight w:val="237"/>
        </w:trPr>
        <w:tc>
          <w:tcPr>
            <w:tcW w:w="1300" w:type="dxa"/>
            <w:vAlign w:val="bottom"/>
          </w:tcPr>
          <w:p>
            <w:pPr>
              <w:spacing w:after="0"/>
              <w:rPr>
                <w:sz w:val="20"/>
                <w:szCs w:val="20"/>
                <w:color w:val="auto"/>
              </w:rPr>
            </w:pPr>
            <w:r>
              <w:rPr>
                <w:rFonts w:ascii="Arial" w:cs="Arial" w:eastAsia="Arial" w:hAnsi="Arial"/>
                <w:sz w:val="18"/>
                <w:szCs w:val="18"/>
                <w:color w:val="auto"/>
              </w:rPr>
              <w:t>following form:</w:t>
            </w:r>
          </w:p>
        </w:tc>
        <w:tc>
          <w:tcPr>
            <w:tcW w:w="1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740" w:type="dxa"/>
            <w:vAlign w:val="bottom"/>
          </w:tcPr>
          <w:p>
            <w:pPr>
              <w:spacing w:after="0"/>
              <w:rPr>
                <w:sz w:val="20"/>
                <w:szCs w:val="20"/>
                <w:color w:val="auto"/>
              </w:rPr>
            </w:pPr>
          </w:p>
        </w:tc>
      </w:tr>
    </w:tbl>
    <w:p>
      <w:pPr>
        <w:spacing w:after="0" w:line="229" w:lineRule="exact"/>
        <w:rPr>
          <w:sz w:val="20"/>
          <w:szCs w:val="20"/>
          <w:color w:val="auto"/>
        </w:rPr>
      </w:pPr>
    </w:p>
    <w:p>
      <w:pPr>
        <w:jc w:val="both"/>
        <w:ind w:left="660" w:right="660"/>
        <w:spacing w:after="0" w:line="277"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UNDER THE SECURITIES ACT OF 1933.</w:t>
      </w:r>
    </w:p>
    <w:p>
      <w:pPr>
        <w:spacing w:after="0" w:line="197" w:lineRule="exact"/>
        <w:rPr>
          <w:sz w:val="20"/>
          <w:szCs w:val="20"/>
          <w:color w:val="auto"/>
        </w:rPr>
      </w:pPr>
    </w:p>
    <w:p>
      <w:pPr>
        <w:jc w:val="both"/>
        <w:ind w:left="660" w:right="640"/>
        <w:spacing w:after="0" w:line="277" w:lineRule="auto"/>
        <w:rPr>
          <w:sz w:val="20"/>
          <w:szCs w:val="20"/>
          <w:color w:val="auto"/>
        </w:rPr>
      </w:pPr>
      <w:r>
        <w:rPr>
          <w:rFonts w:ascii="Arial" w:cs="Arial" w:eastAsia="Arial" w:hAnsi="Arial"/>
          <w:sz w:val="18"/>
          <w:szCs w:val="18"/>
          <w:color w:val="auto"/>
        </w:rPr>
        <w:t>THESE SECURITIES MAY NOT BE SOLD OR TRANSFERRED IN THE ABSENCE OF SUCH REGISTRATION OR AN EXEMPTION THEREFROM UNDER SUCH ACT.</w:t>
      </w:r>
    </w:p>
    <w:p>
      <w:pPr>
        <w:spacing w:after="0" w:line="197" w:lineRule="exact"/>
        <w:rPr>
          <w:sz w:val="20"/>
          <w:szCs w:val="20"/>
          <w:color w:val="auto"/>
        </w:rPr>
      </w:pPr>
    </w:p>
    <w:p>
      <w:pPr>
        <w:jc w:val="both"/>
        <w:ind w:left="660" w:right="660"/>
        <w:spacing w:after="0" w:line="255" w:lineRule="auto"/>
        <w:rPr>
          <w:sz w:val="20"/>
          <w:szCs w:val="20"/>
          <w:color w:val="auto"/>
        </w:rPr>
      </w:pPr>
      <w:r>
        <w:rPr>
          <w:rFonts w:ascii="Arial" w:cs="Arial" w:eastAsia="Arial" w:hAnsi="Arial"/>
          <w:sz w:val="18"/>
          <w:szCs w:val="18"/>
          <w:color w:val="auto"/>
        </w:rPr>
        <w:t>THE TRANSFER AND VOTING OF THESE SECURITIES IS SUBJECT TO THE CONDITIONS SPECIFIED IN THE AMENDED AND RESTATED LIMITED LIABILITY COMPANY AGREEMENT OF NEW FORTRESS INTERMEDIATE LLC DATED AS OF FEBRUARY 4, 2019 AMONG THE MEMBERS LISTED THEREIN, AS IT MAY BE AMENDED, SUPPLEMENTED AND/OR RESTATED FROM TIME TO TIME, AND NO TRANSFER OF THESE SECURITIES WILL BE VALID OR EFFECTIVE UNTIL SUCH CONDITIONS HAVE BEEN FULFILLED. COPIES OF SUCH AGREEMENT MAY BE OBTAINED AT NO COST BY WRITTEN REQUEST MADE BY THE HOLDER OF RECORD OF THIS CERTIFICATE TO THE SECRETARY OF THE ISSUER OF SUCH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CERTAIN TAX MATTERS</w:t>
      </w:r>
    </w:p>
    <w:p>
      <w:pPr>
        <w:spacing w:after="0" w:line="2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b w:val="1"/>
          <w:bCs w:val="1"/>
          <w:u w:val="single" w:color="auto"/>
          <w:color w:val="auto"/>
        </w:rPr>
        <w:t>Books of Account</w:t>
      </w:r>
      <w:r>
        <w:rPr>
          <w:rFonts w:ascii="Arial" w:cs="Arial" w:eastAsia="Arial" w:hAnsi="Arial"/>
          <w:sz w:val="18"/>
          <w:szCs w:val="18"/>
          <w:color w:val="auto"/>
        </w:rPr>
        <w:t>. The Company shall, and shall cause each Subsidiary to, maintain true books and records of account in which full and correct entries shall be made of all its business transactions pursuant to a system of accounting established and administered in accordance with GAAP, and shall set aside on its books all such proper accruals and reserves as shall be required under GAAP.</w:t>
      </w:r>
    </w:p>
    <w:p>
      <w:pPr>
        <w:spacing w:after="0" w:line="23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b w:val="1"/>
          <w:bCs w:val="1"/>
          <w:u w:val="single" w:color="auto"/>
          <w:color w:val="auto"/>
        </w:rPr>
        <w:t>Tax Elections</w:t>
      </w:r>
      <w:r>
        <w:rPr>
          <w:rFonts w:ascii="Arial" w:cs="Arial" w:eastAsia="Arial" w:hAnsi="Arial"/>
          <w:sz w:val="15"/>
          <w:szCs w:val="15"/>
          <w:color w:val="auto"/>
        </w:rPr>
        <w:t>.</w:t>
      </w:r>
    </w:p>
    <w:p>
      <w:pPr>
        <w:spacing w:after="0" w:line="256" w:lineRule="exact"/>
        <w:rPr>
          <w:sz w:val="20"/>
          <w:szCs w:val="20"/>
          <w:color w:val="auto"/>
        </w:rPr>
      </w:pPr>
    </w:p>
    <w:p>
      <w:pPr>
        <w:jc w:val="both"/>
        <w:ind w:left="1300" w:hanging="644"/>
        <w:spacing w:after="0" w:line="286" w:lineRule="auto"/>
        <w:tabs>
          <w:tab w:leader="none" w:pos="13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Company and any eligible Subsidiary may make an election (or continue a previously made election) pursuant to Section 754 of the Code for the taxable year of the Company that includes the date hereof and shall not thereafter revoke such election. In addition, the Company shall make the following elections on the appropriate forms or tax returns, if permitted under the Code or applicable Law:</w:t>
      </w:r>
    </w:p>
    <w:p>
      <w:pPr>
        <w:spacing w:after="0" w:line="192" w:lineRule="exact"/>
        <w:rPr>
          <w:rFonts w:ascii="Arial" w:cs="Arial" w:eastAsia="Arial" w:hAnsi="Arial"/>
          <w:sz w:val="17"/>
          <w:szCs w:val="17"/>
          <w:color w:val="auto"/>
        </w:rPr>
      </w:pPr>
    </w:p>
    <w:p>
      <w:pPr>
        <w:ind w:left="1960" w:hanging="655"/>
        <w:spacing w:after="0"/>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to adopt the calendar year as the Company’s Fiscal Year;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to adopt the accrual method of accounting for U.S. federal income tax purposes;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to elect to amortize the organizational expenses of the Company as permitted by Section 709(b) of the Code;</w:t>
      </w:r>
    </w:p>
    <w:p>
      <w:pPr>
        <w:spacing w:after="0" w:line="252"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except where the Company Representative elects to apply </w:t>
      </w:r>
      <w:r>
        <w:rPr>
          <w:rFonts w:ascii="Arial" w:cs="Arial" w:eastAsia="Arial" w:hAnsi="Arial"/>
          <w:sz w:val="17"/>
          <w:szCs w:val="17"/>
          <w:u w:val="single" w:color="auto"/>
          <w:color w:val="auto"/>
        </w:rPr>
        <w:t>Section 10.5(e)</w:t>
      </w:r>
      <w:r>
        <w:rPr>
          <w:rFonts w:ascii="Arial" w:cs="Arial" w:eastAsia="Arial" w:hAnsi="Arial"/>
          <w:sz w:val="17"/>
          <w:szCs w:val="17"/>
          <w:color w:val="auto"/>
        </w:rPr>
        <w:t>, to elect out of the application of the partnership-level audit and adjustment rules of the Partnership Tax Audit Rules by making an election under Section 6226(a) of the Code, commonly known as the “push out” election, or any analogous election under state or local tax Law, if applicable; and</w:t>
      </w:r>
    </w:p>
    <w:p>
      <w:pPr>
        <w:spacing w:after="0" w:line="192" w:lineRule="exact"/>
        <w:rPr>
          <w:rFonts w:ascii="Arial" w:cs="Arial" w:eastAsia="Arial" w:hAnsi="Arial"/>
          <w:sz w:val="17"/>
          <w:szCs w:val="17"/>
          <w:color w:val="auto"/>
        </w:rPr>
      </w:pPr>
    </w:p>
    <w:p>
      <w:pPr>
        <w:ind w:left="1960" w:hanging="655"/>
        <w:spacing w:after="0" w:line="277" w:lineRule="auto"/>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except as otherwise provided herein, any other election the Company Representative may deem appropriate and in the best interests of the Company.</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Upon request of the Company Representative, each Member shall cooperate in Good Faith with the Company in connection with the Company’s efforts to make any election pursuant to this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b w:val="1"/>
          <w:bCs w:val="1"/>
          <w:u w:val="single" w:color="auto"/>
          <w:color w:val="auto"/>
        </w:rPr>
        <w:t>Tax Returns; Information</w:t>
      </w:r>
      <w:r>
        <w:rPr>
          <w:rFonts w:ascii="Arial" w:cs="Arial" w:eastAsia="Arial" w:hAnsi="Arial"/>
          <w:sz w:val="16"/>
          <w:szCs w:val="16"/>
          <w:color w:val="auto"/>
        </w:rPr>
        <w:t xml:space="preserve">. The Company Representative shall arrange for the preparation and timely filing of all income and other tax and informational returns of the Company at the sole cost and expense of the Company (except as set forth in </w:t>
      </w:r>
      <w:r>
        <w:rPr>
          <w:rFonts w:ascii="Arial" w:cs="Arial" w:eastAsia="Arial" w:hAnsi="Arial"/>
          <w:sz w:val="16"/>
          <w:szCs w:val="16"/>
          <w:u w:val="single" w:color="auto"/>
          <w:color w:val="auto"/>
        </w:rPr>
        <w:t>Section 7.9</w:t>
      </w:r>
      <w:r>
        <w:rPr>
          <w:rFonts w:ascii="Arial" w:cs="Arial" w:eastAsia="Arial" w:hAnsi="Arial"/>
          <w:sz w:val="16"/>
          <w:szCs w:val="16"/>
          <w:color w:val="auto"/>
        </w:rPr>
        <w:t>). For any taxable period (or portion thereof) during which any 5% Owner, NFI Holdings or any of their respective Affiliates held any direct or indirect interest (other than through PubCo) in the Company, fourteen (14) days prior to filing the U.S. federal income tax return of the Company, the Company Representative shall provide a copy of the Company’s draft of such tax return to NFI Holdings for its review and comment. The Company Representative shall consider any comments from NFI Holdings in Good Faith. The Company Representative shall furnish to each Member a copy of each approved return and statement, together with any schedules (including Schedules K-1) or other information which a Member may require in connection with such Member’s own tax affairs as soon as practicable after the end of each Fiscal Year. Each Member acknowledges and agrees that such Member may be required to file tax returns on an extended basis. The Members agree to (a) take all actions reasonably requested by the Company or the Company Representative to comply with the Partnership Tax Audit Rules, including where applicable, filing amended returns as provided in Sections 6225 or 6226 of the Code and providing confirmation thereof to the Company Representative and (b) furnish to the Company (i) all reasonably requested certificates or statements relating to the tax matters of the Company (including without limitation an affidavit of non-foreign status pursuant to Section 1446(f)(2) of the Code), and (ii) all pertinent information in its possession relating to the Company’s operations that is reasonably necessary to enable the Company’s tax returns to be prepared and timely filed.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0" w:name="page211"/>
    <w:bookmarkEnd w:id="210"/>
    <w:p>
      <w:pPr>
        <w:jc w:val="both"/>
        <w:ind w:firstLine="623"/>
        <w:spacing w:after="0" w:line="28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b w:val="1"/>
          <w:bCs w:val="1"/>
          <w:u w:val="single" w:color="auto"/>
          <w:color w:val="auto"/>
        </w:rPr>
        <w:t>Company Representative</w:t>
      </w:r>
      <w:r>
        <w:rPr>
          <w:rFonts w:ascii="Arial" w:cs="Arial" w:eastAsia="Arial" w:hAnsi="Arial"/>
          <w:sz w:val="16"/>
          <w:szCs w:val="16"/>
          <w:color w:val="auto"/>
        </w:rPr>
        <w:t xml:space="preserve">. The Managing Member is specially authorized and appointed to act as the Company Representative (and in any similar capacity under state or local Law) at the sole cost and expense of the Company (except as set forth in </w:t>
      </w:r>
      <w:r>
        <w:rPr>
          <w:rFonts w:ascii="Arial" w:cs="Arial" w:eastAsia="Arial" w:hAnsi="Arial"/>
          <w:sz w:val="16"/>
          <w:szCs w:val="16"/>
          <w:u w:val="single" w:color="auto"/>
          <w:color w:val="auto"/>
        </w:rPr>
        <w:t>Section 7.9</w:t>
      </w:r>
      <w:r>
        <w:rPr>
          <w:rFonts w:ascii="Arial" w:cs="Arial" w:eastAsia="Arial" w:hAnsi="Arial"/>
          <w:sz w:val="16"/>
          <w:szCs w:val="16"/>
          <w:color w:val="auto"/>
        </w:rPr>
        <w:t>). In acting as the Company Representative, the Managing Member shall act, to the maximum extent possible, to cause income, gain, loss, deduction, credit of the Company and adjustments thereto, to be allocated or borne by the Members in the same manner as such items or adjustments would have been borne if the Company could have effectively made an election under Section 6221(b) of the Code (commonly known as the “election out”) or similar state or local provision with respect to the taxable period at issue. The Company Representative may retain, at the Company’s expense, such outside counsel, accountants and other professional consultants as it may reasonably deem necessary in the course of fulfilling its obligations as Company Representative. With respect to any taxable period (or portion thereof) during which any 5% Owner, NFI Holdings or any of their respective Affiliates held any direct or indirect interest (other than through PubCo) in the Company: (a) the Company Representative shall (i) consult with NFI Holdings and consider in Good Faith its recommendation prior to taking any material action in its capacity as the Company Representative under this Agreement, (ii) keep NFI Holdings informed of the status of any audit or other proceeding relating to the tax matters of the Company, and (iii) give prompt written notice to NFI Holdings of any material notices it receives from any taxing authority concerning Company tax matters, including any notice of audit, any notice of action with respect to a revenue agent’s report, any notice of a 30-day appeal letter and any notice of a deficiency in tax; and (b) neither the Company Representative nor the Company shall settle or compromise any such audit or other proceeding without NFI Holdings’ prior written consent, such consent not to be unreasonably withheld, conditioned, or delayed.</w:t>
      </w:r>
    </w:p>
    <w:p>
      <w:pPr>
        <w:spacing w:after="0" w:line="22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b w:val="1"/>
          <w:bCs w:val="1"/>
          <w:u w:val="single" w:color="auto"/>
          <w:color w:val="auto"/>
        </w:rPr>
        <w:t>Withholding Tax Payments and Obligations</w:t>
      </w:r>
      <w:r>
        <w:rPr>
          <w:rFonts w:ascii="Arial" w:cs="Arial" w:eastAsia="Arial" w:hAnsi="Arial"/>
          <w:sz w:val="16"/>
          <w:szCs w:val="16"/>
          <w:color w:val="auto"/>
        </w:rPr>
        <w:t>.</w:t>
      </w:r>
    </w:p>
    <w:p>
      <w:pPr>
        <w:spacing w:after="0" w:line="256" w:lineRule="exact"/>
        <w:rPr>
          <w:sz w:val="20"/>
          <w:szCs w:val="20"/>
          <w:color w:val="auto"/>
        </w:rPr>
      </w:pPr>
    </w:p>
    <w:p>
      <w:pPr>
        <w:jc w:val="both"/>
        <w:ind w:left="1300" w:hanging="644"/>
        <w:spacing w:after="0" w:line="257"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Withholding Tax Payments</w:t>
      </w:r>
      <w:r>
        <w:rPr>
          <w:rFonts w:ascii="Arial" w:cs="Arial" w:eastAsia="Arial" w:hAnsi="Arial"/>
          <w:sz w:val="18"/>
          <w:szCs w:val="18"/>
          <w:color w:val="auto"/>
        </w:rPr>
        <w:t>. Each of the Company and its Subsidiaries may withhold from distributions, allocations or portions thereof if it is required to do so by any applicable rule, regulation or Law, and each Member hereby authorizes the Company and its Subsidiaries to withhold or pay on behalf of or with respect to such Member any amount of U.S. federal, state or local or non-U.S. taxes that the Company Representative determines, in Good Faith, that the Company or any of its Subsidiaries is required to withhold or pay with respect to any amount distributable or allocable to such Member pursuant to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11" w:name="page212"/>
    <w:bookmarkEnd w:id="211"/>
    <w:p>
      <w:pPr>
        <w:jc w:val="both"/>
        <w:ind w:left="644" w:hanging="644"/>
        <w:spacing w:after="0" w:line="254" w:lineRule="auto"/>
        <w:tabs>
          <w:tab w:leader="none" w:pos="644"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Tax Audits</w:t>
      </w:r>
      <w:r>
        <w:rPr>
          <w:rFonts w:ascii="Arial" w:cs="Arial" w:eastAsia="Arial" w:hAnsi="Arial"/>
          <w:sz w:val="18"/>
          <w:szCs w:val="18"/>
          <w:color w:val="auto"/>
        </w:rPr>
        <w:t xml:space="preserve">. To the extent that any income tax is paid by the Company or any of its Subsidiaries as a result of an audit or other proceeding with respect to such tax and the Company Representative determines, in Good Faith, that such tax specifically relates to one or more particular Members (including any Company Level Taxes), such tax shall be treated as an amount of taxes withheld or paid with respect to such Member pursuant to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Notwithstanding any provision to the contrary in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the payment by the Company of Company Level Taxes shall, consistent with the Partnership Tax Audit Rules, be treated as the payment of a Company obligation and shall be treated as paid with respect to a Member to the extent the deduction with respect to such payment is allocated to such Member pursuant to </w:t>
      </w:r>
      <w:r>
        <w:rPr>
          <w:rFonts w:ascii="Arial" w:cs="Arial" w:eastAsia="Arial" w:hAnsi="Arial"/>
          <w:sz w:val="18"/>
          <w:szCs w:val="18"/>
          <w:u w:val="single" w:color="auto"/>
          <w:color w:val="auto"/>
        </w:rPr>
        <w:t>Section 5.2(k)</w:t>
      </w:r>
      <w:r>
        <w:rPr>
          <w:rFonts w:ascii="Arial" w:cs="Arial" w:eastAsia="Arial" w:hAnsi="Arial"/>
          <w:sz w:val="18"/>
          <w:szCs w:val="18"/>
          <w:color w:val="auto"/>
        </w:rPr>
        <w:t>, and such payment shall not be treated as a withholding from distributions, allocations, or portions thereof with respect to a Member.</w:t>
      </w:r>
    </w:p>
    <w:p>
      <w:pPr>
        <w:spacing w:after="0" w:line="219"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Tax Contribution and Indemnity Obligation</w:t>
      </w:r>
      <w:r>
        <w:rPr>
          <w:rFonts w:ascii="Arial" w:cs="Arial" w:eastAsia="Arial" w:hAnsi="Arial"/>
          <w:sz w:val="16"/>
          <w:szCs w:val="16"/>
          <w:color w:val="auto"/>
        </w:rPr>
        <w:t xml:space="preserve">. Any amounts withheld or paid with respect to a Member pursuant to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offset against any distributions to which such Member is entitled concurrently with such withholding or payment (a “</w:t>
      </w:r>
      <w:r>
        <w:rPr>
          <w:rFonts w:ascii="Arial" w:cs="Arial" w:eastAsia="Arial" w:hAnsi="Arial"/>
          <w:sz w:val="16"/>
          <w:szCs w:val="16"/>
          <w:b w:val="1"/>
          <w:bCs w:val="1"/>
          <w:u w:val="single" w:color="auto"/>
          <w:color w:val="auto"/>
        </w:rPr>
        <w:t>Tax Offset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amount of any distribution subject to a Tax Offset shall be treated as having been distributed to such Member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11.3(b)(iii)</w:t>
      </w:r>
      <w:r>
        <w:rPr>
          <w:rFonts w:ascii="Arial" w:cs="Arial" w:eastAsia="Arial" w:hAnsi="Arial"/>
          <w:sz w:val="16"/>
          <w:szCs w:val="16"/>
          <w:color w:val="auto"/>
        </w:rPr>
        <w:t xml:space="preserve"> at the time such Tax Offset is made. To the extent that (i) there is a payment of Company Level Taxes relating to a Member or (ii) the amount of such Tax Offset exceeds the distributions to which such Member is entitled during the same Fiscal Year as such withholding or payment (“</w:t>
      </w:r>
      <w:r>
        <w:rPr>
          <w:rFonts w:ascii="Arial" w:cs="Arial" w:eastAsia="Arial" w:hAnsi="Arial"/>
          <w:sz w:val="16"/>
          <w:szCs w:val="16"/>
          <w:b w:val="1"/>
          <w:bCs w:val="1"/>
          <w:u w:val="single" w:color="auto"/>
          <w:color w:val="auto"/>
        </w:rPr>
        <w:t>Excess Tax Amount</w:t>
      </w:r>
      <w:r>
        <w:rPr>
          <w:rFonts w:ascii="Arial" w:cs="Arial" w:eastAsia="Arial" w:hAnsi="Arial"/>
          <w:sz w:val="16"/>
          <w:szCs w:val="16"/>
          <w:color w:val="auto"/>
        </w:rPr>
        <w:t>”), the amount of such (i) Company Level Taxes or (ii) Excess Tax Amount, as applicable, shall, upon notification to such Member by the Company Representative, give rise to an obligation of such Member to make a capital contribution to the Company (a “</w:t>
      </w:r>
      <w:r>
        <w:rPr>
          <w:rFonts w:ascii="Arial" w:cs="Arial" w:eastAsia="Arial" w:hAnsi="Arial"/>
          <w:sz w:val="16"/>
          <w:szCs w:val="16"/>
          <w:b w:val="1"/>
          <w:bCs w:val="1"/>
          <w:u w:val="single" w:color="auto"/>
          <w:color w:val="auto"/>
        </w:rPr>
        <w:t>Tax Contribution Obligation</w:t>
      </w:r>
      <w:r>
        <w:rPr>
          <w:rFonts w:ascii="Arial" w:cs="Arial" w:eastAsia="Arial" w:hAnsi="Arial"/>
          <w:sz w:val="16"/>
          <w:szCs w:val="16"/>
          <w:color w:val="auto"/>
        </w:rPr>
        <w:t xml:space="preserve">”), which Tax Contribution Obligation shall be immediately due and payable. In the event a Member defaults with respect to its obligation under the prior sentence, the Company shall be entitled to offset the amount of a Member’s Tax Contribution Obligation against distributions to which such Member would otherwise be subsequently entitled until the full amount of such Tax Contribution Obligation has been contributed to the Company or has been recovered through offset against distributions, and any such offset shall not reduce such Member’s Capital Account. Any contribution by a Member with respect to a Tax Contribution Obligation shall increase such Member’s Capital Account but shall not reduce the amount (if any) that a Member is otherwise obligated to contribute to the Company. Each Member hereby unconditionally and irrevocably grants to the Company a security interest in such Member’s Units to secure such Member’s obligation to pay the Company any amounts required to be paid pursuant to this </w:t>
      </w:r>
      <w:r>
        <w:rPr>
          <w:rFonts w:ascii="Arial" w:cs="Arial" w:eastAsia="Arial" w:hAnsi="Arial"/>
          <w:sz w:val="16"/>
          <w:szCs w:val="16"/>
          <w:u w:val="single" w:color="auto"/>
          <w:color w:val="auto"/>
        </w:rPr>
        <w:t>Section 10.5</w:t>
      </w:r>
      <w:r>
        <w:rPr>
          <w:rFonts w:ascii="Arial" w:cs="Arial" w:eastAsia="Arial" w:hAnsi="Arial"/>
          <w:sz w:val="16"/>
          <w:szCs w:val="16"/>
          <w:color w:val="auto"/>
        </w:rPr>
        <w:t>. Each Member shall take such actions as the Company may reasonably request in order to perfect or enforce the security interest created hereunder. Each Member hereby agrees to indemnify and hold harmless the Company, the other Members and the Company Representative from and against any liability (including any liability for Company Level Taxes) with respect to income attributable to or distributions or other payments to such Member.</w:t>
      </w:r>
    </w:p>
    <w:p>
      <w:pPr>
        <w:spacing w:after="0" w:line="3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12" w:name="page213"/>
    <w:bookmarkEnd w:id="212"/>
    <w:p>
      <w:pPr>
        <w:jc w:val="both"/>
        <w:ind w:left="1300" w:hanging="644"/>
        <w:spacing w:after="0" w:line="259" w:lineRule="auto"/>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Continued Obligations of Former Members</w:t>
      </w:r>
      <w:r>
        <w:rPr>
          <w:rFonts w:ascii="Arial" w:cs="Arial" w:eastAsia="Arial" w:hAnsi="Arial"/>
          <w:sz w:val="18"/>
          <w:szCs w:val="18"/>
          <w:color w:val="auto"/>
        </w:rPr>
        <w:t xml:space="preserve">. Any Person who ceases to be a Member shall be deemed to be a Member solely for purposes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the obligations of a Member pursuant to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survive until thirty (30) days after the closing of the applicable statute of limitations on assessment with respect to the taxes withheld or paid by the Company or a Subsidiary that relate to the period during which such Person was actually a Member.</w:t>
      </w:r>
    </w:p>
    <w:p>
      <w:pPr>
        <w:spacing w:after="0" w:line="21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Company Representative Discretion Regarding Recovery of Taxes</w:t>
      </w:r>
      <w:r>
        <w:rPr>
          <w:rFonts w:ascii="Arial" w:cs="Arial" w:eastAsia="Arial" w:hAnsi="Arial"/>
          <w:sz w:val="18"/>
          <w:szCs w:val="18"/>
          <w:color w:val="auto"/>
        </w:rPr>
        <w:t xml:space="preserve">. Notwithstanding the foregoing, the Company Representative may choose not to recover an amount of Company Level Taxes or other taxes withheld or paid with respect to a Member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if the Company Representative determines, in its reasonable discretion, that such a decision would be in the best interests of the Members (e.g., where the cost of recovering the amount of taxes withheld or paid with respect to such Member is not justified in light of the amount that may be recovered from such Member).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AND TERMINATION</w:t>
      </w:r>
    </w:p>
    <w:p>
      <w:pPr>
        <w:spacing w:after="0" w:line="27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b w:val="1"/>
          <w:bCs w:val="1"/>
          <w:u w:val="single" w:color="auto"/>
          <w:color w:val="auto"/>
        </w:rPr>
        <w:t>Liquidating Events</w:t>
      </w:r>
      <w:r>
        <w:rPr>
          <w:rFonts w:ascii="Arial" w:cs="Arial" w:eastAsia="Arial" w:hAnsi="Arial"/>
          <w:sz w:val="18"/>
          <w:szCs w:val="18"/>
          <w:color w:val="auto"/>
        </w:rPr>
        <w:t>. The Company shall dissolve and commence winding up and liquidating upon the first to occur of the following (each, a “</w:t>
      </w:r>
      <w:r>
        <w:rPr>
          <w:rFonts w:ascii="Arial" w:cs="Arial" w:eastAsia="Arial" w:hAnsi="Arial"/>
          <w:sz w:val="18"/>
          <w:szCs w:val="18"/>
          <w:b w:val="1"/>
          <w:bCs w:val="1"/>
          <w:u w:val="single" w:color="auto"/>
          <w:color w:val="auto"/>
        </w:rPr>
        <w:t>Liquidating Event</w:t>
      </w:r>
      <w:r>
        <w:rPr>
          <w:rFonts w:ascii="Arial" w:cs="Arial" w:eastAsia="Arial" w:hAnsi="Arial"/>
          <w:sz w:val="18"/>
          <w:szCs w:val="18"/>
          <w:color w:val="auto"/>
        </w:rPr>
        <w:t>”):</w:t>
      </w:r>
    </w:p>
    <w:p>
      <w:pPr>
        <w:spacing w:after="0" w:line="193"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Company;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determination of the Managing Member to dissolve, wind up, and liquidate the Company.</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Members hereby agree that the Company shall not dissolve prior to the occurrence of a Liquidating Event and that no Member shall seek a dissolution of the Company, under Section 18-802 of the Act or otherwise, other than based on the matters set forth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If it is determined by a court of competent jurisdiction that the Company has dissolved prior to the occurrence of a Liquidating Event, the Members hereby agree to continue the business of the Company without a winding up or liquidation. In the event of a dissolution pursuant to </w:t>
      </w:r>
      <w:r>
        <w:rPr>
          <w:rFonts w:ascii="Arial" w:cs="Arial" w:eastAsia="Arial" w:hAnsi="Arial"/>
          <w:sz w:val="17"/>
          <w:szCs w:val="17"/>
          <w:u w:val="single" w:color="auto"/>
          <w:color w:val="auto"/>
        </w:rPr>
        <w:t>Section 11.1(b)</w:t>
      </w:r>
      <w:r>
        <w:rPr>
          <w:rFonts w:ascii="Arial" w:cs="Arial" w:eastAsia="Arial" w:hAnsi="Arial"/>
          <w:sz w:val="17"/>
          <w:szCs w:val="17"/>
          <w:color w:val="auto"/>
        </w:rPr>
        <w:t xml:space="preserve">,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in connection with such dissolution, taking into consideration tax and other legal constraints that may adversely affect one or more parties to such dissolution and subject to compliance with applicable Laws and regulations, unless, with respect to any class of Units, holders of a majority of the Units of such class consent in writing to a treatment other than as described above.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3" w:name="page214"/>
    <w:bookmarkEnd w:id="213"/>
    <w:p>
      <w:pPr>
        <w:ind w:left="660"/>
        <w:spacing w:after="0"/>
        <w:tabs>
          <w:tab w:leader="none" w:pos="206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b w:val="1"/>
          <w:bCs w:val="1"/>
          <w:u w:val="single" w:color="auto"/>
          <w:color w:val="auto"/>
        </w:rPr>
        <w:t>Bankruptcy</w:t>
      </w:r>
      <w:r>
        <w:rPr>
          <w:rFonts w:ascii="Arial" w:cs="Arial" w:eastAsia="Arial" w:hAnsi="Arial"/>
          <w:sz w:val="16"/>
          <w:szCs w:val="16"/>
          <w:color w:val="auto"/>
        </w:rPr>
        <w:t>. For purposes of this Agreement, the “bankruptcy” of a Member shall mean the occurrence of any of the following:</w:t>
      </w:r>
    </w:p>
    <w:p>
      <w:pPr>
        <w:spacing w:after="0" w:line="27" w:lineRule="exact"/>
        <w:rPr>
          <w:sz w:val="20"/>
          <w:szCs w:val="20"/>
          <w:color w:val="auto"/>
        </w:rPr>
      </w:pPr>
    </w:p>
    <w:p>
      <w:pPr>
        <w:jc w:val="both"/>
        <w:ind w:firstLine="8"/>
        <w:spacing w:after="0" w:line="286" w:lineRule="auto"/>
        <w:tabs>
          <w:tab w:leader="none" w:pos="24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Governmental Entity shall take possession of any substantial part of the property of that Member or shall assume control over the affairs or operations thereof, or a receiver or trustee shall be appointed, or a writ, order, attachment or garnishment shall be issued with respect to any substantial part thereof, and such possession, assumption of control, appointment, writ or order shall continue for a period of ninety (90) consecutive days; or (b) a Member shall admit in writing of its inability to pay its debts when due, or make an assignment for the benefit of creditors; or apply for or consent to the appointment of any receiver, trustee or similar officer or for all or any substantial part of its property; or shall institute (by petition, application, answer, consent or otherwise) any bankruptcy, insolvency, reorganization, arrangement, readjustment of debts, dissolution, liquidation, or similar proceeding under the Laws of any jurisdiction; or (c) a receiver, trustee or similar officer shall be appointed for such Member or with respect to all or any substantial part of its property without the application or consent of that Member, and such appointment shall continue undischarged or unstayed for a period of ninety (90) consecutive days or any bankruptcy, insolvency, reorganization, arrangements, readjustment of debt, dissolution, liquidation or similar proceedings shall be instituted (by petition, application or otherwise) against that Member and shall remain undismissed for a period of ninety (90) consecutive days.</w:t>
      </w:r>
    </w:p>
    <w:p>
      <w:pPr>
        <w:spacing w:after="0" w:line="22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b w:val="1"/>
          <w:bCs w:val="1"/>
          <w:u w:val="single" w:color="auto"/>
          <w:color w:val="auto"/>
        </w:rPr>
        <w:t>Procedure</w:t>
      </w:r>
      <w:r>
        <w:rPr>
          <w:rFonts w:ascii="Arial" w:cs="Arial" w:eastAsia="Arial" w:hAnsi="Arial"/>
          <w:sz w:val="16"/>
          <w:szCs w:val="16"/>
          <w:color w:val="auto"/>
        </w:rPr>
        <w:t>.</w:t>
      </w:r>
    </w:p>
    <w:p>
      <w:pPr>
        <w:spacing w:after="0" w:line="256" w:lineRule="exact"/>
        <w:rPr>
          <w:sz w:val="20"/>
          <w:szCs w:val="20"/>
          <w:color w:val="auto"/>
        </w:rPr>
      </w:pPr>
    </w:p>
    <w:p>
      <w:pPr>
        <w:jc w:val="both"/>
        <w:ind w:left="1300" w:hanging="644"/>
        <w:spacing w:after="0" w:line="270" w:lineRule="auto"/>
        <w:tabs>
          <w:tab w:leader="none" w:pos="13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In the event of the dissolution of the Company for any reason, the Members shall commence to wind up the affairs of the Company and to liquidate the Company’s investments;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Member is in bankruptcy or dissolved, another Member, who shall be the Managing Member (“</w:t>
      </w:r>
      <w:r>
        <w:rPr>
          <w:rFonts w:ascii="Arial" w:cs="Arial" w:eastAsia="Arial" w:hAnsi="Arial"/>
          <w:sz w:val="17"/>
          <w:szCs w:val="17"/>
          <w:b w:val="1"/>
          <w:bCs w:val="1"/>
          <w:u w:val="single" w:color="auto"/>
          <w:color w:val="auto"/>
        </w:rPr>
        <w:t>Winding-Up Member</w:t>
      </w:r>
      <w:r>
        <w:rPr>
          <w:rFonts w:ascii="Arial" w:cs="Arial" w:eastAsia="Arial" w:hAnsi="Arial"/>
          <w:sz w:val="17"/>
          <w:szCs w:val="17"/>
          <w:color w:val="auto"/>
        </w:rPr>
        <w:t xml:space="preserve">”) shall commence to wind up the affairs of the Company and, subject to </w:t>
      </w:r>
      <w:r>
        <w:rPr>
          <w:rFonts w:ascii="Arial" w:cs="Arial" w:eastAsia="Arial" w:hAnsi="Arial"/>
          <w:sz w:val="17"/>
          <w:szCs w:val="17"/>
          <w:u w:val="single" w:color="auto"/>
          <w:color w:val="auto"/>
        </w:rPr>
        <w:t>Section 11.4(a)</w:t>
      </w:r>
      <w:r>
        <w:rPr>
          <w:rFonts w:ascii="Arial" w:cs="Arial" w:eastAsia="Arial" w:hAnsi="Arial"/>
          <w:sz w:val="17"/>
          <w:szCs w:val="17"/>
          <w:color w:val="auto"/>
        </w:rPr>
        <w:t>, such Winding-Up Member shall have full right and unlimited discretion to determine in Good Faith the time, manner and terms of any sale or sales of the Property or other assets pursuant to such liquidation, having due regard to the activity and condition of the relevant market and general financial and economic conditions. The Members shall continue to share profits, losses and distributions during the period of liquidation in the same manner and proportion as though the Company had not dissolved. The Company shall engage in no further business except as may be necessary, in the reasonable discretion of the Managing Member or the Winding-Up Member, as applicable, to preserve the value of the Company’s assets during the period of dissolution and liquidation.</w:t>
      </w:r>
    </w:p>
    <w:p>
      <w:pPr>
        <w:spacing w:after="0" w:line="208"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Following the payment of all expenses of liquidation and the allocation of all Profits and Losses as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the proceeds of the liquidation and any other funds of the Company shall be distributed in the following order of priority:</w:t>
      </w:r>
    </w:p>
    <w:p>
      <w:pPr>
        <w:spacing w:after="0" w:line="197"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First, to the payment and discharge of all of the Company’s debts and Liabilities to creditors (whether third parties or Members), in the order of priority as provided by Law, except any obligations to the Members in respect of their Capital Accounts;</w:t>
      </w:r>
    </w:p>
    <w:p>
      <w:pPr>
        <w:spacing w:after="0" w:line="150"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Second, to set up such cash reserves which the Managing Member reasonably deems necessary for contingent or unforeseen Liabilities or future payments described in </w:t>
      </w:r>
      <w:r>
        <w:rPr>
          <w:rFonts w:ascii="Arial" w:cs="Arial" w:eastAsia="Arial" w:hAnsi="Arial"/>
          <w:sz w:val="18"/>
          <w:szCs w:val="18"/>
          <w:u w:val="single" w:color="auto"/>
          <w:color w:val="auto"/>
        </w:rPr>
        <w:t>Section 11.3(b)(i)</w:t>
      </w:r>
      <w:r>
        <w:rPr>
          <w:rFonts w:ascii="Arial" w:cs="Arial" w:eastAsia="Arial" w:hAnsi="Arial"/>
          <w:sz w:val="18"/>
          <w:szCs w:val="18"/>
          <w:color w:val="auto"/>
        </w:rPr>
        <w:t xml:space="preserve"> (which reserves when they become unnecessary shall be distributed in accordance with the provisions of subsection </w:t>
      </w:r>
      <w:r>
        <w:rPr>
          <w:rFonts w:ascii="Arial" w:cs="Arial" w:eastAsia="Arial" w:hAnsi="Arial"/>
          <w:sz w:val="18"/>
          <w:szCs w:val="18"/>
          <w:u w:val="single" w:color="auto"/>
          <w:color w:val="auto"/>
        </w:rPr>
        <w:t>(iii)</w:t>
      </w:r>
      <w:r>
        <w:rPr>
          <w:rFonts w:ascii="Arial" w:cs="Arial" w:eastAsia="Arial" w:hAnsi="Arial"/>
          <w:sz w:val="18"/>
          <w:szCs w:val="18"/>
          <w:color w:val="auto"/>
        </w:rPr>
        <w:t>, below);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14" w:name="page215"/>
    <w:bookmarkEnd w:id="214"/>
    <w:p>
      <w:pPr>
        <w:ind w:left="1960" w:hanging="655"/>
        <w:spacing w:after="0"/>
        <w:tabs>
          <w:tab w:leader="none" w:pos="19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Third, the balance to the Members,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number of Units owned by each Member.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11.4(a)</w:t>
      </w:r>
      <w:r>
        <w:rPr>
          <w:rFonts w:ascii="Arial" w:cs="Arial" w:eastAsia="Arial" w:hAnsi="Arial"/>
          <w:sz w:val="18"/>
          <w:szCs w:val="18"/>
          <w:color w:val="auto"/>
        </w:rPr>
        <w:t>, no Member shall have any right to demand or receive property other than cash upon dissolution and termination of the Company.</w:t>
      </w:r>
    </w:p>
    <w:p>
      <w:pPr>
        <w:spacing w:after="0" w:line="197"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Upon the completion of the liquidation of the Company and the distribution of all Company funds, the Company shall terminate and the Managing Member or the Winding-Up Member, as the case may be, shall have the authority to execute and record a certificate of cancellation of the Company, as well as any and all other documents required to effectuate the dissolution and termination of the Company.</w:t>
      </w:r>
    </w:p>
    <w:p>
      <w:pPr>
        <w:spacing w:after="0" w:line="19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b w:val="1"/>
          <w:bCs w:val="1"/>
          <w:u w:val="single" w:color="auto"/>
          <w:color w:val="auto"/>
        </w:rPr>
        <w:t>Rights of Members</w:t>
      </w:r>
      <w:r>
        <w:rPr>
          <w:rFonts w:ascii="Arial" w:cs="Arial" w:eastAsia="Arial" w:hAnsi="Arial"/>
          <w:sz w:val="16"/>
          <w:szCs w:val="16"/>
          <w:color w:val="auto"/>
        </w:rPr>
        <w:t>.</w:t>
      </w:r>
    </w:p>
    <w:p>
      <w:pPr>
        <w:spacing w:after="0" w:line="256"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Each Member irrevocably waives any right that it may have to maintain an action for partition with respect to the property of the Company.</w:t>
      </w:r>
    </w:p>
    <w:p>
      <w:pPr>
        <w:spacing w:after="0" w:line="275"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Except as otherwise provided in this Agreement, (i) each Member shall look solely to the assets of the Company for the return of its Capital Contributions, and (ii) no Member shall have priority over any other Member as to the return of its Capital Contributions, distributions or allocations.</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b w:val="1"/>
          <w:bCs w:val="1"/>
          <w:u w:val="single" w:color="auto"/>
          <w:color w:val="auto"/>
        </w:rPr>
        <w:t>Notices of Dissolution</w:t>
      </w:r>
      <w:r>
        <w:rPr>
          <w:rFonts w:ascii="Arial" w:cs="Arial" w:eastAsia="Arial" w:hAnsi="Arial"/>
          <w:sz w:val="18"/>
          <w:szCs w:val="18"/>
          <w:color w:val="auto"/>
        </w:rPr>
        <w:t xml:space="preserve">. In the event a Liquidating Event occurs or an event occurs that would, but for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result in a dissolution of the Company, the Company shall, within thirty (30) days thereafter, (a) provide written notice thereof to each of the Members and to all other parties with whom the Company regularly conducts business (as determined in the discretion of the Managing Member), and (b) comply, in a timely manner, with all filing and notice requirements under the Act or any other applicable Law.</w:t>
      </w:r>
    </w:p>
    <w:p>
      <w:pPr>
        <w:spacing w:after="0" w:line="234" w:lineRule="exact"/>
        <w:rPr>
          <w:sz w:val="20"/>
          <w:szCs w:val="20"/>
          <w:color w:val="auto"/>
        </w:rPr>
      </w:pPr>
    </w:p>
    <w:p>
      <w:pPr>
        <w:jc w:val="both"/>
        <w:ind w:firstLine="740"/>
        <w:spacing w:after="0" w:line="282"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b w:val="1"/>
          <w:bCs w:val="1"/>
          <w:u w:val="single" w:color="auto"/>
          <w:color w:val="auto"/>
        </w:rPr>
        <w:t>Reasonable Time for Winding Up</w:t>
      </w:r>
      <w:r>
        <w:rPr>
          <w:rFonts w:ascii="Arial" w:cs="Arial" w:eastAsia="Arial" w:hAnsi="Arial"/>
          <w:sz w:val="18"/>
          <w:szCs w:val="18"/>
          <w:color w:val="auto"/>
        </w:rPr>
        <w:t>. A reasonable time shall be allowed for the orderly winding up of the business and affairs of the Company and the liquidation of its assets in order to minimize any losses that might otherwise result from such winding up.</w:t>
      </w:r>
    </w:p>
    <w:p>
      <w:pPr>
        <w:spacing w:after="0" w:line="216" w:lineRule="exact"/>
        <w:rPr>
          <w:sz w:val="20"/>
          <w:szCs w:val="20"/>
          <w:color w:val="auto"/>
        </w:rPr>
      </w:pPr>
    </w:p>
    <w:p>
      <w:pPr>
        <w:jc w:val="both"/>
        <w:ind w:firstLine="719"/>
        <w:spacing w:after="0" w:line="282"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b w:val="1"/>
          <w:bCs w:val="1"/>
          <w:u w:val="single" w:color="auto"/>
          <w:color w:val="auto"/>
        </w:rPr>
        <w:t>No Deficit Restoration</w:t>
      </w:r>
      <w:r>
        <w:rPr>
          <w:rFonts w:ascii="Arial" w:cs="Arial" w:eastAsia="Arial" w:hAnsi="Arial"/>
          <w:sz w:val="18"/>
          <w:szCs w:val="18"/>
          <w:color w:val="auto"/>
        </w:rPr>
        <w:t>. No Member shall be personally liable for a deficit Capital Account balance of that Member, it being expressly understood that the distribution of liquidation proceeds shall be made solely from existing Company assets.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7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b w:val="1"/>
          <w:bCs w:val="1"/>
          <w:u w:val="single" w:color="auto"/>
          <w:color w:val="auto"/>
        </w:rPr>
        <w:t>Amendments; Waivers</w:t>
      </w:r>
      <w:r>
        <w:rPr>
          <w:rFonts w:ascii="Arial" w:cs="Arial" w:eastAsia="Arial" w:hAnsi="Arial"/>
          <w:sz w:val="16"/>
          <w:szCs w:val="16"/>
          <w:color w:val="auto"/>
        </w:rPr>
        <w:t>.</w:t>
      </w:r>
    </w:p>
    <w:p>
      <w:pPr>
        <w:spacing w:after="0" w:line="256" w:lineRule="exact"/>
        <w:rPr>
          <w:sz w:val="20"/>
          <w:szCs w:val="20"/>
          <w:color w:val="auto"/>
        </w:rPr>
      </w:pPr>
    </w:p>
    <w:p>
      <w:pPr>
        <w:jc w:val="both"/>
        <w:ind w:left="1300" w:hanging="644"/>
        <w:spacing w:after="0" w:line="259" w:lineRule="auto"/>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The terms and provisions of this Agreement may be waived, modified or amended (including by means of merger, consolidation or other business combination to which the Company is a party) with the approval of the Managing Member and each Member who at such time holds (together with its Affiliates) at least five percent (5%) of the then-outstanding Units; provided, </w:t>
      </w:r>
      <w:r>
        <w:rPr>
          <w:rFonts w:ascii="Arial" w:cs="Arial" w:eastAsia="Arial" w:hAnsi="Arial"/>
          <w:sz w:val="18"/>
          <w:szCs w:val="18"/>
          <w:i w:val="1"/>
          <w:iCs w:val="1"/>
          <w:color w:val="auto"/>
        </w:rPr>
        <w:t>however</w:t>
      </w:r>
      <w:r>
        <w:rPr>
          <w:rFonts w:ascii="Arial" w:cs="Arial" w:eastAsia="Arial" w:hAnsi="Arial"/>
          <w:sz w:val="18"/>
          <w:szCs w:val="18"/>
          <w:color w:val="auto"/>
        </w:rPr>
        <w:t>, that no amendment to this Agreement may:</w:t>
      </w:r>
    </w:p>
    <w:p>
      <w:pPr>
        <w:spacing w:after="0" w:line="213"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modify the limited liability of any Member, or increase the liabilities or obligations of any Member, in each case, without the consent of each such affected Member; or</w:t>
      </w:r>
    </w:p>
    <w:p>
      <w:pPr>
        <w:spacing w:after="0" w:line="197"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materially alter or change any rights, preferences or privileges of any Interests in a manner that is different or prejudicial relative to any other Interests, without the approval of a majority in interest of the Members holding the Interests affected in such a different or prejudicial manner.</w:t>
      </w:r>
    </w:p>
    <w:p>
      <w:pPr>
        <w:spacing w:after="0" w:line="208"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Notwithstanding the foregoing subsection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Managing Member, acting alone, may amend this Agreement, including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 to reflect the admission of new Members, Transfers of Interests, the issuance of additional Units or Equity Securities, as provided by the terms of this Agreement, and, subject to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subdivisions or combinations of Units made in compliance with </w:t>
      </w:r>
      <w:r>
        <w:rPr>
          <w:rFonts w:ascii="Arial" w:cs="Arial" w:eastAsia="Arial" w:hAnsi="Arial"/>
          <w:sz w:val="18"/>
          <w:szCs w:val="18"/>
          <w:u w:val="single" w:color="auto"/>
          <w:color w:val="auto"/>
        </w:rPr>
        <w:t>Section 4.1(g)</w:t>
      </w:r>
      <w:r>
        <w:rPr>
          <w:rFonts w:ascii="Arial" w:cs="Arial" w:eastAsia="Arial" w:hAnsi="Arial"/>
          <w:sz w:val="18"/>
          <w:szCs w:val="18"/>
          <w:color w:val="auto"/>
        </w:rPr>
        <w:t>, (ii) to the minimum extent necessary to comply with or administer in an equitable manner the Partnership Tax Audit Rules in any manner determined by the Managing Member and (iii) as necessary to avoid the Company being classified as a “publicly traded partnership” within the meaning of Section 7704(b) of the Code.</w:t>
      </w:r>
    </w:p>
    <w:p>
      <w:pPr>
        <w:spacing w:after="0" w:line="22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 waiver of any provision or default under, nor consent to any exception to, the terms of this Agreement or any agreement contemplated hereby shall be effective unless in writing and signed by the party to be bound and then only to the specific purpose, extent and instance so provided.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ind w:left="660"/>
              <w:spacing w:after="0"/>
              <w:rPr>
                <w:sz w:val="20"/>
                <w:szCs w:val="20"/>
                <w:color w:val="auto"/>
              </w:rPr>
            </w:pPr>
            <w:r>
              <w:rPr>
                <w:rFonts w:ascii="Arial" w:cs="Arial" w:eastAsia="Arial" w:hAnsi="Arial"/>
                <w:sz w:val="18"/>
                <w:szCs w:val="18"/>
                <w:color w:val="auto"/>
              </w:rPr>
              <w:t>Section 12.2</w:t>
            </w:r>
          </w:p>
        </w:tc>
        <w:tc>
          <w:tcPr>
            <w:tcW w:w="92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Further Assurances</w:t>
            </w:r>
            <w:r>
              <w:rPr>
                <w:rFonts w:ascii="Arial" w:cs="Arial" w:eastAsia="Arial" w:hAnsi="Arial"/>
                <w:sz w:val="18"/>
                <w:szCs w:val="18"/>
                <w:color w:val="auto"/>
                <w:w w:val="92"/>
              </w:rPr>
              <w:t>. Each party agrees that it will from time to time, upon the reasonable request of another party, execute</w:t>
            </w:r>
          </w:p>
        </w:tc>
      </w:tr>
      <w:tr>
        <w:trPr>
          <w:trHeight w:val="20"/>
        </w:trPr>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such documents and instruments and take such further action as may be required to accomplish the purposes of this Agreement.</w:t>
            </w:r>
          </w:p>
        </w:tc>
      </w:tr>
      <w:tr>
        <w:trPr>
          <w:trHeight w:val="446"/>
        </w:trPr>
        <w:tc>
          <w:tcPr>
            <w:tcW w:w="2220" w:type="dxa"/>
            <w:vAlign w:val="bottom"/>
          </w:tcPr>
          <w:p>
            <w:pPr>
              <w:ind w:left="660"/>
              <w:spacing w:after="0"/>
              <w:rPr>
                <w:sz w:val="20"/>
                <w:szCs w:val="20"/>
                <w:color w:val="auto"/>
              </w:rPr>
            </w:pPr>
            <w:r>
              <w:rPr>
                <w:rFonts w:ascii="Arial" w:cs="Arial" w:eastAsia="Arial" w:hAnsi="Arial"/>
                <w:sz w:val="18"/>
                <w:szCs w:val="18"/>
                <w:color w:val="auto"/>
              </w:rPr>
              <w:t>Section 12.3</w:t>
            </w:r>
          </w:p>
        </w:tc>
        <w:tc>
          <w:tcPr>
            <w:tcW w:w="140" w:type="dxa"/>
            <w:vAlign w:val="bottom"/>
          </w:tcPr>
          <w:p>
            <w:pPr>
              <w:spacing w:after="0"/>
              <w:rPr>
                <w:sz w:val="24"/>
                <w:szCs w:val="24"/>
                <w:color w:val="auto"/>
              </w:rPr>
            </w:pPr>
          </w:p>
        </w:tc>
        <w:tc>
          <w:tcPr>
            <w:tcW w:w="90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Successors and Assigns</w:t>
            </w:r>
            <w:r>
              <w:rPr>
                <w:rFonts w:ascii="Arial" w:cs="Arial" w:eastAsia="Arial" w:hAnsi="Arial"/>
                <w:sz w:val="18"/>
                <w:szCs w:val="18"/>
                <w:color w:val="auto"/>
                <w:w w:val="94"/>
              </w:rPr>
              <w:t>.  All of the terms and provisions of this Agreement shall be binding upon the parties and their</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respective successors and assigns, but shall inure to the benefit of and be enforceable by the successors and assigns of any Member only to the extent that they are permitted successors and assigns pursuant to the terms hereof. No party may assign its rights hereunder except as herein expressly permitted.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6" w:name="page217"/>
    <w:bookmarkEnd w:id="216"/>
    <w:p>
      <w:pPr>
        <w:jc w:val="both"/>
        <w:ind w:firstLine="648"/>
        <w:spacing w:after="0" w:line="290"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b w:val="1"/>
          <w:bCs w:val="1"/>
          <w:u w:val="single" w:color="auto"/>
          <w:color w:val="auto"/>
        </w:rPr>
        <w:t>Certain Representations by Members</w:t>
      </w:r>
      <w:r>
        <w:rPr>
          <w:rFonts w:ascii="Arial" w:cs="Arial" w:eastAsia="Arial" w:hAnsi="Arial"/>
          <w:sz w:val="16"/>
          <w:szCs w:val="16"/>
          <w:color w:val="auto"/>
        </w:rPr>
        <w:t xml:space="preserve">. Each Member, by executing this Agreement and becoming a Member, whether by making a Capital Contribution, by admission in connection with a permitted Transfer, or otherwise, represents and warrants to the Company and the Managing Member, as of the date of its admission as a Member, that such Member (or, if such Member is disregarded for U.S. federal income tax purposes, such Member’s regarded owner for such purpose) is either: (a) not a partnership, grantor trust, or Subchapter S corporation for U.S. federal income tax purposes (e.g., an individual or a Subchapter C corporation), or (b) is a partnership, grantor trust, or Subchapter S corporation for U.S. federal income tax purposes, but (i) permitting the Company to satisfy the 100-partner limitation set forth in Treasury Regulations Section 1.7704-1(h)(1)(ii) is not a principal purpose of any beneficial owner of such Member in investing in the Company through such Member, (ii) such Member was formed for business purposes prior to or in connection with the investment by such Member in the Company or for estate planning purposes, and (iii) no beneficial owner of such Member has a redemption or similar right with respect to such Member that is intended to correlate to such Member’s right to Redemption pursuant to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together with all Exhibits and Schedules hereto and all other agreements referenced therein and herein, including the Contribution Agreement, constitute the entire agreement between the parties hereto pertaining to the subject matter hereof and supersede all prior and contemporaneous agreements, understandings, negotiations and discussions, whether oral or written, of the parties and there are no warranties, representations or other agreements between the parties in connection with the subject matter hereof except as specifically set forth herein and therein.</w:t>
      </w:r>
    </w:p>
    <w:p>
      <w:pPr>
        <w:spacing w:after="0" w:line="2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b w:val="1"/>
          <w:bCs w:val="1"/>
          <w:u w:val="single" w:color="auto"/>
          <w:color w:val="auto"/>
        </w:rPr>
        <w:t>Rights of Members Independent</w:t>
      </w:r>
      <w:r>
        <w:rPr>
          <w:rFonts w:ascii="Arial" w:cs="Arial" w:eastAsia="Arial" w:hAnsi="Arial"/>
          <w:sz w:val="18"/>
          <w:szCs w:val="18"/>
          <w:color w:val="auto"/>
        </w:rPr>
        <w:t>. The rights available to the Members under this Agreement and at Law shall be deemed to be several and not dependent on each other and each such right accordingly shall be construed as complete in itself and not by reference to any other such right. Any one or more and/or any combination of such rights may be exercised by a Member and/or the Company from time to time and no such exercise shall exhaust the rights or preclude another Member from exercising any one or more of such rights or combination thereof from time to time thereafter or simultaneously.</w:t>
      </w:r>
    </w:p>
    <w:p>
      <w:pPr>
        <w:spacing w:after="0" w:line="2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the legal relations between the parties and any Action, whether contractual or non-contractual, instituted by any party with respect to matters arising under or growing out of or in connection with or in respect of this Agreement shall be governed by and construed in accordance with the Laws of the State of Delaware applicable to contracts made and performed in such State and without regard to conflicts of Law doctrines, except to the extent that certain matters are preempted by federal Law or are governed as a matter of controlling Law by the Law of the jurisdiction of organization of the respective parties.</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b w:val="1"/>
          <w:bCs w:val="1"/>
          <w:u w:val="single" w:color="auto"/>
          <w:color w:val="auto"/>
        </w:rPr>
        <w:t>Jurisdiction and Venue</w:t>
      </w:r>
      <w:r>
        <w:rPr>
          <w:rFonts w:ascii="Arial" w:cs="Arial" w:eastAsia="Arial" w:hAnsi="Arial"/>
          <w:sz w:val="18"/>
          <w:szCs w:val="18"/>
          <w:color w:val="auto"/>
        </w:rPr>
        <w:t>. The parties hereto hereby agree and consent to be subject to the jurisdiction of any federal court of the District of Delaware or the Delaware Court of Chancery over any action, suit or proceeding (a “</w:t>
      </w:r>
      <w:r>
        <w:rPr>
          <w:rFonts w:ascii="Arial" w:cs="Arial" w:eastAsia="Arial" w:hAnsi="Arial"/>
          <w:sz w:val="18"/>
          <w:szCs w:val="18"/>
          <w:b w:val="1"/>
          <w:bCs w:val="1"/>
          <w:u w:val="single" w:color="auto"/>
          <w:color w:val="auto"/>
        </w:rPr>
        <w:t>Legal Action</w:t>
      </w:r>
      <w:r>
        <w:rPr>
          <w:rFonts w:ascii="Arial" w:cs="Arial" w:eastAsia="Arial" w:hAnsi="Arial"/>
          <w:sz w:val="18"/>
          <w:szCs w:val="18"/>
          <w:color w:val="auto"/>
        </w:rPr>
        <w:t xml:space="preserve">”) arising out of or in connection with this Agreement. The parties hereto irrevocably waive the defense of an inconvenient forum to the maintenance of any such Legal Action. Each of the parties hereto further irrevocably consents to the service of process out of any of the aforementioned courts in any such Legal Action by the mailing of copies thereof by registered mail, postage prepaid, to such party at its address set forth in this Agreement, such service of process to be effective upon acknowledgment of receipt of such registered mail. Nothing in this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shall affect the right of any party hereto to serve legal process in any other manner permitted by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17" w:name="page218"/>
    <w:bookmarkEnd w:id="217"/>
    <w:p>
      <w:pPr>
        <w:jc w:val="both"/>
        <w:ind w:right="20" w:firstLine="648"/>
        <w:spacing w:after="0" w:line="282" w:lineRule="auto"/>
        <w:rPr>
          <w:sz w:val="20"/>
          <w:szCs w:val="20"/>
          <w:color w:val="auto"/>
        </w:rPr>
      </w:pPr>
      <w:r>
        <w:rPr>
          <w:rFonts w:ascii="Arial" w:cs="Arial" w:eastAsia="Arial" w:hAnsi="Arial"/>
          <w:sz w:val="18"/>
          <w:szCs w:val="18"/>
          <w:color w:val="auto"/>
        </w:rPr>
        <w:t xml:space="preserve">Section 12.9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descriptive headings of the Articles, Sections and subsections of this Agreement are for convenience only and do not constitute a part of this Agreement.</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or any other agreement (or document) delivered pursuant hereto may be executed in one or more counterparts and by different parties in separate counterparts. All of such counterparts shall constitute one and the same agreement (or other document) and shall become effective (unless otherwise provided therein) when one or more counterparts have been signed by each party and delivered to the other party.</w:t>
      </w:r>
    </w:p>
    <w:p>
      <w:pPr>
        <w:spacing w:after="0" w:line="234"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Section 12.11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or other communication hereunder must be given in writing and (a) delivered in person, (b) transmitted by facsimile, by telecommunications mechanism or electronically or (c) mailed by certified or registered mail, postage prepaid, receipt requested as follows: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or the Managing Member, addressed to it at: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Intermediate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(917) 639-9620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Electronic mail: cmacdougall@fortress.com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(917) 639-9620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Electronic mail: cmacdougall@fortress.com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 615-5861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Electronic mail: doelman@velaw.com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P. Oelman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18" w:name="page219"/>
    <w:bookmarkEnd w:id="218"/>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 751-5396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Electronic mail: rlayne@velaw.com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 Ramey Layne</w:t>
      </w: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or to such other address or to such other Person as either party shall have last designated by such notice to the other parties. Each such notice or other communication shall be effective (i) if given by telecommunication or electronically, when transmitted to the applicable number or electronic mail address so specified in (or pursuant to) this </w:t>
      </w:r>
      <w:r>
        <w:rPr>
          <w:rFonts w:ascii="Arial" w:cs="Arial" w:eastAsia="Arial" w:hAnsi="Arial"/>
          <w:sz w:val="16"/>
          <w:szCs w:val="16"/>
          <w:u w:val="single" w:color="auto"/>
          <w:color w:val="auto"/>
        </w:rPr>
        <w:t>Section 12.11</w:t>
      </w:r>
      <w:r>
        <w:rPr>
          <w:rFonts w:ascii="Arial" w:cs="Arial" w:eastAsia="Arial" w:hAnsi="Arial"/>
          <w:sz w:val="16"/>
          <w:szCs w:val="16"/>
          <w:color w:val="auto"/>
        </w:rPr>
        <w:t xml:space="preserve"> and an appropriate answerback is received or, if transmitted after 4:00 p.m. local time on a Business Day in the jurisdiction to which such notice is sent or at any time on a day that is not a Business Day in the jurisdiction to which such notice is sent, then on the immediately following Business Day, (ii) if given by mail, on the first Business Day in the jurisdiction to which such notice is sent following the date three</w:t>
      </w:r>
    </w:p>
    <w:p>
      <w:pPr>
        <w:spacing w:after="0" w:line="2" w:lineRule="exact"/>
        <w:rPr>
          <w:sz w:val="20"/>
          <w:szCs w:val="20"/>
          <w:color w:val="auto"/>
        </w:rPr>
      </w:pPr>
    </w:p>
    <w:p>
      <w:pPr>
        <w:ind w:firstLine="8"/>
        <w:spacing w:after="0" w:line="323" w:lineRule="auto"/>
        <w:tabs>
          <w:tab w:leader="none" w:pos="25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days after such communication is deposited in the mails with first class postage prepaid, addressed as aforesaid or (iii) if given by any other means, on the Business Day when actually received at such address or, if not received on a Business Day, on the Business Day immediately following such actual receipt.</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Section 12.12 </w:t>
      </w:r>
      <w:r>
        <w:rPr>
          <w:rFonts w:ascii="Arial" w:cs="Arial" w:eastAsia="Arial" w:hAnsi="Arial"/>
          <w:sz w:val="16"/>
          <w:szCs w:val="16"/>
          <w:b w:val="1"/>
          <w:bCs w:val="1"/>
          <w:u w:val="single" w:color="auto"/>
          <w:color w:val="auto"/>
        </w:rPr>
        <w:t>Representation By Counsel; Interpretation</w:t>
      </w:r>
      <w:r>
        <w:rPr>
          <w:rFonts w:ascii="Arial" w:cs="Arial" w:eastAsia="Arial" w:hAnsi="Arial"/>
          <w:sz w:val="16"/>
          <w:szCs w:val="16"/>
          <w:color w:val="auto"/>
        </w:rPr>
        <w:t>. The parties acknowledge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party that drafted it has no application and is expressly waived.</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xml:space="preserve">. If any provision of this Agreement is determined to be invalid, illegal or unenforceable by any Governmental Entity, the remaining provisions of this Agreement, to the extent permitted by Law shall remain in full force and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essential terms and conditions of this Agreement for all parties remain valid, binding and enforceable.</w:t>
      </w:r>
    </w:p>
    <w:p>
      <w:pPr>
        <w:spacing w:after="0" w:line="2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Except as otherwise provided in this Agreement, each party shall bear its own expenses in connection with the transactions contemplated by this Agreement.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OF THE COMPANY, THE MEMBERS, THE MANAGING MEMBER AND ANY INDEMNITEES SEEKING REMEDIES HEREUNDER, HEREBY WAIVES TO THE FULLEST EXTENT PERMITTED BY LAW ANY RIGHT IT MAY HAVE TO TRIAL BY JURY IN RESPECT OF ANY CLAIM, DEMAND, ACTION OR CAUSE OF ACTION BASED ON, OR ARISING OUT OF, UNDER OR IN CONNECTION WITH THIS AGREEMENT OR THE TRANSACTIONS CONTEMPLATED HEREBY, WHETHER NOW EXISTING OR HEREAFTER ARISING, AND WHETHER IN CONTRACT, TORT, EQUITY OR OTHERWISE.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9" w:name="page220"/>
    <w:bookmarkEnd w:id="219"/>
    <w:p>
      <w:pPr>
        <w:jc w:val="both"/>
        <w:ind w:firstLine="648"/>
        <w:spacing w:after="0" w:line="261" w:lineRule="auto"/>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color w:val="auto"/>
        </w:rPr>
        <w:t xml:space="preserve">. Except as expressly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with respect to Permitted Transferees as provided in </w:t>
      </w:r>
      <w:r>
        <w:rPr>
          <w:rFonts w:ascii="Arial" w:cs="Arial" w:eastAsia="Arial" w:hAnsi="Arial"/>
          <w:sz w:val="18"/>
          <w:szCs w:val="18"/>
          <w:u w:val="single" w:color="auto"/>
          <w:color w:val="auto"/>
        </w:rPr>
        <w:t>Section 4.6(b)(i)(E)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4.6(b)(ii)</w:t>
      </w:r>
      <w:r>
        <w:rPr>
          <w:rFonts w:ascii="Arial" w:cs="Arial" w:eastAsia="Arial" w:hAnsi="Arial"/>
          <w:sz w:val="18"/>
          <w:szCs w:val="18"/>
          <w:color w:val="auto"/>
        </w:rPr>
        <w:t xml:space="preserve"> and with respect to NFI Holdings, nothing in this Agreement, express or implied, is intended to confer upon any party, other than the parties hereto and their respective successors and permitted assigns, any rights or remedies under this Agreement or otherwise create any third party beneficiary 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20" w:name="page221"/>
    <w:bookmarkEnd w:id="22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hereto has caused this Amended and Restated Limited Liability Company Agreement to be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and year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 FORTRESS INTERMEDIATE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Christopher S. Guinta</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L</w:t>
      </w:r>
      <w:r>
        <w:rPr>
          <w:rFonts w:ascii="Arial" w:cs="Arial" w:eastAsia="Arial" w:hAnsi="Arial"/>
          <w:sz w:val="12"/>
          <w:szCs w:val="12"/>
          <w:color w:val="auto"/>
        </w:rPr>
        <w:t>IABILITY</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color w:val="auto"/>
        </w:rPr>
        <w:t xml:space="preserve"> F</w:t>
      </w:r>
      <w:r>
        <w:rPr>
          <w:rFonts w:ascii="Arial" w:cs="Arial" w:eastAsia="Arial" w:hAnsi="Arial"/>
          <w:sz w:val="12"/>
          <w:szCs w:val="12"/>
          <w:color w:val="auto"/>
        </w:rPr>
        <w:t>ORTRESS</w:t>
      </w:r>
      <w:r>
        <w:rPr>
          <w:rFonts w:ascii="Arial" w:cs="Arial" w:eastAsia="Arial" w:hAnsi="Arial"/>
          <w:sz w:val="18"/>
          <w:szCs w:val="18"/>
          <w:color w:val="auto"/>
        </w:rPr>
        <w:t xml:space="preserve"> I</w:t>
      </w:r>
      <w:r>
        <w:rPr>
          <w:rFonts w:ascii="Arial" w:cs="Arial" w:eastAsia="Arial" w:hAnsi="Arial"/>
          <w:sz w:val="12"/>
          <w:szCs w:val="12"/>
          <w:color w:val="auto"/>
        </w:rPr>
        <w:t>NTERMEDIATE</w:t>
      </w:r>
      <w:r>
        <w:rPr>
          <w:rFonts w:ascii="Arial" w:cs="Arial" w:eastAsia="Arial" w:hAnsi="Arial"/>
          <w:sz w:val="18"/>
          <w:szCs w:val="18"/>
          <w:color w:val="auto"/>
        </w:rPr>
        <w:t xml:space="preser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1" w:name="page222"/>
    <w:bookmarkEnd w:id="221"/>
    <w:p>
      <w:pPr>
        <w:ind w:left="4520"/>
        <w:spacing w:after="0"/>
        <w:rPr>
          <w:sz w:val="20"/>
          <w:szCs w:val="20"/>
          <w:color w:val="auto"/>
        </w:rPr>
      </w:pPr>
      <w:r>
        <w:rPr>
          <w:rFonts w:ascii="Arial" w:cs="Arial" w:eastAsia="Arial" w:hAnsi="Arial"/>
          <w:sz w:val="18"/>
          <w:szCs w:val="18"/>
          <w:b w:val="1"/>
          <w:bCs w:val="1"/>
          <w:u w:val="single" w:color="auto"/>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NEW FORTRESS ENERGY HOLDINGS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Cameron D. MacDougall</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Cameron D. MacDougall</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L</w:t>
      </w:r>
      <w:r>
        <w:rPr>
          <w:rFonts w:ascii="Arial" w:cs="Arial" w:eastAsia="Arial" w:hAnsi="Arial"/>
          <w:sz w:val="12"/>
          <w:szCs w:val="12"/>
          <w:color w:val="auto"/>
        </w:rPr>
        <w:t>IABILITY</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GREEMENT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color w:val="auto"/>
        </w:rPr>
        <w:t xml:space="preserve"> F</w:t>
      </w:r>
      <w:r>
        <w:rPr>
          <w:rFonts w:ascii="Arial" w:cs="Arial" w:eastAsia="Arial" w:hAnsi="Arial"/>
          <w:sz w:val="12"/>
          <w:szCs w:val="12"/>
          <w:color w:val="auto"/>
        </w:rPr>
        <w:t>ORTRESS</w:t>
      </w:r>
      <w:r>
        <w:rPr>
          <w:rFonts w:ascii="Arial" w:cs="Arial" w:eastAsia="Arial" w:hAnsi="Arial"/>
          <w:sz w:val="18"/>
          <w:szCs w:val="18"/>
          <w:color w:val="auto"/>
        </w:rPr>
        <w:t xml:space="preserve"> I</w:t>
      </w:r>
      <w:r>
        <w:rPr>
          <w:rFonts w:ascii="Arial" w:cs="Arial" w:eastAsia="Arial" w:hAnsi="Arial"/>
          <w:sz w:val="12"/>
          <w:szCs w:val="12"/>
          <w:color w:val="auto"/>
        </w:rPr>
        <w:t>NTERMEDIATE</w:t>
      </w:r>
      <w:r>
        <w:rPr>
          <w:rFonts w:ascii="Arial" w:cs="Arial" w:eastAsia="Arial" w:hAnsi="Arial"/>
          <w:sz w:val="18"/>
          <w:szCs w:val="18"/>
          <w:color w:val="auto"/>
        </w:rPr>
        <w:t xml:space="preser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22" w:name="page223"/>
    <w:bookmarkEnd w:id="222"/>
    <w:p>
      <w:pPr>
        <w:ind w:left="446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color w:val="auto"/>
        </w:rPr>
        <w:t>:</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tbl>
      <w:tblPr>
        <w:tblLayout w:type="fixed"/>
        <w:tblInd w:w="446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23"/>
        </w:trPr>
        <w:tc>
          <w:tcPr>
            <w:tcW w:w="6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Christopher S. Guinta</w:t>
            </w:r>
          </w:p>
        </w:tc>
      </w:tr>
      <w:tr>
        <w:trPr>
          <w:trHeight w:val="223"/>
        </w:trPr>
        <w:tc>
          <w:tcPr>
            <w:tcW w:w="68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L</w:t>
      </w:r>
      <w:r>
        <w:rPr>
          <w:rFonts w:ascii="Arial" w:cs="Arial" w:eastAsia="Arial" w:hAnsi="Arial"/>
          <w:sz w:val="12"/>
          <w:szCs w:val="12"/>
          <w:color w:val="auto"/>
        </w:rPr>
        <w:t>IABILITY</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GREEMENT OF</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color w:val="auto"/>
        </w:rPr>
        <w:t xml:space="preserve"> F</w:t>
      </w:r>
      <w:r>
        <w:rPr>
          <w:rFonts w:ascii="Arial" w:cs="Arial" w:eastAsia="Arial" w:hAnsi="Arial"/>
          <w:sz w:val="12"/>
          <w:szCs w:val="12"/>
          <w:color w:val="auto"/>
        </w:rPr>
        <w:t>ORTRESS</w:t>
      </w:r>
      <w:r>
        <w:rPr>
          <w:rFonts w:ascii="Arial" w:cs="Arial" w:eastAsia="Arial" w:hAnsi="Arial"/>
          <w:sz w:val="18"/>
          <w:szCs w:val="18"/>
          <w:color w:val="auto"/>
        </w:rPr>
        <w:t xml:space="preserve"> I</w:t>
      </w:r>
      <w:r>
        <w:rPr>
          <w:rFonts w:ascii="Arial" w:cs="Arial" w:eastAsia="Arial" w:hAnsi="Arial"/>
          <w:sz w:val="12"/>
          <w:szCs w:val="12"/>
          <w:color w:val="auto"/>
        </w:rPr>
        <w:t>NTERMEDIATE</w:t>
      </w:r>
      <w:r>
        <w:rPr>
          <w:rFonts w:ascii="Arial" w:cs="Arial" w:eastAsia="Arial" w:hAnsi="Arial"/>
          <w:sz w:val="18"/>
          <w:szCs w:val="18"/>
          <w:color w:val="auto"/>
        </w:rPr>
        <w:t xml:space="preser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08" w:right="239" w:bottom="1440" w:gutter="0" w:footer="0" w:header="0"/>
        </w:sectPr>
      </w:pPr>
    </w:p>
    <w:bookmarkStart w:id="223" w:name="page224"/>
    <w:bookmarkEnd w:id="223"/>
    <w:p>
      <w:pPr>
        <w:ind w:left="4460"/>
        <w:spacing w:after="0"/>
        <w:rPr>
          <w:sz w:val="20"/>
          <w:szCs w:val="20"/>
          <w:color w:val="auto"/>
        </w:rPr>
      </w:pPr>
      <w:r>
        <w:rPr>
          <w:rFonts w:ascii="Arial" w:cs="Arial" w:eastAsia="Arial" w:hAnsi="Arial"/>
          <w:sz w:val="18"/>
          <w:szCs w:val="18"/>
          <w:b w:val="1"/>
          <w:bCs w:val="1"/>
          <w:u w:val="single" w:color="auto"/>
          <w:color w:val="auto"/>
        </w:rPr>
        <w:t>MANAGING MEMBER</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NFE SUB LLC</w:t>
      </w:r>
    </w:p>
    <w:p>
      <w:pPr>
        <w:spacing w:after="0" w:line="229" w:lineRule="exact"/>
        <w:rPr>
          <w:sz w:val="20"/>
          <w:szCs w:val="20"/>
          <w:color w:val="auto"/>
        </w:rPr>
      </w:pPr>
    </w:p>
    <w:tbl>
      <w:tblPr>
        <w:tblLayout w:type="fixed"/>
        <w:tblInd w:w="446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23"/>
        </w:trPr>
        <w:tc>
          <w:tcPr>
            <w:tcW w:w="6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Christopher S. Guinta</w:t>
            </w:r>
          </w:p>
        </w:tc>
      </w:tr>
      <w:tr>
        <w:trPr>
          <w:trHeight w:val="223"/>
        </w:trPr>
        <w:tc>
          <w:tcPr>
            <w:tcW w:w="68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L</w:t>
      </w:r>
      <w:r>
        <w:rPr>
          <w:rFonts w:ascii="Arial" w:cs="Arial" w:eastAsia="Arial" w:hAnsi="Arial"/>
          <w:sz w:val="12"/>
          <w:szCs w:val="12"/>
          <w:color w:val="auto"/>
        </w:rPr>
        <w:t>IABILITY</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GREEMENT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color w:val="auto"/>
        </w:rPr>
        <w:t xml:space="preserve"> F</w:t>
      </w:r>
      <w:r>
        <w:rPr>
          <w:rFonts w:ascii="Arial" w:cs="Arial" w:eastAsia="Arial" w:hAnsi="Arial"/>
          <w:sz w:val="12"/>
          <w:szCs w:val="12"/>
          <w:color w:val="auto"/>
        </w:rPr>
        <w:t>ORTRESS</w:t>
      </w:r>
      <w:r>
        <w:rPr>
          <w:rFonts w:ascii="Arial" w:cs="Arial" w:eastAsia="Arial" w:hAnsi="Arial"/>
          <w:sz w:val="18"/>
          <w:szCs w:val="18"/>
          <w:color w:val="auto"/>
        </w:rPr>
        <w:t xml:space="preserve"> I</w:t>
      </w:r>
      <w:r>
        <w:rPr>
          <w:rFonts w:ascii="Arial" w:cs="Arial" w:eastAsia="Arial" w:hAnsi="Arial"/>
          <w:sz w:val="12"/>
          <w:szCs w:val="12"/>
          <w:color w:val="auto"/>
        </w:rPr>
        <w:t>NTERMEDIATE</w:t>
      </w:r>
      <w:r>
        <w:rPr>
          <w:rFonts w:ascii="Arial" w:cs="Arial" w:eastAsia="Arial" w:hAnsi="Arial"/>
          <w:sz w:val="18"/>
          <w:szCs w:val="18"/>
          <w:color w:val="auto"/>
        </w:rPr>
        <w:t xml:space="preser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24" w:name="page225"/>
    <w:bookmarkEnd w:id="224"/>
    <w:tbl>
      <w:tblPr>
        <w:tblLayout w:type="fixed"/>
        <w:tblInd w:w="1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6180" w:type="dxa"/>
            <w:vAlign w:val="bottom"/>
            <w:gridSpan w:val="3"/>
          </w:tcPr>
          <w:p>
            <w:pPr>
              <w:jc w:val="center"/>
              <w:ind w:right="5150"/>
              <w:spacing w:after="0"/>
              <w:rPr>
                <w:sz w:val="20"/>
                <w:szCs w:val="20"/>
                <w:color w:val="auto"/>
              </w:rPr>
            </w:pPr>
            <w:r>
              <w:rPr>
                <w:rFonts w:ascii="Arial" w:cs="Arial" w:eastAsia="Arial" w:hAnsi="Arial"/>
                <w:sz w:val="18"/>
                <w:szCs w:val="18"/>
                <w:b w:val="1"/>
                <w:bCs w:val="1"/>
                <w:color w:val="auto"/>
              </w:rPr>
              <w:t>EXHIBIT A</w:t>
            </w:r>
          </w:p>
        </w:tc>
      </w:tr>
      <w:tr>
        <w:trPr>
          <w:trHeight w:val="271"/>
        </w:trPr>
        <w:tc>
          <w:tcPr>
            <w:tcW w:w="5240" w:type="dxa"/>
            <w:vAlign w:val="bottom"/>
            <w:tcBorders>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5240" w:type="dxa"/>
            <w:vAlign w:val="bottom"/>
            <w:tcBorders>
              <w:bottom w:val="single" w:sz="8" w:color="auto"/>
            </w:tcBorders>
          </w:tcPr>
          <w:p>
            <w:pPr>
              <w:spacing w:after="0"/>
              <w:rPr>
                <w:sz w:val="23"/>
                <w:szCs w:val="23"/>
                <w:color w:val="auto"/>
              </w:rPr>
            </w:pPr>
          </w:p>
        </w:tc>
      </w:tr>
      <w:tr>
        <w:trPr>
          <w:trHeight w:val="223"/>
        </w:trPr>
        <w:tc>
          <w:tcPr>
            <w:tcW w:w="5240" w:type="dxa"/>
            <w:vAlign w:val="bottom"/>
            <w:tcBorders>
              <w:left w:val="single" w:sz="8" w:color="auto"/>
              <w:bottom w:val="single" w:sz="8" w:color="auto"/>
            </w:tcBorders>
            <w:shd w:val="clear" w:color="auto" w:fill="A6A6A6"/>
          </w:tcPr>
          <w:p>
            <w:pPr>
              <w:ind w:left="2620"/>
              <w:spacing w:after="0"/>
              <w:rPr>
                <w:sz w:val="20"/>
                <w:szCs w:val="20"/>
                <w:color w:val="auto"/>
              </w:rPr>
            </w:pPr>
            <w:r>
              <w:rPr>
                <w:rFonts w:ascii="Arial" w:cs="Arial" w:eastAsia="Arial" w:hAnsi="Arial"/>
                <w:sz w:val="18"/>
                <w:szCs w:val="18"/>
                <w:b w:val="1"/>
                <w:bCs w:val="1"/>
                <w:color w:val="auto"/>
              </w:rPr>
              <w:t>Member</w:t>
            </w:r>
          </w:p>
        </w:tc>
        <w:tc>
          <w:tcPr>
            <w:tcW w:w="500" w:type="dxa"/>
            <w:vAlign w:val="bottom"/>
            <w:tcBorders>
              <w:bottom w:val="single" w:sz="8" w:color="auto"/>
              <w:right w:val="single" w:sz="8" w:color="auto"/>
            </w:tcBorders>
            <w:shd w:val="clear" w:color="auto" w:fill="A6A6A6"/>
          </w:tcPr>
          <w:p>
            <w:pPr>
              <w:spacing w:after="0"/>
              <w:rPr>
                <w:sz w:val="19"/>
                <w:szCs w:val="19"/>
                <w:color w:val="auto"/>
              </w:rPr>
            </w:pPr>
          </w:p>
        </w:tc>
        <w:tc>
          <w:tcPr>
            <w:tcW w:w="440" w:type="dxa"/>
            <w:vAlign w:val="bottom"/>
            <w:tcBorders>
              <w:bottom w:val="single" w:sz="8" w:color="auto"/>
            </w:tcBorders>
            <w:shd w:val="clear" w:color="auto" w:fill="A6A6A6"/>
          </w:tcPr>
          <w:p>
            <w:pPr>
              <w:spacing w:after="0"/>
              <w:rPr>
                <w:sz w:val="19"/>
                <w:szCs w:val="19"/>
                <w:color w:val="auto"/>
              </w:rPr>
            </w:pPr>
          </w:p>
        </w:tc>
        <w:tc>
          <w:tcPr>
            <w:tcW w:w="5240" w:type="dxa"/>
            <w:vAlign w:val="bottom"/>
            <w:tcBorders>
              <w:bottom w:val="single" w:sz="8" w:color="auto"/>
              <w:right w:val="single" w:sz="8" w:color="auto"/>
            </w:tcBorders>
            <w:shd w:val="clear" w:color="auto" w:fill="A6A6A6"/>
          </w:tcPr>
          <w:p>
            <w:pPr>
              <w:ind w:left="1520"/>
              <w:spacing w:after="0"/>
              <w:rPr>
                <w:sz w:val="20"/>
                <w:szCs w:val="20"/>
                <w:color w:val="auto"/>
              </w:rPr>
            </w:pPr>
            <w:r>
              <w:rPr>
                <w:rFonts w:ascii="Arial" w:cs="Arial" w:eastAsia="Arial" w:hAnsi="Arial"/>
                <w:sz w:val="18"/>
                <w:szCs w:val="18"/>
                <w:b w:val="1"/>
                <w:bCs w:val="1"/>
                <w:color w:val="auto"/>
              </w:rPr>
              <w:t>Number of Units Owned</w:t>
            </w:r>
          </w:p>
        </w:tc>
      </w:tr>
      <w:tr>
        <w:trPr>
          <w:trHeight w:val="223"/>
        </w:trPr>
        <w:tc>
          <w:tcPr>
            <w:tcW w:w="524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NFE Sub LLC</w:t>
            </w:r>
          </w:p>
        </w:tc>
        <w:tc>
          <w:tcPr>
            <w:tcW w:w="50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20,000,000</w:t>
            </w:r>
          </w:p>
        </w:tc>
      </w:tr>
      <w:tr>
        <w:trPr>
          <w:trHeight w:val="223"/>
        </w:trPr>
        <w:tc>
          <w:tcPr>
            <w:tcW w:w="524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New Fortress Energy Holdings LLC</w:t>
            </w:r>
          </w:p>
        </w:tc>
        <w:tc>
          <w:tcPr>
            <w:tcW w:w="50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147,058,824</w:t>
            </w:r>
          </w:p>
        </w:tc>
      </w:tr>
      <w:tr>
        <w:trPr>
          <w:trHeight w:val="496"/>
        </w:trPr>
        <w:tc>
          <w:tcPr>
            <w:tcW w:w="5240" w:type="dxa"/>
            <w:vAlign w:val="bottom"/>
          </w:tcPr>
          <w:p>
            <w:pPr>
              <w:spacing w:after="0"/>
              <w:rPr>
                <w:sz w:val="24"/>
                <w:szCs w:val="24"/>
                <w:color w:val="auto"/>
              </w:rPr>
            </w:pPr>
          </w:p>
        </w:tc>
        <w:tc>
          <w:tcPr>
            <w:tcW w:w="6180" w:type="dxa"/>
            <w:vAlign w:val="bottom"/>
            <w:gridSpan w:val="3"/>
          </w:tcPr>
          <w:p>
            <w:pPr>
              <w:jc w:val="center"/>
              <w:ind w:right="5150"/>
              <w:spacing w:after="0"/>
              <w:rPr>
                <w:sz w:val="20"/>
                <w:szCs w:val="20"/>
                <w:color w:val="auto"/>
              </w:rPr>
            </w:pPr>
            <w:r>
              <w:rPr>
                <w:rFonts w:ascii="Arial" w:cs="Arial" w:eastAsia="Arial" w:hAnsi="Arial"/>
                <w:sz w:val="22"/>
                <w:szCs w:val="22"/>
                <w:color w:val="auto"/>
                <w:w w:val="99"/>
              </w:rPr>
              <w:t>A-1</w:t>
            </w:r>
          </w:p>
        </w:tc>
      </w:tr>
      <w:tr>
        <w:trPr>
          <w:trHeight w:val="105"/>
        </w:trPr>
        <w:tc>
          <w:tcPr>
            <w:tcW w:w="5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08"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10.3</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ADMINISTRATIVE SERVICES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February 4</w:t>
      </w:r>
      <w:r>
        <w:rPr>
          <w:rFonts w:ascii="Arial" w:cs="Arial" w:eastAsia="Arial" w:hAnsi="Arial"/>
          <w:sz w:val="18"/>
          <w:szCs w:val="18"/>
          <w:color w:val="auto"/>
        </w:rPr>
        <w:t>,</w:t>
      </w:r>
      <w:r>
        <w:rPr>
          <w:rFonts w:ascii="Arial" w:cs="Arial" w:eastAsia="Arial" w:hAnsi="Arial"/>
          <w:sz w:val="18"/>
          <w:szCs w:val="18"/>
          <w:b w:val="1"/>
          <w:bCs w:val="1"/>
          <w:color w:val="auto"/>
        </w:rPr>
        <w:t xml:space="preserve"> 2019</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NEW FORTRESS INTERMEDIATE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720" w:right="239" w:bottom="1440" w:gutter="0" w:footer="0" w:header="0"/>
        </w:sectPr>
      </w:pPr>
    </w:p>
    <w:bookmarkStart w:id="226" w:name="page227"/>
    <w:bookmarkEnd w:id="226"/>
    <w:p>
      <w:pPr>
        <w:jc w:val="center"/>
        <w:ind w:right="40"/>
        <w:spacing w:after="0"/>
        <w:rPr>
          <w:sz w:val="20"/>
          <w:szCs w:val="20"/>
          <w:color w:val="auto"/>
        </w:rPr>
      </w:pPr>
      <w:r>
        <w:rPr>
          <w:rFonts w:ascii="Arial" w:cs="Arial" w:eastAsia="Arial" w:hAnsi="Arial"/>
          <w:sz w:val="18"/>
          <w:szCs w:val="18"/>
          <w:u w:val="single" w:color="auto"/>
          <w:color w:val="auto"/>
        </w:rPr>
        <w:t>TABLE OF CONTENTS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01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Page</w:t>
            </w:r>
          </w:p>
        </w:tc>
      </w:tr>
      <w:tr>
        <w:trPr>
          <w:trHeight w:val="20"/>
        </w:trPr>
        <w:tc>
          <w:tcPr>
            <w:tcW w:w="9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960" w:type="dxa"/>
            <w:vAlign w:val="bottom"/>
          </w:tcPr>
          <w:p>
            <w:pPr>
              <w:spacing w:after="0"/>
              <w:rPr>
                <w:sz w:val="20"/>
                <w:szCs w:val="20"/>
                <w:color w:val="auto"/>
              </w:rPr>
            </w:pPr>
            <w:r>
              <w:rPr>
                <w:rFonts w:ascii="Arial" w:cs="Arial" w:eastAsia="Arial" w:hAnsi="Arial"/>
                <w:sz w:val="18"/>
                <w:szCs w:val="18"/>
                <w:color w:val="auto"/>
              </w:rPr>
              <w:t>Section 1</w:t>
            </w:r>
          </w:p>
        </w:tc>
        <w:tc>
          <w:tcPr>
            <w:tcW w:w="1012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2</w:t>
            </w:r>
          </w:p>
        </w:tc>
        <w:tc>
          <w:tcPr>
            <w:tcW w:w="10120" w:type="dxa"/>
            <w:vAlign w:val="bottom"/>
          </w:tcPr>
          <w:p>
            <w:pPr>
              <w:ind w:left="20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3</w:t>
            </w:r>
          </w:p>
        </w:tc>
        <w:tc>
          <w:tcPr>
            <w:tcW w:w="10120" w:type="dxa"/>
            <w:vAlign w:val="bottom"/>
          </w:tcPr>
          <w:p>
            <w:pPr>
              <w:ind w:left="200"/>
              <w:spacing w:after="0"/>
              <w:rPr>
                <w:sz w:val="20"/>
                <w:szCs w:val="20"/>
                <w:color w:val="auto"/>
              </w:rPr>
            </w:pPr>
            <w:r>
              <w:rPr>
                <w:rFonts w:ascii="Arial" w:cs="Arial" w:eastAsia="Arial" w:hAnsi="Arial"/>
                <w:sz w:val="18"/>
                <w:szCs w:val="18"/>
                <w:color w:val="auto"/>
              </w:rPr>
              <w:t>DEVOTION OF TIME; ADDITIONAL ACTIVITIES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4</w:t>
            </w:r>
          </w:p>
        </w:tc>
        <w:tc>
          <w:tcPr>
            <w:tcW w:w="1012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5</w:t>
            </w:r>
          </w:p>
        </w:tc>
        <w:tc>
          <w:tcPr>
            <w:tcW w:w="101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6</w:t>
            </w:r>
          </w:p>
        </w:tc>
        <w:tc>
          <w:tcPr>
            <w:tcW w:w="10120" w:type="dxa"/>
            <w:vAlign w:val="bottom"/>
          </w:tcPr>
          <w:p>
            <w:pPr>
              <w:ind w:left="200"/>
              <w:spacing w:after="0"/>
              <w:rPr>
                <w:sz w:val="20"/>
                <w:szCs w:val="20"/>
                <w:color w:val="auto"/>
              </w:rPr>
            </w:pPr>
            <w:r>
              <w:rPr>
                <w:rFonts w:ascii="Arial" w:cs="Arial" w:eastAsia="Arial" w:hAnsi="Arial"/>
                <w:sz w:val="18"/>
                <w:szCs w:val="18"/>
                <w:color w:val="auto"/>
              </w:rPr>
              <w:t>EXPENSES OF THE COMPANY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7</w:t>
            </w:r>
          </w:p>
        </w:tc>
        <w:tc>
          <w:tcPr>
            <w:tcW w:w="10120" w:type="dxa"/>
            <w:vAlign w:val="bottom"/>
          </w:tcPr>
          <w:p>
            <w:pPr>
              <w:ind w:left="200"/>
              <w:spacing w:after="0"/>
              <w:rPr>
                <w:sz w:val="20"/>
                <w:szCs w:val="20"/>
                <w:color w:val="auto"/>
              </w:rPr>
            </w:pPr>
            <w:r>
              <w:rPr>
                <w:rFonts w:ascii="Arial" w:cs="Arial" w:eastAsia="Arial" w:hAnsi="Arial"/>
                <w:sz w:val="18"/>
                <w:szCs w:val="18"/>
                <w:color w:val="auto"/>
              </w:rPr>
              <w:t>LIMITS OF MANAGER RESPONSIBILITY; INDEMNIFICATION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8</w:t>
            </w:r>
          </w:p>
        </w:tc>
        <w:tc>
          <w:tcPr>
            <w:tcW w:w="10120" w:type="dxa"/>
            <w:vAlign w:val="bottom"/>
          </w:tcPr>
          <w:p>
            <w:pPr>
              <w:ind w:left="200"/>
              <w:spacing w:after="0"/>
              <w:rPr>
                <w:sz w:val="20"/>
                <w:szCs w:val="20"/>
                <w:color w:val="auto"/>
              </w:rPr>
            </w:pPr>
            <w:r>
              <w:rPr>
                <w:rFonts w:ascii="Arial" w:cs="Arial" w:eastAsia="Arial" w:hAnsi="Arial"/>
                <w:sz w:val="18"/>
                <w:szCs w:val="18"/>
                <w:color w:val="auto"/>
              </w:rPr>
              <w:t>NO PARTNERSHIP OR JOINT VENTURE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9</w:t>
            </w:r>
          </w:p>
        </w:tc>
        <w:tc>
          <w:tcPr>
            <w:tcW w:w="1012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10</w:t>
            </w:r>
          </w:p>
        </w:tc>
        <w:tc>
          <w:tcPr>
            <w:tcW w:w="1012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11</w:t>
            </w:r>
          </w:p>
        </w:tc>
        <w:tc>
          <w:tcPr>
            <w:tcW w:w="10120" w:type="dxa"/>
            <w:vAlign w:val="bottom"/>
          </w:tcPr>
          <w:p>
            <w:pPr>
              <w:ind w:left="200"/>
              <w:spacing w:after="0"/>
              <w:rPr>
                <w:sz w:val="20"/>
                <w:szCs w:val="20"/>
                <w:color w:val="auto"/>
              </w:rPr>
            </w:pPr>
            <w:r>
              <w:rPr>
                <w:rFonts w:ascii="Arial" w:cs="Arial" w:eastAsia="Arial" w:hAnsi="Arial"/>
                <w:sz w:val="18"/>
                <w:szCs w:val="18"/>
                <w:color w:val="auto"/>
              </w:rPr>
              <w:t>NOTICES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12</w:t>
            </w:r>
          </w:p>
        </w:tc>
        <w:tc>
          <w:tcPr>
            <w:tcW w:w="10120" w:type="dxa"/>
            <w:vAlign w:val="bottom"/>
          </w:tcPr>
          <w:p>
            <w:pPr>
              <w:ind w:left="200"/>
              <w:spacing w:after="0"/>
              <w:rPr>
                <w:sz w:val="20"/>
                <w:szCs w:val="20"/>
                <w:color w:val="auto"/>
              </w:rPr>
            </w:pPr>
            <w:r>
              <w:rPr>
                <w:rFonts w:ascii="Arial" w:cs="Arial" w:eastAsia="Arial" w:hAnsi="Arial"/>
                <w:sz w:val="18"/>
                <w:szCs w:val="18"/>
                <w:color w:val="auto"/>
              </w:rPr>
              <w:t>BINDING NATURE OF AGREEMENT; SUCCESSORS AND ASSIGNS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13</w:t>
            </w:r>
          </w:p>
        </w:tc>
        <w:tc>
          <w:tcPr>
            <w:tcW w:w="1012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14</w:t>
            </w:r>
          </w:p>
        </w:tc>
        <w:tc>
          <w:tcPr>
            <w:tcW w:w="10120" w:type="dxa"/>
            <w:vAlign w:val="bottom"/>
          </w:tcPr>
          <w:p>
            <w:pPr>
              <w:ind w:left="200"/>
              <w:spacing w:after="0"/>
              <w:rPr>
                <w:sz w:val="20"/>
                <w:szCs w:val="20"/>
                <w:color w:val="auto"/>
              </w:rPr>
            </w:pPr>
            <w:r>
              <w:rPr>
                <w:rFonts w:ascii="Arial" w:cs="Arial" w:eastAsia="Arial" w:hAnsi="Arial"/>
                <w:sz w:val="18"/>
                <w:szCs w:val="18"/>
                <w:color w:val="auto"/>
              </w:rPr>
              <w:t>GOVERNING LAW; SEVERABILITY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15</w:t>
            </w:r>
          </w:p>
        </w:tc>
        <w:tc>
          <w:tcPr>
            <w:tcW w:w="10120" w:type="dxa"/>
            <w:vAlign w:val="bottom"/>
          </w:tcPr>
          <w:p>
            <w:pPr>
              <w:ind w:left="200"/>
              <w:spacing w:after="0"/>
              <w:rPr>
                <w:sz w:val="20"/>
                <w:szCs w:val="20"/>
                <w:color w:val="auto"/>
              </w:rPr>
            </w:pPr>
            <w:r>
              <w:rPr>
                <w:rFonts w:ascii="Arial" w:cs="Arial" w:eastAsia="Arial" w:hAnsi="Arial"/>
                <w:sz w:val="18"/>
                <w:szCs w:val="18"/>
                <w:color w:val="auto"/>
              </w:rPr>
              <w:t>JURISDICTION; WAIVER OF JURY TRIAL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16</w:t>
            </w:r>
          </w:p>
        </w:tc>
        <w:tc>
          <w:tcPr>
            <w:tcW w:w="10120" w:type="dxa"/>
            <w:vAlign w:val="bottom"/>
          </w:tcPr>
          <w:p>
            <w:pPr>
              <w:ind w:left="200"/>
              <w:spacing w:after="0"/>
              <w:rPr>
                <w:sz w:val="20"/>
                <w:szCs w:val="20"/>
                <w:color w:val="auto"/>
              </w:rPr>
            </w:pPr>
            <w:r>
              <w:rPr>
                <w:rFonts w:ascii="Arial" w:cs="Arial" w:eastAsia="Arial" w:hAnsi="Arial"/>
                <w:sz w:val="18"/>
                <w:szCs w:val="18"/>
                <w:color w:val="auto"/>
              </w:rPr>
              <w:t>NO IMPLIED WAIVERS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17</w:t>
            </w:r>
          </w:p>
        </w:tc>
        <w:tc>
          <w:tcPr>
            <w:tcW w:w="10120" w:type="dxa"/>
            <w:vAlign w:val="bottom"/>
          </w:tcPr>
          <w:p>
            <w:pPr>
              <w:ind w:left="200"/>
              <w:spacing w:after="0"/>
              <w:rPr>
                <w:sz w:val="20"/>
                <w:szCs w:val="20"/>
                <w:color w:val="auto"/>
              </w:rPr>
            </w:pPr>
            <w:r>
              <w:rPr>
                <w:rFonts w:ascii="Arial" w:cs="Arial" w:eastAsia="Arial" w:hAnsi="Arial"/>
                <w:sz w:val="18"/>
                <w:szCs w:val="18"/>
                <w:color w:val="auto"/>
              </w:rPr>
              <w:t>HEADINGS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18</w:t>
            </w:r>
          </w:p>
        </w:tc>
        <w:tc>
          <w:tcPr>
            <w:tcW w:w="10120" w:type="dxa"/>
            <w:vAlign w:val="bottom"/>
          </w:tcPr>
          <w:p>
            <w:pPr>
              <w:ind w:left="200"/>
              <w:spacing w:after="0"/>
              <w:rPr>
                <w:sz w:val="20"/>
                <w:szCs w:val="20"/>
                <w:color w:val="auto"/>
              </w:rPr>
            </w:pPr>
            <w:r>
              <w:rPr>
                <w:rFonts w:ascii="Arial" w:cs="Arial" w:eastAsia="Arial" w:hAnsi="Arial"/>
                <w:sz w:val="18"/>
                <w:szCs w:val="18"/>
                <w:color w:val="auto"/>
              </w:rPr>
              <w:t>COUNTERPARTS; EFFECTIVENESS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Section 19</w:t>
            </w:r>
          </w:p>
        </w:tc>
        <w:tc>
          <w:tcPr>
            <w:tcW w:w="10120" w:type="dxa"/>
            <w:vAlign w:val="bottom"/>
          </w:tcPr>
          <w:p>
            <w:pPr>
              <w:ind w:left="200"/>
              <w:spacing w:after="0"/>
              <w:rPr>
                <w:sz w:val="20"/>
                <w:szCs w:val="20"/>
                <w:color w:val="auto"/>
              </w:rPr>
            </w:pPr>
            <w:r>
              <w:rPr>
                <w:rFonts w:ascii="Arial" w:cs="Arial" w:eastAsia="Arial" w:hAnsi="Arial"/>
                <w:sz w:val="18"/>
                <w:szCs w:val="18"/>
                <w:color w:val="auto"/>
              </w:rPr>
              <w:t>GENDER</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635"/>
        </w:trPr>
        <w:tc>
          <w:tcPr>
            <w:tcW w:w="960" w:type="dxa"/>
            <w:vAlign w:val="bottom"/>
          </w:tcPr>
          <w:p>
            <w:pPr>
              <w:spacing w:after="0"/>
              <w:rPr>
                <w:sz w:val="24"/>
                <w:szCs w:val="24"/>
                <w:color w:val="auto"/>
              </w:rPr>
            </w:pPr>
          </w:p>
        </w:tc>
        <w:tc>
          <w:tcPr>
            <w:tcW w:w="10120" w:type="dxa"/>
            <w:vAlign w:val="bottom"/>
          </w:tcPr>
          <w:p>
            <w:pPr>
              <w:ind w:left="47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1"/>
        </w:trPr>
        <w:tc>
          <w:tcPr>
            <w:tcW w:w="960" w:type="dxa"/>
            <w:vAlign w:val="bottom"/>
            <w:tcBorders>
              <w:bottom w:val="single" w:sz="8" w:color="auto"/>
            </w:tcBorders>
          </w:tcPr>
          <w:p>
            <w:pPr>
              <w:spacing w:after="0"/>
              <w:rPr>
                <w:sz w:val="5"/>
                <w:szCs w:val="5"/>
                <w:color w:val="auto"/>
              </w:rPr>
            </w:pPr>
          </w:p>
        </w:tc>
        <w:tc>
          <w:tcPr>
            <w:tcW w:w="10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52"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u w:val="single" w:color="auto"/>
          <w:color w:val="auto"/>
        </w:rPr>
        <w:t>ADMINISTRATIVE SERVICES AGREEMENT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ADMINISTRATIVE SERVICES AGREEMENT, is made as of February 4, 2019 by and between NEW FORTRESS INTERMEDIATE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FIG LLC, a Delaware limited liability company (together with its permitted assignees, the “</w:t>
      </w:r>
      <w:r>
        <w:rPr>
          <w:rFonts w:ascii="Arial" w:cs="Arial" w:eastAsia="Arial" w:hAnsi="Arial"/>
          <w:sz w:val="18"/>
          <w:szCs w:val="18"/>
          <w:b w:val="1"/>
          <w:bCs w:val="1"/>
          <w:u w:val="single" w:color="auto"/>
          <w:color w:val="auto"/>
        </w:rPr>
        <w:t>Provider</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desires to avail itself of the experience, sources of information, advice, assistance and certain facilities of or available to the Provider and to have the Provider undertake the duties and responsibilities hereinafter set forth, on behalf of the Company, as provided in this Agreement; and</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WHEREAS, the Provider desires to provide the services of certain of its employees, consultants or other agents to the Company to assist in managing the Company’s business and provide advisory, transactional, operations and construction, permitting and development, gas supply, new business procurement and development, marine activities, corporate finance, legal, risk management, tax and accounting services to the Company or such other services as the parties shall otherwise agree (collectively, the “</w:t>
      </w:r>
      <w:r>
        <w:rPr>
          <w:rFonts w:ascii="Arial" w:cs="Arial" w:eastAsia="Arial" w:hAnsi="Arial"/>
          <w:sz w:val="17"/>
          <w:szCs w:val="17"/>
          <w:b w:val="1"/>
          <w:bCs w:val="1"/>
          <w:u w:val="single" w:color="auto"/>
          <w:color w:val="auto"/>
        </w:rPr>
        <w:t>Administrative Services</w:t>
      </w:r>
      <w:r>
        <w:rPr>
          <w:rFonts w:ascii="Arial" w:cs="Arial" w:eastAsia="Arial" w:hAnsi="Arial"/>
          <w:sz w:val="17"/>
          <w:szCs w:val="17"/>
          <w:color w:val="auto"/>
        </w:rPr>
        <w:t>”) and the Company desires to engage the Provider to provide said Administrative Services and to set forth the terms and conditions applicable to such Administrative Services;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HEREIN SET FORTH, THE PARTIES HERETO AGREE AS FOLLOWS:</w:t>
      </w:r>
    </w:p>
    <w:p>
      <w:pPr>
        <w:spacing w:after="0" w:line="19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have the meanings assigned to them:</w:t>
      </w:r>
    </w:p>
    <w:p>
      <w:pPr>
        <w:spacing w:after="0" w:line="275" w:lineRule="exact"/>
        <w:rPr>
          <w:sz w:val="20"/>
          <w:szCs w:val="20"/>
          <w:color w:val="auto"/>
        </w:rPr>
      </w:pPr>
    </w:p>
    <w:p>
      <w:pPr>
        <w:ind w:left="1400" w:hanging="744"/>
        <w:spacing w:after="0"/>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Administrative Services</w:t>
      </w:r>
      <w:r>
        <w:rPr>
          <w:rFonts w:ascii="Arial" w:cs="Arial" w:eastAsia="Arial" w:hAnsi="Arial"/>
          <w:sz w:val="18"/>
          <w:szCs w:val="18"/>
          <w:color w:val="auto"/>
        </w:rPr>
        <w:t>” has the meaning set forth in the recitals.</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Administrative Services Agreement, as amended from time to time.</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Board of Directors</w:t>
      </w:r>
      <w:r>
        <w:rPr>
          <w:rFonts w:ascii="Arial" w:cs="Arial" w:eastAsia="Arial" w:hAnsi="Arial"/>
          <w:sz w:val="17"/>
          <w:szCs w:val="17"/>
          <w:color w:val="auto"/>
        </w:rPr>
        <w:t>” means the Board of Directors of New Fortress Energy LLC, the sole managing member of the Company.</w:t>
      </w:r>
    </w:p>
    <w:p>
      <w:pPr>
        <w:spacing w:after="0" w:line="290" w:lineRule="exact"/>
        <w:rPr>
          <w:rFonts w:ascii="Arial" w:cs="Arial" w:eastAsia="Arial" w:hAnsi="Arial"/>
          <w:sz w:val="17"/>
          <w:szCs w:val="17"/>
          <w:color w:val="auto"/>
        </w:rPr>
      </w:pPr>
    </w:p>
    <w:p>
      <w:pPr>
        <w:ind w:left="1400" w:hanging="744"/>
        <w:spacing w:after="0"/>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introductory paragraph.</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Delaware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hereof.</w:t>
      </w:r>
    </w:p>
    <w:p>
      <w:pPr>
        <w:spacing w:after="0" w:line="279" w:lineRule="exact"/>
        <w:rPr>
          <w:rFonts w:ascii="Arial" w:cs="Arial" w:eastAsia="Arial" w:hAnsi="Arial"/>
          <w:sz w:val="18"/>
          <w:szCs w:val="18"/>
          <w:color w:val="auto"/>
        </w:rPr>
      </w:pPr>
    </w:p>
    <w:p>
      <w:pPr>
        <w:jc w:val="both"/>
        <w:ind w:firstLine="656"/>
        <w:spacing w:after="0" w:line="314" w:lineRule="auto"/>
        <w:tabs>
          <w:tab w:leader="none" w:pos="159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Governing Instruments</w:t>
      </w:r>
      <w:r>
        <w:rPr>
          <w:rFonts w:ascii="Arial" w:cs="Arial" w:eastAsia="Arial" w:hAnsi="Arial"/>
          <w:sz w:val="16"/>
          <w:szCs w:val="16"/>
          <w:color w:val="auto"/>
        </w:rPr>
        <w:t>” means, with regard to any entity, the certificate or articles of incorporation and bylaws in the case of a corporation, certificate of limited partnership (if applicable) and the partnership agreement in the case of a general or limited partnership, the certificate or articles of formation and the operating agreement in the case of a limited liability company, or, for any other type of entity, comparable governing documents.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8" w:name="page229"/>
    <w:bookmarkEnd w:id="228"/>
    <w:p>
      <w:pPr>
        <w:ind w:left="1400" w:hanging="744"/>
        <w:spacing w:after="0"/>
        <w:tabs>
          <w:tab w:leader="none" w:pos="14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hereof.</w:t>
      </w:r>
    </w:p>
    <w:p>
      <w:pPr>
        <w:spacing w:after="0" w:line="279" w:lineRule="exact"/>
        <w:rPr>
          <w:rFonts w:ascii="Arial" w:cs="Arial" w:eastAsia="Arial" w:hAnsi="Arial"/>
          <w:sz w:val="18"/>
          <w:szCs w:val="18"/>
          <w:color w:val="auto"/>
        </w:rPr>
      </w:pPr>
    </w:p>
    <w:p>
      <w:pPr>
        <w:jc w:val="both"/>
        <w:ind w:firstLine="656"/>
        <w:spacing w:after="0" w:line="266" w:lineRule="auto"/>
        <w:tabs>
          <w:tab w:leader="none" w:pos="143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organization, trust, union, association or governmental or regulatory authority, or other entity, and shall include any successor (by merger or otherwise) of such entity.</w:t>
      </w:r>
    </w:p>
    <w:p>
      <w:pPr>
        <w:spacing w:after="0" w:line="230" w:lineRule="exact"/>
        <w:rPr>
          <w:rFonts w:ascii="Arial" w:cs="Arial" w:eastAsia="Arial" w:hAnsi="Arial"/>
          <w:sz w:val="18"/>
          <w:szCs w:val="18"/>
          <w:color w:val="auto"/>
        </w:rPr>
      </w:pPr>
    </w:p>
    <w:p>
      <w:pPr>
        <w:ind w:left="1360" w:hanging="704"/>
        <w:spacing w:after="0"/>
        <w:tabs>
          <w:tab w:leader="none" w:pos="13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Provider</w:t>
      </w:r>
      <w:r>
        <w:rPr>
          <w:rFonts w:ascii="Arial" w:cs="Arial" w:eastAsia="Arial" w:hAnsi="Arial"/>
          <w:sz w:val="18"/>
          <w:szCs w:val="18"/>
          <w:color w:val="auto"/>
        </w:rPr>
        <w:t>” has the meaning set forth in the introductory paragraph.</w:t>
      </w:r>
    </w:p>
    <w:p>
      <w:pPr>
        <w:spacing w:after="0" w:line="279" w:lineRule="exact"/>
        <w:rPr>
          <w:rFonts w:ascii="Arial" w:cs="Arial" w:eastAsia="Arial" w:hAnsi="Arial"/>
          <w:sz w:val="18"/>
          <w:szCs w:val="18"/>
          <w:color w:val="auto"/>
        </w:rPr>
      </w:pPr>
    </w:p>
    <w:p>
      <w:pPr>
        <w:jc w:val="both"/>
        <w:ind w:firstLine="656"/>
        <w:spacing w:after="0" w:line="284" w:lineRule="auto"/>
        <w:tabs>
          <w:tab w:leader="none" w:pos="149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with respect to any Person means: (i) a corporation, a majority of whose capital stock with voting power, under ordinary circumstances, to elect directors is at the time, directly or indirectly owned by such Person, by a Subsidiary of such Person, or by such Person and one or more Subsidiaries of such Person, without regard to whether the voting of such capital stock is subject to a voting agreement or similar Restriction, (ii) a partnership or limited liability company in which such Person or a Subsidiary of such Person is, at the date of determination, (A) in the case of a partnership, a general partner of such partnership with the power affirmatively to direct the policies and management of such partnership or (B) in the case of a limited liability company, the managing member or, in the absence of a managing member, a member with the power affirmatively to direct the policies and management of such limited liability company or (iii) any other Person (other than a corporation) in which such Person, a Subsidiary of such Person or such Person and one or more Subsidiaries of such Person, directly or indirectly, at the date of determination thereof, has (A) the power to elect or direct the election of a majority of the members of the governing body of such Person (whether or not such power is subject to a voting agreement or similar restriction) or</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the absence of such a governing body, a majority ownership interest.</w:t>
      </w:r>
    </w:p>
    <w:p>
      <w:pPr>
        <w:spacing w:after="0" w:line="23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SERVICES.</w:t>
      </w:r>
    </w:p>
    <w:p>
      <w:pPr>
        <w:spacing w:after="0" w:line="252" w:lineRule="exact"/>
        <w:rPr>
          <w:sz w:val="20"/>
          <w:szCs w:val="20"/>
          <w:color w:val="auto"/>
        </w:rPr>
      </w:pPr>
    </w:p>
    <w:p>
      <w:pPr>
        <w:jc w:val="both"/>
        <w:ind w:firstLine="656"/>
        <w:spacing w:after="0" w:line="259" w:lineRule="auto"/>
        <w:tabs>
          <w:tab w:leader="none" w:pos="14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hereby appoints the Provider and the Provider hereby agrees to provide such Administrative Services, upon the terms and conditions of this Agreement, to the Company and its Subsidiaries as the Board of Directors shall reasonably request by way of written notice to the Provider, which notice shall specify the Administrative Services requested and shall include all background material necessary for the Provider to complete such services.</w:t>
      </w:r>
    </w:p>
    <w:p>
      <w:pPr>
        <w:spacing w:after="0" w:line="240" w:lineRule="exact"/>
        <w:rPr>
          <w:rFonts w:ascii="Arial" w:cs="Arial" w:eastAsia="Arial" w:hAnsi="Arial"/>
          <w:sz w:val="18"/>
          <w:szCs w:val="18"/>
          <w:color w:val="auto"/>
        </w:rPr>
      </w:pPr>
    </w:p>
    <w:p>
      <w:pPr>
        <w:jc w:val="both"/>
        <w:ind w:firstLine="656"/>
        <w:spacing w:after="0" w:line="264" w:lineRule="auto"/>
        <w:tabs>
          <w:tab w:leader="none" w:pos="153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Provider, in its capacity as provider of the Administrative Services, at all times will be subject to the supervision of the Board of Directors and will have only such functions and authority as the Company may delegate to it including, without limitation, the functions and authority identified herein and delegated to the Provider hereby.</w:t>
      </w:r>
    </w:p>
    <w:p>
      <w:pPr>
        <w:spacing w:after="0" w:line="235" w:lineRule="exact"/>
        <w:rPr>
          <w:rFonts w:ascii="Arial" w:cs="Arial" w:eastAsia="Arial" w:hAnsi="Arial"/>
          <w:sz w:val="18"/>
          <w:szCs w:val="18"/>
          <w:color w:val="auto"/>
        </w:rPr>
      </w:pPr>
    </w:p>
    <w:p>
      <w:pPr>
        <w:jc w:val="both"/>
        <w:ind w:firstLine="656"/>
        <w:spacing w:after="0" w:line="312" w:lineRule="auto"/>
        <w:tabs>
          <w:tab w:leader="none" w:pos="145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Provider may enter into agreements with other parties, including its affiliates, to provide the Administrative Services, provided, that any such agreements entered into with affiliates of the Provider shall (i) be on terms that are substantially consistent in all material respects with the terms that could have been obtained in a comparable transaction by the Company with an unrelated Person and (ii) not relieve the Provider of its obligations hereunder.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29" w:name="page230"/>
    <w:bookmarkEnd w:id="229"/>
    <w:p>
      <w:pPr>
        <w:jc w:val="both"/>
        <w:ind w:firstLine="656"/>
        <w:spacing w:after="0" w:line="271" w:lineRule="auto"/>
        <w:tabs>
          <w:tab w:leader="none" w:pos="1425" w:val="left"/>
        </w:tabs>
        <w:numPr>
          <w:ilvl w:val="1"/>
          <w:numId w:val="236"/>
        </w:numPr>
        <w:rPr>
          <w:rFonts w:ascii="Arial" w:cs="Arial" w:eastAsia="Arial" w:hAnsi="Arial"/>
          <w:sz w:val="17"/>
          <w:szCs w:val="17"/>
          <w:color w:val="auto"/>
        </w:rPr>
      </w:pPr>
      <w:r>
        <w:rPr>
          <w:rFonts w:ascii="Arial" w:cs="Arial" w:eastAsia="Arial" w:hAnsi="Arial"/>
          <w:sz w:val="17"/>
          <w:szCs w:val="17"/>
          <w:color w:val="auto"/>
        </w:rPr>
        <w:t>The Provider may retain, for and on behalf, and at the sole cost and expense, of the Company, such services of accountants, legal counsel, tax counsel, appraisers, insurers, brokers or business developers, transfer agents, registrars, developers, investment banks, financial advisors, underwriters, asset managers, banks and other lenders and others as the Provider deems necessary or advisable in connection with the Administrative Services provided hereby. Notwithstanding anything contained herein to the contrary, the Provider shall have the right to cause any such services to be rendered by its employees or affiliates (which, for the avoidance of doubt, includes any employees, consultants or agents or any affiliate of the Provider). The Company shall pay or reimburse the Provider or its affiliates performing such services for the out-of-pocket cost thereof; provided, that such costs and reimbursements are substantially consistent in all material respects with those which would be payable to outside professionals or consultants engaged to perform such services pursuant to agreements with an unrelated Person.</w:t>
      </w:r>
    </w:p>
    <w:p>
      <w:pPr>
        <w:spacing w:after="0" w:line="232" w:lineRule="exact"/>
        <w:rPr>
          <w:rFonts w:ascii="Arial" w:cs="Arial" w:eastAsia="Arial" w:hAnsi="Arial"/>
          <w:sz w:val="17"/>
          <w:szCs w:val="17"/>
          <w:color w:val="auto"/>
        </w:rPr>
      </w:pPr>
    </w:p>
    <w:p>
      <w:pPr>
        <w:ind w:left="1500" w:hanging="844"/>
        <w:spacing w:after="0"/>
        <w:tabs>
          <w:tab w:leader="none" w:pos="150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 providing Administrative Services, the Provider shall be (i) entitled to rely reasonably on qualified experts hired by the Provider and</w:t>
      </w:r>
    </w:p>
    <w:p>
      <w:pPr>
        <w:spacing w:after="0" w:line="46" w:lineRule="exact"/>
        <w:rPr>
          <w:rFonts w:ascii="Arial" w:cs="Arial" w:eastAsia="Arial" w:hAnsi="Arial"/>
          <w:sz w:val="16"/>
          <w:szCs w:val="16"/>
          <w:color w:val="auto"/>
        </w:rPr>
      </w:pPr>
    </w:p>
    <w:p>
      <w:pPr>
        <w:jc w:val="both"/>
        <w:ind w:firstLine="8"/>
        <w:spacing w:after="0" w:line="255" w:lineRule="auto"/>
        <w:tabs>
          <w:tab w:leader="none" w:pos="28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fully protected in relying in good faith on the records of the Company and upon reports, opinions, and other information provided by officers of the Company and other Persons employed or engaged by the Company as to matters the Provider reasonably believes are within such other Person’s professional or expert competence.</w:t>
      </w:r>
    </w:p>
    <w:p>
      <w:pPr>
        <w:spacing w:after="0" w:line="21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color w:val="auto"/>
        </w:rPr>
        <w:t>DEVOTION OF TIME; ADDITIONAL ACTIVITIES.</w:t>
      </w:r>
    </w:p>
    <w:p>
      <w:pPr>
        <w:spacing w:after="0" w:line="252" w:lineRule="exact"/>
        <w:rPr>
          <w:sz w:val="20"/>
          <w:szCs w:val="20"/>
          <w:color w:val="auto"/>
        </w:rPr>
      </w:pPr>
    </w:p>
    <w:p>
      <w:pPr>
        <w:jc w:val="both"/>
        <w:ind w:firstLine="656"/>
        <w:spacing w:after="0" w:line="259" w:lineRule="auto"/>
        <w:tabs>
          <w:tab w:leader="none" w:pos="156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Provider shall devote such time and efforts to the performance of the Administrative Services as the Provider deems reasonably necessary or appropriate; provided, however, that no minimum number of hours is required to be devoted by the Provider on a weekly, monthly, annual or other basis. The Company shall not have any right to dictate or direct the details of the services rendered hereunder. The Provider shall perform all services to be provided hereunder as an independent contractor to the Company.</w:t>
      </w:r>
    </w:p>
    <w:p>
      <w:pPr>
        <w:spacing w:after="0" w:line="240" w:lineRule="exact"/>
        <w:rPr>
          <w:rFonts w:ascii="Arial" w:cs="Arial" w:eastAsia="Arial" w:hAnsi="Arial"/>
          <w:sz w:val="18"/>
          <w:szCs w:val="18"/>
          <w:color w:val="auto"/>
        </w:rPr>
      </w:pPr>
    </w:p>
    <w:p>
      <w:pPr>
        <w:jc w:val="both"/>
        <w:ind w:firstLine="656"/>
        <w:spacing w:after="0" w:line="264" w:lineRule="auto"/>
        <w:tabs>
          <w:tab w:leader="none" w:pos="160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Nothing herein shall prevent the Provider or any of its affiliates or any of the officers and employees of any of the foregoing from engaging in other businesses or from rendering services of any kind to any other Person, including investment in, or advisory service to others investing in, the liquid natural gas business.</w:t>
      </w:r>
    </w:p>
    <w:p>
      <w:pPr>
        <w:spacing w:after="0" w:line="235" w:lineRule="exact"/>
        <w:rPr>
          <w:rFonts w:ascii="Arial" w:cs="Arial" w:eastAsia="Arial" w:hAnsi="Arial"/>
          <w:sz w:val="18"/>
          <w:szCs w:val="18"/>
          <w:color w:val="auto"/>
        </w:rPr>
      </w:pPr>
    </w:p>
    <w:p>
      <w:pPr>
        <w:jc w:val="both"/>
        <w:ind w:firstLine="656"/>
        <w:spacing w:after="0" w:line="279" w:lineRule="auto"/>
        <w:tabs>
          <w:tab w:leader="none" w:pos="142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Managers, members, partners, officers, employees and agents of the Provider or affiliates of the Provider may serve as directors, officers, employees, agents, nominees or signatories for the Company or any Subsidiary, to the extent permitted by their Governing Instruments, as from time to time amended, or by any resolutions duly adopted by the Board of Directors pursuant to the Company’s Governing Instruments. When executing documents or otherwise acting in such capacities for the Company, such Persons shall use their respective titles in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0" w:name="page231"/>
    <w:bookmarkEnd w:id="230"/>
    <w:p>
      <w:pPr>
        <w:ind w:left="660"/>
        <w:spacing w:after="0"/>
        <w:tabs>
          <w:tab w:leader="none" w:pos="21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color w:val="auto"/>
        </w:rPr>
        <w:t>CONFIDENTIALITY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Provider shall keep confidential any and all non-public information obtained in connection with the services rendered under this Agreement and shall not disclose any such information to any Person, except to (i) its affiliates, members, officers, directors, employees, agents, representatives, subcontractors or advisors who have a need to know such information in order to carry out their duties to the Company and who have a duty to the Provider or to the Company to keep such information confidential, (ii) to appraisers, financing sources and others in the ordinary course of the Provider’s business for the purpose of rendering services hereunder, provided that such Persons agree to keep such information confidential, (iii) in connection with any governmental or regulatory requests of the Provider and any of its affiliates, members, officers, directors, employees, agents, representatives, subcontractors or advisors, (iv) as required by applicable law or regulation or (v) with the prior written consent of the Board of Directors.</w:t>
      </w:r>
    </w:p>
    <w:p>
      <w:pPr>
        <w:spacing w:after="0" w:line="20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COMPENSATION.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and until otherwise agreed between the Company and the Provider, during the term of this Agreement (as the same may be extended from time to time), the Provider will not receive any service fee from the Company. If the Company and the Provider agree at a later time to include a service fee in the terms of this Agreement, such service fee will be negotiated between the Company and the Provider in good faith.</w:t>
      </w:r>
    </w:p>
    <w:p>
      <w:pPr>
        <w:spacing w:after="0" w:line="193"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EXPENSES OF THE COMPANY.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agreed by the Provider, the Company shall pay all of its expenses and shall promptly reimburse the Provider or (for the avoidance of doubt) its affiliates for documented expenses of the Provider or its affiliates incurred on its behalf or in connection with the Administrative Services provided hereunder, including any expenses incurred prior to the date of this Agreement.</w:t>
      </w:r>
    </w:p>
    <w:p>
      <w:pPr>
        <w:spacing w:after="0" w:line="20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LIMITS OF PROVIDER RESPONSIBILITY; INDEMNIFICATION.</w:t>
      </w:r>
    </w:p>
    <w:p>
      <w:pPr>
        <w:spacing w:after="0" w:line="252" w:lineRule="exact"/>
        <w:rPr>
          <w:sz w:val="20"/>
          <w:szCs w:val="20"/>
          <w:color w:val="auto"/>
        </w:rPr>
      </w:pPr>
    </w:p>
    <w:p>
      <w:pPr>
        <w:jc w:val="both"/>
        <w:ind w:firstLine="656"/>
        <w:spacing w:after="0" w:line="286" w:lineRule="auto"/>
        <w:tabs>
          <w:tab w:leader="none" w:pos="152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Company shall (i) indemnify and hold harmless the Provider and each of its affiliates, and each of their respective equityholders, directors, officers, employees, sub-advisors, agents and controlling Persons and each of their respective affiliates (collectively, the “</w:t>
      </w:r>
      <w:r>
        <w:rPr>
          <w:rFonts w:ascii="Arial" w:cs="Arial" w:eastAsia="Arial" w:hAnsi="Arial"/>
          <w:sz w:val="16"/>
          <w:szCs w:val="16"/>
          <w:b w:val="1"/>
          <w:bCs w:val="1"/>
          <w:u w:val="single" w:color="auto"/>
          <w:color w:val="auto"/>
        </w:rPr>
        <w:t>Indemnified Parties</w:t>
      </w:r>
      <w:r>
        <w:rPr>
          <w:rFonts w:ascii="Arial" w:cs="Arial" w:eastAsia="Arial" w:hAnsi="Arial"/>
          <w:sz w:val="16"/>
          <w:szCs w:val="16"/>
          <w:color w:val="auto"/>
        </w:rPr>
        <w:t>”), to the fullest extent permitted by law, from and against any and all losses, claims, damages and liabilities, joint or several, to which any Indemnified Party may become subject, caused by, related to or arising out of this Agreement, the Administrative Services or any other advice or services contemplated by this Agreement or the engagement of the Provider pursuant to, and the performance by any Indemnified Party of the Administrative Services contemplated by, this Agreement and (ii) pay in advance of the final disposition of any pending or threatened claim or any action or proceeding to, or reimburse, each Indemnified Party all costs and expenses (including reasonable attorney’s fees and expenses), as incurred, in connection with the investigation of, preparation for or defense of any such pending or threatened claim or any such action or proceeding arising therefrom, whether or not such Indemnified Party is a party and whether or not such claim, action or proceeding is initiated or brought by or on behalf of the Company and whether or not resulting in any liability. Notwithstanding the preceding sentence, the Company shall not be liable to an Indemnified Party pursuant to this Section 7(a) to the extent that such loss, claim, damage, liability, cost or expense is found in a final non-appealable judgment by a court of competent jurisdiction to have resulted from such Indemnified Party’s willful misconduct or fraud. An Indemnified Party shall repay to the Company all amounts advanced to such Indemnified Party if it is ultimately determined that such Indemnified Party is not entitled to indemnification hereunder.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1" w:name="page232"/>
    <w:bookmarkEnd w:id="231"/>
    <w:p>
      <w:pPr>
        <w:jc w:val="both"/>
        <w:ind w:firstLine="656"/>
        <w:spacing w:after="0" w:line="276" w:lineRule="auto"/>
        <w:tabs>
          <w:tab w:leader="none" w:pos="143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Company agrees that no Indemnified Party shall have any liability (whether direct or indirect, in contract or tort, or otherwise) to the Company, any member or any other Person related to or arising out of this Agreement, the Administrative Services or any other advice or services contemplated by this Agreement or the engagement of the Provider pursuant to, and the performance by any Indemnified Party of the Administrative Services contemplated by, this Agreement, except to the extent that any loss, claim, damage, liability, cost or expense is found in a final non-appealable judgment by a court of competent jurisdiction to have resulted from such Indemnified Party’s willful misconduct or fraud.</w:t>
      </w:r>
    </w:p>
    <w:p>
      <w:pPr>
        <w:spacing w:after="0" w:line="226" w:lineRule="exact"/>
        <w:rPr>
          <w:rFonts w:ascii="Arial" w:cs="Arial" w:eastAsia="Arial" w:hAnsi="Arial"/>
          <w:sz w:val="17"/>
          <w:szCs w:val="17"/>
          <w:color w:val="auto"/>
        </w:rPr>
      </w:pPr>
    </w:p>
    <w:p>
      <w:pPr>
        <w:jc w:val="both"/>
        <w:ind w:firstLine="656"/>
        <w:spacing w:after="0" w:line="259" w:lineRule="auto"/>
        <w:tabs>
          <w:tab w:leader="none" w:pos="141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Provider shall, to the full extent lawful, reimburse, indemnify and hold the Company, its equityholders, directors, officers, employees and controlling Persons, harmless of and from any and all expenses, losses, damages, liabilities, demands, charges and claims of any nature whatsoever (including attorneys’ fees) to the extent that such expense, loss, damage, liability, demand, charge or claim is found in a final non-appealable judgment by a court of competent jurisdiction to have resulted from the Provider’s willful misconduct or fraud.</w:t>
      </w:r>
    </w:p>
    <w:p>
      <w:pPr>
        <w:spacing w:after="0" w:line="21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NO PARTNERSHIP OR JOINT VENTURE.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Nothing in this Agreement shall be construed to make the Company and the Provider partners or joint venturers or impose any liability as such on either of them.</w:t>
      </w:r>
    </w:p>
    <w:p>
      <w:pPr>
        <w:spacing w:after="0" w:line="19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TERMINATION.</w:t>
      </w:r>
    </w:p>
    <w:p>
      <w:pPr>
        <w:spacing w:after="0" w:line="252" w:lineRule="exact"/>
        <w:rPr>
          <w:sz w:val="20"/>
          <w:szCs w:val="20"/>
          <w:color w:val="auto"/>
        </w:rPr>
      </w:pPr>
    </w:p>
    <w:p>
      <w:pPr>
        <w:jc w:val="both"/>
        <w:ind w:firstLine="656"/>
        <w:spacing w:after="0" w:line="264" w:lineRule="auto"/>
        <w:tabs>
          <w:tab w:leader="none" w:pos="14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This Agreement may be terminated at any time by (i) written agreement of the Company and the Provider or (ii) by either the Company or the Provider, upon 60 days’ prior written notice to the other party and this Agreement shall terminate upon the expiration of such 60 day period unless the parties shall otherwise agree.</w:t>
      </w:r>
    </w:p>
    <w:p>
      <w:pPr>
        <w:spacing w:after="0" w:line="235" w:lineRule="exact"/>
        <w:rPr>
          <w:rFonts w:ascii="Arial" w:cs="Arial" w:eastAsia="Arial" w:hAnsi="Arial"/>
          <w:sz w:val="18"/>
          <w:szCs w:val="18"/>
          <w:color w:val="auto"/>
        </w:rPr>
      </w:pPr>
    </w:p>
    <w:p>
      <w:pPr>
        <w:ind w:right="20" w:firstLine="656"/>
        <w:spacing w:after="0" w:line="277" w:lineRule="auto"/>
        <w:tabs>
          <w:tab w:leader="none" w:pos="150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such termination shall be without any further liability or obligation of either party to the other. In addition,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shall survive termination of this Agreement.</w:t>
      </w:r>
    </w:p>
    <w:p>
      <w:pPr>
        <w:spacing w:after="0" w:line="19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ASSIGNMENT.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of the parties hereto shall have the right to assign this Agreement without the prior written consent of the other party; provided, that no consent of the Company shall be required in the case of an assignment by the Provider to an entity whose day-to-day business and operations are managed or supervised by Mr. Wesley R. Edens or individuals under Mr. Eden’s supervision.</w:t>
      </w:r>
    </w:p>
    <w:p>
      <w:pPr>
        <w:spacing w:after="0" w:line="20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All notices, requests, consents and other communications required or permitted hereunder shall be in writing and shall be hand delivered or mailed postage prepaid by registered or certified mail, electronic mail or by facsimile transmission (with immediate telephonic confirmation thereafter),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2" w:name="page233"/>
    <w:bookmarkEnd w:id="232"/>
    <w:p>
      <w:pPr>
        <w:ind w:left="2360" w:hanging="1055"/>
        <w:spacing w:after="0"/>
        <w:tabs>
          <w:tab w:leader="none" w:pos="23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Fortress Intermediate LLC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c/o New Fortress Energy LLC</w:t>
      </w:r>
    </w:p>
    <w:p>
      <w:pPr>
        <w:ind w:left="2220"/>
        <w:spacing w:after="0" w:line="182" w:lineRule="auto"/>
        <w:rPr>
          <w:sz w:val="20"/>
          <w:szCs w:val="20"/>
          <w:color w:val="auto"/>
        </w:rPr>
      </w:pPr>
      <w:r>
        <w:rPr>
          <w:rFonts w:ascii="Arial" w:cs="Arial" w:eastAsia="Arial" w:hAnsi="Arial"/>
          <w:sz w:val="16"/>
          <w:szCs w:val="16"/>
          <w:color w:val="auto"/>
        </w:rPr>
        <w:t>111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2220"/>
        <w:spacing w:after="0"/>
        <w:rPr>
          <w:sz w:val="20"/>
          <w:szCs w:val="20"/>
          <w:color w:val="auto"/>
        </w:rPr>
      </w:pPr>
      <w:r>
        <w:rPr>
          <w:rFonts w:ascii="Arial" w:cs="Arial" w:eastAsia="Arial" w:hAnsi="Arial"/>
          <w:sz w:val="18"/>
          <w:szCs w:val="18"/>
          <w:color w:val="auto"/>
        </w:rPr>
        <w:t>New York, New York 10111</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Attention: Christopher Guinta</w:t>
      </w:r>
    </w:p>
    <w:p>
      <w:pPr>
        <w:spacing w:after="0" w:line="9" w:lineRule="exact"/>
        <w:rPr>
          <w:sz w:val="20"/>
          <w:szCs w:val="20"/>
          <w:color w:val="auto"/>
        </w:rPr>
      </w:pPr>
    </w:p>
    <w:p>
      <w:pPr>
        <w:ind w:left="2220"/>
        <w:spacing w:after="0"/>
        <w:tabs>
          <w:tab w:leader="none" w:pos="3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cguinta@newfortressenergy.com</w:t>
      </w:r>
    </w:p>
    <w:p>
      <w:pPr>
        <w:spacing w:after="0" w:line="265" w:lineRule="exact"/>
        <w:rPr>
          <w:sz w:val="20"/>
          <w:szCs w:val="20"/>
          <w:color w:val="auto"/>
        </w:rPr>
      </w:pPr>
    </w:p>
    <w:p>
      <w:pPr>
        <w:ind w:left="2420" w:hanging="1070"/>
        <w:spacing w:after="0"/>
        <w:tabs>
          <w:tab w:leader="none" w:pos="24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to the Provider:</w:t>
      </w:r>
    </w:p>
    <w:p>
      <w:pPr>
        <w:spacing w:after="0" w:line="25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FIG LLC</w:t>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1345 Avenue of the Americas</w:t>
      </w:r>
    </w:p>
    <w:p>
      <w:pPr>
        <w:ind w:left="2220"/>
        <w:spacing w:after="0" w:line="184" w:lineRule="auto"/>
        <w:rPr>
          <w:sz w:val="20"/>
          <w:szCs w:val="20"/>
          <w:color w:val="auto"/>
        </w:rPr>
      </w:pPr>
      <w:r>
        <w:rPr>
          <w:rFonts w:ascii="Arial" w:cs="Arial" w:eastAsia="Arial" w:hAnsi="Arial"/>
          <w:sz w:val="16"/>
          <w:szCs w:val="16"/>
          <w:color w:val="auto"/>
        </w:rPr>
        <w:t>46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10105</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Attention: David Brooks</w:t>
      </w:r>
    </w:p>
    <w:p>
      <w:pPr>
        <w:spacing w:after="0" w:line="9" w:lineRule="exact"/>
        <w:rPr>
          <w:sz w:val="20"/>
          <w:szCs w:val="20"/>
          <w:color w:val="auto"/>
        </w:rPr>
      </w:pPr>
    </w:p>
    <w:p>
      <w:pPr>
        <w:ind w:left="2220"/>
        <w:spacing w:after="0"/>
        <w:tabs>
          <w:tab w:leader="none" w:pos="3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dbrooks@fortress.com</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or at such other address as the Company or the Provider each may specify by written notice to the others, and each such notice, request, consent and other communication shall for all purposes of the Agreement be treated as being effective or having been given when delivered (i) upon receipt of such notice if delivered personally, (ii) upon receipt of facsimile confirmation if transmitted by facsimile, (iii) if sent by mail, at the earlier of its receipt or 72 hours after the same has been deposited in a regularly maintained receptacle for the deposit of United States mail, addressed and postage prepaid as aforesaid, or (iv) if delivered by electronic or any other means, when delivered to the address specified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20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BINDING NATURE OF AGREEMENT; SUCCESSORS AND ASSIGNS.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Agreement shall be binding upon and inure to the benefit of the parties hereto and their respective heirs, personal representatives, successors and permitted assigns as provided in this Agreement.</w:t>
      </w:r>
    </w:p>
    <w:p>
      <w:pPr>
        <w:spacing w:after="0" w:line="19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ENTIRE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Agreement, as in effect on the date hereof and as may be amended, restated, modified or supplemented from time to time, constitutes the entire agreement between the parties hereto relating to the subject matter hereof and supersedes all prior contracts, agreements, discussions and understandings between them. No course of prior dealings between the parties shall be relevant to supplement or explain any term used in this Agreement. Acceptance or acquiescence in a course of performance rendered under this Agreement shall not be relevant to determine the meaning of this Agreement even though the accepting or the acquiescing party has knowledge of the nature of the performance and an opportunity for objection. No waiver of any terms or conditions of this Agreement in one instance shall operate as a waiver of any other term or condition or as a waiver in any other instance.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3" w:name="page234"/>
    <w:bookmarkEnd w:id="233"/>
    <w:p>
      <w:pPr>
        <w:ind w:left="660"/>
        <w:spacing w:after="0"/>
        <w:tabs>
          <w:tab w:leader="none" w:pos="212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GOVERNING LAW; SEVERABILITY.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Agreement shall be governed by and construed in accordance with the laws of the State of Delaware without giving effect to the principles of conflicts of law. If it shall be determined by a court of competent jurisdiction that any provisions or wording of this Agreement shall be invalid or unenforceable under applicable law, such invalidity or unenforceability shall not invalidate the entire Agreement. In that case, this Agreement shall be construed so as to limit any term or provision so as to make it enforceable or valid within the requirements of applicable law, and, in the event such term or provisions cannot be so limited, this Agreement shall be construed to be substituted with terms and provisions as closely equivalent to such invalid or unenforceable terms or provisions as permissible under applicable law. If it shall be determined by a court of competent jurisdiction that any provision of this Agreement is invalid or unenforceable, this Agreement shall be construed or interpreted so as (a) to make it enforceable or valid and (b) to make such provisions as closely equivalent to those set forth in this Agreement as is permissible under applicable law.</w:t>
      </w:r>
    </w:p>
    <w:p>
      <w:pPr>
        <w:spacing w:after="0" w:line="206"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JURISDICTION; WAIVER OF JURY TRIAL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Any action or proceeding seeking to enforce any provision of, or based on any right arising out of, or relating in any manner to, this Agreement, must be brought against any of the parties in the Court of Chancery of the State of Delaware or, in the event that such court does not have subject matter jurisdiction, to another court of the State of Delaware or a U.S. federal court located in the State of Delaware (collectively, “</w:t>
      </w:r>
      <w:r>
        <w:rPr>
          <w:rFonts w:ascii="Arial" w:cs="Arial" w:eastAsia="Arial" w:hAnsi="Arial"/>
          <w:sz w:val="16"/>
          <w:szCs w:val="16"/>
          <w:b w:val="1"/>
          <w:bCs w:val="1"/>
          <w:u w:val="single" w:color="auto"/>
          <w:color w:val="auto"/>
        </w:rPr>
        <w:t>Delaware Courts</w:t>
      </w:r>
      <w:r>
        <w:rPr>
          <w:rFonts w:ascii="Arial" w:cs="Arial" w:eastAsia="Arial" w:hAnsi="Arial"/>
          <w:sz w:val="16"/>
          <w:szCs w:val="16"/>
          <w:color w:val="auto"/>
        </w:rPr>
        <w:t xml:space="preserve">”), and each party irrevocably submits to the exclusive jurisdiction of the Delaware Courts and hereby consents to service of process in any such action or proceeding by the delivery of such process to such party at the address and in the manner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Each party hereby irrevocably and unconditionally waives any objection to the laying of venue in any such action or proceeding in the Delaware Courts and hereby further irrevocably and unconditionally waives and agrees not to plead or claim in any such court that any action, suit or proceeding brought in any such court has been brought in an inconvenient forum. EACH PARTY IRREVOCABLY WAIVES TRIAL BY JURY IN ANY ACTION OR PROCEEDING WITH RESPECT TO THIS AGREEMENT.</w:t>
      </w:r>
    </w:p>
    <w:p>
      <w:pPr>
        <w:spacing w:after="0" w:line="19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color w:val="auto"/>
        </w:rPr>
        <w:t>NO IMPLIED WAIVERS.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0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color w:val="auto"/>
        </w:rPr>
        <w:t>HEADINGS.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and other headings contained in this Agreement are for reference purposes only and are not intended to describe, interpret, define or limit the scope or intent of this Agreement or any provision hereof.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4" w:name="page235"/>
    <w:bookmarkEnd w:id="234"/>
    <w:p>
      <w:pPr>
        <w:ind w:left="660"/>
        <w:spacing w:after="0"/>
        <w:tabs>
          <w:tab w:leader="none" w:pos="21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color w:val="auto"/>
        </w:rPr>
        <w:t>COUNTERPARTS; EFFECTIVENESS.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may be executed in several counterparts with the same effect as if the parties executing the several counterparts had all executed one counterpart. All such counterparts shall be deemed an original, shall be construed together and shall constitute one and the same instrument. This Agreement shall become effective when each party hereto shall have received counterparts hereof signed by the other party hereto.</w:t>
      </w:r>
    </w:p>
    <w:p>
      <w:pPr>
        <w:spacing w:after="0" w:line="19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7"/>
          <w:szCs w:val="17"/>
          <w:color w:val="auto"/>
        </w:rPr>
        <w:t>GENDER.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Words used herein regardless of the number and gender specifically used, shall be deemed and construed to include any other number, singular or plural, and any other gender, masculine, feminine or neuter, as the context requires.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NEW FORTRESS INTERMEDIATE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By: New Fortress Energy LLC, its sole managing member</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23495</wp:posOffset>
            </wp:positionV>
            <wp:extent cx="340487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PROVIDER:</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FIG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23495</wp:posOffset>
            </wp:positionV>
            <wp:extent cx="340487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Randal A. Nardone</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left="2940"/>
        <w:spacing w:after="0"/>
        <w:rPr>
          <w:sz w:val="20"/>
          <w:szCs w:val="20"/>
          <w:color w:val="auto"/>
        </w:rPr>
      </w:pPr>
      <w:r>
        <w:rPr>
          <w:rFonts w:ascii="Arial" w:cs="Arial" w:eastAsia="Arial" w:hAnsi="Arial"/>
          <w:sz w:val="18"/>
          <w:szCs w:val="18"/>
          <w:b w:val="1"/>
          <w:bCs w:val="1"/>
          <w:i w:val="1"/>
          <w:iCs w:val="1"/>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255270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499"/>
          </w:cols>
          <w:pgMar w:left="960" w:top="152" w:right="1440"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94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Wesley R. Edens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37" w:name="page238"/>
    <w:bookmarkEnd w:id="237"/>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224" w:lineRule="exact"/>
        <w:rPr>
          <w:sz w:val="20"/>
          <w:szCs w:val="20"/>
          <w:color w:val="auto"/>
        </w:rPr>
      </w:pPr>
    </w:p>
    <w:p>
      <w:pPr>
        <w:ind w:left="1500" w:hanging="844"/>
        <w:spacing w:after="0"/>
        <w:tabs>
          <w:tab w:leader="none" w:pos="150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In addition to terms defined elsewhere herein, the following terms have the following meanings when used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color w:val="auto"/>
        </w:rPr>
      </w:pPr>
    </w:p>
    <w:p>
      <w:pPr>
        <w:ind w:left="1960" w:right="120" w:hanging="655"/>
        <w:spacing w:after="0" w:line="302" w:lineRule="auto"/>
        <w:tabs>
          <w:tab w:leader="none" w:pos="1960"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244"/>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8" w:name="page239"/>
    <w:bookmarkEnd w:id="238"/>
    <w:p>
      <w:pPr>
        <w:ind w:left="760" w:hanging="655"/>
        <w:spacing w:after="0" w:line="289" w:lineRule="auto"/>
        <w:tabs>
          <w:tab w:leader="none" w:pos="76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9" w:name="page240"/>
    <w:bookmarkEnd w:id="239"/>
    <w:p>
      <w:pPr>
        <w:ind w:left="1304" w:right="220" w:hanging="655"/>
        <w:spacing w:after="0" w:line="259" w:lineRule="auto"/>
        <w:tabs>
          <w:tab w:leader="none" w:pos="130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79" w:lineRule="exact"/>
        <w:rPr>
          <w:rFonts w:ascii="Arial" w:cs="Arial" w:eastAsia="Arial" w:hAnsi="Arial"/>
          <w:sz w:val="18"/>
          <w:szCs w:val="18"/>
          <w:color w:val="auto"/>
        </w:rPr>
      </w:pPr>
    </w:p>
    <w:p>
      <w:pPr>
        <w:ind w:left="844" w:hanging="844"/>
        <w:spacing w:after="0"/>
        <w:tabs>
          <w:tab w:leader="none" w:pos="844"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3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40" w:name="page241"/>
    <w:bookmarkEnd w:id="240"/>
    <w:p>
      <w:pPr>
        <w:ind w:left="760" w:hanging="655"/>
        <w:spacing w:after="0" w:line="284" w:lineRule="auto"/>
        <w:tabs>
          <w:tab w:leader="none" w:pos="7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241" w:name="page242"/>
    <w:bookmarkEnd w:id="241"/>
    <w:p>
      <w:pPr>
        <w:ind w:firstLine="656"/>
        <w:spacing w:after="0" w:line="271" w:lineRule="auto"/>
        <w:tabs>
          <w:tab w:leader="none" w:pos="1323"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232" w:lineRule="exact"/>
        <w:rPr>
          <w:rFonts w:ascii="Arial" w:cs="Arial" w:eastAsia="Arial" w:hAnsi="Arial"/>
          <w:sz w:val="17"/>
          <w:szCs w:val="17"/>
          <w:color w:val="auto"/>
        </w:rPr>
      </w:pPr>
    </w:p>
    <w:p>
      <w:pPr>
        <w:ind w:right="40" w:firstLine="656"/>
        <w:spacing w:after="0" w:line="255" w:lineRule="auto"/>
        <w:tabs>
          <w:tab w:leader="none" w:pos="1323"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right="60" w:firstLine="656"/>
        <w:spacing w:after="0" w:line="259" w:lineRule="auto"/>
        <w:tabs>
          <w:tab w:leader="none" w:pos="1323"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right="60" w:firstLine="656"/>
        <w:spacing w:after="0" w:line="291" w:lineRule="auto"/>
        <w:tabs>
          <w:tab w:leader="none" w:pos="1323"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2" w:name="page243"/>
    <w:bookmarkEnd w:id="242"/>
    <w:p>
      <w:pPr>
        <w:ind w:right="40" w:firstLine="656"/>
        <w:spacing w:after="0" w:line="254" w:lineRule="auto"/>
        <w:tabs>
          <w:tab w:leader="none" w:pos="1323"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246" w:lineRule="exact"/>
        <w:rPr>
          <w:rFonts w:ascii="Arial" w:cs="Arial" w:eastAsia="Arial" w:hAnsi="Arial"/>
          <w:sz w:val="18"/>
          <w:szCs w:val="18"/>
          <w:color w:val="auto"/>
        </w:rPr>
      </w:pPr>
    </w:p>
    <w:p>
      <w:pPr>
        <w:ind w:right="20" w:firstLine="656"/>
        <w:spacing w:after="0" w:line="272" w:lineRule="auto"/>
        <w:tabs>
          <w:tab w:leader="none" w:pos="1323"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323"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140" w:firstLine="656"/>
        <w:spacing w:after="0" w:line="257" w:lineRule="auto"/>
        <w:tabs>
          <w:tab w:leader="none" w:pos="1305"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ind w:right="100" w:firstLine="656"/>
        <w:spacing w:after="0" w:line="264" w:lineRule="auto"/>
        <w:tabs>
          <w:tab w:leader="none" w:pos="1299"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43" w:name="page244"/>
    <w:bookmarkEnd w:id="243"/>
    <w:p>
      <w:pPr>
        <w:ind w:left="-20" w:right="100" w:firstLine="656"/>
        <w:spacing w:after="0" w:line="302" w:lineRule="auto"/>
        <w:tabs>
          <w:tab w:leader="none" w:pos="1393"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20" w:right="60" w:firstLine="656"/>
        <w:spacing w:after="0" w:line="287" w:lineRule="auto"/>
        <w:tabs>
          <w:tab w:leader="none" w:pos="1393"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ind w:left="-20" w:firstLine="656"/>
        <w:spacing w:after="0" w:line="264" w:lineRule="auto"/>
        <w:tabs>
          <w:tab w:leader="none" w:pos="1393"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244" w:name="page245"/>
    <w:bookmarkEnd w:id="244"/>
    <w:p>
      <w:pPr>
        <w:ind w:left="-20" w:firstLine="656"/>
        <w:spacing w:after="0" w:line="268" w:lineRule="auto"/>
        <w:tabs>
          <w:tab w:leader="none" w:pos="1393"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left="-20" w:right="100" w:firstLine="656"/>
        <w:spacing w:after="0" w:line="257" w:lineRule="auto"/>
        <w:tabs>
          <w:tab w:leader="none" w:pos="1393"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left="-20" w:right="120" w:firstLine="656"/>
        <w:spacing w:after="0" w:line="271" w:lineRule="auto"/>
        <w:tabs>
          <w:tab w:leader="none" w:pos="1393"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245" w:name="page246"/>
    <w:bookmarkEnd w:id="245"/>
    <w:p>
      <w:pPr>
        <w:ind w:firstLine="656"/>
        <w:spacing w:after="0" w:line="312" w:lineRule="auto"/>
        <w:tabs>
          <w:tab w:leader="none" w:pos="141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200" w:lineRule="exact"/>
        <w:rPr>
          <w:rFonts w:ascii="Arial" w:cs="Arial" w:eastAsia="Arial" w:hAnsi="Arial"/>
          <w:sz w:val="16"/>
          <w:szCs w:val="16"/>
          <w:color w:val="auto"/>
        </w:rPr>
      </w:pPr>
    </w:p>
    <w:p>
      <w:pPr>
        <w:ind w:right="40" w:firstLine="656"/>
        <w:spacing w:after="0" w:line="293" w:lineRule="auto"/>
        <w:tabs>
          <w:tab w:leader="none" w:pos="141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right="40" w:firstLine="656"/>
        <w:spacing w:after="0" w:line="259" w:lineRule="auto"/>
        <w:tabs>
          <w:tab w:leader="none" w:pos="1413"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ind w:right="40" w:firstLine="656"/>
        <w:spacing w:after="0" w:line="312" w:lineRule="auto"/>
        <w:tabs>
          <w:tab w:leader="none" w:pos="141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60" w:hanging="804"/>
        <w:spacing w:after="0"/>
        <w:tabs>
          <w:tab w:leader="none" w:pos="1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jc w:val="right"/>
        <w:ind w:right="8340"/>
        <w:spacing w:after="0"/>
        <w:tabs>
          <w:tab w:leader="none" w:pos="95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David P. Oelman</w:t>
      </w:r>
    </w:p>
    <w:p>
      <w:pPr>
        <w:spacing w:after="0" w:line="9" w:lineRule="exact"/>
        <w:rPr>
          <w:sz w:val="20"/>
          <w:szCs w:val="20"/>
          <w:color w:val="auto"/>
        </w:rPr>
      </w:pPr>
    </w:p>
    <w:p>
      <w:pPr>
        <w:jc w:val="right"/>
        <w:ind w:right="834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6" w:name="page247"/>
    <w:bookmarkEnd w:id="246"/>
    <w:p>
      <w:pPr>
        <w:ind w:left="1460" w:hanging="804"/>
        <w:spacing w:after="0"/>
        <w:tabs>
          <w:tab w:leader="none" w:pos="1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413"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20" w:firstLine="656"/>
        <w:spacing w:after="0" w:line="277" w:lineRule="auto"/>
        <w:tabs>
          <w:tab w:leader="none" w:pos="1413"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140" w:firstLine="656"/>
        <w:spacing w:after="0" w:line="277" w:lineRule="auto"/>
        <w:tabs>
          <w:tab w:leader="none" w:pos="1413"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47" w:name="page248"/>
    <w:bookmarkEnd w:id="247"/>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946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Christopher S. Guinta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49" w:name="page250"/>
    <w:bookmarkEnd w:id="249"/>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224" w:lineRule="exact"/>
        <w:rPr>
          <w:sz w:val="20"/>
          <w:szCs w:val="20"/>
          <w:color w:val="auto"/>
        </w:rPr>
      </w:pPr>
    </w:p>
    <w:p>
      <w:pPr>
        <w:ind w:left="1500" w:hanging="844"/>
        <w:spacing w:after="0"/>
        <w:tabs>
          <w:tab w:leader="none" w:pos="150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In addition to terms defined elsewhere herein, the following terms have the following meanings when used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color w:val="auto"/>
        </w:rPr>
      </w:pPr>
    </w:p>
    <w:p>
      <w:pPr>
        <w:ind w:left="1960" w:right="120" w:hanging="655"/>
        <w:spacing w:after="0" w:line="302" w:lineRule="auto"/>
        <w:tabs>
          <w:tab w:leader="none" w:pos="1960"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0" w:name="page251"/>
    <w:bookmarkEnd w:id="250"/>
    <w:p>
      <w:pPr>
        <w:ind w:left="760" w:hanging="655"/>
        <w:spacing w:after="0" w:line="289" w:lineRule="auto"/>
        <w:tabs>
          <w:tab w:leader="none" w:pos="76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51" w:name="page252"/>
    <w:bookmarkEnd w:id="251"/>
    <w:p>
      <w:pPr>
        <w:ind w:left="1304" w:right="220" w:hanging="655"/>
        <w:spacing w:after="0" w:line="259" w:lineRule="auto"/>
        <w:tabs>
          <w:tab w:leader="none" w:pos="1304"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79" w:lineRule="exact"/>
        <w:rPr>
          <w:rFonts w:ascii="Arial" w:cs="Arial" w:eastAsia="Arial" w:hAnsi="Arial"/>
          <w:sz w:val="18"/>
          <w:szCs w:val="18"/>
          <w:color w:val="auto"/>
        </w:rPr>
      </w:pPr>
    </w:p>
    <w:p>
      <w:pPr>
        <w:ind w:left="844" w:hanging="844"/>
        <w:spacing w:after="0"/>
        <w:tabs>
          <w:tab w:leader="none" w:pos="844"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3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252" w:name="page253"/>
    <w:bookmarkEnd w:id="252"/>
    <w:p>
      <w:pPr>
        <w:ind w:left="760" w:hanging="655"/>
        <w:spacing w:after="0" w:line="284" w:lineRule="auto"/>
        <w:tabs>
          <w:tab w:leader="none" w:pos="7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253" w:name="page254"/>
    <w:bookmarkEnd w:id="253"/>
    <w:p>
      <w:pPr>
        <w:ind w:firstLine="656"/>
        <w:spacing w:after="0" w:line="271" w:lineRule="auto"/>
        <w:tabs>
          <w:tab w:leader="none" w:pos="1323"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232" w:lineRule="exact"/>
        <w:rPr>
          <w:rFonts w:ascii="Arial" w:cs="Arial" w:eastAsia="Arial" w:hAnsi="Arial"/>
          <w:sz w:val="17"/>
          <w:szCs w:val="17"/>
          <w:color w:val="auto"/>
        </w:rPr>
      </w:pPr>
    </w:p>
    <w:p>
      <w:pPr>
        <w:ind w:right="40" w:firstLine="656"/>
        <w:spacing w:after="0" w:line="255" w:lineRule="auto"/>
        <w:tabs>
          <w:tab w:leader="none" w:pos="1323"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right="60" w:firstLine="656"/>
        <w:spacing w:after="0" w:line="259" w:lineRule="auto"/>
        <w:tabs>
          <w:tab w:leader="none" w:pos="1323"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right="60" w:firstLine="656"/>
        <w:spacing w:after="0" w:line="291" w:lineRule="auto"/>
        <w:tabs>
          <w:tab w:leader="none" w:pos="1323"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4" w:name="page255"/>
    <w:bookmarkEnd w:id="254"/>
    <w:p>
      <w:pPr>
        <w:ind w:right="40" w:firstLine="656"/>
        <w:spacing w:after="0" w:line="254" w:lineRule="auto"/>
        <w:tabs>
          <w:tab w:leader="none" w:pos="1323"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246" w:lineRule="exact"/>
        <w:rPr>
          <w:rFonts w:ascii="Arial" w:cs="Arial" w:eastAsia="Arial" w:hAnsi="Arial"/>
          <w:sz w:val="18"/>
          <w:szCs w:val="18"/>
          <w:color w:val="auto"/>
        </w:rPr>
      </w:pPr>
    </w:p>
    <w:p>
      <w:pPr>
        <w:ind w:right="20" w:firstLine="656"/>
        <w:spacing w:after="0" w:line="272" w:lineRule="auto"/>
        <w:tabs>
          <w:tab w:leader="none" w:pos="1323"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323"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140" w:firstLine="656"/>
        <w:spacing w:after="0" w:line="257" w:lineRule="auto"/>
        <w:tabs>
          <w:tab w:leader="none" w:pos="130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ind w:right="100" w:firstLine="656"/>
        <w:spacing w:after="0" w:line="264" w:lineRule="auto"/>
        <w:tabs>
          <w:tab w:leader="none" w:pos="1299"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5" w:name="page256"/>
    <w:bookmarkEnd w:id="255"/>
    <w:p>
      <w:pPr>
        <w:ind w:left="-20" w:right="100" w:firstLine="656"/>
        <w:spacing w:after="0" w:line="302" w:lineRule="auto"/>
        <w:tabs>
          <w:tab w:leader="none" w:pos="1393"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20" w:right="60" w:firstLine="656"/>
        <w:spacing w:after="0" w:line="287" w:lineRule="auto"/>
        <w:tabs>
          <w:tab w:leader="none" w:pos="1393"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ind w:left="-20" w:firstLine="656"/>
        <w:spacing w:after="0" w:line="264" w:lineRule="auto"/>
        <w:tabs>
          <w:tab w:leader="none" w:pos="1393"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256" w:name="page257"/>
    <w:bookmarkEnd w:id="256"/>
    <w:p>
      <w:pPr>
        <w:ind w:left="-20" w:firstLine="656"/>
        <w:spacing w:after="0" w:line="268" w:lineRule="auto"/>
        <w:tabs>
          <w:tab w:leader="none" w:pos="1393"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left="-20" w:right="100" w:firstLine="656"/>
        <w:spacing w:after="0" w:line="257" w:lineRule="auto"/>
        <w:tabs>
          <w:tab w:leader="none" w:pos="1393"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left="-20" w:right="120" w:firstLine="656"/>
        <w:spacing w:after="0" w:line="271" w:lineRule="auto"/>
        <w:tabs>
          <w:tab w:leader="none" w:pos="1393"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257" w:name="page258"/>
    <w:bookmarkEnd w:id="257"/>
    <w:p>
      <w:pPr>
        <w:ind w:firstLine="656"/>
        <w:spacing w:after="0" w:line="312" w:lineRule="auto"/>
        <w:tabs>
          <w:tab w:leader="none" w:pos="1413"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200" w:lineRule="exact"/>
        <w:rPr>
          <w:rFonts w:ascii="Arial" w:cs="Arial" w:eastAsia="Arial" w:hAnsi="Arial"/>
          <w:sz w:val="16"/>
          <w:szCs w:val="16"/>
          <w:color w:val="auto"/>
        </w:rPr>
      </w:pPr>
    </w:p>
    <w:p>
      <w:pPr>
        <w:ind w:right="40" w:firstLine="656"/>
        <w:spacing w:after="0" w:line="293" w:lineRule="auto"/>
        <w:tabs>
          <w:tab w:leader="none" w:pos="1413"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right="40" w:firstLine="656"/>
        <w:spacing w:after="0" w:line="259" w:lineRule="auto"/>
        <w:tabs>
          <w:tab w:leader="none" w:pos="1413"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ind w:right="40" w:firstLine="656"/>
        <w:spacing w:after="0" w:line="312" w:lineRule="auto"/>
        <w:tabs>
          <w:tab w:leader="none" w:pos="1413"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60" w:hanging="804"/>
        <w:spacing w:after="0"/>
        <w:tabs>
          <w:tab w:leader="none" w:pos="1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jc w:val="both"/>
        <w:ind w:left="1300"/>
        <w:spacing w:after="0"/>
        <w:tabs>
          <w:tab w:leader="none" w:pos="1880" w:val="left"/>
        </w:tabs>
        <w:rPr>
          <w:sz w:val="20"/>
          <w:szCs w:val="20"/>
          <w:color w:val="auto"/>
        </w:rPr>
      </w:pPr>
      <w:r>
        <w:rPr>
          <w:rFonts w:ascii="Arial" w:cs="Arial" w:eastAsia="Arial" w:hAnsi="Arial"/>
          <w:sz w:val="18"/>
          <w:szCs w:val="18"/>
          <w:color w:val="auto"/>
        </w:rPr>
        <w:t>Attn:</w:t>
        <w:tab/>
        <w:t>David P. Oelman</w:t>
      </w:r>
    </w:p>
    <w:p>
      <w:pPr>
        <w:spacing w:after="0" w:line="9" w:lineRule="exact"/>
        <w:rPr>
          <w:sz w:val="20"/>
          <w:szCs w:val="20"/>
          <w:color w:val="auto"/>
        </w:rPr>
      </w:pPr>
    </w:p>
    <w:p>
      <w:pPr>
        <w:jc w:val="right"/>
        <w:ind w:right="834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8" w:name="page259"/>
    <w:bookmarkEnd w:id="258"/>
    <w:p>
      <w:pPr>
        <w:ind w:left="1400" w:hanging="744"/>
        <w:spacing w:after="0"/>
        <w:tabs>
          <w:tab w:leader="none" w:pos="14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413"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20" w:firstLine="656"/>
        <w:spacing w:after="0" w:line="277" w:lineRule="auto"/>
        <w:tabs>
          <w:tab w:leader="none" w:pos="1413"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140" w:firstLine="656"/>
        <w:spacing w:after="0" w:line="277" w:lineRule="auto"/>
        <w:tabs>
          <w:tab w:leader="none" w:pos="1413"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3" w:right="259" w:bottom="1440" w:gutter="0" w:footer="0" w:header="0"/>
        </w:sectPr>
      </w:pPr>
    </w:p>
    <w:bookmarkStart w:id="259" w:name="page260"/>
    <w:bookmarkEnd w:id="259"/>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Wesley R. Edens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39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246620" cy="93980"/>
                    </a:xfrm>
                    <a:prstGeom prst="rect">
                      <a:avLst/>
                    </a:prstGeom>
                    <a:noFill/>
                  </pic:spPr>
                </pic:pic>
              </a:graphicData>
            </a:graphic>
          </wp:anchor>
        </w:drawing>
        <w:t>Exhibit 10.6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Michael J. Utsler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1" w:name="page262"/>
    <w:bookmarkEnd w:id="261"/>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224" w:lineRule="exact"/>
        <w:rPr>
          <w:sz w:val="20"/>
          <w:szCs w:val="20"/>
          <w:color w:val="auto"/>
        </w:rPr>
      </w:pPr>
    </w:p>
    <w:p>
      <w:pPr>
        <w:ind w:left="1380" w:hanging="724"/>
        <w:spacing w:after="0"/>
        <w:tabs>
          <w:tab w:leader="none" w:pos="138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In addition to terms defined elsewhere herein, the following terms have the following meanings when used in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7" w:lineRule="exact"/>
        <w:rPr>
          <w:rFonts w:ascii="Arial" w:cs="Arial" w:eastAsia="Arial" w:hAnsi="Arial"/>
          <w:sz w:val="17"/>
          <w:szCs w:val="17"/>
          <w:color w:val="auto"/>
        </w:rPr>
      </w:pPr>
    </w:p>
    <w:p>
      <w:pPr>
        <w:ind w:left="1960" w:right="120" w:hanging="655"/>
        <w:spacing w:after="0" w:line="302" w:lineRule="auto"/>
        <w:tabs>
          <w:tab w:leader="none" w:pos="1960"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270"/>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2" w:name="page263"/>
    <w:bookmarkEnd w:id="262"/>
    <w:p>
      <w:pPr>
        <w:ind w:left="760" w:hanging="655"/>
        <w:spacing w:after="0" w:line="289" w:lineRule="auto"/>
        <w:tabs>
          <w:tab w:leader="none" w:pos="76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63" w:name="page264"/>
    <w:bookmarkEnd w:id="263"/>
    <w:p>
      <w:pPr>
        <w:ind w:left="1304" w:right="220" w:hanging="655"/>
        <w:spacing w:after="0" w:line="259" w:lineRule="auto"/>
        <w:tabs>
          <w:tab w:leader="none" w:pos="130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14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64" w:name="page265"/>
    <w:bookmarkEnd w:id="264"/>
    <w:p>
      <w:pPr>
        <w:ind w:left="1960" w:right="20" w:hanging="655"/>
        <w:spacing w:after="0" w:line="284" w:lineRule="auto"/>
        <w:tabs>
          <w:tab w:leader="none" w:pos="196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35" w:lineRule="exact"/>
        <w:rPr>
          <w:rFonts w:ascii="Arial" w:cs="Arial" w:eastAsia="Arial" w:hAnsi="Arial"/>
          <w:sz w:val="16"/>
          <w:szCs w:val="16"/>
          <w:color w:val="auto"/>
        </w:rPr>
      </w:pPr>
    </w:p>
    <w:p>
      <w:pPr>
        <w:ind w:firstLine="656"/>
        <w:spacing w:after="0" w:line="271" w:lineRule="auto"/>
        <w:tabs>
          <w:tab w:leader="none" w:pos="1377"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5" w:name="page266"/>
    <w:bookmarkEnd w:id="265"/>
    <w:p>
      <w:pPr>
        <w:ind w:left="-20" w:right="20" w:firstLine="656"/>
        <w:spacing w:after="0" w:line="255" w:lineRule="auto"/>
        <w:tabs>
          <w:tab w:leader="none" w:pos="135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left="-20" w:firstLine="656"/>
        <w:spacing w:after="0" w:line="259" w:lineRule="auto"/>
        <w:tabs>
          <w:tab w:leader="none" w:pos="135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left="-20" w:right="40" w:firstLine="656"/>
        <w:spacing w:after="0" w:line="291" w:lineRule="auto"/>
        <w:tabs>
          <w:tab w:leader="none" w:pos="135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221" w:lineRule="exact"/>
        <w:rPr>
          <w:rFonts w:ascii="Arial" w:cs="Arial" w:eastAsia="Arial" w:hAnsi="Arial"/>
          <w:sz w:val="16"/>
          <w:szCs w:val="16"/>
          <w:color w:val="auto"/>
        </w:rPr>
      </w:pPr>
    </w:p>
    <w:p>
      <w:pPr>
        <w:ind w:left="-20" w:right="20" w:firstLine="656"/>
        <w:spacing w:after="0" w:line="254" w:lineRule="auto"/>
        <w:tabs>
          <w:tab w:leader="none" w:pos="135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266" w:name="page267"/>
    <w:bookmarkEnd w:id="266"/>
    <w:p>
      <w:pPr>
        <w:ind w:right="20" w:firstLine="656"/>
        <w:spacing w:after="0" w:line="272" w:lineRule="auto"/>
        <w:tabs>
          <w:tab w:leader="none" w:pos="1377"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377"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140" w:firstLine="656"/>
        <w:spacing w:after="0" w:line="257" w:lineRule="auto"/>
        <w:tabs>
          <w:tab w:leader="none" w:pos="1359"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ind w:right="100" w:firstLine="656"/>
        <w:spacing w:after="0" w:line="264" w:lineRule="auto"/>
        <w:tabs>
          <w:tab w:leader="none" w:pos="1353"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7" w:name="page268"/>
    <w:bookmarkEnd w:id="267"/>
    <w:p>
      <w:pPr>
        <w:ind w:left="-80" w:right="120" w:firstLine="656"/>
        <w:spacing w:after="0" w:line="302" w:lineRule="auto"/>
        <w:tabs>
          <w:tab w:leader="none" w:pos="1279"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80" w:right="20" w:firstLine="656"/>
        <w:spacing w:after="0" w:line="287" w:lineRule="auto"/>
        <w:tabs>
          <w:tab w:leader="none" w:pos="1279"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ind w:left="-80" w:firstLine="656"/>
        <w:spacing w:after="0" w:line="264" w:lineRule="auto"/>
        <w:tabs>
          <w:tab w:leader="none" w:pos="1279"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152" w:right="299" w:bottom="1440" w:gutter="0" w:footer="0" w:header="0"/>
        </w:sectPr>
      </w:pPr>
    </w:p>
    <w:bookmarkStart w:id="268" w:name="page269"/>
    <w:bookmarkEnd w:id="268"/>
    <w:p>
      <w:pPr>
        <w:ind w:firstLine="656"/>
        <w:spacing w:after="0" w:line="268" w:lineRule="auto"/>
        <w:tabs>
          <w:tab w:leader="none" w:pos="135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right="100" w:firstLine="656"/>
        <w:spacing w:after="0" w:line="257" w:lineRule="auto"/>
        <w:tabs>
          <w:tab w:leader="none" w:pos="1359"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right="120" w:firstLine="656"/>
        <w:spacing w:after="0" w:line="271" w:lineRule="auto"/>
        <w:tabs>
          <w:tab w:leader="none" w:pos="135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232" w:lineRule="exact"/>
        <w:rPr>
          <w:rFonts w:ascii="Arial" w:cs="Arial" w:eastAsia="Arial" w:hAnsi="Arial"/>
          <w:sz w:val="17"/>
          <w:szCs w:val="17"/>
          <w:color w:val="auto"/>
        </w:rPr>
      </w:pPr>
    </w:p>
    <w:p>
      <w:pPr>
        <w:ind w:firstLine="656"/>
        <w:spacing w:after="0" w:line="312" w:lineRule="auto"/>
        <w:tabs>
          <w:tab w:leader="none" w:pos="1359"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9" w:name="page270"/>
    <w:bookmarkEnd w:id="269"/>
    <w:p>
      <w:pPr>
        <w:ind w:firstLine="656"/>
        <w:spacing w:after="0" w:line="293" w:lineRule="auto"/>
        <w:tabs>
          <w:tab w:leader="none" w:pos="135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firstLine="656"/>
        <w:spacing w:after="0" w:line="259" w:lineRule="auto"/>
        <w:tabs>
          <w:tab w:leader="none" w:pos="135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ind w:firstLine="656"/>
        <w:spacing w:after="0" w:line="312" w:lineRule="auto"/>
        <w:tabs>
          <w:tab w:leader="none" w:pos="135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00" w:hanging="744"/>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jc w:val="right"/>
        <w:ind w:right="842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270" w:name="page271"/>
    <w:bookmarkEnd w:id="270"/>
    <w:p>
      <w:pPr>
        <w:ind w:left="1360" w:hanging="704"/>
        <w:spacing w:after="0"/>
        <w:tabs>
          <w:tab w:leader="none" w:pos="13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359"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80" w:firstLine="656"/>
        <w:spacing w:after="0" w:line="277" w:lineRule="auto"/>
        <w:tabs>
          <w:tab w:leader="none" w:pos="1359"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200" w:firstLine="656"/>
        <w:spacing w:after="0" w:line="277" w:lineRule="auto"/>
        <w:tabs>
          <w:tab w:leader="none" w:pos="1359"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71" w:name="page272"/>
    <w:bookmarkEnd w:id="271"/>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J. Utsler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Michael J. Utsler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94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10.7</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Desmond Iain Catterall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73" w:name="page274"/>
    <w:bookmarkEnd w:id="273"/>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97" w:lineRule="exact"/>
        <w:rPr>
          <w:sz w:val="20"/>
          <w:szCs w:val="20"/>
          <w:color w:val="auto"/>
        </w:rPr>
      </w:pPr>
    </w:p>
    <w:p>
      <w:pPr>
        <w:ind w:left="1300" w:right="400" w:hanging="644"/>
        <w:spacing w:after="0" w:line="277" w:lineRule="auto"/>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terms defined elsewhere herein, the following terms have the following meanings when used in this Agreement:</w:t>
      </w:r>
    </w:p>
    <w:p>
      <w:pPr>
        <w:spacing w:after="0" w:line="197" w:lineRule="exact"/>
        <w:rPr>
          <w:rFonts w:ascii="Arial" w:cs="Arial" w:eastAsia="Arial" w:hAnsi="Arial"/>
          <w:sz w:val="18"/>
          <w:szCs w:val="18"/>
          <w:color w:val="auto"/>
        </w:rPr>
      </w:pPr>
    </w:p>
    <w:p>
      <w:pPr>
        <w:ind w:left="1960" w:right="120" w:hanging="655"/>
        <w:spacing w:after="0" w:line="302" w:lineRule="auto"/>
        <w:tabs>
          <w:tab w:leader="none" w:pos="1960"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4" w:name="page275"/>
    <w:bookmarkEnd w:id="274"/>
    <w:p>
      <w:pPr>
        <w:ind w:left="760" w:hanging="655"/>
        <w:spacing w:after="0" w:line="289" w:lineRule="auto"/>
        <w:tabs>
          <w:tab w:leader="none" w:pos="76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75" w:name="page276"/>
    <w:bookmarkEnd w:id="275"/>
    <w:p>
      <w:pPr>
        <w:ind w:left="1304" w:right="220" w:hanging="655"/>
        <w:spacing w:after="0" w:line="259" w:lineRule="auto"/>
        <w:tabs>
          <w:tab w:leader="none" w:pos="130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3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76" w:name="page277"/>
    <w:bookmarkEnd w:id="276"/>
    <w:p>
      <w:pPr>
        <w:ind w:left="760" w:hanging="655"/>
        <w:spacing w:after="0" w:line="284" w:lineRule="auto"/>
        <w:tabs>
          <w:tab w:leader="none" w:pos="7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277" w:name="page278"/>
    <w:bookmarkEnd w:id="277"/>
    <w:p>
      <w:pPr>
        <w:ind w:firstLine="656"/>
        <w:spacing w:after="0" w:line="271" w:lineRule="auto"/>
        <w:tabs>
          <w:tab w:leader="none" w:pos="1323"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232" w:lineRule="exact"/>
        <w:rPr>
          <w:rFonts w:ascii="Arial" w:cs="Arial" w:eastAsia="Arial" w:hAnsi="Arial"/>
          <w:sz w:val="17"/>
          <w:szCs w:val="17"/>
          <w:color w:val="auto"/>
        </w:rPr>
      </w:pPr>
    </w:p>
    <w:p>
      <w:pPr>
        <w:ind w:right="40" w:firstLine="656"/>
        <w:spacing w:after="0" w:line="255" w:lineRule="auto"/>
        <w:tabs>
          <w:tab w:leader="none" w:pos="1323"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right="60" w:firstLine="656"/>
        <w:spacing w:after="0" w:line="259" w:lineRule="auto"/>
        <w:tabs>
          <w:tab w:leader="none" w:pos="1323"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right="60" w:firstLine="656"/>
        <w:spacing w:after="0" w:line="291" w:lineRule="auto"/>
        <w:tabs>
          <w:tab w:leader="none" w:pos="1323"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78" w:name="page279"/>
    <w:bookmarkEnd w:id="278"/>
    <w:p>
      <w:pPr>
        <w:ind w:right="40" w:firstLine="656"/>
        <w:spacing w:after="0" w:line="254" w:lineRule="auto"/>
        <w:tabs>
          <w:tab w:leader="none" w:pos="1323"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246" w:lineRule="exact"/>
        <w:rPr>
          <w:rFonts w:ascii="Arial" w:cs="Arial" w:eastAsia="Arial" w:hAnsi="Arial"/>
          <w:sz w:val="18"/>
          <w:szCs w:val="18"/>
          <w:color w:val="auto"/>
        </w:rPr>
      </w:pPr>
    </w:p>
    <w:p>
      <w:pPr>
        <w:ind w:right="20" w:firstLine="656"/>
        <w:spacing w:after="0" w:line="272" w:lineRule="auto"/>
        <w:tabs>
          <w:tab w:leader="none" w:pos="1323"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323"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120" w:firstLine="656"/>
        <w:spacing w:after="0" w:line="257" w:lineRule="auto"/>
        <w:tabs>
          <w:tab w:leader="none" w:pos="1413"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jc w:val="both"/>
        <w:ind w:right="100" w:firstLine="656"/>
        <w:spacing w:after="0" w:line="264" w:lineRule="auto"/>
        <w:tabs>
          <w:tab w:leader="none" w:pos="1407"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9" w:name="page280"/>
    <w:bookmarkEnd w:id="279"/>
    <w:p>
      <w:pPr>
        <w:ind w:left="-20" w:right="100" w:firstLine="656"/>
        <w:spacing w:after="0" w:line="302" w:lineRule="auto"/>
        <w:tabs>
          <w:tab w:leader="none" w:pos="1393"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20" w:right="60" w:firstLine="656"/>
        <w:spacing w:after="0" w:line="287" w:lineRule="auto"/>
        <w:tabs>
          <w:tab w:leader="none" w:pos="1393"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ind w:left="-20" w:firstLine="656"/>
        <w:spacing w:after="0" w:line="264" w:lineRule="auto"/>
        <w:tabs>
          <w:tab w:leader="none" w:pos="1393"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280" w:name="page281"/>
    <w:bookmarkEnd w:id="280"/>
    <w:p>
      <w:pPr>
        <w:ind w:left="-20" w:firstLine="656"/>
        <w:spacing w:after="0" w:line="268" w:lineRule="auto"/>
        <w:tabs>
          <w:tab w:leader="none" w:pos="1393"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left="-20" w:right="100" w:firstLine="656"/>
        <w:spacing w:after="0" w:line="257" w:lineRule="auto"/>
        <w:tabs>
          <w:tab w:leader="none" w:pos="1393"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left="-20" w:right="120" w:firstLine="656"/>
        <w:spacing w:after="0" w:line="271" w:lineRule="auto"/>
        <w:tabs>
          <w:tab w:leader="none" w:pos="1393"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281" w:name="page282"/>
    <w:bookmarkEnd w:id="281"/>
    <w:p>
      <w:pPr>
        <w:ind w:firstLine="656"/>
        <w:spacing w:after="0" w:line="312" w:lineRule="auto"/>
        <w:tabs>
          <w:tab w:leader="none" w:pos="1413"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200" w:lineRule="exact"/>
        <w:rPr>
          <w:rFonts w:ascii="Arial" w:cs="Arial" w:eastAsia="Arial" w:hAnsi="Arial"/>
          <w:sz w:val="16"/>
          <w:szCs w:val="16"/>
          <w:color w:val="auto"/>
        </w:rPr>
      </w:pPr>
    </w:p>
    <w:p>
      <w:pPr>
        <w:ind w:right="40" w:firstLine="656"/>
        <w:spacing w:after="0" w:line="293" w:lineRule="auto"/>
        <w:tabs>
          <w:tab w:leader="none" w:pos="1413"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right="40" w:firstLine="656"/>
        <w:spacing w:after="0" w:line="259" w:lineRule="auto"/>
        <w:tabs>
          <w:tab w:leader="none" w:pos="1413"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ind w:right="40" w:firstLine="656"/>
        <w:spacing w:after="0" w:line="312" w:lineRule="auto"/>
        <w:tabs>
          <w:tab w:leader="none" w:pos="1413"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00" w:hanging="744"/>
        <w:spacing w:after="0"/>
        <w:tabs>
          <w:tab w:leader="none" w:pos="14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jc w:val="right"/>
        <w:ind w:right="848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jc w:val="right"/>
        <w:ind w:right="842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82" w:name="page283"/>
    <w:bookmarkEnd w:id="282"/>
    <w:p>
      <w:pPr>
        <w:ind w:left="1400" w:hanging="744"/>
        <w:spacing w:after="0"/>
        <w:tabs>
          <w:tab w:leader="none" w:pos="14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413"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20" w:firstLine="656"/>
        <w:spacing w:after="0" w:line="277" w:lineRule="auto"/>
        <w:tabs>
          <w:tab w:leader="none" w:pos="1413"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140" w:firstLine="656"/>
        <w:spacing w:after="0" w:line="277" w:lineRule="auto"/>
        <w:tabs>
          <w:tab w:leader="none" w:pos="1413"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3" w:right="259" w:bottom="1440" w:gutter="0" w:footer="0" w:header="0"/>
        </w:sectPr>
      </w:pPr>
    </w:p>
    <w:bookmarkStart w:id="283" w:name="page284"/>
    <w:bookmarkEnd w:id="283"/>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Desmond Iain Catterall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Desmond Iain Catterall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39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246620" cy="93980"/>
                    </a:xfrm>
                    <a:prstGeom prst="rect">
                      <a:avLst/>
                    </a:prstGeom>
                    <a:noFill/>
                  </pic:spPr>
                </pic:pic>
              </a:graphicData>
            </a:graphic>
          </wp:anchor>
        </w:drawing>
        <w:t>Exhibit 10.8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David J. Grain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5" w:name="page286"/>
    <w:bookmarkEnd w:id="285"/>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97" w:lineRule="exact"/>
        <w:rPr>
          <w:sz w:val="20"/>
          <w:szCs w:val="20"/>
          <w:color w:val="auto"/>
        </w:rPr>
      </w:pPr>
    </w:p>
    <w:p>
      <w:pPr>
        <w:ind w:left="1300" w:right="400" w:hanging="644"/>
        <w:spacing w:after="0" w:line="277" w:lineRule="auto"/>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terms defined elsewhere herein, the following terms have the following meanings when used in this Agreement:</w:t>
      </w:r>
    </w:p>
    <w:p>
      <w:pPr>
        <w:spacing w:after="0" w:line="197" w:lineRule="exact"/>
        <w:rPr>
          <w:rFonts w:ascii="Arial" w:cs="Arial" w:eastAsia="Arial" w:hAnsi="Arial"/>
          <w:sz w:val="18"/>
          <w:szCs w:val="18"/>
          <w:color w:val="auto"/>
        </w:rPr>
      </w:pPr>
    </w:p>
    <w:p>
      <w:pPr>
        <w:ind w:left="1960" w:right="120" w:hanging="655"/>
        <w:spacing w:after="0" w:line="302" w:lineRule="auto"/>
        <w:tabs>
          <w:tab w:leader="none" w:pos="1960"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297"/>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6" w:name="page287"/>
    <w:bookmarkEnd w:id="286"/>
    <w:p>
      <w:pPr>
        <w:ind w:left="760" w:hanging="655"/>
        <w:spacing w:after="0" w:line="289" w:lineRule="auto"/>
        <w:tabs>
          <w:tab w:leader="none" w:pos="760"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91" w:lineRule="exact"/>
        <w:rPr>
          <w:rFonts w:ascii="Arial" w:cs="Arial" w:eastAsia="Arial" w:hAnsi="Arial"/>
          <w:sz w:val="16"/>
          <w:szCs w:val="16"/>
          <w:color w:val="auto"/>
        </w:rPr>
      </w:pPr>
    </w:p>
    <w:p>
      <w:pPr>
        <w:ind w:left="760" w:right="220" w:hanging="655"/>
        <w:spacing w:after="0" w:line="259" w:lineRule="auto"/>
        <w:tabs>
          <w:tab w:leader="none" w:pos="76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287" w:name="page288"/>
    <w:bookmarkEnd w:id="287"/>
    <w:p>
      <w:pPr>
        <w:ind w:left="1304" w:right="380" w:hanging="655"/>
        <w:spacing w:after="0" w:line="264" w:lineRule="auto"/>
        <w:tabs>
          <w:tab w:leader="none" w:pos="1304"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3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88" w:name="page289"/>
    <w:bookmarkEnd w:id="288"/>
    <w:p>
      <w:pPr>
        <w:ind w:left="760" w:hanging="655"/>
        <w:spacing w:after="0" w:line="284" w:lineRule="auto"/>
        <w:tabs>
          <w:tab w:leader="none" w:pos="76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289" w:name="page290"/>
    <w:bookmarkEnd w:id="289"/>
    <w:p>
      <w:pPr>
        <w:ind w:firstLine="656"/>
        <w:spacing w:after="0" w:line="271" w:lineRule="auto"/>
        <w:tabs>
          <w:tab w:leader="none" w:pos="1323"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232" w:lineRule="exact"/>
        <w:rPr>
          <w:rFonts w:ascii="Arial" w:cs="Arial" w:eastAsia="Arial" w:hAnsi="Arial"/>
          <w:sz w:val="17"/>
          <w:szCs w:val="17"/>
          <w:color w:val="auto"/>
        </w:rPr>
      </w:pPr>
    </w:p>
    <w:p>
      <w:pPr>
        <w:ind w:right="40" w:firstLine="656"/>
        <w:spacing w:after="0" w:line="255" w:lineRule="auto"/>
        <w:tabs>
          <w:tab w:leader="none" w:pos="1323"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right="60" w:firstLine="656"/>
        <w:spacing w:after="0" w:line="259" w:lineRule="auto"/>
        <w:tabs>
          <w:tab w:leader="none" w:pos="1323"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right="60" w:firstLine="656"/>
        <w:spacing w:after="0" w:line="291" w:lineRule="auto"/>
        <w:tabs>
          <w:tab w:leader="none" w:pos="1323"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90" w:name="page291"/>
    <w:bookmarkEnd w:id="290"/>
    <w:p>
      <w:pPr>
        <w:ind w:right="40" w:firstLine="656"/>
        <w:spacing w:after="0" w:line="254" w:lineRule="auto"/>
        <w:tabs>
          <w:tab w:leader="none" w:pos="1323"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246" w:lineRule="exact"/>
        <w:rPr>
          <w:rFonts w:ascii="Arial" w:cs="Arial" w:eastAsia="Arial" w:hAnsi="Arial"/>
          <w:sz w:val="18"/>
          <w:szCs w:val="18"/>
          <w:color w:val="auto"/>
        </w:rPr>
      </w:pPr>
    </w:p>
    <w:p>
      <w:pPr>
        <w:ind w:right="20" w:firstLine="656"/>
        <w:spacing w:after="0" w:line="272" w:lineRule="auto"/>
        <w:tabs>
          <w:tab w:leader="none" w:pos="1323"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323"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120" w:firstLine="656"/>
        <w:spacing w:after="0" w:line="257" w:lineRule="auto"/>
        <w:tabs>
          <w:tab w:leader="none" w:pos="1413"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jc w:val="both"/>
        <w:ind w:right="100" w:firstLine="656"/>
        <w:spacing w:after="0" w:line="264" w:lineRule="auto"/>
        <w:tabs>
          <w:tab w:leader="none" w:pos="1407"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91" w:name="page292"/>
    <w:bookmarkEnd w:id="291"/>
    <w:p>
      <w:pPr>
        <w:ind w:left="-20" w:right="100" w:firstLine="656"/>
        <w:spacing w:after="0" w:line="302" w:lineRule="auto"/>
        <w:tabs>
          <w:tab w:leader="none" w:pos="1393"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20" w:right="60" w:firstLine="656"/>
        <w:spacing w:after="0" w:line="287" w:lineRule="auto"/>
        <w:tabs>
          <w:tab w:leader="none" w:pos="1393"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ind w:left="-20" w:firstLine="656"/>
        <w:spacing w:after="0" w:line="264" w:lineRule="auto"/>
        <w:tabs>
          <w:tab w:leader="none" w:pos="1393"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3" w:right="259" w:bottom="1440" w:gutter="0" w:footer="0" w:header="0"/>
        </w:sectPr>
      </w:pPr>
    </w:p>
    <w:bookmarkStart w:id="292" w:name="page293"/>
    <w:bookmarkEnd w:id="292"/>
    <w:p>
      <w:pPr>
        <w:ind w:left="-20" w:firstLine="656"/>
        <w:spacing w:after="0" w:line="268" w:lineRule="auto"/>
        <w:tabs>
          <w:tab w:leader="none" w:pos="1393"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left="-20" w:right="100" w:firstLine="656"/>
        <w:spacing w:after="0" w:line="257" w:lineRule="auto"/>
        <w:tabs>
          <w:tab w:leader="none" w:pos="1393"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left="-20" w:right="120" w:firstLine="656"/>
        <w:spacing w:after="0" w:line="271" w:lineRule="auto"/>
        <w:tabs>
          <w:tab w:leader="none" w:pos="1393"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293" w:name="page294"/>
    <w:bookmarkEnd w:id="293"/>
    <w:p>
      <w:pPr>
        <w:ind w:firstLine="656"/>
        <w:spacing w:after="0" w:line="312" w:lineRule="auto"/>
        <w:tabs>
          <w:tab w:leader="none" w:pos="1413"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200" w:lineRule="exact"/>
        <w:rPr>
          <w:rFonts w:ascii="Arial" w:cs="Arial" w:eastAsia="Arial" w:hAnsi="Arial"/>
          <w:sz w:val="16"/>
          <w:szCs w:val="16"/>
          <w:color w:val="auto"/>
        </w:rPr>
      </w:pPr>
    </w:p>
    <w:p>
      <w:pPr>
        <w:ind w:right="40" w:firstLine="656"/>
        <w:spacing w:after="0" w:line="293" w:lineRule="auto"/>
        <w:tabs>
          <w:tab w:leader="none" w:pos="1413"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right="40" w:firstLine="656"/>
        <w:spacing w:after="0" w:line="259" w:lineRule="auto"/>
        <w:tabs>
          <w:tab w:leader="none" w:pos="1413"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ind w:right="40" w:firstLine="656"/>
        <w:spacing w:after="0" w:line="312" w:lineRule="auto"/>
        <w:tabs>
          <w:tab w:leader="none" w:pos="1413"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00" w:hanging="744"/>
        <w:spacing w:after="0"/>
        <w:tabs>
          <w:tab w:leader="none" w:pos="14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jc w:val="right"/>
        <w:ind w:right="848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jc w:val="right"/>
        <w:ind w:right="842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94" w:name="page295"/>
    <w:bookmarkEnd w:id="294"/>
    <w:p>
      <w:pPr>
        <w:ind w:left="1400" w:hanging="744"/>
        <w:spacing w:after="0"/>
        <w:tabs>
          <w:tab w:leader="none" w:pos="14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413"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20" w:firstLine="656"/>
        <w:spacing w:after="0" w:line="277" w:lineRule="auto"/>
        <w:tabs>
          <w:tab w:leader="none" w:pos="1413"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140" w:firstLine="656"/>
        <w:spacing w:after="0" w:line="277" w:lineRule="auto"/>
        <w:tabs>
          <w:tab w:leader="none" w:pos="1413"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95" w:name="page296"/>
    <w:bookmarkEnd w:id="295"/>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J. 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David J. 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46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C. William Griffin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97" w:name="page298"/>
    <w:bookmarkEnd w:id="297"/>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224" w:lineRule="exact"/>
        <w:rPr>
          <w:sz w:val="20"/>
          <w:szCs w:val="20"/>
          <w:color w:val="auto"/>
        </w:rPr>
      </w:pPr>
    </w:p>
    <w:p>
      <w:pPr>
        <w:ind w:left="1500" w:hanging="844"/>
        <w:spacing w:after="0"/>
        <w:tabs>
          <w:tab w:leader="none" w:pos="150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In addition to terms defined elsewhere herein, the following terms have the following meanings when used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color w:val="auto"/>
        </w:rPr>
      </w:pPr>
    </w:p>
    <w:p>
      <w:pPr>
        <w:ind w:left="1960" w:right="120" w:hanging="655"/>
        <w:spacing w:after="0" w:line="302" w:lineRule="auto"/>
        <w:tabs>
          <w:tab w:leader="none" w:pos="1960"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8" w:name="page299"/>
    <w:bookmarkEnd w:id="298"/>
    <w:p>
      <w:pPr>
        <w:ind w:left="760" w:hanging="655"/>
        <w:spacing w:after="0" w:line="289" w:lineRule="auto"/>
        <w:tabs>
          <w:tab w:leader="none" w:pos="760"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99" w:name="page300"/>
    <w:bookmarkEnd w:id="299"/>
    <w:p>
      <w:pPr>
        <w:ind w:left="1304" w:right="220" w:hanging="655"/>
        <w:spacing w:after="0" w:line="259" w:lineRule="auto"/>
        <w:tabs>
          <w:tab w:leader="none" w:pos="1304"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79" w:lineRule="exact"/>
        <w:rPr>
          <w:rFonts w:ascii="Arial" w:cs="Arial" w:eastAsia="Arial" w:hAnsi="Arial"/>
          <w:sz w:val="18"/>
          <w:szCs w:val="18"/>
          <w:color w:val="auto"/>
        </w:rPr>
      </w:pPr>
    </w:p>
    <w:p>
      <w:pPr>
        <w:ind w:left="844" w:hanging="844"/>
        <w:spacing w:after="0"/>
        <w:tabs>
          <w:tab w:leader="none" w:pos="844"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14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00" w:name="page301"/>
    <w:bookmarkEnd w:id="300"/>
    <w:p>
      <w:pPr>
        <w:ind w:left="760" w:hanging="655"/>
        <w:spacing w:after="0" w:line="284" w:lineRule="auto"/>
        <w:tabs>
          <w:tab w:leader="none" w:pos="7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1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301" w:name="page302"/>
    <w:bookmarkEnd w:id="301"/>
    <w:p>
      <w:pPr>
        <w:ind w:firstLine="656"/>
        <w:spacing w:after="0" w:line="271" w:lineRule="auto"/>
        <w:tabs>
          <w:tab w:leader="none" w:pos="1485"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232" w:lineRule="exact"/>
        <w:rPr>
          <w:rFonts w:ascii="Arial" w:cs="Arial" w:eastAsia="Arial" w:hAnsi="Arial"/>
          <w:sz w:val="17"/>
          <w:szCs w:val="17"/>
          <w:color w:val="auto"/>
        </w:rPr>
      </w:pPr>
    </w:p>
    <w:p>
      <w:pPr>
        <w:ind w:right="40" w:firstLine="656"/>
        <w:spacing w:after="0" w:line="255" w:lineRule="auto"/>
        <w:tabs>
          <w:tab w:leader="none" w:pos="1485"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right="60" w:firstLine="656"/>
        <w:spacing w:after="0" w:line="259" w:lineRule="auto"/>
        <w:tabs>
          <w:tab w:leader="none" w:pos="1485"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right="60" w:firstLine="656"/>
        <w:spacing w:after="0" w:line="291" w:lineRule="auto"/>
        <w:tabs>
          <w:tab w:leader="none" w:pos="1485"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302" w:name="page303"/>
    <w:bookmarkEnd w:id="302"/>
    <w:p>
      <w:pPr>
        <w:ind w:right="40" w:firstLine="656"/>
        <w:spacing w:after="0" w:line="254" w:lineRule="auto"/>
        <w:tabs>
          <w:tab w:leader="none" w:pos="1485"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246" w:lineRule="exact"/>
        <w:rPr>
          <w:rFonts w:ascii="Arial" w:cs="Arial" w:eastAsia="Arial" w:hAnsi="Arial"/>
          <w:sz w:val="18"/>
          <w:szCs w:val="18"/>
          <w:color w:val="auto"/>
        </w:rPr>
      </w:pPr>
    </w:p>
    <w:p>
      <w:pPr>
        <w:ind w:right="20" w:firstLine="656"/>
        <w:spacing w:after="0" w:line="272" w:lineRule="auto"/>
        <w:tabs>
          <w:tab w:leader="none" w:pos="148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48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80" w:firstLine="656"/>
        <w:spacing w:after="0" w:line="257" w:lineRule="auto"/>
        <w:tabs>
          <w:tab w:leader="none" w:pos="1467"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03" w:name="page304"/>
    <w:bookmarkEnd w:id="303"/>
    <w:p>
      <w:pPr>
        <w:jc w:val="both"/>
        <w:ind w:left="-80" w:right="20" w:firstLine="656"/>
        <w:spacing w:after="0" w:line="264" w:lineRule="auto"/>
        <w:tabs>
          <w:tab w:leader="none" w:pos="1381"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35" w:lineRule="exact"/>
        <w:rPr>
          <w:rFonts w:ascii="Arial" w:cs="Arial" w:eastAsia="Arial" w:hAnsi="Arial"/>
          <w:sz w:val="18"/>
          <w:szCs w:val="18"/>
          <w:color w:val="auto"/>
        </w:rPr>
      </w:pPr>
    </w:p>
    <w:p>
      <w:pPr>
        <w:ind w:left="-80" w:right="20" w:firstLine="656"/>
        <w:spacing w:after="0" w:line="302" w:lineRule="auto"/>
        <w:tabs>
          <w:tab w:leader="none" w:pos="1387"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80" w:firstLine="656"/>
        <w:spacing w:after="0" w:line="287" w:lineRule="auto"/>
        <w:tabs>
          <w:tab w:leader="none" w:pos="1387"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jc w:val="both"/>
        <w:ind w:left="-80" w:right="40" w:firstLine="656"/>
        <w:spacing w:after="0" w:line="264" w:lineRule="auto"/>
        <w:tabs>
          <w:tab w:leader="none" w:pos="1387"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152" w:right="299" w:bottom="1440" w:gutter="0" w:footer="0" w:header="0"/>
        </w:sectPr>
      </w:pPr>
    </w:p>
    <w:bookmarkStart w:id="304" w:name="page305"/>
    <w:bookmarkEnd w:id="304"/>
    <w:p>
      <w:pPr>
        <w:ind w:left="-20" w:firstLine="656"/>
        <w:spacing w:after="0" w:line="268" w:lineRule="auto"/>
        <w:tabs>
          <w:tab w:leader="none" w:pos="1447"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left="-20" w:right="100" w:firstLine="656"/>
        <w:spacing w:after="0" w:line="257" w:lineRule="auto"/>
        <w:tabs>
          <w:tab w:leader="none" w:pos="1447"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left="-20" w:right="120" w:firstLine="656"/>
        <w:spacing w:after="0" w:line="271" w:lineRule="auto"/>
        <w:tabs>
          <w:tab w:leader="none" w:pos="1447"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305" w:name="page306"/>
    <w:bookmarkEnd w:id="305"/>
    <w:p>
      <w:pPr>
        <w:jc w:val="both"/>
        <w:ind w:firstLine="656"/>
        <w:spacing w:after="0" w:line="312" w:lineRule="auto"/>
        <w:tabs>
          <w:tab w:leader="none" w:pos="1467"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200" w:lineRule="exact"/>
        <w:rPr>
          <w:rFonts w:ascii="Arial" w:cs="Arial" w:eastAsia="Arial" w:hAnsi="Arial"/>
          <w:sz w:val="16"/>
          <w:szCs w:val="16"/>
          <w:color w:val="auto"/>
        </w:rPr>
      </w:pPr>
    </w:p>
    <w:p>
      <w:pPr>
        <w:ind w:right="40" w:firstLine="656"/>
        <w:spacing w:after="0" w:line="293" w:lineRule="auto"/>
        <w:tabs>
          <w:tab w:leader="none" w:pos="1467"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right="40" w:firstLine="656"/>
        <w:spacing w:after="0" w:line="259" w:lineRule="auto"/>
        <w:tabs>
          <w:tab w:leader="none" w:pos="146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jc w:val="both"/>
        <w:ind w:right="40" w:firstLine="656"/>
        <w:spacing w:after="0" w:line="312" w:lineRule="auto"/>
        <w:tabs>
          <w:tab w:leader="none" w:pos="1467"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60" w:hanging="804"/>
        <w:spacing w:after="0"/>
        <w:tabs>
          <w:tab w:leader="none" w:pos="1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06" w:name="page307"/>
    <w:bookmarkEnd w:id="306"/>
    <w:p>
      <w:pPr>
        <w:ind w:left="1460" w:hanging="804"/>
        <w:spacing w:after="0"/>
        <w:tabs>
          <w:tab w:leader="none" w:pos="1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ind w:firstLine="656"/>
        <w:spacing w:after="0" w:line="264" w:lineRule="auto"/>
        <w:tabs>
          <w:tab w:leader="none" w:pos="1467"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140" w:firstLine="656"/>
        <w:spacing w:after="0" w:line="277" w:lineRule="auto"/>
        <w:tabs>
          <w:tab w:leader="none" w:pos="1467"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60" w:firstLine="656"/>
        <w:spacing w:after="0" w:line="277" w:lineRule="auto"/>
        <w:tabs>
          <w:tab w:leader="none" w:pos="1467"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307" w:name="page308"/>
    <w:bookmarkEnd w:id="307"/>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 William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 William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39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246620" cy="93980"/>
                    </a:xfrm>
                    <a:prstGeom prst="rect">
                      <a:avLst/>
                    </a:prstGeom>
                    <a:noFill/>
                  </pic:spPr>
                </pic:pic>
              </a:graphicData>
            </a:graphic>
          </wp:anchor>
        </w:drawing>
        <w:t>Exhibit 10.10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John J. Mack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9" w:name="page310"/>
    <w:bookmarkEnd w:id="309"/>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224" w:lineRule="exact"/>
        <w:rPr>
          <w:sz w:val="20"/>
          <w:szCs w:val="20"/>
          <w:color w:val="auto"/>
        </w:rPr>
      </w:pPr>
    </w:p>
    <w:p>
      <w:pPr>
        <w:ind w:left="1500" w:hanging="844"/>
        <w:spacing w:after="0"/>
        <w:tabs>
          <w:tab w:leader="none" w:pos="150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In addition to terms defined elsewhere herein, the following terms have the following meanings when used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color w:val="auto"/>
        </w:rPr>
      </w:pPr>
    </w:p>
    <w:p>
      <w:pPr>
        <w:ind w:left="1960" w:right="120" w:hanging="655"/>
        <w:spacing w:after="0" w:line="302" w:lineRule="auto"/>
        <w:tabs>
          <w:tab w:leader="none" w:pos="1960"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323"/>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0" w:name="page311"/>
    <w:bookmarkEnd w:id="310"/>
    <w:p>
      <w:pPr>
        <w:ind w:left="760" w:hanging="655"/>
        <w:spacing w:after="0" w:line="289" w:lineRule="auto"/>
        <w:tabs>
          <w:tab w:leader="none" w:pos="760"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11" w:name="page312"/>
    <w:bookmarkEnd w:id="311"/>
    <w:p>
      <w:pPr>
        <w:ind w:left="1304" w:right="220" w:hanging="655"/>
        <w:spacing w:after="0" w:line="259" w:lineRule="auto"/>
        <w:tabs>
          <w:tab w:leader="none" w:pos="1304"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79" w:lineRule="exact"/>
        <w:rPr>
          <w:rFonts w:ascii="Arial" w:cs="Arial" w:eastAsia="Arial" w:hAnsi="Arial"/>
          <w:sz w:val="18"/>
          <w:szCs w:val="18"/>
          <w:color w:val="auto"/>
        </w:rPr>
      </w:pPr>
    </w:p>
    <w:p>
      <w:pPr>
        <w:ind w:left="844" w:hanging="844"/>
        <w:spacing w:after="0"/>
        <w:tabs>
          <w:tab w:leader="none" w:pos="844"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32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14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12" w:name="page313"/>
    <w:bookmarkEnd w:id="312"/>
    <w:p>
      <w:pPr>
        <w:ind w:left="760" w:hanging="655"/>
        <w:spacing w:after="0" w:line="284" w:lineRule="auto"/>
        <w:tabs>
          <w:tab w:leader="none" w:pos="7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1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313" w:name="page314"/>
    <w:bookmarkEnd w:id="313"/>
    <w:p>
      <w:pPr>
        <w:ind w:firstLine="656"/>
        <w:spacing w:after="0" w:line="271" w:lineRule="auto"/>
        <w:tabs>
          <w:tab w:leader="none" w:pos="1485"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232" w:lineRule="exact"/>
        <w:rPr>
          <w:rFonts w:ascii="Arial" w:cs="Arial" w:eastAsia="Arial" w:hAnsi="Arial"/>
          <w:sz w:val="17"/>
          <w:szCs w:val="17"/>
          <w:color w:val="auto"/>
        </w:rPr>
      </w:pPr>
    </w:p>
    <w:p>
      <w:pPr>
        <w:ind w:right="40" w:firstLine="656"/>
        <w:spacing w:after="0" w:line="255" w:lineRule="auto"/>
        <w:tabs>
          <w:tab w:leader="none" w:pos="148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right="60" w:firstLine="656"/>
        <w:spacing w:after="0" w:line="259" w:lineRule="auto"/>
        <w:tabs>
          <w:tab w:leader="none" w:pos="148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right="60" w:firstLine="656"/>
        <w:spacing w:after="0" w:line="291" w:lineRule="auto"/>
        <w:tabs>
          <w:tab w:leader="none" w:pos="1485"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14" w:name="page315"/>
    <w:bookmarkEnd w:id="314"/>
    <w:p>
      <w:pPr>
        <w:ind w:right="40" w:firstLine="656"/>
        <w:spacing w:after="0" w:line="254" w:lineRule="auto"/>
        <w:tabs>
          <w:tab w:leader="none" w:pos="1485"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246" w:lineRule="exact"/>
        <w:rPr>
          <w:rFonts w:ascii="Arial" w:cs="Arial" w:eastAsia="Arial" w:hAnsi="Arial"/>
          <w:sz w:val="18"/>
          <w:szCs w:val="18"/>
          <w:color w:val="auto"/>
        </w:rPr>
      </w:pPr>
    </w:p>
    <w:p>
      <w:pPr>
        <w:ind w:right="20" w:firstLine="656"/>
        <w:spacing w:after="0" w:line="272" w:lineRule="auto"/>
        <w:tabs>
          <w:tab w:leader="none" w:pos="1485"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485"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80" w:firstLine="656"/>
        <w:spacing w:after="0" w:line="257" w:lineRule="auto"/>
        <w:tabs>
          <w:tab w:leader="none" w:pos="1467"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15" w:name="page316"/>
    <w:bookmarkEnd w:id="315"/>
    <w:p>
      <w:pPr>
        <w:jc w:val="both"/>
        <w:ind w:left="-80" w:right="20" w:firstLine="656"/>
        <w:spacing w:after="0" w:line="264" w:lineRule="auto"/>
        <w:tabs>
          <w:tab w:leader="none" w:pos="1381"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35" w:lineRule="exact"/>
        <w:rPr>
          <w:rFonts w:ascii="Arial" w:cs="Arial" w:eastAsia="Arial" w:hAnsi="Arial"/>
          <w:sz w:val="18"/>
          <w:szCs w:val="18"/>
          <w:color w:val="auto"/>
        </w:rPr>
      </w:pPr>
    </w:p>
    <w:p>
      <w:pPr>
        <w:ind w:left="-80" w:right="20" w:firstLine="656"/>
        <w:spacing w:after="0" w:line="302" w:lineRule="auto"/>
        <w:tabs>
          <w:tab w:leader="none" w:pos="1387"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80" w:firstLine="656"/>
        <w:spacing w:after="0" w:line="287" w:lineRule="auto"/>
        <w:tabs>
          <w:tab w:leader="none" w:pos="1387"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jc w:val="both"/>
        <w:ind w:left="-80" w:right="40" w:firstLine="656"/>
        <w:spacing w:after="0" w:line="264" w:lineRule="auto"/>
        <w:tabs>
          <w:tab w:leader="none" w:pos="1387"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152" w:right="299" w:bottom="1440" w:gutter="0" w:footer="0" w:header="0"/>
        </w:sectPr>
      </w:pPr>
    </w:p>
    <w:bookmarkStart w:id="316" w:name="page317"/>
    <w:bookmarkEnd w:id="316"/>
    <w:p>
      <w:pPr>
        <w:ind w:left="-20" w:firstLine="656"/>
        <w:spacing w:after="0" w:line="268" w:lineRule="auto"/>
        <w:tabs>
          <w:tab w:leader="none" w:pos="1447"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left="-20" w:right="100" w:firstLine="656"/>
        <w:spacing w:after="0" w:line="257" w:lineRule="auto"/>
        <w:tabs>
          <w:tab w:leader="none" w:pos="1447"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left="-20" w:right="120" w:firstLine="656"/>
        <w:spacing w:after="0" w:line="271" w:lineRule="auto"/>
        <w:tabs>
          <w:tab w:leader="none" w:pos="1447"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317" w:name="page318"/>
    <w:bookmarkEnd w:id="317"/>
    <w:p>
      <w:pPr>
        <w:jc w:val="both"/>
        <w:ind w:firstLine="656"/>
        <w:spacing w:after="0" w:line="312" w:lineRule="auto"/>
        <w:tabs>
          <w:tab w:leader="none" w:pos="1467"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200" w:lineRule="exact"/>
        <w:rPr>
          <w:rFonts w:ascii="Arial" w:cs="Arial" w:eastAsia="Arial" w:hAnsi="Arial"/>
          <w:sz w:val="16"/>
          <w:szCs w:val="16"/>
          <w:color w:val="auto"/>
        </w:rPr>
      </w:pPr>
    </w:p>
    <w:p>
      <w:pPr>
        <w:ind w:right="40" w:firstLine="656"/>
        <w:spacing w:after="0" w:line="293" w:lineRule="auto"/>
        <w:tabs>
          <w:tab w:leader="none" w:pos="1467"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right="40" w:firstLine="656"/>
        <w:spacing w:after="0" w:line="259" w:lineRule="auto"/>
        <w:tabs>
          <w:tab w:leader="none" w:pos="1467"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jc w:val="both"/>
        <w:ind w:right="40" w:firstLine="656"/>
        <w:spacing w:after="0" w:line="312" w:lineRule="auto"/>
        <w:tabs>
          <w:tab w:leader="none" w:pos="1467"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500" w:hanging="844"/>
        <w:spacing w:after="0"/>
        <w:tabs>
          <w:tab w:leader="none" w:pos="15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18" w:name="page319"/>
    <w:bookmarkEnd w:id="318"/>
    <w:p>
      <w:pPr>
        <w:ind w:left="1400" w:hanging="744"/>
        <w:spacing w:after="0"/>
        <w:tabs>
          <w:tab w:leader="none" w:pos="14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359"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80" w:firstLine="656"/>
        <w:spacing w:after="0" w:line="277" w:lineRule="auto"/>
        <w:tabs>
          <w:tab w:leader="none" w:pos="1359"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200" w:firstLine="656"/>
        <w:spacing w:after="0" w:line="277" w:lineRule="auto"/>
        <w:tabs>
          <w:tab w:leader="none" w:pos="1359"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319" w:name="page320"/>
    <w:bookmarkEnd w:id="319"/>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J.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J.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46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t>Exhibit 10.11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Randal A. Nardone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1" w:name="page322"/>
    <w:bookmarkEnd w:id="321"/>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224" w:lineRule="exact"/>
        <w:rPr>
          <w:sz w:val="20"/>
          <w:szCs w:val="20"/>
          <w:color w:val="auto"/>
        </w:rPr>
      </w:pPr>
    </w:p>
    <w:p>
      <w:pPr>
        <w:ind w:left="1380" w:hanging="724"/>
        <w:spacing w:after="0"/>
        <w:tabs>
          <w:tab w:leader="none" w:pos="1380"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In addition to terms defined elsewhere herein, the following terms have the following meanings when used in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7" w:lineRule="exact"/>
        <w:rPr>
          <w:rFonts w:ascii="Arial" w:cs="Arial" w:eastAsia="Arial" w:hAnsi="Arial"/>
          <w:sz w:val="17"/>
          <w:szCs w:val="17"/>
          <w:color w:val="auto"/>
        </w:rPr>
      </w:pPr>
    </w:p>
    <w:p>
      <w:pPr>
        <w:ind w:left="1960" w:right="120" w:hanging="655"/>
        <w:spacing w:after="0" w:line="302" w:lineRule="auto"/>
        <w:tabs>
          <w:tab w:leader="none" w:pos="1960"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336"/>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2" w:name="page323"/>
    <w:bookmarkEnd w:id="322"/>
    <w:p>
      <w:pPr>
        <w:ind w:left="760" w:hanging="655"/>
        <w:spacing w:after="0" w:line="289" w:lineRule="auto"/>
        <w:tabs>
          <w:tab w:leader="none" w:pos="760"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23" w:name="page324"/>
    <w:bookmarkEnd w:id="323"/>
    <w:p>
      <w:pPr>
        <w:ind w:left="1304" w:right="220" w:hanging="655"/>
        <w:spacing w:after="0" w:line="259" w:lineRule="auto"/>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79" w:lineRule="exact"/>
        <w:rPr>
          <w:rFonts w:ascii="Arial" w:cs="Arial" w:eastAsia="Arial" w:hAnsi="Arial"/>
          <w:sz w:val="18"/>
          <w:szCs w:val="18"/>
          <w:color w:val="auto"/>
        </w:rPr>
      </w:pPr>
    </w:p>
    <w:p>
      <w:pPr>
        <w:ind w:left="784" w:hanging="784"/>
        <w:spacing w:after="0"/>
        <w:tabs>
          <w:tab w:leader="none" w:pos="784"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3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24" w:name="page325"/>
    <w:bookmarkEnd w:id="324"/>
    <w:p>
      <w:pPr>
        <w:ind w:left="1960" w:right="20" w:hanging="655"/>
        <w:spacing w:after="0" w:line="284" w:lineRule="auto"/>
        <w:tabs>
          <w:tab w:leader="none" w:pos="1960" w:val="left"/>
        </w:tabs>
        <w:numPr>
          <w:ilvl w:val="1"/>
          <w:numId w:val="340"/>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35" w:lineRule="exact"/>
        <w:rPr>
          <w:rFonts w:ascii="Arial" w:cs="Arial" w:eastAsia="Arial" w:hAnsi="Arial"/>
          <w:sz w:val="16"/>
          <w:szCs w:val="16"/>
          <w:color w:val="auto"/>
        </w:rPr>
      </w:pPr>
    </w:p>
    <w:p>
      <w:pPr>
        <w:ind w:firstLine="656"/>
        <w:spacing w:after="0" w:line="271" w:lineRule="auto"/>
        <w:tabs>
          <w:tab w:leader="none" w:pos="1323"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5" w:name="page326"/>
    <w:bookmarkEnd w:id="325"/>
    <w:p>
      <w:pPr>
        <w:ind w:left="-40" w:firstLine="656"/>
        <w:spacing w:after="0" w:line="255" w:lineRule="auto"/>
        <w:tabs>
          <w:tab w:leader="none" w:pos="1283"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left="-40" w:right="20" w:firstLine="656"/>
        <w:spacing w:after="0" w:line="259" w:lineRule="auto"/>
        <w:tabs>
          <w:tab w:leader="none" w:pos="1283"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left="-40" w:right="20" w:firstLine="656"/>
        <w:spacing w:after="0" w:line="291" w:lineRule="auto"/>
        <w:tabs>
          <w:tab w:leader="none" w:pos="1283"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221" w:lineRule="exact"/>
        <w:rPr>
          <w:rFonts w:ascii="Arial" w:cs="Arial" w:eastAsia="Arial" w:hAnsi="Arial"/>
          <w:sz w:val="16"/>
          <w:szCs w:val="16"/>
          <w:color w:val="auto"/>
        </w:rPr>
      </w:pPr>
    </w:p>
    <w:p>
      <w:pPr>
        <w:ind w:left="-40" w:firstLine="656"/>
        <w:spacing w:after="0" w:line="254" w:lineRule="auto"/>
        <w:tabs>
          <w:tab w:leader="none" w:pos="1283"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52" w:right="279" w:bottom="1440" w:gutter="0" w:footer="0" w:header="0"/>
        </w:sectPr>
      </w:pPr>
    </w:p>
    <w:bookmarkStart w:id="326" w:name="page327"/>
    <w:bookmarkEnd w:id="326"/>
    <w:p>
      <w:pPr>
        <w:ind w:right="20" w:firstLine="656"/>
        <w:spacing w:after="0" w:line="272" w:lineRule="auto"/>
        <w:tabs>
          <w:tab w:leader="none" w:pos="1323"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323"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120" w:firstLine="656"/>
        <w:spacing w:after="0" w:line="257" w:lineRule="auto"/>
        <w:tabs>
          <w:tab w:leader="none" w:pos="1413"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jc w:val="both"/>
        <w:ind w:right="100" w:firstLine="656"/>
        <w:spacing w:after="0" w:line="264" w:lineRule="auto"/>
        <w:tabs>
          <w:tab w:leader="none" w:pos="1407"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27" w:name="page328"/>
    <w:bookmarkEnd w:id="327"/>
    <w:p>
      <w:pPr>
        <w:ind w:left="-20" w:right="100" w:firstLine="656"/>
        <w:spacing w:after="0" w:line="302" w:lineRule="auto"/>
        <w:tabs>
          <w:tab w:leader="none" w:pos="1393"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20" w:right="60" w:firstLine="656"/>
        <w:spacing w:after="0" w:line="287" w:lineRule="auto"/>
        <w:tabs>
          <w:tab w:leader="none" w:pos="1393"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ind w:left="-20" w:firstLine="656"/>
        <w:spacing w:after="0" w:line="264" w:lineRule="auto"/>
        <w:tabs>
          <w:tab w:leader="none" w:pos="1393"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328" w:name="page329"/>
    <w:bookmarkEnd w:id="328"/>
    <w:p>
      <w:pPr>
        <w:ind w:firstLine="656"/>
        <w:spacing w:after="0" w:line="268" w:lineRule="auto"/>
        <w:tabs>
          <w:tab w:leader="none" w:pos="1413"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right="100" w:firstLine="656"/>
        <w:spacing w:after="0" w:line="257" w:lineRule="auto"/>
        <w:tabs>
          <w:tab w:leader="none" w:pos="1413"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right="120" w:firstLine="656"/>
        <w:spacing w:after="0" w:line="271" w:lineRule="auto"/>
        <w:tabs>
          <w:tab w:leader="none" w:pos="1413"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232" w:lineRule="exact"/>
        <w:rPr>
          <w:rFonts w:ascii="Arial" w:cs="Arial" w:eastAsia="Arial" w:hAnsi="Arial"/>
          <w:sz w:val="17"/>
          <w:szCs w:val="17"/>
          <w:color w:val="auto"/>
        </w:rPr>
      </w:pPr>
    </w:p>
    <w:p>
      <w:pPr>
        <w:ind w:firstLine="656"/>
        <w:spacing w:after="0" w:line="312" w:lineRule="auto"/>
        <w:tabs>
          <w:tab w:leader="none" w:pos="1413"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29" w:name="page330"/>
    <w:bookmarkEnd w:id="329"/>
    <w:p>
      <w:pPr>
        <w:ind w:firstLine="656"/>
        <w:spacing w:after="0" w:line="293" w:lineRule="auto"/>
        <w:tabs>
          <w:tab w:leader="none" w:pos="1413"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firstLine="656"/>
        <w:spacing w:after="0" w:line="259" w:lineRule="auto"/>
        <w:tabs>
          <w:tab w:leader="none" w:pos="1413"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ind w:firstLine="656"/>
        <w:spacing w:after="0" w:line="312" w:lineRule="auto"/>
        <w:tabs>
          <w:tab w:leader="none" w:pos="1413"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00" w:hanging="744"/>
        <w:spacing w:after="0"/>
        <w:tabs>
          <w:tab w:leader="none" w:pos="14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jc w:val="right"/>
        <w:ind w:right="842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330" w:name="page331"/>
    <w:bookmarkEnd w:id="330"/>
    <w:p>
      <w:pPr>
        <w:ind w:left="1400" w:hanging="744"/>
        <w:spacing w:after="0"/>
        <w:tabs>
          <w:tab w:leader="none" w:pos="14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413"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20" w:firstLine="656"/>
        <w:spacing w:after="0" w:line="277" w:lineRule="auto"/>
        <w:tabs>
          <w:tab w:leader="none" w:pos="1413"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140" w:firstLine="656"/>
        <w:spacing w:after="0" w:line="277" w:lineRule="auto"/>
        <w:tabs>
          <w:tab w:leader="none" w:pos="1413"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331" w:name="page332"/>
    <w:bookmarkEnd w:id="331"/>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Christopher S. Guinta</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Indemnitee</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39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246620" cy="93980"/>
                    </a:xfrm>
                    <a:prstGeom prst="rect">
                      <a:avLst/>
                    </a:prstGeom>
                    <a:noFill/>
                  </pic:spPr>
                </pic:pic>
              </a:graphicData>
            </a:graphic>
          </wp:anchor>
        </w:drawing>
        <w:t>Exhibit 10.12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Katherine E. Wanner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3" w:name="page334"/>
    <w:bookmarkEnd w:id="333"/>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97" w:lineRule="exact"/>
        <w:rPr>
          <w:sz w:val="20"/>
          <w:szCs w:val="20"/>
          <w:color w:val="auto"/>
        </w:rPr>
      </w:pPr>
    </w:p>
    <w:p>
      <w:pPr>
        <w:ind w:left="1300" w:right="400" w:hanging="644"/>
        <w:spacing w:after="0" w:line="277" w:lineRule="auto"/>
        <w:tabs>
          <w:tab w:leader="none" w:pos="130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terms defined elsewhere herein, the following terms have the following meanings when used in this Agreement:</w:t>
      </w:r>
    </w:p>
    <w:p>
      <w:pPr>
        <w:spacing w:after="0" w:line="197" w:lineRule="exact"/>
        <w:rPr>
          <w:rFonts w:ascii="Arial" w:cs="Arial" w:eastAsia="Arial" w:hAnsi="Arial"/>
          <w:sz w:val="18"/>
          <w:szCs w:val="18"/>
          <w:color w:val="auto"/>
        </w:rPr>
      </w:pPr>
    </w:p>
    <w:p>
      <w:pPr>
        <w:ind w:left="1960" w:right="120" w:hanging="655"/>
        <w:spacing w:after="0" w:line="302" w:lineRule="auto"/>
        <w:tabs>
          <w:tab w:leader="none" w:pos="1960" w:val="left"/>
        </w:tabs>
        <w:numPr>
          <w:ilvl w:val="1"/>
          <w:numId w:val="350"/>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35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350"/>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4" w:name="page335"/>
    <w:bookmarkEnd w:id="334"/>
    <w:p>
      <w:pPr>
        <w:ind w:left="760" w:hanging="655"/>
        <w:spacing w:after="0" w:line="289" w:lineRule="auto"/>
        <w:tabs>
          <w:tab w:leader="none" w:pos="760"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335" w:name="page336"/>
    <w:bookmarkEnd w:id="335"/>
    <w:p>
      <w:pPr>
        <w:ind w:left="1304" w:right="220" w:hanging="655"/>
        <w:spacing w:after="0" w:line="259" w:lineRule="auto"/>
        <w:tabs>
          <w:tab w:leader="none" w:pos="1304"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213" w:lineRule="exact"/>
        <w:rPr>
          <w:rFonts w:ascii="Arial" w:cs="Arial" w:eastAsia="Arial" w:hAnsi="Arial"/>
          <w:sz w:val="18"/>
          <w:szCs w:val="18"/>
          <w:color w:val="auto"/>
        </w:rPr>
      </w:pPr>
    </w:p>
    <w:p>
      <w:pPr>
        <w:ind w:left="1304" w:right="380" w:hanging="655"/>
        <w:spacing w:after="0" w:line="264" w:lineRule="auto"/>
        <w:tabs>
          <w:tab w:leader="none" w:pos="1304"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35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3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36" w:name="page337"/>
    <w:bookmarkEnd w:id="336"/>
    <w:p>
      <w:pPr>
        <w:ind w:left="1960" w:right="20" w:hanging="655"/>
        <w:spacing w:after="0" w:line="284" w:lineRule="auto"/>
        <w:tabs>
          <w:tab w:leader="none" w:pos="196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35" w:lineRule="exact"/>
        <w:rPr>
          <w:rFonts w:ascii="Arial" w:cs="Arial" w:eastAsia="Arial" w:hAnsi="Arial"/>
          <w:sz w:val="16"/>
          <w:szCs w:val="16"/>
          <w:color w:val="auto"/>
        </w:rPr>
      </w:pPr>
    </w:p>
    <w:p>
      <w:pPr>
        <w:ind w:firstLine="656"/>
        <w:spacing w:after="0" w:line="271" w:lineRule="auto"/>
        <w:tabs>
          <w:tab w:leader="none" w:pos="1323"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7" w:name="page338"/>
    <w:bookmarkEnd w:id="337"/>
    <w:p>
      <w:pPr>
        <w:ind w:left="-40" w:firstLine="656"/>
        <w:spacing w:after="0" w:line="255" w:lineRule="auto"/>
        <w:tabs>
          <w:tab w:leader="none" w:pos="1283"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left="-40" w:right="20" w:firstLine="656"/>
        <w:spacing w:after="0" w:line="259" w:lineRule="auto"/>
        <w:tabs>
          <w:tab w:leader="none" w:pos="1283"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left="-40" w:right="20" w:firstLine="656"/>
        <w:spacing w:after="0" w:line="291" w:lineRule="auto"/>
        <w:tabs>
          <w:tab w:leader="none" w:pos="1283"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221" w:lineRule="exact"/>
        <w:rPr>
          <w:rFonts w:ascii="Arial" w:cs="Arial" w:eastAsia="Arial" w:hAnsi="Arial"/>
          <w:sz w:val="16"/>
          <w:szCs w:val="16"/>
          <w:color w:val="auto"/>
        </w:rPr>
      </w:pPr>
    </w:p>
    <w:p>
      <w:pPr>
        <w:ind w:left="-40" w:firstLine="656"/>
        <w:spacing w:after="0" w:line="254" w:lineRule="auto"/>
        <w:tabs>
          <w:tab w:leader="none" w:pos="1283"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52" w:right="279" w:bottom="1440" w:gutter="0" w:footer="0" w:header="0"/>
        </w:sectPr>
      </w:pPr>
    </w:p>
    <w:bookmarkStart w:id="338" w:name="page339"/>
    <w:bookmarkEnd w:id="338"/>
    <w:p>
      <w:pPr>
        <w:ind w:right="20" w:firstLine="656"/>
        <w:spacing w:after="0" w:line="272" w:lineRule="auto"/>
        <w:tabs>
          <w:tab w:leader="none" w:pos="1323"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323"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120" w:firstLine="656"/>
        <w:spacing w:after="0" w:line="257" w:lineRule="auto"/>
        <w:tabs>
          <w:tab w:leader="none" w:pos="1413"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jc w:val="both"/>
        <w:ind w:right="100" w:firstLine="656"/>
        <w:spacing w:after="0" w:line="264" w:lineRule="auto"/>
        <w:tabs>
          <w:tab w:leader="none" w:pos="1407"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39" w:name="page340"/>
    <w:bookmarkEnd w:id="339"/>
    <w:p>
      <w:pPr>
        <w:ind w:left="-20" w:right="100" w:firstLine="656"/>
        <w:spacing w:after="0" w:line="302" w:lineRule="auto"/>
        <w:tabs>
          <w:tab w:leader="none" w:pos="1393"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20" w:right="60" w:firstLine="656"/>
        <w:spacing w:after="0" w:line="287" w:lineRule="auto"/>
        <w:tabs>
          <w:tab w:leader="none" w:pos="1393"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ind w:left="-20" w:firstLine="656"/>
        <w:spacing w:after="0" w:line="264" w:lineRule="auto"/>
        <w:tabs>
          <w:tab w:leader="none" w:pos="1393"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3" w:right="259" w:bottom="1440" w:gutter="0" w:footer="0" w:header="0"/>
        </w:sectPr>
      </w:pPr>
    </w:p>
    <w:bookmarkStart w:id="340" w:name="page341"/>
    <w:bookmarkEnd w:id="340"/>
    <w:p>
      <w:pPr>
        <w:ind w:left="-20" w:firstLine="656"/>
        <w:spacing w:after="0" w:line="268" w:lineRule="auto"/>
        <w:tabs>
          <w:tab w:leader="none" w:pos="1393"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left="-20" w:right="100" w:firstLine="656"/>
        <w:spacing w:after="0" w:line="257" w:lineRule="auto"/>
        <w:tabs>
          <w:tab w:leader="none" w:pos="1393"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left="-20" w:right="120" w:firstLine="656"/>
        <w:spacing w:after="0" w:line="271" w:lineRule="auto"/>
        <w:tabs>
          <w:tab w:leader="none" w:pos="1393"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341" w:name="page342"/>
    <w:bookmarkEnd w:id="341"/>
    <w:p>
      <w:pPr>
        <w:ind w:firstLine="656"/>
        <w:spacing w:after="0" w:line="312" w:lineRule="auto"/>
        <w:tabs>
          <w:tab w:leader="none" w:pos="1413"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200" w:lineRule="exact"/>
        <w:rPr>
          <w:rFonts w:ascii="Arial" w:cs="Arial" w:eastAsia="Arial" w:hAnsi="Arial"/>
          <w:sz w:val="16"/>
          <w:szCs w:val="16"/>
          <w:color w:val="auto"/>
        </w:rPr>
      </w:pPr>
    </w:p>
    <w:p>
      <w:pPr>
        <w:ind w:right="40" w:firstLine="656"/>
        <w:spacing w:after="0" w:line="293" w:lineRule="auto"/>
        <w:tabs>
          <w:tab w:leader="none" w:pos="1413"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right="40" w:firstLine="656"/>
        <w:spacing w:after="0" w:line="259" w:lineRule="auto"/>
        <w:tabs>
          <w:tab w:leader="none" w:pos="1413"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ind w:right="40" w:firstLine="656"/>
        <w:spacing w:after="0" w:line="312" w:lineRule="auto"/>
        <w:tabs>
          <w:tab w:leader="none" w:pos="1413"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00" w:hanging="744"/>
        <w:spacing w:after="0"/>
        <w:tabs>
          <w:tab w:leader="none" w:pos="14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LLC</w:t>
      </w:r>
    </w:p>
    <w:p>
      <w:pPr>
        <w:ind w:left="130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jc w:val="right"/>
        <w:ind w:right="844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jc w:val="right"/>
        <w:ind w:right="846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doelman@velaw.com; rlayne@velaw.com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42" w:name="page343"/>
    <w:bookmarkEnd w:id="342"/>
    <w:p>
      <w:pPr>
        <w:ind w:left="1460" w:hanging="750"/>
        <w:spacing w:after="0"/>
        <w:tabs>
          <w:tab w:leader="none" w:pos="1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jc w:val="both"/>
        <w:ind w:firstLine="656"/>
        <w:spacing w:after="0" w:line="264" w:lineRule="auto"/>
        <w:tabs>
          <w:tab w:leader="none" w:pos="1413"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220" w:firstLine="656"/>
        <w:spacing w:after="0" w:line="277" w:lineRule="auto"/>
        <w:tabs>
          <w:tab w:leader="none" w:pos="1413"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140" w:firstLine="656"/>
        <w:spacing w:after="0" w:line="277" w:lineRule="auto"/>
        <w:tabs>
          <w:tab w:leader="none" w:pos="1413"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343" w:name="page344"/>
    <w:bookmarkEnd w:id="343"/>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31750</wp:posOffset>
            </wp:positionV>
            <wp:extent cx="340487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Katherine E. Wanner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31750</wp:posOffset>
            </wp:positionV>
            <wp:extent cx="340487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Katherine E. Wanner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255270</wp:posOffset>
            </wp:positionV>
            <wp:extent cx="72466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39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246620" cy="93980"/>
                    </a:xfrm>
                    <a:prstGeom prst="rect">
                      <a:avLst/>
                    </a:prstGeom>
                    <a:noFill/>
                  </pic:spPr>
                </pic:pic>
              </a:graphicData>
            </a:graphic>
          </wp:anchor>
        </w:drawing>
        <w:t>Exhibit 10.13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AGREEMENT, dated as of February 4, 2019 (this “Agreement”), between New Fortress Energy LLC, a Delaware limited liability company (the “Company”), and Matthew Wilkinson (“Indemnitee”).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and/or officer of the Company;</w:t>
      </w:r>
    </w:p>
    <w:p>
      <w:pPr>
        <w:spacing w:after="0" w:line="252"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WHEREAS, the Company’s Limited Liability Company Agreement, as amended from time to time (“LLC Agreement”) requires the Company to indemnify and advance expenses to its directors and officers to the fullest extent permitted by law and the Indemnitee has been serving and continues to serve as a director and/or officer of the Company in part in reliance on such LLC Agreement;</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uncertainties as to the availability of indemnification created by recent court decisions may increase the risk that the Company will be unable to retain and attract as directors and officers the most capable persons available;</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spacing w:after="0" w:line="208"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WHEREAS, the parties intend that any rights the Indemnitee may have from Indemnitee-Related Entities (as defined herein) shall be secondary to the primary obligation of the Company to indemnify and hold harmless the Indemnitee under this Agreement; and</w:t>
      </w:r>
    </w:p>
    <w:p>
      <w:pPr>
        <w:spacing w:after="0" w:line="17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WHEREAS, in recognition of Indemnitee’s need for protection against personal liability, and in part to provide Indemnitee with specific contractual assurance that the protection promised by the Company’s LLC Agreement will be available to Indemnitee (regardless of, among other things, any amendment to or revocation of such LLC Agreement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45" w:name="page346"/>
    <w:bookmarkEnd w:id="345"/>
    <w:p>
      <w:pPr>
        <w:ind w:right="560" w:firstLine="1297"/>
        <w:spacing w:after="0" w:line="277" w:lineRule="auto"/>
        <w:rPr>
          <w:sz w:val="20"/>
          <w:szCs w:val="20"/>
          <w:color w:val="auto"/>
        </w:rPr>
      </w:pPr>
      <w:r>
        <w:rPr>
          <w:rFonts w:ascii="Arial" w:cs="Arial" w:eastAsia="Arial" w:hAnsi="Arial"/>
          <w:sz w:val="18"/>
          <w:szCs w:val="18"/>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224" w:lineRule="exact"/>
        <w:rPr>
          <w:sz w:val="20"/>
          <w:szCs w:val="20"/>
          <w:color w:val="auto"/>
        </w:rPr>
      </w:pPr>
    </w:p>
    <w:p>
      <w:pPr>
        <w:ind w:left="1500" w:hanging="844"/>
        <w:spacing w:after="0"/>
        <w:tabs>
          <w:tab w:leader="none" w:pos="1500"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In addition to terms defined elsewhere herein, the following terms have the following meanings when used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color w:val="auto"/>
        </w:rPr>
      </w:pPr>
    </w:p>
    <w:p>
      <w:pPr>
        <w:ind w:left="1960" w:right="120" w:hanging="655"/>
        <w:spacing w:after="0" w:line="302" w:lineRule="auto"/>
        <w:tabs>
          <w:tab w:leader="none" w:pos="1960"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spacing w:after="0" w:line="181" w:lineRule="exact"/>
        <w:rPr>
          <w:rFonts w:ascii="Arial" w:cs="Arial" w:eastAsia="Arial" w:hAnsi="Arial"/>
          <w:sz w:val="16"/>
          <w:szCs w:val="16"/>
          <w:color w:val="auto"/>
        </w:rPr>
      </w:pPr>
    </w:p>
    <w:p>
      <w:pPr>
        <w:ind w:left="1960" w:hanging="655"/>
        <w:spacing w:after="0"/>
        <w:tabs>
          <w:tab w:leader="none" w:pos="1960"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rFonts w:ascii="Arial" w:cs="Arial" w:eastAsia="Arial" w:hAnsi="Arial"/>
          <w:sz w:val="18"/>
          <w:szCs w:val="18"/>
          <w:color w:val="auto"/>
        </w:rPr>
      </w:pPr>
    </w:p>
    <w:p>
      <w:pPr>
        <w:ind w:left="1960" w:right="40" w:hanging="655"/>
        <w:spacing w:after="0" w:line="289" w:lineRule="auto"/>
        <w:tabs>
          <w:tab w:leader="none" w:pos="1960"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93" w:lineRule="exact"/>
        <w:rPr>
          <w:rFonts w:ascii="Arial" w:cs="Arial" w:eastAsia="Arial" w:hAnsi="Arial"/>
          <w:sz w:val="16"/>
          <w:szCs w:val="16"/>
          <w:color w:val="auto"/>
        </w:rPr>
      </w:pPr>
    </w:p>
    <w:p>
      <w:pPr>
        <w:ind w:left="1960" w:hanging="655"/>
        <w:spacing w:after="0" w:line="269" w:lineRule="auto"/>
        <w:tabs>
          <w:tab w:leader="none" w:pos="1960" w:val="left"/>
        </w:tabs>
        <w:numPr>
          <w:ilvl w:val="1"/>
          <w:numId w:val="364"/>
        </w:numPr>
        <w:rPr>
          <w:rFonts w:ascii="Arial" w:cs="Arial" w:eastAsia="Arial" w:hAnsi="Arial"/>
          <w:sz w:val="17"/>
          <w:szCs w:val="17"/>
          <w:color w:val="auto"/>
        </w:rPr>
      </w:pPr>
      <w:r>
        <w:rPr>
          <w:rFonts w:ascii="Arial" w:cs="Arial" w:eastAsia="Arial" w:hAnsi="Arial"/>
          <w:sz w:val="17"/>
          <w:szCs w:val="17"/>
          <w:u w:val="single" w:color="auto"/>
          <w:color w:val="auto"/>
        </w:rPr>
        <w:t>Indemnifiable Amounts</w:t>
      </w:r>
      <w:r>
        <w:rPr>
          <w:rFonts w:ascii="Arial" w:cs="Arial" w:eastAsia="Arial" w:hAnsi="Arial"/>
          <w:sz w:val="17"/>
          <w:szCs w:val="17"/>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6" w:name="page347"/>
    <w:bookmarkEnd w:id="346"/>
    <w:p>
      <w:pPr>
        <w:ind w:left="760" w:hanging="655"/>
        <w:spacing w:after="0" w:line="289" w:lineRule="auto"/>
        <w:tabs>
          <w:tab w:leader="none" w:pos="760"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spacing w:after="0" w:line="193" w:lineRule="exact"/>
        <w:rPr>
          <w:rFonts w:ascii="Arial" w:cs="Arial" w:eastAsia="Arial" w:hAnsi="Arial"/>
          <w:sz w:val="16"/>
          <w:szCs w:val="16"/>
          <w:color w:val="auto"/>
        </w:rPr>
      </w:pPr>
    </w:p>
    <w:p>
      <w:pPr>
        <w:ind w:left="760" w:right="20" w:hanging="655"/>
        <w:spacing w:after="0" w:line="293" w:lineRule="auto"/>
        <w:tabs>
          <w:tab w:leader="none" w:pos="760"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91" w:lineRule="exact"/>
        <w:rPr>
          <w:rFonts w:ascii="Arial" w:cs="Arial" w:eastAsia="Arial" w:hAnsi="Arial"/>
          <w:sz w:val="16"/>
          <w:szCs w:val="16"/>
          <w:color w:val="auto"/>
        </w:rPr>
      </w:pPr>
    </w:p>
    <w:p>
      <w:pPr>
        <w:ind w:left="760" w:right="220" w:hanging="655"/>
        <w:spacing w:after="0" w:line="259" w:lineRule="auto"/>
        <w:tabs>
          <w:tab w:leader="none" w:pos="76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spacing w:after="0" w:line="1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47" w:name="page348"/>
    <w:bookmarkEnd w:id="347"/>
    <w:p>
      <w:pPr>
        <w:ind w:left="1304" w:right="380" w:hanging="655"/>
        <w:spacing w:after="0" w:line="264" w:lineRule="auto"/>
        <w:tabs>
          <w:tab w:leader="none" w:pos="130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which vote generally in the election of directors.</w:t>
      </w:r>
    </w:p>
    <w:p>
      <w:pPr>
        <w:spacing w:after="0" w:line="279" w:lineRule="exact"/>
        <w:rPr>
          <w:rFonts w:ascii="Arial" w:cs="Arial" w:eastAsia="Arial" w:hAnsi="Arial"/>
          <w:sz w:val="18"/>
          <w:szCs w:val="18"/>
          <w:color w:val="auto"/>
        </w:rPr>
      </w:pPr>
    </w:p>
    <w:p>
      <w:pPr>
        <w:ind w:left="844" w:hanging="844"/>
        <w:spacing w:after="0"/>
        <w:tabs>
          <w:tab w:leader="none" w:pos="844"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4" w:right="200" w:hanging="655"/>
        <w:spacing w:after="0" w:line="257" w:lineRule="auto"/>
        <w:tabs>
          <w:tab w:leader="none" w:pos="130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5"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spacing w:after="0" w:line="220"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14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48" w:name="page349"/>
    <w:bookmarkEnd w:id="348"/>
    <w:p>
      <w:pPr>
        <w:ind w:left="1960" w:right="20" w:hanging="655"/>
        <w:spacing w:after="0" w:line="284" w:lineRule="auto"/>
        <w:tabs>
          <w:tab w:leader="none" w:pos="196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 xml:space="preserve">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35" w:lineRule="exact"/>
        <w:rPr>
          <w:rFonts w:ascii="Arial" w:cs="Arial" w:eastAsia="Arial" w:hAnsi="Arial"/>
          <w:sz w:val="16"/>
          <w:szCs w:val="16"/>
          <w:color w:val="auto"/>
        </w:rPr>
      </w:pPr>
    </w:p>
    <w:p>
      <w:pPr>
        <w:ind w:firstLine="656"/>
        <w:spacing w:after="0" w:line="271" w:lineRule="auto"/>
        <w:tabs>
          <w:tab w:leader="none" w:pos="1485"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LLC Agreement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9" w:name="page350"/>
    <w:bookmarkEnd w:id="349"/>
    <w:p>
      <w:pPr>
        <w:ind w:left="-40" w:firstLine="656"/>
        <w:spacing w:after="0" w:line="255" w:lineRule="auto"/>
        <w:tabs>
          <w:tab w:leader="none" w:pos="144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47" w:lineRule="exact"/>
        <w:rPr>
          <w:rFonts w:ascii="Arial" w:cs="Arial" w:eastAsia="Arial" w:hAnsi="Arial"/>
          <w:sz w:val="18"/>
          <w:szCs w:val="18"/>
          <w:color w:val="auto"/>
        </w:rPr>
      </w:pPr>
    </w:p>
    <w:p>
      <w:pPr>
        <w:ind w:left="-40" w:right="20" w:firstLine="656"/>
        <w:spacing w:after="0" w:line="259" w:lineRule="auto"/>
        <w:tabs>
          <w:tab w:leader="none" w:pos="144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Burden of Proof, Etc</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40" w:lineRule="exact"/>
        <w:rPr>
          <w:rFonts w:ascii="Arial" w:cs="Arial" w:eastAsia="Arial" w:hAnsi="Arial"/>
          <w:sz w:val="18"/>
          <w:szCs w:val="18"/>
          <w:color w:val="auto"/>
        </w:rPr>
      </w:pPr>
    </w:p>
    <w:p>
      <w:pPr>
        <w:ind w:left="-40" w:right="20" w:firstLine="656"/>
        <w:spacing w:after="0" w:line="291" w:lineRule="auto"/>
        <w:tabs>
          <w:tab w:leader="none" w:pos="1445"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221" w:lineRule="exact"/>
        <w:rPr>
          <w:rFonts w:ascii="Arial" w:cs="Arial" w:eastAsia="Arial" w:hAnsi="Arial"/>
          <w:sz w:val="16"/>
          <w:szCs w:val="16"/>
          <w:color w:val="auto"/>
        </w:rPr>
      </w:pPr>
    </w:p>
    <w:p>
      <w:pPr>
        <w:ind w:left="-40" w:firstLine="656"/>
        <w:spacing w:after="0" w:line="254" w:lineRule="auto"/>
        <w:tabs>
          <w:tab w:leader="none" w:pos="144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52" w:right="279" w:bottom="1440" w:gutter="0" w:footer="0" w:header="0"/>
        </w:sectPr>
      </w:pPr>
    </w:p>
    <w:bookmarkStart w:id="350" w:name="page351"/>
    <w:bookmarkEnd w:id="350"/>
    <w:p>
      <w:pPr>
        <w:ind w:right="20" w:firstLine="656"/>
        <w:spacing w:after="0" w:line="272" w:lineRule="auto"/>
        <w:tabs>
          <w:tab w:leader="none" w:pos="1485"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the Indemnitee hereunder shall be in addition to any other rights Indemnitee may have under the Company’s LLC Agreement or the Delaware Limited Liability Company Act or otherwise. To the extent that a change in applicable law (whether by statute or judicial decision) permits greater indemnification by agreement than would be afforded currently under the Company’s LLC Agreement or this Agreement, it is the intent of the parties hereto that Indemnitee shall enjoy by this Agreement the greater benefits so afforded by such change. To the extent that there is a conflict or inconsistency between the terms of this Agreement or the Company’s LLC Agreement, it is the intent of the parties hereto that the Indemnitee shall enjoy the greater benefits regardless of whether contained herein or in the Company’s LLC Agreement. No amendment or alteration of the Company’s LLC Agreement or any other agreement shall adversely affect the rights provided to Indemnitee under this Agreement.</w:t>
      </w:r>
    </w:p>
    <w:p>
      <w:pPr>
        <w:spacing w:after="0" w:line="231" w:lineRule="exact"/>
        <w:rPr>
          <w:rFonts w:ascii="Arial" w:cs="Arial" w:eastAsia="Arial" w:hAnsi="Arial"/>
          <w:sz w:val="17"/>
          <w:szCs w:val="17"/>
          <w:color w:val="auto"/>
        </w:rPr>
      </w:pPr>
    </w:p>
    <w:p>
      <w:pPr>
        <w:ind w:firstLine="656"/>
        <w:spacing w:after="0" w:line="273" w:lineRule="auto"/>
        <w:tabs>
          <w:tab w:leader="none" w:pos="1485"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232" w:lineRule="exact"/>
        <w:rPr>
          <w:rFonts w:ascii="Arial" w:cs="Arial" w:eastAsia="Arial" w:hAnsi="Arial"/>
          <w:sz w:val="17"/>
          <w:szCs w:val="17"/>
          <w:color w:val="auto"/>
        </w:rPr>
      </w:pPr>
    </w:p>
    <w:p>
      <w:pPr>
        <w:ind w:right="80" w:firstLine="656"/>
        <w:spacing w:after="0" w:line="257" w:lineRule="auto"/>
        <w:tabs>
          <w:tab w:leader="none" w:pos="1467"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42" w:lineRule="exact"/>
        <w:rPr>
          <w:rFonts w:ascii="Arial" w:cs="Arial" w:eastAsia="Arial" w:hAnsi="Arial"/>
          <w:sz w:val="18"/>
          <w:szCs w:val="18"/>
          <w:color w:val="auto"/>
        </w:rPr>
      </w:pPr>
    </w:p>
    <w:p>
      <w:pPr>
        <w:jc w:val="both"/>
        <w:ind w:right="80" w:firstLine="656"/>
        <w:spacing w:after="0" w:line="264" w:lineRule="auto"/>
        <w:tabs>
          <w:tab w:leader="none" w:pos="1461"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1" w:name="page352"/>
    <w:bookmarkEnd w:id="351"/>
    <w:p>
      <w:pPr>
        <w:ind w:left="-80" w:right="20" w:firstLine="656"/>
        <w:spacing w:after="0" w:line="302" w:lineRule="auto"/>
        <w:tabs>
          <w:tab w:leader="none" w:pos="1387"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8" w:lineRule="exact"/>
        <w:rPr>
          <w:rFonts w:ascii="Arial" w:cs="Arial" w:eastAsia="Arial" w:hAnsi="Arial"/>
          <w:sz w:val="16"/>
          <w:szCs w:val="16"/>
          <w:color w:val="auto"/>
        </w:rPr>
      </w:pPr>
    </w:p>
    <w:p>
      <w:pPr>
        <w:ind w:left="-80" w:firstLine="656"/>
        <w:spacing w:after="0" w:line="287" w:lineRule="auto"/>
        <w:tabs>
          <w:tab w:leader="none" w:pos="1387"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spacing w:after="0" w:line="222" w:lineRule="exact"/>
        <w:rPr>
          <w:rFonts w:ascii="Arial" w:cs="Arial" w:eastAsia="Arial" w:hAnsi="Arial"/>
          <w:sz w:val="16"/>
          <w:szCs w:val="16"/>
          <w:color w:val="auto"/>
        </w:rPr>
      </w:pPr>
    </w:p>
    <w:p>
      <w:pPr>
        <w:jc w:val="both"/>
        <w:ind w:left="-80" w:right="40" w:firstLine="656"/>
        <w:spacing w:after="0" w:line="264" w:lineRule="auto"/>
        <w:tabs>
          <w:tab w:leader="none" w:pos="138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LLC Agreement or otherwise) of the amounts otherwise indemnifiable 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152" w:right="299" w:bottom="1440" w:gutter="0" w:footer="0" w:header="0"/>
        </w:sectPr>
      </w:pPr>
    </w:p>
    <w:bookmarkStart w:id="352" w:name="page353"/>
    <w:bookmarkEnd w:id="352"/>
    <w:p>
      <w:pPr>
        <w:ind w:firstLine="656"/>
        <w:spacing w:after="0" w:line="268" w:lineRule="auto"/>
        <w:tabs>
          <w:tab w:leader="none" w:pos="1467"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xml:space="preserve">. The Company shall be entitled to participate in the defense of any Claim relating to an Indemnifiable Event or to assume the defense thereof, with counsel reasonably satisfactory to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37" w:lineRule="exact"/>
        <w:rPr>
          <w:rFonts w:ascii="Arial" w:cs="Arial" w:eastAsia="Arial" w:hAnsi="Arial"/>
          <w:sz w:val="17"/>
          <w:szCs w:val="17"/>
          <w:color w:val="auto"/>
        </w:rPr>
      </w:pPr>
    </w:p>
    <w:p>
      <w:pPr>
        <w:ind w:right="100" w:firstLine="656"/>
        <w:spacing w:after="0" w:line="257" w:lineRule="auto"/>
        <w:tabs>
          <w:tab w:leader="none" w:pos="1467"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No Adverse Settlement</w:t>
      </w:r>
      <w:r>
        <w:rPr>
          <w:rFonts w:ascii="Arial" w:cs="Arial" w:eastAsia="Arial" w:hAnsi="Arial"/>
          <w:sz w:val="18"/>
          <w:szCs w:val="18"/>
          <w:color w:val="auto"/>
        </w:rPr>
        <w: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42" w:lineRule="exact"/>
        <w:rPr>
          <w:rFonts w:ascii="Arial" w:cs="Arial" w:eastAsia="Arial" w:hAnsi="Arial"/>
          <w:sz w:val="18"/>
          <w:szCs w:val="18"/>
          <w:color w:val="auto"/>
        </w:rPr>
      </w:pPr>
    </w:p>
    <w:p>
      <w:pPr>
        <w:ind w:right="120" w:firstLine="656"/>
        <w:spacing w:after="0" w:line="271" w:lineRule="auto"/>
        <w:tabs>
          <w:tab w:leader="none" w:pos="1467"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spacing w:after="0" w:line="232" w:lineRule="exact"/>
        <w:rPr>
          <w:rFonts w:ascii="Arial" w:cs="Arial" w:eastAsia="Arial" w:hAnsi="Arial"/>
          <w:sz w:val="17"/>
          <w:szCs w:val="17"/>
          <w:color w:val="auto"/>
        </w:rPr>
      </w:pPr>
    </w:p>
    <w:p>
      <w:pPr>
        <w:jc w:val="both"/>
        <w:ind w:firstLine="656"/>
        <w:spacing w:after="0" w:line="312" w:lineRule="auto"/>
        <w:tabs>
          <w:tab w:leader="none" w:pos="1467"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3" w:name="page354"/>
    <w:bookmarkEnd w:id="353"/>
    <w:p>
      <w:pPr>
        <w:ind w:left="-40" w:firstLine="656"/>
        <w:spacing w:after="0" w:line="293" w:lineRule="auto"/>
        <w:tabs>
          <w:tab w:leader="none" w:pos="1427"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18" w:lineRule="exact"/>
        <w:rPr>
          <w:rFonts w:ascii="Arial" w:cs="Arial" w:eastAsia="Arial" w:hAnsi="Arial"/>
          <w:sz w:val="16"/>
          <w:szCs w:val="16"/>
          <w:color w:val="auto"/>
        </w:rPr>
      </w:pPr>
    </w:p>
    <w:p>
      <w:pPr>
        <w:ind w:left="-40" w:firstLine="656"/>
        <w:spacing w:after="0" w:line="259" w:lineRule="auto"/>
        <w:tabs>
          <w:tab w:leader="none" w:pos="1427"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40" w:lineRule="exact"/>
        <w:rPr>
          <w:rFonts w:ascii="Arial" w:cs="Arial" w:eastAsia="Arial" w:hAnsi="Arial"/>
          <w:sz w:val="18"/>
          <w:szCs w:val="18"/>
          <w:color w:val="auto"/>
        </w:rPr>
      </w:pPr>
    </w:p>
    <w:p>
      <w:pPr>
        <w:jc w:val="both"/>
        <w:ind w:left="-40" w:firstLine="656"/>
        <w:spacing w:after="0" w:line="312" w:lineRule="auto"/>
        <w:tabs>
          <w:tab w:leader="none" w:pos="1427"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201" w:lineRule="exact"/>
        <w:rPr>
          <w:sz w:val="20"/>
          <w:szCs w:val="20"/>
          <w:color w:val="auto"/>
        </w:rPr>
      </w:pPr>
    </w:p>
    <w:p>
      <w:pPr>
        <w:ind w:left="1420" w:hanging="804"/>
        <w:spacing w:after="0"/>
        <w:tabs>
          <w:tab w:leader="none" w:pos="14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Fortress Energy LLC</w:t>
      </w:r>
    </w:p>
    <w:p>
      <w:pPr>
        <w:ind w:left="126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Email: cmacdougall@fortress.com</w:t>
      </w: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(713) 758-2346</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Attn: David P. Oelman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 Ramey Layne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doelman@velaw.com; rlayne@velaw.com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354" w:name="page355"/>
    <w:bookmarkEnd w:id="354"/>
    <w:p>
      <w:pPr>
        <w:ind w:left="1460" w:hanging="804"/>
        <w:spacing w:after="0"/>
        <w:tabs>
          <w:tab w:leader="none" w:pos="1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If to the Indemnitee, to the address set forth on the signature page hereto.</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spacing w:after="0" w:line="235" w:lineRule="exact"/>
        <w:rPr>
          <w:sz w:val="20"/>
          <w:szCs w:val="20"/>
          <w:color w:val="auto"/>
        </w:rPr>
      </w:pPr>
    </w:p>
    <w:p>
      <w:pPr>
        <w:ind w:firstLine="656"/>
        <w:spacing w:after="0" w:line="264" w:lineRule="auto"/>
        <w:tabs>
          <w:tab w:leader="none" w:pos="1467"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35" w:lineRule="exact"/>
        <w:rPr>
          <w:rFonts w:ascii="Arial" w:cs="Arial" w:eastAsia="Arial" w:hAnsi="Arial"/>
          <w:sz w:val="18"/>
          <w:szCs w:val="18"/>
          <w:color w:val="auto"/>
        </w:rPr>
      </w:pPr>
    </w:p>
    <w:p>
      <w:pPr>
        <w:ind w:right="140" w:firstLine="656"/>
        <w:spacing w:after="0" w:line="277" w:lineRule="auto"/>
        <w:tabs>
          <w:tab w:leader="none" w:pos="1467"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224" w:lineRule="exact"/>
        <w:rPr>
          <w:rFonts w:ascii="Arial" w:cs="Arial" w:eastAsia="Arial" w:hAnsi="Arial"/>
          <w:sz w:val="18"/>
          <w:szCs w:val="18"/>
          <w:color w:val="auto"/>
        </w:rPr>
      </w:pPr>
    </w:p>
    <w:p>
      <w:pPr>
        <w:ind w:right="60" w:firstLine="656"/>
        <w:spacing w:after="0" w:line="277" w:lineRule="auto"/>
        <w:tabs>
          <w:tab w:leader="none" w:pos="1467"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355" w:name="page356"/>
    <w:bookmarkEnd w:id="355"/>
    <w:p>
      <w:pPr>
        <w:ind w:left="10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Matthew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Matthew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43685" cy="3943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LLC Prices Initial Public Offering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NEW YORK, January 30, 2019 – (BUSINESS WIRE) – New Fortress Energy LLC (NASDAQ: NFE) (“New Fortress” or the “Company”) announced today the pricing of its initial public offering of 20,000,000 Class A shares representing limited liability company interests in New Fortress (the “Class A shares”) at $14.00 per share. The Class A shares are expected to begin trading on the Nasdaq Global Select Market under the ticker symbol “NFE” on January 31, 2019. In addition, New Fortress granted the underwriters a 30-day option to purchase up to an additional 3,000,000 Class A shares at the initial public offering price, less underwriting discounts and commissions. The offering is expected to close on February 4, 2019, subject to customary closing conditions.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Fortress expects to receive approximately $257.6 million of proceeds from the offering, or $297.2 million if the underwriters exercise their option to purchase additional Class A shares in full, in each case net of underwriting discounts and offering expenses. New Fortress intends to contribute the net proceeds of the offering it receives to New Fortress Intermediate LLC (“NFI”), its subsidiary, in exchange for limited liability company units in NFI (the “NFI LLC Units”). NFI intends to use such net proceeds in connection with the construction of its terminals and liquefaction facilities, as well as for working capital and general corporate purposes, including the development of future projects. If the underwriters exercise their option to purchase additional Class A shares, the Company will contribute the net proceeds from the exercise of such option to NFI in exchange for NFI’s issuance to the Company of additional NFI LLC Units.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Morgan Stanley, Barclays, Citigroup and Credit Suisse are acting as lead book-running managers for the offering. Additional book-running managers are Evercore ISI and Allen &amp; Company LLC. Co-managers are JMP Securities and Stifel. The offering of these securities will be made only by means of a prospectus that meets the requirements of Section 10 of the Securities Act of 1933. A copy of the prospectus may be obtained from: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184" w:lineRule="auto"/>
        <w:rPr>
          <w:sz w:val="20"/>
          <w:szCs w:val="20"/>
          <w:color w:val="auto"/>
        </w:rPr>
      </w:pPr>
      <w:r>
        <w:rPr>
          <w:rFonts w:ascii="Arial" w:cs="Arial" w:eastAsia="Arial" w:hAnsi="Arial"/>
          <w:sz w:val="16"/>
          <w:szCs w:val="16"/>
          <w:color w:val="auto"/>
        </w:rPr>
        <w:t>180 Varick Street,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Edgewood, NY 11717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(888) 603-5847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barclaysprospectus@broadridge.com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Edgewood, NY 11717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831-9146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184" w:lineRule="auto"/>
        <w:rPr>
          <w:sz w:val="20"/>
          <w:szCs w:val="20"/>
          <w:color w:val="auto"/>
        </w:rPr>
      </w:pPr>
      <w:r>
        <w:rPr>
          <w:rFonts w:ascii="Arial" w:cs="Arial" w:eastAsia="Arial" w:hAnsi="Arial"/>
          <w:sz w:val="16"/>
          <w:szCs w:val="16"/>
          <w:color w:val="auto"/>
        </w:rPr>
        <w:t>Eleven Madison Avenue,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(800) 221-1037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usa.prospectus@credit-suisse.com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registration statement relating to these securities has been filed with, and declared effective by, the SEC. The registration statement may be obtained free of charge at the SEC’s website at www.sec.gov under “New Fortress Energy LLC.” 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LLC</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New Fortress Energy is a global energy infrastructure company founded to help accelerate the world’s transition to clean energy. The company funds, builds and operates natural gas infrastructure and logistics to deliver fast-track, turnkey energy solutions that enable economic growth, environmental stewardship and transform local industries and communities. New Fortress Energy is majority-owned by a fund managed by an affiliate of Fortress Investment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contained in this press release constitute “forward-looking statements” within the meaning of the Private Securities Litigation Reform Act of 1995. These forward-looking statements, including statements regarding the closing of the initial public offering and the Company’s use of proceeds from the offering,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Accordingly, readers should not place undue reliance on forward-looking statements as a prediction of actual results.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prospectus included in the registration statement filed with the SEC in connection with the Company’s initial public offering, which could cause its actual results to differ materially from those contained in any forward-looking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(516) 268-7433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AD6F57"/>
    <w:multiLevelType w:val="hybridMultilevel"/>
    <w:lvl w:ilvl="0">
      <w:lvlJc w:val="left"/>
      <w:lvlText w:val="☐"/>
      <w:numFmt w:val="bullet"/>
      <w:start w:val="1"/>
    </w:lvl>
  </w:abstractNum>
  <w:abstractNum w:abstractNumId="1">
    <w:nsid w:val="6EC9D844"/>
    <w:multiLevelType w:val="hybridMultilevel"/>
    <w:lvl w:ilvl="0">
      <w:lvlJc w:val="left"/>
      <w:lvlText w:val="●"/>
      <w:numFmt w:val="bullet"/>
      <w:start w:val="1"/>
    </w:lvl>
  </w:abstractNum>
  <w:abstractNum w:abstractNumId="2">
    <w:nsid w:val="5C49EAEE"/>
    <w:multiLevelType w:val="hybridMultilevel"/>
    <w:lvl w:ilvl="0">
      <w:lvlJc w:val="left"/>
      <w:lvlText w:val="●"/>
      <w:numFmt w:val="bullet"/>
      <w:start w:val="1"/>
    </w:lvl>
  </w:abstractNum>
  <w:abstractNum w:abstractNumId="3">
    <w:nsid w:val="64AF49B"/>
    <w:multiLevelType w:val="hybridMultilevel"/>
    <w:lvl w:ilvl="0">
      <w:lvlJc w:val="left"/>
      <w:lvlText w:val="(%1)"/>
      <w:numFmt w:val="lowerLetter"/>
      <w:start w:val="1"/>
    </w:lvl>
  </w:abstractNum>
  <w:abstractNum w:abstractNumId="4">
    <w:nsid w:val="397C46BC"/>
    <w:multiLevelType w:val="hybridMultilevel"/>
    <w:lvl w:ilvl="0">
      <w:lvlJc w:val="left"/>
      <w:lvlText w:val="(%1)"/>
      <w:numFmt w:val="lowerLetter"/>
      <w:start w:val="1"/>
    </w:lvl>
  </w:abstractNum>
  <w:abstractNum w:abstractNumId="5">
    <w:nsid w:val="7E448DE9"/>
    <w:multiLevelType w:val="hybridMultilevel"/>
    <w:lvl w:ilvl="0">
      <w:lvlJc w:val="left"/>
      <w:lvlText w:val="(%1)"/>
      <w:numFmt w:val="lowerRoman"/>
      <w:start w:val="1"/>
    </w:lvl>
  </w:abstractNum>
  <w:abstractNum w:abstractNumId="6">
    <w:nsid w:val="5A9CC3E5"/>
    <w:multiLevelType w:val="hybridMultilevel"/>
    <w:lvl w:ilvl="0">
      <w:lvlJc w:val="left"/>
      <w:lvlText w:val="%1"/>
      <w:numFmt w:val="upperLetter"/>
      <w:start w:val="1"/>
    </w:lvl>
    <w:lvl w:ilvl="1">
      <w:lvlJc w:val="left"/>
      <w:lvlText w:val="(%2)"/>
      <w:numFmt w:val="lowerRoman"/>
      <w:start w:val="2"/>
    </w:lvl>
  </w:abstractNum>
  <w:abstractNum w:abstractNumId="7">
    <w:nsid w:val="1AFE3625"/>
    <w:multiLevelType w:val="hybridMultilevel"/>
    <w:lvl w:ilvl="0">
      <w:lvlJc w:val="left"/>
      <w:lvlText w:val="(%1)"/>
      <w:numFmt w:val="upperLetter"/>
      <w:start w:val="4"/>
    </w:lvl>
    <w:lvl w:ilvl="1">
      <w:lvlJc w:val="left"/>
      <w:lvlText w:val="%2"/>
      <w:numFmt w:val="lowerRoman"/>
      <w:start w:val="1"/>
    </w:lvl>
  </w:abstractNum>
  <w:abstractNum w:abstractNumId="8">
    <w:nsid w:val="3CA88ECF"/>
    <w:multiLevelType w:val="hybridMultilevel"/>
    <w:lvl w:ilvl="0">
      <w:lvlJc w:val="left"/>
      <w:lvlText w:val="(%1)"/>
      <w:numFmt w:val="lowerRoman"/>
      <w:start w:val="3"/>
    </w:lvl>
  </w:abstractNum>
  <w:abstractNum w:abstractNumId="9">
    <w:nsid w:val="6EBE4208"/>
    <w:multiLevelType w:val="hybridMultilevel"/>
    <w:lvl w:ilvl="0">
      <w:lvlJc w:val="left"/>
      <w:lvlText w:val="%1"/>
      <w:numFmt w:val="lowerRoman"/>
      <w:start w:val="1"/>
    </w:lvl>
    <w:lvl w:ilvl="1">
      <w:lvlJc w:val="left"/>
      <w:lvlText w:val="(%2)"/>
      <w:numFmt w:val="lowerRoman"/>
      <w:start w:val="5"/>
    </w:lvl>
  </w:abstractNum>
  <w:abstractNum w:abstractNumId="10">
    <w:nsid w:val="C058DF5"/>
    <w:multiLevelType w:val="hybridMultilevel"/>
    <w:lvl w:ilvl="0">
      <w:lvlJc w:val="left"/>
      <w:lvlText w:val="(%1)"/>
      <w:numFmt w:val="lowerRoman"/>
      <w:start w:val="6"/>
    </w:lvl>
    <w:lvl w:ilvl="1">
      <w:lvlJc w:val="left"/>
      <w:lvlText w:val="(%2)"/>
      <w:numFmt w:val="lowerRoman"/>
      <w:start w:val="9"/>
    </w:lvl>
  </w:abstractNum>
  <w:abstractNum w:abstractNumId="11">
    <w:nsid w:val="CBE5BE9"/>
    <w:multiLevelType w:val="hybridMultilevel"/>
    <w:lvl w:ilvl="0">
      <w:lvlJc w:val="left"/>
      <w:lvlText w:val="%1"/>
      <w:numFmt w:val="lowerRoman"/>
      <w:start w:val="1"/>
    </w:lvl>
    <w:lvl w:ilvl="1">
      <w:lvlJc w:val="left"/>
      <w:lvlText w:val="(%2)"/>
      <w:numFmt w:val="lowerRoman"/>
      <w:start w:val="10"/>
    </w:lvl>
  </w:abstractNum>
  <w:abstractNum w:abstractNumId="12">
    <w:nsid w:val="3102BBE2"/>
    <w:multiLevelType w:val="hybridMultilevel"/>
    <w:lvl w:ilvl="0">
      <w:lvlJc w:val="left"/>
      <w:lvlText w:val="(%1)"/>
      <w:numFmt w:val="lowerRoman"/>
      <w:start w:val="12"/>
    </w:lvl>
    <w:lvl w:ilvl="1">
      <w:lvlJc w:val="left"/>
      <w:lvlText w:val="%2"/>
      <w:numFmt w:val="lowerRoman"/>
      <w:start w:val="1"/>
    </w:lvl>
  </w:abstractNum>
  <w:abstractNum w:abstractNumId="13">
    <w:nsid w:val="26A02C5E"/>
    <w:multiLevelType w:val="hybridMultilevel"/>
    <w:lvl w:ilvl="0">
      <w:lvlJc w:val="left"/>
      <w:lvlText w:val="(%1)"/>
      <w:numFmt w:val="lowerRoman"/>
      <w:start w:val="14"/>
    </w:lvl>
  </w:abstractNum>
  <w:abstractNum w:abstractNumId="14">
    <w:nsid w:val="541C815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8"/>
    </w:lvl>
  </w:abstractNum>
  <w:abstractNum w:abstractNumId="15">
    <w:nsid w:val="67906F60"/>
    <w:multiLevelType w:val="hybridMultilevel"/>
    <w:lvl w:ilvl="0">
      <w:lvlJc w:val="left"/>
      <w:lvlText w:val="(%1)"/>
      <w:numFmt w:val="lowerRoman"/>
      <w:start w:val="2"/>
    </w:lvl>
    <w:lvl w:ilvl="1">
      <w:lvlJc w:val="left"/>
      <w:lvlText w:val="(%2)"/>
      <w:numFmt w:val="lowerRoman"/>
      <w:start w:val="20"/>
    </w:lvl>
    <w:lvl w:ilvl="2">
      <w:lvlJc w:val="left"/>
      <w:lvlText w:val="(%3)"/>
      <w:numFmt w:val="lowerRoman"/>
      <w:start w:val="19"/>
    </w:lvl>
  </w:abstractNum>
  <w:abstractNum w:abstractNumId="16">
    <w:nsid w:val="10DB9DAA"/>
    <w:multiLevelType w:val="hybridMultilevel"/>
    <w:lvl w:ilvl="0">
      <w:lvlJc w:val="left"/>
      <w:lvlText w:val="%1"/>
      <w:numFmt w:val="lowerRoman"/>
      <w:start w:val="1"/>
    </w:lvl>
    <w:lvl w:ilvl="1">
      <w:lvlJc w:val="left"/>
      <w:lvlText w:val="(%2)"/>
      <w:numFmt w:val="lowerRoman"/>
      <w:start w:val="22"/>
    </w:lvl>
  </w:abstractNum>
  <w:abstractNum w:abstractNumId="17">
    <w:nsid w:val="697D2D2"/>
    <w:multiLevelType w:val="hybridMultilevel"/>
    <w:lvl w:ilvl="0">
      <w:lvlJc w:val="left"/>
      <w:lvlText w:val="(%1)"/>
      <w:numFmt w:val="lowerRoman"/>
      <w:start w:val="23"/>
    </w:lvl>
    <w:lvl w:ilvl="1">
      <w:lvlJc w:val="left"/>
      <w:lvlText w:val="%2"/>
      <w:numFmt w:val="lowerRoman"/>
      <w:start w:val="1"/>
    </w:lvl>
  </w:abstractNum>
  <w:abstractNum w:abstractNumId="18">
    <w:nsid w:val="6D68AB2"/>
    <w:multiLevelType w:val="hybridMultilevel"/>
    <w:lvl w:ilvl="0">
      <w:lvlJc w:val="left"/>
      <w:lvlText w:val="%1"/>
      <w:numFmt w:val="lowerRoman"/>
      <w:start w:val="1"/>
    </w:lvl>
    <w:lvl w:ilvl="1">
      <w:lvlJc w:val="left"/>
      <w:lvlText w:val="(%2)"/>
      <w:numFmt w:val="lowerRoman"/>
      <w:start w:val="25"/>
    </w:lvl>
  </w:abstractNum>
  <w:abstractNum w:abstractNumId="19">
    <w:nsid w:val="3A966CD0"/>
    <w:multiLevelType w:val="hybridMultilevel"/>
    <w:lvl w:ilvl="0">
      <w:lvlJc w:val="left"/>
      <w:lvlText w:val="(%1)"/>
      <w:numFmt w:val="lowerRoman"/>
      <w:start w:val="26"/>
    </w:lvl>
    <w:lvl w:ilvl="1">
      <w:lvlJc w:val="left"/>
      <w:lvlText w:val="%2"/>
      <w:numFmt w:val="lowerRoman"/>
      <w:start w:val="1"/>
    </w:lvl>
  </w:abstractNum>
  <w:abstractNum w:abstractNumId="20">
    <w:nsid w:val="63F37E85"/>
    <w:multiLevelType w:val="hybridMultilevel"/>
    <w:lvl w:ilvl="0">
      <w:lvlJc w:val="left"/>
      <w:lvlText w:val="(%1)"/>
      <w:numFmt w:val="lowerRoman"/>
      <w:start w:val="28"/>
    </w:lvl>
  </w:abstractNum>
  <w:abstractNum w:abstractNumId="21">
    <w:nsid w:val="5895F5FA"/>
    <w:multiLevelType w:val="hybridMultilevel"/>
    <w:lvl w:ilvl="0">
      <w:lvlJc w:val="left"/>
      <w:lvlText w:val="%1"/>
      <w:numFmt w:val="upperLetter"/>
      <w:start w:val="1"/>
    </w:lvl>
    <w:lvl w:ilvl="1">
      <w:lvlJc w:val="left"/>
      <w:lvlText w:val="(%2)"/>
      <w:numFmt w:val="lowerRoman"/>
      <w:start w:val="29"/>
    </w:lvl>
    <w:lvl w:ilvl="2">
      <w:lvlJc w:val="left"/>
      <w:lvlText w:val="(%3)"/>
      <w:numFmt w:val="lowerRoman"/>
      <w:start w:val="31"/>
    </w:lvl>
  </w:abstractNum>
  <w:abstractNum w:abstractNumId="22">
    <w:nsid w:val="38A5D054"/>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23">
    <w:nsid w:val="F3F09D8"/>
    <w:multiLevelType w:val="hybridMultilevel"/>
    <w:lvl w:ilvl="0">
      <w:lvlJc w:val="left"/>
      <w:lvlText w:val="(%1)"/>
      <w:numFmt w:val="lowerRoman"/>
      <w:start w:val="32"/>
    </w:lvl>
  </w:abstractNum>
  <w:abstractNum w:abstractNumId="24">
    <w:nsid w:val="4B793735"/>
    <w:multiLevelType w:val="hybridMultilevel"/>
    <w:lvl w:ilvl="0">
      <w:lvlJc w:val="left"/>
      <w:lvlText w:val="(%1)"/>
      <w:numFmt w:val="upperLetter"/>
      <w:start w:val="1"/>
    </w:lvl>
  </w:abstractNum>
  <w:abstractNum w:abstractNumId="25">
    <w:nsid w:val="4A10B4E8"/>
    <w:multiLevelType w:val="hybridMultilevel"/>
    <w:lvl w:ilvl="0">
      <w:lvlJc w:val="left"/>
      <w:lvlText w:val="(%1)"/>
      <w:numFmt w:val="lowerRoman"/>
      <w:start w:val="33"/>
    </w:lvl>
  </w:abstractNum>
  <w:abstractNum w:abstractNumId="26">
    <w:nsid w:val="43D3BCD4"/>
    <w:multiLevelType w:val="hybridMultilevel"/>
    <w:lvl w:ilvl="0">
      <w:lvlJc w:val="left"/>
      <w:lvlText w:val="(%1)"/>
      <w:numFmt w:val="lowerRoman"/>
      <w:start w:val="36"/>
    </w:lvl>
  </w:abstractNum>
  <w:abstractNum w:abstractNumId="27">
    <w:nsid w:val="4C2A7166"/>
    <w:multiLevelType w:val="hybridMultilevel"/>
    <w:lvl w:ilvl="0">
      <w:lvlJc w:val="left"/>
      <w:lvlText w:val="(%1)"/>
      <w:numFmt w:val="upperLetter"/>
      <w:start w:val="2"/>
    </w:lvl>
  </w:abstractNum>
  <w:abstractNum w:abstractNumId="28">
    <w:nsid w:val="2E534A82"/>
    <w:multiLevelType w:val="hybridMultilevel"/>
    <w:lvl w:ilvl="0">
      <w:lvlJc w:val="left"/>
      <w:lvlText w:val="(%1)"/>
      <w:numFmt w:val="lowerLetter"/>
      <w:start w:val="2"/>
    </w:lvl>
  </w:abstractNum>
  <w:abstractNum w:abstractNumId="29">
    <w:nsid w:val="26F2D364"/>
    <w:multiLevelType w:val="hybridMultilevel"/>
    <w:lvl w:ilvl="0">
      <w:lvlJc w:val="left"/>
      <w:lvlText w:val="%1"/>
      <w:numFmt w:val="lowerLetter"/>
      <w:start w:val="1"/>
    </w:lvl>
    <w:lvl w:ilvl="1">
      <w:lvlJc w:val="left"/>
      <w:lvlText w:val="(%2)"/>
      <w:numFmt w:val="lowerLetter"/>
      <w:start w:val="1"/>
    </w:lvl>
  </w:abstractNum>
  <w:abstractNum w:abstractNumId="30">
    <w:nsid w:val="71C1AF98"/>
    <w:multiLevelType w:val="hybridMultilevel"/>
    <w:lvl w:ilvl="0">
      <w:lvlJc w:val="left"/>
      <w:lvlText w:val="(%1)"/>
      <w:numFmt w:val="lowerLetter"/>
      <w:start w:val="2"/>
    </w:lvl>
    <w:lvl w:ilvl="1">
      <w:lvlJc w:val="left"/>
      <w:lvlText w:val="%2"/>
      <w:numFmt w:val="lowerLetter"/>
      <w:start w:val="1"/>
    </w:lvl>
  </w:abstractNum>
  <w:abstractNum w:abstractNumId="31">
    <w:nsid w:val="3D00B9D9"/>
    <w:multiLevelType w:val="hybridMultilevel"/>
    <w:lvl w:ilvl="0">
      <w:lvlJc w:val="left"/>
      <w:lvlText w:val="(%1)"/>
      <w:numFmt w:val="lowerLetter"/>
      <w:start w:val="3"/>
    </w:lvl>
  </w:abstractNum>
  <w:abstractNum w:abstractNumId="32">
    <w:nsid w:val="15BCABA8"/>
    <w:multiLevelType w:val="hybridMultilevel"/>
    <w:lvl w:ilvl="0">
      <w:lvlJc w:val="left"/>
      <w:lvlText w:val="%1"/>
      <w:numFmt w:val="lowerLetter"/>
      <w:start w:val="1"/>
    </w:lvl>
    <w:lvl w:ilvl="1">
      <w:lvlJc w:val="left"/>
      <w:lvlText w:val="(%2)"/>
      <w:numFmt w:val="lowerLetter"/>
      <w:start w:val="1"/>
    </w:lvl>
  </w:abstractNum>
  <w:abstractNum w:abstractNumId="33">
    <w:nsid w:val="4E0B9A87"/>
    <w:multiLevelType w:val="hybridMultilevel"/>
    <w:lvl w:ilvl="0">
      <w:lvlJc w:val="left"/>
      <w:lvlText w:val="(%1)"/>
      <w:numFmt w:val="lowerLetter"/>
      <w:start w:val="61"/>
    </w:lvl>
    <w:lvl w:ilvl="1">
      <w:lvlJc w:val="left"/>
      <w:lvlText w:val="%2"/>
      <w:numFmt w:val="lowerLetter"/>
      <w:start w:val="1"/>
    </w:lvl>
  </w:abstractNum>
  <w:abstractNum w:abstractNumId="34">
    <w:nsid w:val="434BAE75"/>
    <w:multiLevelType w:val="hybridMultilevel"/>
    <w:lvl w:ilvl="0">
      <w:lvlJc w:val="left"/>
      <w:lvlText w:val="(%1)"/>
      <w:numFmt w:val="lowerLetter"/>
      <w:start w:val="2"/>
    </w:lvl>
  </w:abstractNum>
  <w:abstractNum w:abstractNumId="35">
    <w:nsid w:val="4F38F265"/>
    <w:multiLevelType w:val="hybridMultilevel"/>
    <w:lvl w:ilvl="0">
      <w:lvlJc w:val="left"/>
      <w:lvlText w:val="%1"/>
      <w:numFmt w:val="upperLetter"/>
      <w:start w:val="1"/>
    </w:lvl>
    <w:lvl w:ilvl="1">
      <w:lvlJc w:val="left"/>
      <w:lvlText w:val="(%2)"/>
      <w:numFmt w:val="lowerLetter"/>
      <w:start w:val="5"/>
    </w:lvl>
  </w:abstractNum>
  <w:abstractNum w:abstractNumId="36">
    <w:nsid w:val="4C502870"/>
    <w:multiLevelType w:val="hybridMultilevel"/>
    <w:lvl w:ilvl="0">
      <w:lvlJc w:val="left"/>
      <w:lvlText w:val="(%1)"/>
      <w:numFmt w:val="upperLetter"/>
      <w:start w:val="1"/>
    </w:lvl>
    <w:lvl w:ilvl="1">
      <w:lvlJc w:val="left"/>
      <w:lvlText w:val="%2"/>
      <w:numFmt w:val="lowerLetter"/>
      <w:start w:val="1"/>
    </w:lvl>
  </w:abstractNum>
  <w:abstractNum w:abstractNumId="37">
    <w:nsid w:val="1DE8725A"/>
    <w:multiLevelType w:val="hybridMultilevel"/>
    <w:lvl w:ilvl="0">
      <w:lvlJc w:val="left"/>
      <w:lvlText w:val="(%1)"/>
      <w:numFmt w:val="lowerLetter"/>
      <w:start w:val="9"/>
    </w:lvl>
  </w:abstractNum>
  <w:abstractNum w:abstractNumId="38">
    <w:nsid w:val="6A37288A"/>
    <w:multiLevelType w:val="hybridMultilevel"/>
    <w:lvl w:ilvl="0">
      <w:lvlJc w:val="left"/>
      <w:lvlText w:val="(%1)"/>
      <w:numFmt w:val="lowerLetter"/>
      <w:start w:val="11"/>
    </w:lvl>
  </w:abstractNum>
  <w:abstractNum w:abstractNumId="39">
    <w:nsid w:val="8F8B73F"/>
    <w:multiLevelType w:val="hybridMultilevel"/>
    <w:lvl w:ilvl="0">
      <w:lvlJc w:val="left"/>
      <w:lvlText w:val="%1"/>
      <w:numFmt w:val="lowerRoman"/>
      <w:start w:val="1"/>
    </w:lvl>
    <w:lvl w:ilvl="1">
      <w:lvlJc w:val="left"/>
      <w:lvlText w:val="(%2)"/>
      <w:numFmt w:val="lowerLetter"/>
      <w:start w:val="1"/>
    </w:lvl>
  </w:abstractNum>
  <w:abstractNum w:abstractNumId="40">
    <w:nsid w:val="CA6B462"/>
    <w:multiLevelType w:val="hybridMultilevel"/>
    <w:lvl w:ilvl="0">
      <w:lvlJc w:val="left"/>
      <w:lvlText w:val="(%1)"/>
      <w:numFmt w:val="lowerRoman"/>
      <w:start w:val="6"/>
    </w:lvl>
    <w:lvl w:ilvl="1">
      <w:lvlJc w:val="left"/>
      <w:lvlText w:val="(%2)"/>
      <w:numFmt w:val="lowerLetter"/>
      <w:start w:val="2"/>
    </w:lvl>
  </w:abstractNum>
  <w:abstractNum w:abstractNumId="41">
    <w:nsid w:val="763CB680"/>
    <w:multiLevelType w:val="hybridMultilevel"/>
    <w:lvl w:ilvl="0">
      <w:lvlJc w:val="left"/>
      <w:lvlText w:val="(%1)"/>
      <w:numFmt w:val="lowerLetter"/>
      <w:start w:val="1"/>
    </w:lvl>
  </w:abstractNum>
  <w:abstractNum w:abstractNumId="42">
    <w:nsid w:val="15B71329"/>
    <w:multiLevelType w:val="hybridMultilevel"/>
    <w:lvl w:ilvl="0">
      <w:lvlJc w:val="left"/>
      <w:lvlText w:val="(%1)"/>
      <w:numFmt w:val="lowerLetter"/>
      <w:start w:val="5"/>
    </w:lvl>
  </w:abstractNum>
  <w:abstractNum w:abstractNumId="43">
    <w:nsid w:val="3DA97044"/>
    <w:multiLevelType w:val="hybridMultilevel"/>
    <w:lvl w:ilvl="0">
      <w:lvlJc w:val="left"/>
      <w:lvlText w:val="(%1)"/>
      <w:numFmt w:val="lowerLetter"/>
      <w:start w:val="11"/>
    </w:lvl>
    <w:lvl w:ilvl="1">
      <w:lvlJc w:val="left"/>
      <w:lvlText w:val="(%2)"/>
      <w:numFmt w:val="lowerRoman"/>
      <w:start w:val="1"/>
    </w:lvl>
  </w:abstractNum>
  <w:abstractNum w:abstractNumId="44">
    <w:nsid w:val="1CDCE2DE"/>
    <w:multiLevelType w:val="hybridMultilevel"/>
    <w:lvl w:ilvl="0">
      <w:lvlJc w:val="left"/>
      <w:lvlText w:val="(%1)"/>
      <w:numFmt w:val="lowerLetter"/>
      <w:start w:val="14"/>
    </w:lvl>
  </w:abstractNum>
  <w:abstractNum w:abstractNumId="45">
    <w:nsid w:val="69D3947C"/>
    <w:multiLevelType w:val="hybridMultilevel"/>
    <w:lvl w:ilvl="0">
      <w:lvlJc w:val="left"/>
      <w:lvlText w:val="(%1)"/>
      <w:numFmt w:val="lowerLetter"/>
      <w:start w:val="1"/>
    </w:lvl>
    <w:lvl w:ilvl="1">
      <w:lvlJc w:val="left"/>
      <w:lvlText w:val="(%2)"/>
      <w:numFmt w:val="lowerRoman"/>
      <w:start w:val="1"/>
    </w:lvl>
  </w:abstractNum>
  <w:abstractNum w:abstractNumId="46">
    <w:nsid w:val="2539DFA5"/>
    <w:multiLevelType w:val="hybridMultilevel"/>
    <w:lvl w:ilvl="0">
      <w:lvlJc w:val="left"/>
      <w:lvlText w:val="(%1)"/>
      <w:numFmt w:val="lowerLetter"/>
      <w:start w:val="2"/>
    </w:lvl>
  </w:abstractNum>
  <w:abstractNum w:abstractNumId="47">
    <w:nsid w:val="2DB88089"/>
    <w:multiLevelType w:val="hybridMultilevel"/>
    <w:lvl w:ilvl="0">
      <w:lvlJc w:val="left"/>
      <w:lvlText w:val="(%1)"/>
      <w:numFmt w:val="lowerLetter"/>
      <w:start w:val="1"/>
    </w:lvl>
  </w:abstractNum>
  <w:abstractNum w:abstractNumId="48">
    <w:nsid w:val="706B674E"/>
    <w:multiLevelType w:val="hybridMultilevel"/>
    <w:lvl w:ilvl="0">
      <w:lvlJc w:val="left"/>
      <w:lvlText w:val="(%1)"/>
      <w:numFmt w:val="lowerLetter"/>
      <w:start w:val="2"/>
    </w:lvl>
  </w:abstractNum>
  <w:abstractNum w:abstractNumId="49">
    <w:nsid w:val="2C106A57"/>
    <w:multiLevelType w:val="hybridMultilevel"/>
    <w:lvl w:ilvl="0">
      <w:lvlJc w:val="left"/>
      <w:lvlText w:val="(%1)"/>
      <w:numFmt w:val="lowerRoman"/>
      <w:start w:val="1"/>
    </w:lvl>
  </w:abstractNum>
  <w:abstractNum w:abstractNumId="50">
    <w:nsid w:val="684EED59"/>
    <w:multiLevelType w:val="hybridMultilevel"/>
    <w:lvl w:ilvl="0">
      <w:lvlJc w:val="left"/>
      <w:lvlText w:val="(%1)"/>
      <w:numFmt w:val="lowerLetter"/>
      <w:start w:val="1"/>
    </w:lvl>
  </w:abstractNum>
  <w:abstractNum w:abstractNumId="51">
    <w:nsid w:val="545EE5D3"/>
    <w:multiLevelType w:val="hybridMultilevel"/>
    <w:lvl w:ilvl="0">
      <w:lvlJc w:val="left"/>
      <w:lvlText w:val="(%1)"/>
      <w:numFmt w:val="lowerLetter"/>
      <w:start w:val="2"/>
    </w:lvl>
  </w:abstractNum>
  <w:abstractNum w:abstractNumId="52">
    <w:nsid w:val="4A66051"/>
    <w:multiLevelType w:val="hybridMultilevel"/>
    <w:lvl w:ilvl="0">
      <w:lvlJc w:val="left"/>
      <w:lvlText w:val="(%1)"/>
      <w:numFmt w:val="lowerRoman"/>
      <w:start w:val="1"/>
    </w:lvl>
  </w:abstractNum>
  <w:abstractNum w:abstractNumId="53">
    <w:nsid w:val="20F4BDAD"/>
    <w:multiLevelType w:val="hybridMultilevel"/>
    <w:lvl w:ilvl="0">
      <w:lvlJc w:val="left"/>
      <w:lvlText w:val="%1."/>
      <w:numFmt w:val="decimal"/>
      <w:start w:val="1"/>
    </w:lvl>
  </w:abstractNum>
  <w:abstractNum w:abstractNumId="54">
    <w:nsid w:val="639DEFAC"/>
    <w:multiLevelType w:val="hybridMultilevel"/>
    <w:lvl w:ilvl="0">
      <w:lvlJc w:val="left"/>
      <w:lvlText w:val="%1."/>
      <w:numFmt w:val="decimal"/>
      <w:start w:val="1"/>
    </w:lvl>
  </w:abstractNum>
  <w:abstractNum w:abstractNumId="55">
    <w:nsid w:val="501F9786"/>
    <w:multiLevelType w:val="hybridMultilevel"/>
    <w:lvl w:ilvl="0">
      <w:lvlJc w:val="left"/>
      <w:lvlText w:val="%1."/>
      <w:numFmt w:val="decimal"/>
      <w:start w:val="1"/>
    </w:lvl>
  </w:abstractNum>
  <w:abstractNum w:abstractNumId="56">
    <w:nsid w:val="6B057295"/>
    <w:multiLevelType w:val="hybridMultilevel"/>
    <w:lvl w:ilvl="0">
      <w:lvlJc w:val="left"/>
      <w:lvlText w:val="%1."/>
      <w:numFmt w:val="decimal"/>
      <w:start w:val="1"/>
    </w:lvl>
  </w:abstractNum>
  <w:abstractNum w:abstractNumId="57">
    <w:nsid w:val="2771AC80"/>
    <w:multiLevelType w:val="hybridMultilevel"/>
    <w:lvl w:ilvl="0">
      <w:lvlJc w:val="left"/>
      <w:lvlText w:val="%1."/>
      <w:numFmt w:val="decimal"/>
      <w:start w:val="4"/>
    </w:lvl>
  </w:abstractNum>
  <w:abstractNum w:abstractNumId="58">
    <w:nsid w:val="1C4A08EC"/>
    <w:multiLevelType w:val="hybridMultilevel"/>
    <w:lvl w:ilvl="0">
      <w:lvlJc w:val="left"/>
      <w:lvlText w:val="%1"/>
      <w:numFmt w:val="lowerRoman"/>
      <w:start w:val="1"/>
    </w:lvl>
    <w:lvl w:ilvl="1">
      <w:lvlJc w:val="left"/>
      <w:lvlText w:val="%2."/>
      <w:numFmt w:val="decimal"/>
      <w:start w:val="7"/>
    </w:lvl>
  </w:abstractNum>
  <w:abstractNum w:abstractNumId="59">
    <w:nsid w:val="1958BD17"/>
    <w:multiLevelType w:val="hybridMultilevel"/>
    <w:lvl w:ilvl="0">
      <w:lvlJc w:val="left"/>
      <w:lvlText w:val="(%1)"/>
      <w:numFmt w:val="lowerRoman"/>
      <w:start w:val="1"/>
    </w:lvl>
    <w:lvl w:ilvl="1">
      <w:lvlJc w:val="left"/>
      <w:lvlText w:val="%2"/>
      <w:numFmt w:val="decimal"/>
      <w:start w:val="1"/>
    </w:lvl>
  </w:abstractNum>
  <w:abstractNum w:abstractNumId="60">
    <w:nsid w:val="4E647FE4"/>
    <w:multiLevelType w:val="hybridMultilevel"/>
    <w:lvl w:ilvl="0">
      <w:lvlJc w:val="left"/>
      <w:lvlText w:val="%1."/>
      <w:numFmt w:val="decimal"/>
      <w:start w:val="11"/>
    </w:lvl>
  </w:abstractNum>
  <w:abstractNum w:abstractNumId="61">
    <w:nsid w:val="E0BB885"/>
    <w:multiLevelType w:val="hybridMultilevel"/>
    <w:lvl w:ilvl="0">
      <w:lvlJc w:val="left"/>
      <w:lvlText w:val="(%1)"/>
      <w:numFmt w:val="lowerRoman"/>
      <w:start w:val="1"/>
    </w:lvl>
  </w:abstractNum>
  <w:abstractNum w:abstractNumId="62">
    <w:nsid w:val="565976F1"/>
    <w:multiLevelType w:val="hybridMultilevel"/>
    <w:lvl w:ilvl="0">
      <w:lvlJc w:val="left"/>
      <w:lvlText w:val="(%1)"/>
      <w:numFmt w:val="lowerLetter"/>
      <w:start w:val="1"/>
    </w:lvl>
  </w:abstractNum>
  <w:abstractNum w:abstractNumId="63">
    <w:nsid w:val="64212B8C"/>
    <w:multiLevelType w:val="hybridMultilevel"/>
    <w:lvl w:ilvl="0">
      <w:lvlJc w:val="left"/>
      <w:lvlText w:val="(%1)"/>
      <w:numFmt w:val="lowerLetter"/>
      <w:start w:val="1"/>
    </w:lvl>
  </w:abstractNum>
  <w:abstractNum w:abstractNumId="64">
    <w:nsid w:val="5C17530C"/>
    <w:multiLevelType w:val="hybridMultilevel"/>
    <w:lvl w:ilvl="0">
      <w:lvlJc w:val="left"/>
      <w:lvlText w:val="(%1)"/>
      <w:numFmt w:val="lowerLetter"/>
      <w:start w:val="4"/>
    </w:lvl>
  </w:abstractNum>
  <w:abstractNum w:abstractNumId="65">
    <w:nsid w:val="19A52566"/>
    <w:multiLevelType w:val="hybridMultilevel"/>
    <w:lvl w:ilvl="0">
      <w:lvlJc w:val="left"/>
      <w:lvlText w:val="(%1)"/>
      <w:numFmt w:val="lowerLetter"/>
      <w:start w:val="1"/>
    </w:lvl>
  </w:abstractNum>
  <w:abstractNum w:abstractNumId="66">
    <w:nsid w:val="335A1DF1"/>
    <w:multiLevelType w:val="hybridMultilevel"/>
    <w:lvl w:ilvl="0">
      <w:lvlJc w:val="left"/>
      <w:lvlText w:val="%1"/>
      <w:numFmt w:val="lowerLetter"/>
      <w:start w:val="1"/>
    </w:lvl>
    <w:lvl w:ilvl="1">
      <w:lvlJc w:val="left"/>
      <w:lvlText w:val="(%2)"/>
      <w:numFmt w:val="lowerLetter"/>
      <w:start w:val="3"/>
    </w:lvl>
  </w:abstractNum>
  <w:abstractNum w:abstractNumId="67">
    <w:nsid w:val="28677B7C"/>
    <w:multiLevelType w:val="hybridMultilevel"/>
    <w:lvl w:ilvl="0">
      <w:lvlJc w:val="left"/>
      <w:lvlText w:val="(%1)"/>
      <w:numFmt w:val="lowerLetter"/>
      <w:start w:val="4"/>
    </w:lvl>
    <w:lvl w:ilvl="1">
      <w:lvlJc w:val="left"/>
      <w:lvlText w:val="%2"/>
      <w:numFmt w:val="lowerLetter"/>
      <w:start w:val="1"/>
    </w:lvl>
  </w:abstractNum>
  <w:abstractNum w:abstractNumId="68">
    <w:nsid w:val="378D97C0"/>
    <w:multiLevelType w:val="hybridMultilevel"/>
    <w:lvl w:ilvl="0">
      <w:lvlJc w:val="left"/>
      <w:lvlText w:val="(%1)"/>
      <w:numFmt w:val="lowerLetter"/>
      <w:start w:val="8"/>
    </w:lvl>
  </w:abstractNum>
  <w:abstractNum w:abstractNumId="69">
    <w:nsid w:val="1D91467C"/>
    <w:multiLevelType w:val="hybridMultilevel"/>
    <w:lvl w:ilvl="0">
      <w:lvlJc w:val="left"/>
      <w:lvlText w:val="(%1)"/>
      <w:numFmt w:val="lowerLetter"/>
      <w:start w:val="1"/>
    </w:lvl>
  </w:abstractNum>
  <w:abstractNum w:abstractNumId="70">
    <w:nsid w:val="316032BB"/>
    <w:multiLevelType w:val="hybridMultilevel"/>
    <w:lvl w:ilvl="0">
      <w:lvlJc w:val="left"/>
      <w:lvlText w:val="(%1)"/>
      <w:numFmt w:val="lowerLetter"/>
      <w:start w:val="1"/>
    </w:lvl>
    <w:lvl w:ilvl="1">
      <w:lvlJc w:val="left"/>
      <w:lvlText w:val="(%2)"/>
      <w:numFmt w:val="lowerRoman"/>
      <w:start w:val="1"/>
    </w:lvl>
  </w:abstractNum>
  <w:abstractNum w:abstractNumId="71">
    <w:nsid w:val="44344C22"/>
    <w:multiLevelType w:val="hybridMultilevel"/>
    <w:lvl w:ilvl="0">
      <w:lvlJc w:val="left"/>
      <w:lvlText w:val="(%1)"/>
      <w:numFmt w:val="lowerLetter"/>
      <w:start w:val="1"/>
    </w:lvl>
  </w:abstractNum>
  <w:abstractNum w:abstractNumId="72">
    <w:nsid w:val="13CDFCFC"/>
    <w:multiLevelType w:val="hybridMultilevel"/>
    <w:lvl w:ilvl="0">
      <w:lvlJc w:val="left"/>
      <w:lvlText w:val="(%1)"/>
      <w:numFmt w:val="lowerLetter"/>
      <w:start w:val="10"/>
    </w:lvl>
  </w:abstractNum>
  <w:abstractNum w:abstractNumId="73">
    <w:nsid w:val="471745E4"/>
    <w:multiLevelType w:val="hybridMultilevel"/>
    <w:lvl w:ilvl="0">
      <w:lvlJc w:val="left"/>
      <w:lvlText w:val="(%1)"/>
      <w:numFmt w:val="lowerLetter"/>
      <w:start w:val="1"/>
    </w:lvl>
  </w:abstractNum>
  <w:abstractNum w:abstractNumId="74">
    <w:nsid w:val="1DDBC66"/>
    <w:multiLevelType w:val="hybridMultilevel"/>
    <w:lvl w:ilvl="0">
      <w:lvlJc w:val="left"/>
      <w:lvlText w:val="(%1)"/>
      <w:numFmt w:val="lowerLetter"/>
      <w:start w:val="4"/>
    </w:lvl>
  </w:abstractNum>
  <w:abstractNum w:abstractNumId="75">
    <w:nsid w:val="30AADFDA"/>
    <w:multiLevelType w:val="hybridMultilevel"/>
    <w:lvl w:ilvl="0">
      <w:lvlJc w:val="left"/>
      <w:lvlText w:val="(%1)"/>
      <w:numFmt w:val="lowerLetter"/>
      <w:start w:val="11"/>
    </w:lvl>
  </w:abstractNum>
  <w:abstractNum w:abstractNumId="76">
    <w:nsid w:val="30EADA61"/>
    <w:multiLevelType w:val="hybridMultilevel"/>
    <w:lvl w:ilvl="0">
      <w:lvlJc w:val="left"/>
      <w:lvlText w:val="%1"/>
      <w:numFmt w:val="lowerRoman"/>
      <w:start w:val="1"/>
    </w:lvl>
    <w:lvl w:ilvl="1">
      <w:lvlJc w:val="left"/>
      <w:lvlText w:val="(%2)"/>
      <w:numFmt w:val="lowerLetter"/>
      <w:start w:val="1"/>
    </w:lvl>
  </w:abstractNum>
  <w:abstractNum w:abstractNumId="77">
    <w:nsid w:val="27179C0B"/>
    <w:multiLevelType w:val="hybridMultilevel"/>
    <w:lvl w:ilvl="0">
      <w:lvlJc w:val="left"/>
      <w:lvlText w:val="(%1)"/>
      <w:numFmt w:val="lowerRoman"/>
      <w:start w:val="2"/>
    </w:lvl>
    <w:lvl w:ilvl="1">
      <w:lvlJc w:val="left"/>
      <w:lvlText w:val="%2"/>
      <w:numFmt w:val="lowerLetter"/>
      <w:start w:val="1"/>
    </w:lvl>
  </w:abstractNum>
  <w:abstractNum w:abstractNumId="78">
    <w:nsid w:val="5E636063"/>
    <w:multiLevelType w:val="hybridMultilevel"/>
    <w:lvl w:ilvl="0">
      <w:lvlJc w:val="left"/>
      <w:lvlText w:val="(%1)"/>
      <w:numFmt w:val="lowerRoman"/>
      <w:start w:val="4"/>
    </w:lvl>
    <w:lvl w:ilvl="1">
      <w:lvlJc w:val="left"/>
      <w:lvlText w:val="(%2)"/>
      <w:numFmt w:val="lowerLetter"/>
      <w:start w:val="2"/>
    </w:lvl>
  </w:abstractNum>
  <w:abstractNum w:abstractNumId="79">
    <w:nsid w:val="215641AF"/>
    <w:multiLevelType w:val="hybridMultilevel"/>
    <w:lvl w:ilvl="0">
      <w:lvlJc w:val="left"/>
      <w:lvlText w:val="(%1)"/>
      <w:numFmt w:val="lowerLetter"/>
      <w:start w:val="1"/>
    </w:lvl>
  </w:abstractNum>
  <w:abstractNum w:abstractNumId="80">
    <w:nsid w:val="53280662"/>
    <w:multiLevelType w:val="hybridMultilevel"/>
    <w:lvl w:ilvl="0">
      <w:lvlJc w:val="left"/>
      <w:lvlText w:val="(%1)"/>
      <w:numFmt w:val="lowerLetter"/>
      <w:start w:val="6"/>
    </w:lvl>
  </w:abstractNum>
  <w:abstractNum w:abstractNumId="81">
    <w:nsid w:val="46B24DBC"/>
    <w:multiLevelType w:val="hybridMultilevel"/>
    <w:lvl w:ilvl="0">
      <w:lvlJc w:val="left"/>
      <w:lvlText w:val="(%1)"/>
      <w:numFmt w:val="lowerLetter"/>
      <w:start w:val="11"/>
    </w:lvl>
  </w:abstractNum>
  <w:abstractNum w:abstractNumId="82">
    <w:nsid w:val="75B52783"/>
    <w:multiLevelType w:val="hybridMultilevel"/>
    <w:lvl w:ilvl="0">
      <w:lvlJc w:val="left"/>
      <w:lvlText w:val="(%1)"/>
      <w:numFmt w:val="lowerLetter"/>
      <w:start w:val="1"/>
    </w:lvl>
  </w:abstractNum>
  <w:abstractNum w:abstractNumId="83">
    <w:nsid w:val="57CE66B4"/>
    <w:multiLevelType w:val="hybridMultilevel"/>
    <w:lvl w:ilvl="0">
      <w:lvlJc w:val="left"/>
      <w:lvlText w:val="(%1)"/>
      <w:numFmt w:val="lowerLetter"/>
      <w:start w:val="1"/>
    </w:lvl>
  </w:abstractNum>
  <w:abstractNum w:abstractNumId="84">
    <w:nsid w:val="67A70B69"/>
    <w:multiLevelType w:val="hybridMultilevel"/>
    <w:lvl w:ilvl="0">
      <w:lvlJc w:val="left"/>
      <w:lvlText w:val="(%1)"/>
      <w:numFmt w:val="lowerLetter"/>
      <w:start w:val="2"/>
    </w:lvl>
  </w:abstractNum>
  <w:abstractNum w:abstractNumId="85">
    <w:nsid w:val="5953172F"/>
    <w:multiLevelType w:val="hybridMultilevel"/>
    <w:lvl w:ilvl="0">
      <w:lvlJc w:val="left"/>
      <w:lvlText w:val="(%1)"/>
      <w:numFmt w:val="lowerLetter"/>
      <w:start w:val="1"/>
    </w:lvl>
  </w:abstractNum>
  <w:abstractNum w:abstractNumId="86">
    <w:nsid w:val="27EDFE3A"/>
    <w:multiLevelType w:val="hybridMultilevel"/>
    <w:lvl w:ilvl="0">
      <w:lvlJc w:val="left"/>
      <w:lvlText w:val="(%1)"/>
      <w:numFmt w:val="lowerLetter"/>
      <w:start w:val="2"/>
    </w:lvl>
  </w:abstractNum>
  <w:abstractNum w:abstractNumId="87">
    <w:nsid w:val="52AC7DFF"/>
    <w:multiLevelType w:val="hybridMultilevel"/>
    <w:lvl w:ilvl="0">
      <w:lvlJc w:val="left"/>
      <w:lvlText w:val="%1"/>
      <w:numFmt w:val="lowerLetter"/>
      <w:start w:val="1"/>
    </w:lvl>
    <w:lvl w:ilvl="1">
      <w:lvlJc w:val="left"/>
      <w:lvlText w:val="(%2)"/>
      <w:numFmt w:val="lowerLetter"/>
      <w:start w:val="1"/>
    </w:lvl>
  </w:abstractNum>
  <w:abstractNum w:abstractNumId="88">
    <w:nsid w:val="C4C3AF"/>
    <w:multiLevelType w:val="hybridMultilevel"/>
    <w:lvl w:ilvl="0">
      <w:lvlJc w:val="left"/>
      <w:lvlText w:val="(%1)"/>
      <w:numFmt w:val="lowerLetter"/>
      <w:start w:val="9"/>
    </w:lvl>
    <w:lvl w:ilvl="1">
      <w:lvlJc w:val="left"/>
      <w:lvlText w:val="%2"/>
      <w:numFmt w:val="lowerLetter"/>
      <w:start w:val="1"/>
    </w:lvl>
  </w:abstractNum>
  <w:abstractNum w:abstractNumId="89">
    <w:nsid w:val="44380727"/>
    <w:multiLevelType w:val="hybridMultilevel"/>
    <w:lvl w:ilvl="0">
      <w:lvlJc w:val="left"/>
      <w:lvlText w:val="(%1)"/>
      <w:numFmt w:val="lowerLetter"/>
      <w:start w:val="1"/>
    </w:lvl>
  </w:abstractNum>
  <w:abstractNum w:abstractNumId="90">
    <w:nsid w:val="6C053B16"/>
    <w:multiLevelType w:val="hybridMultilevel"/>
    <w:lvl w:ilvl="0">
      <w:lvlJc w:val="left"/>
      <w:lvlText w:val="(%1)"/>
      <w:numFmt w:val="lowerLetter"/>
      <w:start w:val="1"/>
    </w:lvl>
  </w:abstractNum>
  <w:abstractNum w:abstractNumId="91">
    <w:nsid w:val="4F294393"/>
    <w:multiLevelType w:val="hybridMultilevel"/>
    <w:lvl w:ilvl="0">
      <w:lvlJc w:val="left"/>
      <w:lvlText w:val="(%1)"/>
      <w:numFmt w:val="lowerLetter"/>
      <w:start w:val="3"/>
    </w:lvl>
  </w:abstractNum>
  <w:abstractNum w:abstractNumId="92">
    <w:nsid w:val="5243BFAC"/>
    <w:multiLevelType w:val="hybridMultilevel"/>
    <w:lvl w:ilvl="0">
      <w:lvlJc w:val="left"/>
      <w:lvlText w:val="(%1)"/>
      <w:numFmt w:val="lowerLetter"/>
      <w:start w:val="1"/>
    </w:lvl>
  </w:abstractNum>
  <w:abstractNum w:abstractNumId="93">
    <w:nsid w:val="425EB207"/>
    <w:multiLevelType w:val="hybridMultilevel"/>
    <w:lvl w:ilvl="0">
      <w:lvlJc w:val="left"/>
      <w:lvlText w:val="(%1)"/>
      <w:numFmt w:val="lowerLetter"/>
      <w:start w:val="2"/>
    </w:lvl>
  </w:abstractNum>
  <w:abstractNum w:abstractNumId="94">
    <w:nsid w:val="334A6F1F"/>
    <w:multiLevelType w:val="hybridMultilevel"/>
    <w:lvl w:ilvl="0">
      <w:lvlJc w:val="left"/>
      <w:lvlText w:val="(%1)"/>
      <w:numFmt w:val="lowerLetter"/>
      <w:start w:val="1"/>
    </w:lvl>
  </w:abstractNum>
  <w:abstractNum w:abstractNumId="95">
    <w:nsid w:val="2E5B12B8"/>
    <w:multiLevelType w:val="hybridMultilevel"/>
    <w:lvl w:ilvl="0">
      <w:lvlJc w:val="left"/>
      <w:lvlText w:val="(%1)"/>
      <w:numFmt w:val="lowerLetter"/>
      <w:start w:val="5"/>
    </w:lvl>
  </w:abstractNum>
  <w:abstractNum w:abstractNumId="96">
    <w:nsid w:val="5C03D76D"/>
    <w:multiLevelType w:val="hybridMultilevel"/>
    <w:lvl w:ilvl="0">
      <w:lvlJc w:val="left"/>
      <w:lvlText w:val="(%1)"/>
      <w:numFmt w:val="lowerLetter"/>
      <w:start w:val="1"/>
    </w:lvl>
  </w:abstractNum>
  <w:abstractNum w:abstractNumId="97">
    <w:nsid w:val="66A48D11"/>
    <w:multiLevelType w:val="hybridMultilevel"/>
    <w:lvl w:ilvl="0">
      <w:lvlJc w:val="left"/>
      <w:lvlText w:val="(%1)"/>
      <w:numFmt w:val="lowerLetter"/>
      <w:start w:val="3"/>
    </w:lvl>
  </w:abstractNum>
  <w:abstractNum w:abstractNumId="98">
    <w:nsid w:val="56C28E34"/>
    <w:multiLevelType w:val="hybridMultilevel"/>
    <w:lvl w:ilvl="0">
      <w:lvlJc w:val="left"/>
      <w:lvlText w:val="(%1)"/>
      <w:numFmt w:val="lowerLetter"/>
      <w:start w:val="1"/>
    </w:lvl>
    <w:lvl w:ilvl="1">
      <w:lvlJc w:val="left"/>
      <w:lvlText w:val="(%2)"/>
      <w:numFmt w:val="lowerRoman"/>
      <w:start w:val="1"/>
    </w:lvl>
  </w:abstractNum>
  <w:abstractNum w:abstractNumId="99">
    <w:nsid w:val="13916F2D"/>
    <w:multiLevelType w:val="hybridMultilevel"/>
    <w:lvl w:ilvl="0">
      <w:lvlJc w:val="left"/>
      <w:lvlText w:val="(%1)"/>
      <w:numFmt w:val="lowerRoman"/>
      <w:start w:val="5"/>
    </w:lvl>
  </w:abstractNum>
  <w:abstractNum w:abstractNumId="100">
    <w:nsid w:val="435D38D"/>
    <w:multiLevelType w:val="hybridMultilevel"/>
    <w:lvl w:ilvl="0">
      <w:lvlJc w:val="left"/>
      <w:lvlText w:val="(%1)"/>
      <w:numFmt w:val="lowerLetter"/>
      <w:start w:val="1"/>
    </w:lvl>
  </w:abstractNum>
  <w:abstractNum w:abstractNumId="101">
    <w:nsid w:val="822C0EF"/>
    <w:multiLevelType w:val="hybridMultilevel"/>
    <w:lvl w:ilvl="0">
      <w:lvlJc w:val="left"/>
      <w:lvlText w:val="(%1)"/>
      <w:numFmt w:val="lowerLetter"/>
      <w:start w:val="5"/>
    </w:lvl>
  </w:abstractNum>
  <w:abstractNum w:abstractNumId="102">
    <w:nsid w:val="57C5BB4F"/>
    <w:multiLevelType w:val="hybridMultilevel"/>
    <w:lvl w:ilvl="0">
      <w:lvlJc w:val="left"/>
      <w:lvlText w:val="(%1)"/>
      <w:numFmt w:val="lowerLetter"/>
      <w:start w:val="1"/>
    </w:lvl>
    <w:lvl w:ilvl="1">
      <w:lvlJc w:val="left"/>
      <w:lvlText w:val="(%2)"/>
      <w:numFmt w:val="lowerRoman"/>
      <w:start w:val="1"/>
    </w:lvl>
  </w:abstractNum>
  <w:abstractNum w:abstractNumId="103">
    <w:nsid w:val="1803D089"/>
    <w:multiLevelType w:val="hybridMultilevel"/>
    <w:lvl w:ilvl="0">
      <w:lvlJc w:val="left"/>
      <w:lvlText w:val="(%1)"/>
      <w:numFmt w:val="lowerLetter"/>
      <w:start w:val="1"/>
    </w:lvl>
  </w:abstractNum>
  <w:abstractNum w:abstractNumId="104">
    <w:nsid w:val="4F3A06D4"/>
    <w:multiLevelType w:val="hybridMultilevel"/>
    <w:lvl w:ilvl="0">
      <w:lvlJc w:val="left"/>
      <w:lvlText w:val="(%1)"/>
      <w:numFmt w:val="lowerLetter"/>
      <w:start w:val="1"/>
    </w:lvl>
  </w:abstractNum>
  <w:abstractNum w:abstractNumId="105">
    <w:nsid w:val="59A377B6"/>
    <w:multiLevelType w:val="hybridMultilevel"/>
    <w:lvl w:ilvl="0">
      <w:lvlJc w:val="left"/>
      <w:lvlText w:val="(%1)"/>
      <w:numFmt w:val="lowerLetter"/>
      <w:start w:val="1"/>
    </w:lvl>
  </w:abstractNum>
  <w:abstractNum w:abstractNumId="106">
    <w:nsid w:val="48AEB063"/>
    <w:multiLevelType w:val="hybridMultilevel"/>
    <w:lvl w:ilvl="0">
      <w:lvlJc w:val="left"/>
      <w:lvlText w:val="(%1)"/>
      <w:numFmt w:val="lowerLetter"/>
      <w:start w:val="1"/>
    </w:lvl>
  </w:abstractNum>
  <w:abstractNum w:abstractNumId="107">
    <w:nsid w:val="24E135"/>
    <w:multiLevelType w:val="hybridMultilevel"/>
    <w:lvl w:ilvl="0">
      <w:lvlJc w:val="left"/>
      <w:lvlText w:val="(%1)"/>
      <w:numFmt w:val="lowerLetter"/>
      <w:start w:val="2"/>
    </w:lvl>
  </w:abstractNum>
  <w:abstractNum w:abstractNumId="108">
    <w:nsid w:val="BB13C1"/>
    <w:multiLevelType w:val="hybridMultilevel"/>
    <w:lvl w:ilvl="0">
      <w:lvlJc w:val="left"/>
      <w:lvlText w:val="(%1)"/>
      <w:numFmt w:val="lowerLetter"/>
      <w:start w:val="1"/>
    </w:lvl>
  </w:abstractNum>
  <w:abstractNum w:abstractNumId="109">
    <w:nsid w:val="271210C7"/>
    <w:multiLevelType w:val="hybridMultilevel"/>
    <w:lvl w:ilvl="0">
      <w:lvlJc w:val="left"/>
      <w:lvlText w:val="(%1)"/>
      <w:numFmt w:val="lowerLetter"/>
      <w:start w:val="1"/>
    </w:lvl>
  </w:abstractNum>
  <w:abstractNum w:abstractNumId="110">
    <w:nsid w:val="217B22E4"/>
    <w:multiLevelType w:val="hybridMultilevel"/>
    <w:lvl w:ilvl="0">
      <w:lvlJc w:val="left"/>
      <w:lvlText w:val="(%1)"/>
      <w:numFmt w:val="lowerLetter"/>
      <w:start w:val="2"/>
    </w:lvl>
  </w:abstractNum>
  <w:abstractNum w:abstractNumId="111">
    <w:nsid w:val="53E31A24"/>
    <w:multiLevelType w:val="hybridMultilevel"/>
    <w:lvl w:ilvl="0">
      <w:lvlJc w:val="left"/>
      <w:lvlText w:val="(%1)"/>
      <w:numFmt w:val="lowerLetter"/>
      <w:start w:val="1"/>
    </w:lvl>
  </w:abstractNum>
  <w:abstractNum w:abstractNumId="112">
    <w:nsid w:val="6DC45E83"/>
    <w:multiLevelType w:val="hybridMultilevel"/>
    <w:lvl w:ilvl="0">
      <w:lvlJc w:val="left"/>
      <w:lvlText w:val="%1"/>
      <w:numFmt w:val="lowerLetter"/>
      <w:start w:val="1"/>
    </w:lvl>
    <w:lvl w:ilvl="1">
      <w:lvlJc w:val="left"/>
      <w:lvlText w:val="(%2)"/>
      <w:numFmt w:val="lowerLetter"/>
      <w:start w:val="2"/>
    </w:lvl>
  </w:abstractNum>
  <w:abstractNum w:abstractNumId="113">
    <w:nsid w:val="17304A67"/>
    <w:multiLevelType w:val="hybridMultilevel"/>
    <w:lvl w:ilvl="0">
      <w:lvlJc w:val="left"/>
      <w:lvlText w:val="(%1)"/>
      <w:numFmt w:val="lowerLetter"/>
      <w:start w:val="9"/>
    </w:lvl>
    <w:lvl w:ilvl="1">
      <w:lvlJc w:val="left"/>
      <w:lvlText w:val="%2"/>
      <w:numFmt w:val="lowerLetter"/>
      <w:start w:val="1"/>
    </w:lvl>
  </w:abstractNum>
  <w:abstractNum w:abstractNumId="114">
    <w:nsid w:val="2BB180D8"/>
    <w:multiLevelType w:val="hybridMultilevel"/>
    <w:lvl w:ilvl="0">
      <w:lvlJc w:val="left"/>
      <w:lvlText w:val="(%1)"/>
      <w:numFmt w:val="decimal"/>
      <w:start w:val="6"/>
    </w:lvl>
  </w:abstractNum>
  <w:abstractNum w:abstractNumId="115">
    <w:nsid w:val="556B69ED"/>
    <w:multiLevelType w:val="hybridMultilevel"/>
    <w:lvl w:ilvl="0">
      <w:lvlJc w:val="left"/>
      <w:lvlText w:val="(%1)"/>
      <w:numFmt w:val="lowerLetter"/>
      <w:start w:val="4"/>
    </w:lvl>
  </w:abstractNum>
  <w:abstractNum w:abstractNumId="116">
    <w:nsid w:val="70836196"/>
    <w:multiLevelType w:val="hybridMultilevel"/>
    <w:lvl w:ilvl="0">
      <w:lvlJc w:val="left"/>
      <w:lvlText w:val="(%1)"/>
      <w:numFmt w:val="lowerLetter"/>
      <w:start w:val="5"/>
    </w:lvl>
  </w:abstractNum>
  <w:abstractNum w:abstractNumId="117">
    <w:nsid w:val="539F7F12"/>
    <w:multiLevelType w:val="hybridMultilevel"/>
    <w:lvl w:ilvl="0">
      <w:lvlJc w:val="left"/>
      <w:lvlText w:val="(%1)"/>
      <w:numFmt w:val="lowerLetter"/>
      <w:start w:val="1"/>
    </w:lvl>
  </w:abstractNum>
  <w:abstractNum w:abstractNumId="118">
    <w:nsid w:val="2817E7EC"/>
    <w:multiLevelType w:val="hybridMultilevel"/>
    <w:lvl w:ilvl="0">
      <w:lvlJc w:val="left"/>
      <w:lvlText w:val="(%1)"/>
      <w:numFmt w:val="lowerLetter"/>
      <w:start w:val="1"/>
    </w:lvl>
  </w:abstractNum>
  <w:abstractNum w:abstractNumId="119">
    <w:nsid w:val="71482545"/>
    <w:multiLevelType w:val="hybridMultilevel"/>
    <w:lvl w:ilvl="0">
      <w:lvlJc w:val="left"/>
      <w:lvlText w:val="(%1)"/>
      <w:numFmt w:val="lowerLetter"/>
      <w:start w:val="3"/>
    </w:lvl>
  </w:abstractNum>
  <w:abstractNum w:abstractNumId="120">
    <w:nsid w:val="17D78639"/>
    <w:multiLevelType w:val="hybridMultilevel"/>
    <w:lvl w:ilvl="0">
      <w:lvlJc w:val="left"/>
      <w:lvlText w:val="(%1)"/>
      <w:numFmt w:val="lowerLetter"/>
      <w:start w:val="1"/>
    </w:lvl>
  </w:abstractNum>
  <w:abstractNum w:abstractNumId="121">
    <w:nsid w:val="141D2302"/>
    <w:multiLevelType w:val="hybridMultilevel"/>
    <w:lvl w:ilvl="0">
      <w:lvlJc w:val="left"/>
      <w:lvlText w:val="(%1)"/>
      <w:numFmt w:val="lowerLetter"/>
      <w:start w:val="6"/>
    </w:lvl>
  </w:abstractNum>
  <w:abstractNum w:abstractNumId="122">
    <w:nsid w:val="407168D8"/>
    <w:multiLevelType w:val="hybridMultilevel"/>
    <w:lvl w:ilvl="0">
      <w:lvlJc w:val="left"/>
      <w:lvlText w:val="(%1)"/>
      <w:numFmt w:val="lowerLetter"/>
      <w:start w:val="20"/>
    </w:lvl>
  </w:abstractNum>
  <w:abstractNum w:abstractNumId="123">
    <w:nsid w:val="6A1B45E5"/>
    <w:multiLevelType w:val="hybridMultilevel"/>
    <w:lvl w:ilvl="0">
      <w:lvlJc w:val="left"/>
      <w:lvlText w:val="(%1)"/>
      <w:numFmt w:val="lowerLetter"/>
      <w:start w:val="27"/>
    </w:lvl>
  </w:abstractNum>
  <w:abstractNum w:abstractNumId="124">
    <w:nsid w:val="567BD50A"/>
    <w:multiLevelType w:val="hybridMultilevel"/>
    <w:lvl w:ilvl="0">
      <w:lvlJc w:val="left"/>
      <w:lvlText w:val="(%1)"/>
      <w:numFmt w:val="lowerLetter"/>
      <w:start w:val="32"/>
    </w:lvl>
  </w:abstractNum>
  <w:abstractNum w:abstractNumId="125">
    <w:nsid w:val="73BBD7F8"/>
    <w:multiLevelType w:val="hybridMultilevel"/>
    <w:lvl w:ilvl="0">
      <w:lvlJc w:val="left"/>
      <w:lvlText w:val="(%1)"/>
      <w:numFmt w:val="lowerLetter"/>
      <w:start w:val="41"/>
    </w:lvl>
  </w:abstractNum>
  <w:abstractNum w:abstractNumId="126">
    <w:nsid w:val="1876589D"/>
    <w:multiLevelType w:val="hybridMultilevel"/>
    <w:lvl w:ilvl="0">
      <w:lvlJc w:val="left"/>
      <w:lvlText w:val="(%1)"/>
      <w:numFmt w:val="lowerLetter"/>
      <w:start w:val="44"/>
    </w:lvl>
  </w:abstractNum>
  <w:abstractNum w:abstractNumId="127">
    <w:nsid w:val="327FAC77"/>
    <w:multiLevelType w:val="hybridMultilevel"/>
    <w:lvl w:ilvl="0">
      <w:lvlJc w:val="left"/>
      <w:lvlText w:val="(%1)"/>
      <w:numFmt w:val="lowerLetter"/>
      <w:start w:val="52"/>
    </w:lvl>
  </w:abstractNum>
  <w:abstractNum w:abstractNumId="128">
    <w:nsid w:val="5A606509"/>
    <w:multiLevelType w:val="hybridMultilevel"/>
    <w:lvl w:ilvl="0">
      <w:lvlJc w:val="left"/>
      <w:lvlText w:val="(%1)"/>
      <w:numFmt w:val="lowerLetter"/>
      <w:start w:val="53"/>
    </w:lvl>
  </w:abstractNum>
  <w:abstractNum w:abstractNumId="129">
    <w:nsid w:val="6F38E6D1"/>
    <w:multiLevelType w:val="hybridMultilevel"/>
    <w:lvl w:ilvl="0">
      <w:lvlJc w:val="left"/>
      <w:lvlText w:val="(%1)"/>
      <w:numFmt w:val="lowerLetter"/>
      <w:start w:val="1"/>
    </w:lvl>
  </w:abstractNum>
  <w:abstractNum w:abstractNumId="130">
    <w:nsid w:val="46111BA5"/>
    <w:multiLevelType w:val="hybridMultilevel"/>
    <w:lvl w:ilvl="0">
      <w:lvlJc w:val="left"/>
      <w:lvlText w:val="(%1)"/>
      <w:numFmt w:val="lowerRoman"/>
      <w:start w:val="1"/>
    </w:lvl>
  </w:abstractNum>
  <w:abstractNum w:abstractNumId="131">
    <w:nsid w:val="5E963896"/>
    <w:multiLevelType w:val="hybridMultilevel"/>
    <w:lvl w:ilvl="0">
      <w:lvlJc w:val="left"/>
      <w:lvlText w:val="%1"/>
      <w:numFmt w:val="lowerLetter"/>
      <w:start w:val="1"/>
    </w:lvl>
    <w:lvl w:ilvl="1">
      <w:lvlJc w:val="left"/>
      <w:lvlText w:val="(%2)"/>
      <w:numFmt w:val="lowerRoman"/>
      <w:start w:val="2"/>
    </w:lvl>
  </w:abstractNum>
  <w:abstractNum w:abstractNumId="132">
    <w:nsid w:val="775BA7C1"/>
    <w:multiLevelType w:val="hybridMultilevel"/>
    <w:lvl w:ilvl="0">
      <w:lvlJc w:val="left"/>
      <w:lvlText w:val="(%1)"/>
      <w:numFmt w:val="lowerLetter"/>
      <w:start w:val="2"/>
    </w:lvl>
    <w:lvl w:ilvl="1">
      <w:lvlJc w:val="left"/>
      <w:lvlText w:val="%2"/>
      <w:numFmt w:val="lowerRoman"/>
      <w:start w:val="1"/>
    </w:lvl>
  </w:abstractNum>
  <w:abstractNum w:abstractNumId="133">
    <w:nsid w:val="1DD6D6F4"/>
    <w:multiLevelType w:val="hybridMultilevel"/>
    <w:lvl w:ilvl="0">
      <w:lvlJc w:val="left"/>
      <w:lvlText w:val="(%1)"/>
      <w:numFmt w:val="lowerLetter"/>
      <w:start w:val="5"/>
    </w:lvl>
  </w:abstractNum>
  <w:abstractNum w:abstractNumId="134">
    <w:nsid w:val="769A091F"/>
    <w:multiLevelType w:val="hybridMultilevel"/>
    <w:lvl w:ilvl="0">
      <w:lvlJc w:val="left"/>
      <w:lvlText w:val="(%1)"/>
      <w:numFmt w:val="lowerLetter"/>
      <w:start w:val="1"/>
    </w:lvl>
  </w:abstractNum>
  <w:abstractNum w:abstractNumId="135">
    <w:nsid w:val="4695AE95"/>
    <w:multiLevelType w:val="hybridMultilevel"/>
    <w:lvl w:ilvl="0">
      <w:lvlJc w:val="left"/>
      <w:lvlText w:val="(%1)"/>
      <w:numFmt w:val="lowerRoman"/>
      <w:start w:val="1"/>
    </w:lvl>
  </w:abstractNum>
  <w:abstractNum w:abstractNumId="136">
    <w:nsid w:val="777A4EAA"/>
    <w:multiLevelType w:val="hybridMultilevel"/>
    <w:lvl w:ilvl="0">
      <w:lvlJc w:val="left"/>
      <w:lvlText w:val="(%1)"/>
      <w:numFmt w:val="lowerLetter"/>
      <w:start w:val="2"/>
    </w:lvl>
  </w:abstractNum>
  <w:abstractNum w:abstractNumId="137">
    <w:nsid w:val="3F48B982"/>
    <w:multiLevelType w:val="hybridMultilevel"/>
    <w:lvl w:ilvl="0">
      <w:lvlJc w:val="left"/>
      <w:lvlText w:val="(%1)"/>
      <w:numFmt w:val="lowerLetter"/>
      <w:start w:val="5"/>
    </w:lvl>
  </w:abstractNum>
  <w:abstractNum w:abstractNumId="138">
    <w:nsid w:val="46BA8FCA"/>
    <w:multiLevelType w:val="hybridMultilevel"/>
    <w:lvl w:ilvl="0">
      <w:lvlJc w:val="left"/>
      <w:lvlText w:val="(%1)"/>
      <w:numFmt w:val="lowerLetter"/>
      <w:start w:val="1"/>
    </w:lvl>
  </w:abstractNum>
  <w:abstractNum w:abstractNumId="139">
    <w:nsid w:val="7835626C"/>
    <w:multiLevelType w:val="hybridMultilevel"/>
    <w:lvl w:ilvl="0">
      <w:lvlJc w:val="left"/>
      <w:lvlText w:val="(%1)"/>
      <w:numFmt w:val="lowerRoman"/>
      <w:start w:val="1"/>
    </w:lvl>
  </w:abstractNum>
  <w:abstractNum w:abstractNumId="140">
    <w:nsid w:val="665ACA49"/>
    <w:multiLevelType w:val="hybridMultilevel"/>
    <w:lvl w:ilvl="0">
      <w:lvlJc w:val="left"/>
      <w:lvlText w:val="%1"/>
      <w:numFmt w:val="lowerLetter"/>
      <w:start w:val="1"/>
    </w:lvl>
    <w:lvl w:ilvl="1">
      <w:lvlJc w:val="left"/>
      <w:lvlText w:val="(%2)"/>
      <w:numFmt w:val="lowerLetter"/>
      <w:start w:val="35"/>
    </w:lvl>
  </w:abstractNum>
  <w:abstractNum w:abstractNumId="141">
    <w:nsid w:val="6835B2AE"/>
    <w:multiLevelType w:val="hybridMultilevel"/>
    <w:lvl w:ilvl="0">
      <w:lvlJc w:val="left"/>
      <w:lvlText w:val="(%1)"/>
      <w:numFmt w:val="lowerLetter"/>
      <w:start w:val="3"/>
    </w:lvl>
    <w:lvl w:ilvl="1">
      <w:lvlJc w:val="left"/>
      <w:lvlText w:val="%2"/>
      <w:numFmt w:val="lowerLetter"/>
      <w:start w:val="1"/>
    </w:lvl>
  </w:abstractNum>
  <w:abstractNum w:abstractNumId="142">
    <w:nsid w:val="4C187C90"/>
    <w:multiLevelType w:val="hybridMultilevel"/>
    <w:lvl w:ilvl="0">
      <w:lvlJc w:val="left"/>
      <w:lvlText w:val="(%1)"/>
      <w:numFmt w:val="lowerLetter"/>
      <w:start w:val="1"/>
    </w:lvl>
  </w:abstractNum>
  <w:abstractNum w:abstractNumId="143">
    <w:nsid w:val="541F28CD"/>
    <w:multiLevelType w:val="hybridMultilevel"/>
    <w:lvl w:ilvl="0">
      <w:lvlJc w:val="left"/>
      <w:lvlText w:val="(%1)"/>
      <w:numFmt w:val="lowerLetter"/>
      <w:start w:val="2"/>
    </w:lvl>
  </w:abstractNum>
  <w:abstractNum w:abstractNumId="144">
    <w:nsid w:val="7F65FD16"/>
    <w:multiLevelType w:val="hybridMultilevel"/>
    <w:lvl w:ilvl="0">
      <w:lvlJc w:val="left"/>
      <w:lvlText w:val="(%1)"/>
      <w:numFmt w:val="lowerLetter"/>
      <w:start w:val="6"/>
    </w:lvl>
  </w:abstractNum>
  <w:abstractNum w:abstractNumId="145">
    <w:nsid w:val="77C9FD68"/>
    <w:multiLevelType w:val="hybridMultilevel"/>
    <w:lvl w:ilvl="0">
      <w:lvlJc w:val="left"/>
      <w:lvlText w:val="(%1)"/>
      <w:numFmt w:val="lowerLetter"/>
      <w:start w:val="1"/>
    </w:lvl>
    <w:lvl w:ilvl="1">
      <w:lvlJc w:val="left"/>
      <w:lvlText w:val="(%2)"/>
      <w:numFmt w:val="lowerRoman"/>
      <w:start w:val="1"/>
    </w:lvl>
  </w:abstractNum>
  <w:abstractNum w:abstractNumId="146">
    <w:nsid w:val="298A92BA"/>
    <w:multiLevelType w:val="hybridMultilevel"/>
    <w:lvl w:ilvl="0">
      <w:lvlJc w:val="left"/>
      <w:lvlText w:val="(%1)"/>
      <w:numFmt w:val="lowerRoman"/>
      <w:start w:val="4"/>
    </w:lvl>
    <w:lvl w:ilvl="1">
      <w:lvlJc w:val="left"/>
      <w:lvlText w:val="(%2)"/>
      <w:numFmt w:val="decimal"/>
      <w:start w:val="1"/>
    </w:lvl>
  </w:abstractNum>
  <w:abstractNum w:abstractNumId="147">
    <w:nsid w:val="6FE95EAC"/>
    <w:multiLevelType w:val="hybridMultilevel"/>
    <w:lvl w:ilvl="0">
      <w:lvlJc w:val="left"/>
      <w:lvlText w:val="(%1)"/>
      <w:numFmt w:val="lowerRoman"/>
      <w:start w:val="8"/>
    </w:lvl>
    <w:lvl w:ilvl="1">
      <w:lvlJc w:val="left"/>
      <w:lvlText w:val="(%2)"/>
      <w:numFmt w:val="decimal"/>
      <w:start w:val="1"/>
    </w:lvl>
    <w:lvl w:ilvl="2">
      <w:lvlJc w:val="left"/>
      <w:lvlText w:val="(%3)"/>
      <w:numFmt w:val="decimal"/>
      <w:start w:val="2"/>
    </w:lvl>
  </w:abstractNum>
  <w:abstractNum w:abstractNumId="148">
    <w:nsid w:val="4B697C7A"/>
    <w:multiLevelType w:val="hybridMultilevel"/>
    <w:lvl w:ilvl="0">
      <w:lvlJc w:val="left"/>
      <w:lvlText w:val="%1"/>
      <w:numFmt w:val="lowerRoman"/>
      <w:start w:val="1"/>
    </w:lvl>
    <w:lvl w:ilvl="1">
      <w:lvlJc w:val="left"/>
      <w:lvlText w:val="(%2)"/>
      <w:numFmt w:val="decimal"/>
      <w:start w:val="5"/>
    </w:lvl>
  </w:abstractNum>
  <w:abstractNum w:abstractNumId="149">
    <w:nsid w:val="51A27AA6"/>
    <w:multiLevelType w:val="hybridMultilevel"/>
    <w:lvl w:ilvl="0">
      <w:lvlJc w:val="left"/>
      <w:lvlText w:val="(%1)"/>
      <w:numFmt w:val="lowerRoman"/>
      <w:start w:val="10"/>
    </w:lvl>
    <w:lvl w:ilvl="1">
      <w:lvlJc w:val="left"/>
      <w:lvlText w:val="%2"/>
      <w:numFmt w:val="decimal"/>
      <w:start w:val="1"/>
    </w:lvl>
  </w:abstractNum>
  <w:abstractNum w:abstractNumId="150">
    <w:nsid w:val="613183F2"/>
    <w:multiLevelType w:val="hybridMultilevel"/>
    <w:lvl w:ilvl="0">
      <w:lvlJc w:val="left"/>
      <w:lvlText w:val="(%1)"/>
      <w:numFmt w:val="lowerRoman"/>
      <w:start w:val="15"/>
    </w:lvl>
  </w:abstractNum>
  <w:abstractNum w:abstractNumId="151">
    <w:nsid w:val="634102B4"/>
    <w:multiLevelType w:val="hybridMultilevel"/>
    <w:lvl w:ilvl="0">
      <w:lvlJc w:val="left"/>
      <w:lvlText w:val="(%1)"/>
      <w:numFmt w:val="lowerLetter"/>
      <w:start w:val="2"/>
    </w:lvl>
  </w:abstractNum>
  <w:abstractNum w:abstractNumId="152">
    <w:nsid w:val="65BF9DA8"/>
    <w:multiLevelType w:val="hybridMultilevel"/>
    <w:lvl w:ilvl="0">
      <w:lvlJc w:val="left"/>
      <w:lvlText w:val="(%1)"/>
      <w:numFmt w:val="lowerLetter"/>
      <w:start w:val="1"/>
    </w:lvl>
  </w:abstractNum>
  <w:abstractNum w:abstractNumId="153">
    <w:nsid w:val="21A2ECCA"/>
    <w:multiLevelType w:val="hybridMultilevel"/>
    <w:lvl w:ilvl="0">
      <w:lvlJc w:val="left"/>
      <w:lvlText w:val="(%1)"/>
      <w:numFmt w:val="lowerLetter"/>
      <w:start w:val="2"/>
    </w:lvl>
  </w:abstractNum>
  <w:abstractNum w:abstractNumId="154">
    <w:nsid w:val="4D5C4899"/>
    <w:multiLevelType w:val="hybridMultilevel"/>
    <w:lvl w:ilvl="0">
      <w:lvlJc w:val="left"/>
      <w:lvlText w:val="(%1)"/>
      <w:numFmt w:val="lowerLetter"/>
      <w:start w:val="1"/>
    </w:lvl>
  </w:abstractNum>
  <w:abstractNum w:abstractNumId="155">
    <w:nsid w:val="3C3B72B2"/>
    <w:multiLevelType w:val="hybridMultilevel"/>
    <w:lvl w:ilvl="0">
      <w:lvlJc w:val="left"/>
      <w:lvlText w:val="(%1)"/>
      <w:numFmt w:val="lowerLetter"/>
      <w:start w:val="4"/>
    </w:lvl>
  </w:abstractNum>
  <w:abstractNum w:abstractNumId="156">
    <w:nsid w:val="155EC4C2"/>
    <w:multiLevelType w:val="hybridMultilevel"/>
    <w:lvl w:ilvl="0">
      <w:lvlJc w:val="left"/>
      <w:lvlText w:val="(%1)"/>
      <w:numFmt w:val="lowerLetter"/>
      <w:start w:val="1"/>
    </w:lvl>
  </w:abstractNum>
  <w:abstractNum w:abstractNumId="157">
    <w:nsid w:val="65D2A137"/>
    <w:multiLevelType w:val="hybridMultilevel"/>
    <w:lvl w:ilvl="0">
      <w:lvlJc w:val="left"/>
      <w:lvlText w:val="%1"/>
      <w:numFmt w:val="lowerLetter"/>
      <w:start w:val="1"/>
    </w:lvl>
    <w:lvl w:ilvl="1">
      <w:lvlJc w:val="left"/>
      <w:lvlText w:val="(%2)"/>
      <w:numFmt w:val="lowerLetter"/>
      <w:start w:val="2"/>
    </w:lvl>
  </w:abstractNum>
  <w:abstractNum w:abstractNumId="158">
    <w:nsid w:val="6EBB1F2A"/>
    <w:multiLevelType w:val="hybridMultilevel"/>
    <w:lvl w:ilvl="0">
      <w:lvlJc w:val="left"/>
      <w:lvlText w:val="(%1)"/>
      <w:numFmt w:val="lowerLetter"/>
      <w:start w:val="35"/>
    </w:lvl>
    <w:lvl w:ilvl="1">
      <w:lvlJc w:val="left"/>
      <w:lvlText w:val="%2"/>
      <w:numFmt w:val="lowerLetter"/>
      <w:start w:val="1"/>
    </w:lvl>
  </w:abstractNum>
  <w:abstractNum w:abstractNumId="159">
    <w:nsid w:val="6FBF29CB"/>
    <w:multiLevelType w:val="hybridMultilevel"/>
    <w:lvl w:ilvl="0">
      <w:lvlJc w:val="left"/>
      <w:lvlText w:val="(%1)"/>
      <w:numFmt w:val="lowerLetter"/>
      <w:start w:val="1"/>
    </w:lvl>
  </w:abstractNum>
  <w:abstractNum w:abstractNumId="160">
    <w:nsid w:val="550B8808"/>
    <w:multiLevelType w:val="hybridMultilevel"/>
    <w:lvl w:ilvl="0">
      <w:lvlJc w:val="left"/>
      <w:lvlText w:val="(%1)"/>
      <w:numFmt w:val="lowerLetter"/>
      <w:start w:val="1"/>
    </w:lvl>
  </w:abstractNum>
  <w:abstractNum w:abstractNumId="161">
    <w:nsid w:val="34CC3ACF"/>
    <w:multiLevelType w:val="hybridMultilevel"/>
    <w:lvl w:ilvl="0">
      <w:lvlJc w:val="left"/>
      <w:lvlText w:val="(%1)"/>
      <w:numFmt w:val="lowerLetter"/>
      <w:start w:val="2"/>
    </w:lvl>
  </w:abstractNum>
  <w:abstractNum w:abstractNumId="162">
    <w:nsid w:val="4E556261"/>
    <w:multiLevelType w:val="hybridMultilevel"/>
    <w:lvl w:ilvl="0">
      <w:lvlJc w:val="left"/>
      <w:lvlText w:val="(%1)"/>
      <w:numFmt w:val="lowerLetter"/>
      <w:start w:val="1"/>
    </w:lvl>
  </w:abstractNum>
  <w:abstractNum w:abstractNumId="163">
    <w:nsid w:val="4C672FC9"/>
    <w:multiLevelType w:val="hybridMultilevel"/>
    <w:lvl w:ilvl="0">
      <w:lvlJc w:val="left"/>
      <w:lvlText w:val="(%1)"/>
      <w:numFmt w:val="lowerLetter"/>
      <w:start w:val="1"/>
    </w:lvl>
  </w:abstractNum>
  <w:abstractNum w:abstractNumId="164">
    <w:nsid w:val="52A311C3"/>
    <w:multiLevelType w:val="hybridMultilevel"/>
    <w:lvl w:ilvl="0">
      <w:lvlJc w:val="left"/>
      <w:lvlText w:val="(%1)"/>
      <w:numFmt w:val="lowerLetter"/>
      <w:start w:val="1"/>
    </w:lvl>
  </w:abstractNum>
  <w:abstractNum w:abstractNumId="165">
    <w:nsid w:val="44EF6B80"/>
    <w:multiLevelType w:val="hybridMultilevel"/>
    <w:lvl w:ilvl="0">
      <w:lvlJc w:val="left"/>
      <w:lvlText w:val="(%1)"/>
      <w:numFmt w:val="lowerLetter"/>
      <w:start w:val="1"/>
    </w:lvl>
  </w:abstractNum>
  <w:abstractNum w:abstractNumId="166">
    <w:nsid w:val="12FCDE5E"/>
    <w:multiLevelType w:val="hybridMultilevel"/>
    <w:lvl w:ilvl="0">
      <w:lvlJc w:val="left"/>
      <w:lvlText w:val="(%1)"/>
      <w:numFmt w:val="lowerLetter"/>
      <w:start w:val="1"/>
    </w:lvl>
    <w:lvl w:ilvl="1">
      <w:lvlJc w:val="left"/>
      <w:lvlText w:val="(%2)"/>
      <w:numFmt w:val="lowerLetter"/>
      <w:start w:val="9"/>
    </w:lvl>
  </w:abstractNum>
  <w:abstractNum w:abstractNumId="167">
    <w:nsid w:val="4A1D606E"/>
    <w:multiLevelType w:val="hybridMultilevel"/>
    <w:lvl w:ilvl="0">
      <w:lvlJc w:val="left"/>
      <w:lvlText w:val="(%1)"/>
      <w:numFmt w:val="lowerLetter"/>
      <w:start w:val="3"/>
    </w:lvl>
  </w:abstractNum>
  <w:abstractNum w:abstractNumId="168">
    <w:nsid w:val="4382503"/>
    <w:multiLevelType w:val="hybridMultilevel"/>
    <w:lvl w:ilvl="0">
      <w:lvlJc w:val="left"/>
      <w:lvlText w:val="(%1)"/>
      <w:numFmt w:val="lowerLetter"/>
      <w:start w:val="1"/>
    </w:lvl>
  </w:abstractNum>
  <w:abstractNum w:abstractNumId="169">
    <w:nsid w:val="59B76E28"/>
    <w:multiLevelType w:val="hybridMultilevel"/>
    <w:lvl w:ilvl="0">
      <w:lvlJc w:val="left"/>
      <w:lvlText w:val="(%1)"/>
      <w:numFmt w:val="lowerLetter"/>
      <w:start w:val="5"/>
    </w:lvl>
  </w:abstractNum>
  <w:abstractNum w:abstractNumId="170">
    <w:nsid w:val="4252C2DA"/>
    <w:multiLevelType w:val="hybridMultilevel"/>
    <w:lvl w:ilvl="0">
      <w:lvlJc w:val="left"/>
      <w:lvlText w:val="(%1)"/>
      <w:numFmt w:val="lowerLetter"/>
      <w:start w:val="1"/>
    </w:lvl>
  </w:abstractNum>
  <w:abstractNum w:abstractNumId="171">
    <w:nsid w:val="6A92EF4C"/>
    <w:multiLevelType w:val="hybridMultilevel"/>
    <w:lvl w:ilvl="0">
      <w:lvlJc w:val="left"/>
      <w:lvlText w:val="(%1)"/>
      <w:numFmt w:val="lowerLetter"/>
      <w:start w:val="1"/>
    </w:lvl>
  </w:abstractNum>
  <w:abstractNum w:abstractNumId="172">
    <w:nsid w:val="41ED20D7"/>
    <w:multiLevelType w:val="hybridMultilevel"/>
    <w:lvl w:ilvl="0">
      <w:lvlJc w:val="left"/>
      <w:lvlText w:val="(%1)"/>
      <w:numFmt w:val="lowerLetter"/>
      <w:start w:val="4"/>
    </w:lvl>
  </w:abstractNum>
  <w:abstractNum w:abstractNumId="173">
    <w:nsid w:val="E6B3F6A"/>
    <w:multiLevelType w:val="hybridMultilevel"/>
    <w:lvl w:ilvl="0">
      <w:lvlJc w:val="left"/>
      <w:lvlText w:val="(%1)"/>
      <w:numFmt w:val="lowerLetter"/>
      <w:start w:val="1"/>
    </w:lvl>
  </w:abstractNum>
  <w:abstractNum w:abstractNumId="174">
    <w:nsid w:val="3EB21819"/>
    <w:multiLevelType w:val="hybridMultilevel"/>
    <w:lvl w:ilvl="0">
      <w:lvlJc w:val="left"/>
      <w:lvlText w:val="(%1)"/>
      <w:numFmt w:val="lowerLetter"/>
      <w:start w:val="5"/>
    </w:lvl>
  </w:abstractNum>
  <w:abstractNum w:abstractNumId="175">
    <w:nsid w:val="41531DED"/>
    <w:multiLevelType w:val="hybridMultilevel"/>
    <w:lvl w:ilvl="0">
      <w:lvlJc w:val="left"/>
      <w:lvlText w:val="(%1)"/>
      <w:numFmt w:val="lowerLetter"/>
      <w:start w:val="6"/>
    </w:lvl>
  </w:abstractNum>
  <w:abstractNum w:abstractNumId="176">
    <w:nsid w:val="6353CD2"/>
    <w:multiLevelType w:val="hybridMultilevel"/>
    <w:lvl w:ilvl="0">
      <w:lvlJc w:val="left"/>
      <w:lvlText w:val="(%1)"/>
      <w:numFmt w:val="lowerLetter"/>
      <w:start w:val="8"/>
    </w:lvl>
  </w:abstractNum>
  <w:abstractNum w:abstractNumId="177">
    <w:nsid w:val="683CAAD3"/>
    <w:multiLevelType w:val="hybridMultilevel"/>
    <w:lvl w:ilvl="0">
      <w:lvlJc w:val="left"/>
      <w:lvlText w:val="(%1)"/>
      <w:numFmt w:val="lowerLetter"/>
      <w:start w:val="1"/>
    </w:lvl>
  </w:abstractNum>
  <w:abstractNum w:abstractNumId="178">
    <w:nsid w:val="313C7C99"/>
    <w:multiLevelType w:val="hybridMultilevel"/>
    <w:lvl w:ilvl="0">
      <w:lvlJc w:val="left"/>
      <w:lvlText w:val="(%1)"/>
      <w:numFmt w:val="lowerLetter"/>
      <w:start w:val="2"/>
    </w:lvl>
  </w:abstractNum>
  <w:abstractNum w:abstractNumId="179">
    <w:nsid w:val="519EB94C"/>
    <w:multiLevelType w:val="hybridMultilevel"/>
    <w:lvl w:ilvl="0">
      <w:lvlJc w:val="left"/>
      <w:lvlText w:val="(%1)"/>
      <w:numFmt w:val="lowerLetter"/>
      <w:start w:val="1"/>
    </w:lvl>
  </w:abstractNum>
  <w:abstractNum w:abstractNumId="180">
    <w:nsid w:val="39DF25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1">
    <w:nsid w:val="126E008B"/>
    <w:multiLevelType w:val="hybridMultilevel"/>
    <w:lvl w:ilvl="0">
      <w:lvlJc w:val="left"/>
      <w:lvlText w:val="(%1)"/>
      <w:numFmt w:val="upperLetter"/>
      <w:start w:val="2"/>
    </w:lvl>
  </w:abstractNum>
  <w:abstractNum w:abstractNumId="182">
    <w:nsid w:val="34DFBC00"/>
    <w:multiLevelType w:val="hybridMultilevel"/>
    <w:lvl w:ilvl="0">
      <w:lvlJc w:val="left"/>
      <w:lvlText w:val="%1"/>
      <w:numFmt w:val="lowerRoman"/>
      <w:start w:val="1"/>
    </w:lvl>
    <w:lvl w:ilvl="1">
      <w:lvlJc w:val="left"/>
      <w:lvlText w:val="(%2)"/>
      <w:numFmt w:val="upperLetter"/>
      <w:start w:val="5"/>
    </w:lvl>
  </w:abstractNum>
  <w:abstractNum w:abstractNumId="183">
    <w:nsid w:val="1F9EC322"/>
    <w:multiLevelType w:val="hybridMultilevel"/>
    <w:lvl w:ilvl="0">
      <w:lvlJc w:val="left"/>
      <w:lvlText w:val="(%1)"/>
      <w:numFmt w:val="lowerRoman"/>
      <w:start w:val="2"/>
    </w:lvl>
    <w:lvl w:ilvl="1">
      <w:lvlJc w:val="left"/>
      <w:lvlText w:val="(%2)"/>
      <w:numFmt w:val="upperLetter"/>
      <w:start w:val="1"/>
    </w:lvl>
  </w:abstractNum>
  <w:abstractNum w:abstractNumId="184">
    <w:nsid w:val="3410ED56"/>
    <w:multiLevelType w:val="hybridMultilevel"/>
    <w:lvl w:ilvl="0">
      <w:lvlJc w:val="left"/>
      <w:lvlText w:val="(%1)"/>
      <w:numFmt w:val="upperLetter"/>
      <w:start w:val="9"/>
    </w:lvl>
  </w:abstractNum>
  <w:abstractNum w:abstractNumId="185">
    <w:nsid w:val="23C049A"/>
    <w:multiLevelType w:val="hybridMultilevel"/>
    <w:lvl w:ilvl="0">
      <w:lvlJc w:val="left"/>
      <w:lvlText w:val="(%1)"/>
      <w:numFmt w:val="upperLetter"/>
      <w:start w:val="35"/>
    </w:lvl>
  </w:abstractNum>
  <w:abstractNum w:abstractNumId="186">
    <w:nsid w:val="5BDA35D4"/>
    <w:multiLevelType w:val="hybridMultilevel"/>
    <w:lvl w:ilvl="0">
      <w:lvlJc w:val="left"/>
      <w:lvlText w:val="(%1)"/>
      <w:numFmt w:val="upperLetter"/>
      <w:start w:val="61"/>
    </w:lvl>
  </w:abstractNum>
  <w:abstractNum w:abstractNumId="187">
    <w:nsid w:val="496FB218"/>
    <w:multiLevelType w:val="hybridMultilevel"/>
    <w:lvl w:ilvl="0">
      <w:lvlJc w:val="left"/>
      <w:lvlText w:val="(%1)"/>
      <w:numFmt w:val="upperLetter"/>
      <w:start w:val="22"/>
    </w:lvl>
  </w:abstractNum>
  <w:abstractNum w:abstractNumId="188">
    <w:nsid w:val="680EA5D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89">
    <w:nsid w:val="4A9554FE"/>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90">
    <w:nsid w:val="392EDBE4"/>
    <w:multiLevelType w:val="hybridMultilevel"/>
    <w:lvl w:ilvl="0">
      <w:lvlJc w:val="left"/>
      <w:lvlText w:val="(%1)"/>
      <w:numFmt w:val="lowerRoman"/>
      <w:start w:val="2"/>
    </w:lvl>
  </w:abstractNum>
  <w:abstractNum w:abstractNumId="191">
    <w:nsid w:val="3D1A2DD9"/>
    <w:multiLevelType w:val="hybridMultilevel"/>
    <w:lvl w:ilvl="0">
      <w:lvlJc w:val="left"/>
      <w:lvlText w:val="(%1)"/>
      <w:numFmt w:val="lowerLetter"/>
      <w:start w:val="4"/>
    </w:lvl>
    <w:lvl w:ilvl="1">
      <w:lvlJc w:val="left"/>
      <w:lvlText w:val="(%2)"/>
      <w:numFmt w:val="lowerRoman"/>
      <w:start w:val="1"/>
    </w:lvl>
  </w:abstractNum>
  <w:abstractNum w:abstractNumId="192">
    <w:nsid w:val="7F618FCD"/>
    <w:multiLevelType w:val="hybridMultilevel"/>
    <w:lvl w:ilvl="0">
      <w:lvlJc w:val="left"/>
      <w:lvlText w:val="(%1)"/>
      <w:numFmt w:val="lowerRoman"/>
      <w:start w:val="2"/>
    </w:lvl>
  </w:abstractNum>
  <w:abstractNum w:abstractNumId="193">
    <w:nsid w:val="7843E45"/>
    <w:multiLevelType w:val="hybridMultilevel"/>
    <w:lvl w:ilvl="0">
      <w:lvlJc w:val="left"/>
      <w:lvlText w:val="(%1)"/>
      <w:numFmt w:val="lowerLetter"/>
      <w:start w:val="6"/>
    </w:lvl>
    <w:lvl w:ilvl="1">
      <w:lvlJc w:val="left"/>
      <w:lvlText w:val="(%2)"/>
      <w:numFmt w:val="lowerRoman"/>
      <w:start w:val="1"/>
    </w:lvl>
  </w:abstractNum>
  <w:abstractNum w:abstractNumId="194">
    <w:nsid w:val="9815DA3"/>
    <w:multiLevelType w:val="hybridMultilevel"/>
    <w:lvl w:ilvl="0">
      <w:lvlJc w:val="left"/>
      <w:lvlText w:val="(%1)"/>
      <w:numFmt w:val="lowerLetter"/>
      <w:start w:val="8"/>
    </w:lvl>
  </w:abstractNum>
  <w:abstractNum w:abstractNumId="195">
    <w:nsid w:val="5204A191"/>
    <w:multiLevelType w:val="hybridMultilevel"/>
    <w:lvl w:ilvl="0">
      <w:lvlJc w:val="left"/>
      <w:lvlText w:val="(%1)"/>
      <w:numFmt w:val="lowerLetter"/>
      <w:start w:val="11"/>
    </w:lvl>
  </w:abstractNum>
  <w:abstractNum w:abstractNumId="196">
    <w:nsid w:val="4C73A9C6"/>
    <w:multiLevelType w:val="hybridMultilevel"/>
    <w:lvl w:ilvl="0">
      <w:lvlJc w:val="left"/>
      <w:lvlText w:val="(%1)"/>
      <w:numFmt w:val="lowerLetter"/>
      <w:start w:val="1"/>
    </w:lvl>
  </w:abstractNum>
  <w:abstractNum w:abstractNumId="197">
    <w:nsid w:val="1C7E3C01"/>
    <w:multiLevelType w:val="hybridMultilevel"/>
    <w:lvl w:ilvl="0">
      <w:lvlJc w:val="left"/>
      <w:lvlText w:val="(%1)"/>
      <w:numFmt w:val="lowerLetter"/>
      <w:start w:val="3"/>
    </w:lvl>
  </w:abstractNum>
  <w:abstractNum w:abstractNumId="198">
    <w:nsid w:val="1C2201FF"/>
    <w:multiLevelType w:val="hybridMultilevel"/>
    <w:lvl w:ilvl="0">
      <w:lvlJc w:val="left"/>
      <w:lvlText w:val="(%1)"/>
      <w:numFmt w:val="lowerLetter"/>
      <w:start w:val="7"/>
    </w:lvl>
  </w:abstractNum>
  <w:abstractNum w:abstractNumId="199">
    <w:nsid w:val="50ABCEC9"/>
    <w:multiLevelType w:val="hybridMultilevel"/>
    <w:lvl w:ilvl="0">
      <w:lvlJc w:val="left"/>
      <w:lvlText w:val="(%1)"/>
      <w:numFmt w:val="lowerLetter"/>
      <w:start w:val="11"/>
    </w:lvl>
  </w:abstractNum>
  <w:abstractNum w:abstractNumId="200">
    <w:nsid w:val="7635AA2A"/>
    <w:multiLevelType w:val="hybridMultilevel"/>
    <w:lvl w:ilvl="0">
      <w:lvlJc w:val="left"/>
      <w:lvlText w:val="(%1)"/>
      <w:numFmt w:val="lowerLetter"/>
      <w:start w:val="1"/>
    </w:lvl>
  </w:abstractNum>
  <w:abstractNum w:abstractNumId="201">
    <w:nsid w:val="5E74C4D9"/>
    <w:multiLevelType w:val="hybridMultilevel"/>
    <w:lvl w:ilvl="0">
      <w:lvlJc w:val="left"/>
      <w:lvlText w:val="(%1)"/>
      <w:numFmt w:val="lowerLetter"/>
      <w:start w:val="1"/>
    </w:lvl>
  </w:abstractNum>
  <w:abstractNum w:abstractNumId="202">
    <w:nsid w:val="3B3EBE15"/>
    <w:multiLevelType w:val="hybridMultilevel"/>
    <w:lvl w:ilvl="0">
      <w:lvlJc w:val="left"/>
      <w:lvlText w:val="(%1)"/>
      <w:numFmt w:val="lowerLetter"/>
      <w:start w:val="1"/>
    </w:lvl>
  </w:abstractNum>
  <w:abstractNum w:abstractNumId="203">
    <w:nsid w:val="3822CB01"/>
    <w:multiLevelType w:val="hybridMultilevel"/>
    <w:lvl w:ilvl="0">
      <w:lvlJc w:val="left"/>
      <w:lvlText w:val="(%1)"/>
      <w:numFmt w:val="lowerLetter"/>
      <w:start w:val="1"/>
    </w:lvl>
  </w:abstractNum>
  <w:abstractNum w:abstractNumId="204">
    <w:nsid w:val="6CE00443"/>
    <w:multiLevelType w:val="hybridMultilevel"/>
    <w:lvl w:ilvl="0">
      <w:lvlJc w:val="left"/>
      <w:lvlText w:val="(%1)"/>
      <w:numFmt w:val="lowerLetter"/>
      <w:start w:val="1"/>
    </w:lvl>
  </w:abstractNum>
  <w:abstractNum w:abstractNumId="205">
    <w:nsid w:val="79F0D62F"/>
    <w:multiLevelType w:val="hybridMultilevel"/>
    <w:lvl w:ilvl="0">
      <w:lvlJc w:val="left"/>
      <w:lvlText w:val="(%1)"/>
      <w:numFmt w:val="lowerLetter"/>
      <w:start w:val="2"/>
    </w:lvl>
  </w:abstractNum>
  <w:abstractNum w:abstractNumId="206">
    <w:nsid w:val="7975E8EE"/>
    <w:multiLevelType w:val="hybridMultilevel"/>
    <w:lvl w:ilvl="0">
      <w:lvlJc w:val="left"/>
      <w:lvlText w:val="(%1)"/>
      <w:numFmt w:val="lowerRoman"/>
      <w:start w:val="1"/>
    </w:lvl>
  </w:abstractNum>
  <w:abstractNum w:abstractNumId="207">
    <w:nsid w:val="73154115"/>
    <w:multiLevelType w:val="hybridMultilevel"/>
    <w:lvl w:ilvl="0">
      <w:lvlJc w:val="left"/>
      <w:lvlText w:val="%1"/>
      <w:numFmt w:val="lowerLetter"/>
      <w:start w:val="1"/>
    </w:lvl>
    <w:lvl w:ilvl="1">
      <w:lvlJc w:val="left"/>
      <w:lvlText w:val="(%2)"/>
      <w:numFmt w:val="lowerRoman"/>
      <w:start w:val="3"/>
    </w:lvl>
  </w:abstractNum>
  <w:abstractNum w:abstractNumId="208">
    <w:nsid w:val="622D8102"/>
    <w:multiLevelType w:val="hybridMultilevel"/>
    <w:lvl w:ilvl="0">
      <w:lvlJc w:val="left"/>
      <w:lvlText w:val="(%1)"/>
      <w:numFmt w:val="lowerLetter"/>
      <w:start w:val="4"/>
    </w:lvl>
    <w:lvl w:ilvl="1">
      <w:lvlJc w:val="left"/>
      <w:lvlText w:val="%2"/>
      <w:numFmt w:val="lowerRoman"/>
      <w:start w:val="1"/>
    </w:lvl>
  </w:abstractNum>
  <w:abstractNum w:abstractNumId="209">
    <w:nsid w:val="2AB26587"/>
    <w:multiLevelType w:val="hybridMultilevel"/>
    <w:lvl w:ilvl="0">
      <w:lvlJc w:val="left"/>
      <w:lvlText w:val="(%1)"/>
      <w:numFmt w:val="lowerLetter"/>
      <w:start w:val="1"/>
    </w:lvl>
  </w:abstractNum>
  <w:abstractNum w:abstractNumId="210">
    <w:nsid w:val="44B3FA61"/>
    <w:multiLevelType w:val="hybridMultilevel"/>
    <w:lvl w:ilvl="0">
      <w:lvlJc w:val="left"/>
      <w:lvlText w:val="(%1)"/>
      <w:numFmt w:val="lowerLetter"/>
      <w:start w:val="1"/>
    </w:lvl>
  </w:abstractNum>
  <w:abstractNum w:abstractNumId="211">
    <w:nsid w:val="1C0CA67C"/>
    <w:multiLevelType w:val="hybridMultilevel"/>
    <w:lvl w:ilvl="0">
      <w:lvlJc w:val="left"/>
      <w:lvlText w:val="(%1)"/>
      <w:numFmt w:val="lowerLetter"/>
      <w:start w:val="3"/>
    </w:lvl>
  </w:abstractNum>
  <w:abstractNum w:abstractNumId="212">
    <w:nsid w:val="3D206613"/>
    <w:multiLevelType w:val="hybridMultilevel"/>
    <w:lvl w:ilvl="0">
      <w:lvlJc w:val="left"/>
      <w:lvlText w:val="(%1)"/>
      <w:numFmt w:val="lowerLetter"/>
      <w:start w:val="1"/>
    </w:lvl>
  </w:abstractNum>
  <w:abstractNum w:abstractNumId="213">
    <w:nsid w:val="7993B662"/>
    <w:multiLevelType w:val="hybridMultilevel"/>
    <w:lvl w:ilvl="0">
      <w:lvlJc w:val="left"/>
      <w:lvlText w:val="(%1)"/>
      <w:numFmt w:val="lowerRoman"/>
      <w:start w:val="2"/>
    </w:lvl>
  </w:abstractNum>
  <w:abstractNum w:abstractNumId="214">
    <w:nsid w:val="3BAB699E"/>
    <w:multiLevelType w:val="hybridMultilevel"/>
    <w:lvl w:ilvl="0">
      <w:lvlJc w:val="left"/>
      <w:lvlText w:val="(%1)"/>
      <w:numFmt w:val="lowerLetter"/>
      <w:start w:val="1"/>
    </w:lvl>
  </w:abstractNum>
  <w:abstractNum w:abstractNumId="215">
    <w:nsid w:val="71315369"/>
    <w:multiLevelType w:val="hybridMultilevel"/>
    <w:lvl w:ilvl="0">
      <w:lvlJc w:val="left"/>
      <w:lvlText w:val="(%1)"/>
      <w:numFmt w:val="lowerLetter"/>
      <w:start w:val="1"/>
    </w:lvl>
  </w:abstractNum>
  <w:abstractNum w:abstractNumId="216">
    <w:nsid w:val="7BCFBAFC"/>
    <w:multiLevelType w:val="hybridMultilevel"/>
    <w:lvl w:ilvl="0">
      <w:lvlJc w:val="left"/>
      <w:lvlText w:val="(%1)"/>
      <w:numFmt w:val="lowerLetter"/>
      <w:start w:val="1"/>
    </w:lvl>
  </w:abstractNum>
  <w:abstractNum w:abstractNumId="217">
    <w:nsid w:val="17859F72"/>
    <w:multiLevelType w:val="hybridMultilevel"/>
    <w:lvl w:ilvl="0">
      <w:lvlJc w:val="left"/>
      <w:lvlText w:val="(%1)"/>
      <w:numFmt w:val="lowerLetter"/>
      <w:start w:val="3"/>
    </w:lvl>
  </w:abstractNum>
  <w:abstractNum w:abstractNumId="218">
    <w:nsid w:val="3AA10581"/>
    <w:multiLevelType w:val="hybridMultilevel"/>
    <w:lvl w:ilvl="0">
      <w:lvlJc w:val="left"/>
      <w:lvlText w:val="(%1)"/>
      <w:numFmt w:val="lowerLetter"/>
      <w:start w:val="1"/>
    </w:lvl>
  </w:abstractNum>
  <w:abstractNum w:abstractNumId="219">
    <w:nsid w:val="63DE60CD"/>
    <w:multiLevelType w:val="hybridMultilevel"/>
    <w:lvl w:ilvl="0">
      <w:lvlJc w:val="left"/>
      <w:lvlText w:val="(%1)"/>
      <w:numFmt w:val="lowerLetter"/>
      <w:start w:val="1"/>
    </w:lvl>
    <w:lvl w:ilvl="1">
      <w:lvlJc w:val="left"/>
      <w:lvlText w:val="%2."/>
      <w:numFmt w:val="lowerRoman"/>
      <w:start w:val="1"/>
    </w:lvl>
  </w:abstractNum>
  <w:abstractNum w:abstractNumId="220">
    <w:nsid w:val="621AF471"/>
    <w:multiLevelType w:val="hybridMultilevel"/>
    <w:lvl w:ilvl="0">
      <w:lvlJc w:val="left"/>
      <w:lvlText w:val="(%1)"/>
      <w:numFmt w:val="lowerLetter"/>
      <w:start w:val="1"/>
    </w:lvl>
  </w:abstractNum>
  <w:abstractNum w:abstractNumId="221">
    <w:nsid w:val="73CFE165"/>
    <w:multiLevelType w:val="hybridMultilevel"/>
    <w:lvl w:ilvl="0">
      <w:lvlJc w:val="left"/>
      <w:lvlText w:val="(%1)"/>
      <w:numFmt w:val="lowerLetter"/>
      <w:start w:val="2"/>
    </w:lvl>
  </w:abstractNum>
  <w:abstractNum w:abstractNumId="222">
    <w:nsid w:val="20F88EA6"/>
    <w:multiLevelType w:val="hybridMultilevel"/>
    <w:lvl w:ilvl="0">
      <w:lvlJc w:val="left"/>
      <w:lvlText w:val="(%1)"/>
      <w:numFmt w:val="lowerLetter"/>
      <w:start w:val="4"/>
    </w:lvl>
  </w:abstractNum>
  <w:abstractNum w:abstractNumId="223">
    <w:nsid w:val="617C843E"/>
    <w:multiLevelType w:val="hybridMultilevel"/>
    <w:lvl w:ilvl="0">
      <w:lvlJc w:val="left"/>
      <w:lvlText w:val="(%1)"/>
      <w:numFmt w:val="lowerLetter"/>
      <w:start w:val="1"/>
    </w:lvl>
  </w:abstractNum>
  <w:abstractNum w:abstractNumId="224">
    <w:nsid w:val="7B541FAB"/>
    <w:multiLevelType w:val="hybridMultilevel"/>
    <w:lvl w:ilvl="0">
      <w:lvlJc w:val="left"/>
      <w:lvlText w:val="(%1)"/>
      <w:numFmt w:val="lowerLetter"/>
      <w:start w:val="1"/>
    </w:lvl>
  </w:abstractNum>
  <w:abstractNum w:abstractNumId="225">
    <w:nsid w:val="2A79EC49"/>
    <w:multiLevelType w:val="hybridMultilevel"/>
    <w:lvl w:ilvl="0">
      <w:lvlJc w:val="left"/>
      <w:lvlText w:val="(%1)"/>
      <w:numFmt w:val="lowerLetter"/>
      <w:start w:val="1"/>
    </w:lvl>
    <w:lvl w:ilvl="1">
      <w:lvlJc w:val="left"/>
      <w:lvlText w:val="(%2)"/>
      <w:numFmt w:val="lowerRoman"/>
      <w:start w:val="1"/>
    </w:lvl>
  </w:abstractNum>
  <w:abstractNum w:abstractNumId="226">
    <w:nsid w:val="338125CF"/>
    <w:multiLevelType w:val="hybridMultilevel"/>
    <w:lvl w:ilvl="0">
      <w:lvlJc w:val="left"/>
      <w:lvlText w:val="%1"/>
      <w:numFmt w:val="lowerLetter"/>
      <w:start w:val="1"/>
    </w:lvl>
    <w:lvl w:ilvl="1">
      <w:lvlJc w:val="left"/>
      <w:lvlText w:val="(%2)"/>
      <w:numFmt w:val="lowerLetter"/>
      <w:start w:val="61"/>
    </w:lvl>
  </w:abstractNum>
  <w:abstractNum w:abstractNumId="227">
    <w:nsid w:val="47C7C971"/>
    <w:multiLevelType w:val="hybridMultilevel"/>
    <w:lvl w:ilvl="0">
      <w:lvlJc w:val="left"/>
      <w:lvlText w:val="(%1)"/>
      <w:numFmt w:val="lowerLetter"/>
      <w:start w:val="3"/>
    </w:lvl>
    <w:lvl w:ilvl="1">
      <w:lvlJc w:val="left"/>
      <w:lvlText w:val="%2"/>
      <w:numFmt w:val="lowerLetter"/>
      <w:start w:val="1"/>
    </w:lvl>
  </w:abstractNum>
  <w:abstractNum w:abstractNumId="228">
    <w:nsid w:val="46F8284B"/>
    <w:multiLevelType w:val="hybridMultilevel"/>
    <w:lvl w:ilvl="0">
      <w:lvlJc w:val="left"/>
      <w:lvlText w:val="(%1)"/>
      <w:numFmt w:val="lowerLetter"/>
      <w:start w:val="1"/>
    </w:lvl>
  </w:abstractNum>
  <w:abstractNum w:abstractNumId="229">
    <w:nsid w:val="4FA327CE"/>
    <w:multiLevelType w:val="hybridMultilevel"/>
    <w:lvl w:ilvl="0">
      <w:lvlJc w:val="left"/>
      <w:lvlText w:val="(%1)"/>
      <w:numFmt w:val="lowerLetter"/>
      <w:start w:val="1"/>
    </w:lvl>
    <w:lvl w:ilvl="1">
      <w:lvlJc w:val="left"/>
      <w:lvlText w:val="%2."/>
      <w:numFmt w:val="lowerRoman"/>
      <w:start w:val="1"/>
    </w:lvl>
  </w:abstractNum>
  <w:abstractNum w:abstractNumId="230">
    <w:nsid w:val="1873983A"/>
    <w:multiLevelType w:val="hybridMultilevel"/>
    <w:lvl w:ilvl="0">
      <w:lvlJc w:val="left"/>
      <w:lvlText w:val="(%1)"/>
      <w:numFmt w:val="decimal"/>
      <w:start w:val="3"/>
    </w:lvl>
  </w:abstractNum>
  <w:abstractNum w:abstractNumId="231">
    <w:nsid w:val="3D2DD275"/>
    <w:multiLevelType w:val="hybridMultilevel"/>
    <w:lvl w:ilvl="0">
      <w:lvlJc w:val="left"/>
      <w:lvlText w:val="(%1)"/>
      <w:numFmt w:val="lowerLetter"/>
      <w:start w:val="1"/>
    </w:lvl>
  </w:abstractNum>
  <w:abstractNum w:abstractNumId="232">
    <w:nsid w:val="2E17ECA7"/>
    <w:multiLevelType w:val="hybridMultilevel"/>
    <w:lvl w:ilvl="0">
      <w:lvlJc w:val="left"/>
      <w:lvlText w:val="%1"/>
      <w:numFmt w:val="upperLetter"/>
      <w:start w:val="1"/>
    </w:lvl>
    <w:lvl w:ilvl="1">
      <w:lvlJc w:val="left"/>
      <w:lvlText w:val="(%2)"/>
      <w:numFmt w:val="lowerLetter"/>
      <w:start w:val="7"/>
    </w:lvl>
  </w:abstractNum>
  <w:abstractNum w:abstractNumId="233">
    <w:nsid w:val="53B2564F"/>
    <w:multiLevelType w:val="hybridMultilevel"/>
    <w:lvl w:ilvl="0">
      <w:lvlJc w:val="left"/>
      <w:lvlText w:val="(%1)"/>
      <w:numFmt w:val="upperLetter"/>
      <w:start w:val="2"/>
    </w:lvl>
    <w:lvl w:ilvl="1">
      <w:lvlJc w:val="left"/>
      <w:lvlText w:val="%2"/>
      <w:numFmt w:val="lowerLetter"/>
      <w:start w:val="1"/>
    </w:lvl>
  </w:abstractNum>
  <w:abstractNum w:abstractNumId="234">
    <w:nsid w:val="75509D76"/>
    <w:multiLevelType w:val="hybridMultilevel"/>
    <w:lvl w:ilvl="0">
      <w:lvlJc w:val="left"/>
      <w:lvlText w:val="(%1)"/>
      <w:numFmt w:val="lowerLetter"/>
      <w:start w:val="1"/>
    </w:lvl>
  </w:abstractNum>
  <w:abstractNum w:abstractNumId="235">
    <w:nsid w:val="1AF7F0EA"/>
    <w:multiLevelType w:val="hybridMultilevel"/>
    <w:lvl w:ilvl="0">
      <w:lvlJc w:val="left"/>
      <w:lvlText w:val="%1"/>
      <w:numFmt w:val="lowerLetter"/>
      <w:start w:val="1"/>
    </w:lvl>
    <w:lvl w:ilvl="1">
      <w:lvlJc w:val="left"/>
      <w:lvlText w:val="(%2)"/>
      <w:numFmt w:val="lowerLetter"/>
      <w:start w:val="4"/>
    </w:lvl>
  </w:abstractNum>
  <w:abstractNum w:abstractNumId="236">
    <w:nsid w:val="4DA32C7E"/>
    <w:multiLevelType w:val="hybridMultilevel"/>
    <w:lvl w:ilvl="0">
      <w:lvlJc w:val="left"/>
      <w:lvlText w:val="(%1)"/>
      <w:numFmt w:val="lowerLetter"/>
      <w:start w:val="35"/>
    </w:lvl>
    <w:lvl w:ilvl="1">
      <w:lvlJc w:val="left"/>
      <w:lvlText w:val="%2"/>
      <w:numFmt w:val="lowerLetter"/>
      <w:start w:val="1"/>
    </w:lvl>
  </w:abstractNum>
  <w:abstractNum w:abstractNumId="237">
    <w:nsid w:val="6EC68664"/>
    <w:multiLevelType w:val="hybridMultilevel"/>
    <w:lvl w:ilvl="0">
      <w:lvlJc w:val="left"/>
      <w:lvlText w:val="(%1)"/>
      <w:numFmt w:val="lowerLetter"/>
      <w:start w:val="1"/>
    </w:lvl>
  </w:abstractNum>
  <w:abstractNum w:abstractNumId="238">
    <w:nsid w:val="E0D31FF"/>
    <w:multiLevelType w:val="hybridMultilevel"/>
    <w:lvl w:ilvl="0">
      <w:lvlJc w:val="left"/>
      <w:lvlText w:val="(%1)"/>
      <w:numFmt w:val="lowerLetter"/>
      <w:start w:val="1"/>
    </w:lvl>
  </w:abstractNum>
  <w:abstractNum w:abstractNumId="239">
    <w:nsid w:val="2FD0AD81"/>
    <w:multiLevelType w:val="hybridMultilevel"/>
    <w:lvl w:ilvl="0">
      <w:lvlJc w:val="left"/>
      <w:lvlText w:val="(%1)"/>
      <w:numFmt w:val="lowerLetter"/>
      <w:start w:val="2"/>
    </w:lvl>
  </w:abstractNum>
  <w:abstractNum w:abstractNumId="240">
    <w:nsid w:val="1978EBEB"/>
    <w:multiLevelType w:val="hybridMultilevel"/>
    <w:lvl w:ilvl="0">
      <w:lvlJc w:val="left"/>
      <w:lvlText w:val="(%1)"/>
      <w:numFmt w:val="lowerLetter"/>
      <w:start w:val="1"/>
    </w:lvl>
  </w:abstractNum>
  <w:abstractNum w:abstractNumId="241">
    <w:nsid w:val="52C12C61"/>
    <w:multiLevelType w:val="hybridMultilevel"/>
    <w:lvl w:ilvl="0">
      <w:lvlJc w:val="left"/>
      <w:lvlText w:val="(%1)"/>
      <w:numFmt w:val="lowerLetter"/>
      <w:start w:val="1"/>
    </w:lvl>
  </w:abstractNum>
  <w:abstractNum w:abstractNumId="242">
    <w:nsid w:val="4BDD53FD"/>
    <w:multiLevelType w:val="hybridMultilevel"/>
    <w:lvl w:ilvl="0">
      <w:lvlJc w:val="left"/>
      <w:lvlText w:val="(%1)"/>
      <w:numFmt w:val="lowerLetter"/>
      <w:start w:val="2"/>
    </w:lvl>
  </w:abstractNum>
  <w:abstractNum w:abstractNumId="243">
    <w:nsid w:val="569951FE"/>
    <w:multiLevelType w:val="hybridMultilevel"/>
    <w:lvl w:ilvl="0">
      <w:lvlJc w:val="left"/>
      <w:lvlText w:val="%1."/>
      <w:numFmt w:val="decimal"/>
      <w:start w:val="1"/>
    </w:lvl>
    <w:lvl w:ilvl="1">
      <w:lvlJc w:val="left"/>
      <w:lvlText w:val="(%2)"/>
      <w:numFmt w:val="lowerLetter"/>
      <w:start w:val="1"/>
    </w:lvl>
  </w:abstractNum>
  <w:abstractNum w:abstractNumId="244">
    <w:nsid w:val="4C54E2C3"/>
    <w:multiLevelType w:val="hybridMultilevel"/>
    <w:lvl w:ilvl="0">
      <w:lvlJc w:val="left"/>
      <w:lvlText w:val="(%1)"/>
      <w:numFmt w:val="lowerLetter"/>
      <w:start w:val="5"/>
    </w:lvl>
  </w:abstractNum>
  <w:abstractNum w:abstractNumId="245">
    <w:nsid w:val="788BD9B"/>
    <w:multiLevelType w:val="hybridMultilevel"/>
    <w:lvl w:ilvl="0">
      <w:lvlJc w:val="left"/>
      <w:lvlText w:val="%1"/>
      <w:numFmt w:val="decimal"/>
      <w:start w:val="1"/>
    </w:lvl>
    <w:lvl w:ilvl="1">
      <w:lvlJc w:val="left"/>
      <w:lvlText w:val="(%2)"/>
      <w:numFmt w:val="lowerLetter"/>
      <w:start w:val="7"/>
    </w:lvl>
  </w:abstractNum>
  <w:abstractNum w:abstractNumId="246">
    <w:nsid w:val="47CAA567"/>
    <w:multiLevelType w:val="hybridMultilevel"/>
    <w:lvl w:ilvl="0">
      <w:lvlJc w:val="left"/>
      <w:lvlText w:val="%1."/>
      <w:numFmt w:val="decimal"/>
      <w:start w:val="2"/>
    </w:lvl>
    <w:lvl w:ilvl="1">
      <w:lvlJc w:val="left"/>
      <w:lvlText w:val="(%2)"/>
      <w:numFmt w:val="lowerLetter"/>
      <w:start w:val="1"/>
    </w:lvl>
  </w:abstractNum>
  <w:abstractNum w:abstractNumId="247">
    <w:nsid w:val="48249DBF"/>
    <w:multiLevelType w:val="hybridMultilevel"/>
    <w:lvl w:ilvl="0">
      <w:lvlJc w:val="left"/>
      <w:lvlText w:val="(%1)"/>
      <w:numFmt w:val="lowerLetter"/>
      <w:start w:val="4"/>
    </w:lvl>
  </w:abstractNum>
  <w:abstractNum w:abstractNumId="248">
    <w:nsid w:val="1F0E5D0D"/>
    <w:multiLevelType w:val="hybridMultilevel"/>
    <w:lvl w:ilvl="0">
      <w:lvlJc w:val="left"/>
      <w:lvlText w:val="%1."/>
      <w:numFmt w:val="decimal"/>
      <w:start w:val="3"/>
    </w:lvl>
  </w:abstractNum>
  <w:abstractNum w:abstractNumId="249">
    <w:nsid w:val="26BAAE9"/>
    <w:multiLevelType w:val="hybridMultilevel"/>
    <w:lvl w:ilvl="0">
      <w:lvlJc w:val="left"/>
      <w:lvlText w:val="%1."/>
      <w:numFmt w:val="decimal"/>
      <w:start w:val="7"/>
    </w:lvl>
  </w:abstractNum>
  <w:abstractNum w:abstractNumId="250">
    <w:nsid w:val="2C02FE8C"/>
    <w:multiLevelType w:val="hybridMultilevel"/>
    <w:lvl w:ilvl="0">
      <w:lvlJc w:val="left"/>
      <w:lvlText w:val="%1."/>
      <w:numFmt w:val="decimal"/>
      <w:start w:val="12"/>
    </w:lvl>
  </w:abstractNum>
  <w:abstractNum w:abstractNumId="251">
    <w:nsid w:val="129517E"/>
    <w:multiLevelType w:val="hybridMultilevel"/>
    <w:lvl w:ilvl="0">
      <w:lvlJc w:val="left"/>
      <w:lvlText w:val="%1."/>
      <w:numFmt w:val="decimal"/>
      <w:start w:val="15"/>
    </w:lvl>
  </w:abstractNum>
  <w:abstractNum w:abstractNumId="252">
    <w:nsid w:val="763B8C4E"/>
    <w:multiLevelType w:val="hybridMultilevel"/>
    <w:lvl w:ilvl="0">
      <w:lvlJc w:val="left"/>
      <w:lvlText w:val="%1."/>
      <w:numFmt w:val="decimal"/>
      <w:start w:val="18"/>
    </w:lvl>
  </w:abstractNum>
  <w:abstractNum w:abstractNumId="253">
    <w:nsid w:val="4CFB8D32"/>
    <w:multiLevelType w:val="hybridMultilevel"/>
    <w:lvl w:ilvl="0">
      <w:lvlJc w:val="left"/>
      <w:lvlText w:val="(%1)"/>
      <w:numFmt w:val="lowerLetter"/>
      <w:start w:val="1"/>
    </w:lvl>
  </w:abstractNum>
  <w:abstractNum w:abstractNumId="254">
    <w:nsid w:val="62A5D5BD"/>
    <w:multiLevelType w:val="hybridMultilevel"/>
    <w:lvl w:ilvl="0">
      <w:lvlJc w:val="left"/>
      <w:lvlText w:val="(%1)"/>
      <w:numFmt w:val="lowerLetter"/>
      <w:start w:val="2"/>
    </w:lvl>
  </w:abstractNum>
  <w:abstractNum w:abstractNumId="255">
    <w:nsid w:val="718FABF9"/>
    <w:multiLevelType w:val="hybridMultilevel"/>
    <w:lvl w:ilvl="0">
      <w:lvlJc w:val="left"/>
      <w:lvlText w:val="%1."/>
      <w:numFmt w:val="decimal"/>
      <w:start w:val="22"/>
    </w:lvl>
  </w:abstractNum>
  <w:abstractNum w:abstractNumId="256">
    <w:nsid w:val="7775797C"/>
    <w:multiLevelType w:val="hybridMultilevel"/>
    <w:lvl w:ilvl="0">
      <w:lvlJc w:val="left"/>
      <w:lvlText w:val="%1."/>
      <w:numFmt w:val="decimal"/>
      <w:start w:val="1"/>
    </w:lvl>
    <w:lvl w:ilvl="1">
      <w:lvlJc w:val="left"/>
      <w:lvlText w:val="(%2)"/>
      <w:numFmt w:val="lowerLetter"/>
      <w:start w:val="1"/>
    </w:lvl>
  </w:abstractNum>
  <w:abstractNum w:abstractNumId="257">
    <w:nsid w:val="1626FB8C"/>
    <w:multiLevelType w:val="hybridMultilevel"/>
    <w:lvl w:ilvl="0">
      <w:lvlJc w:val="left"/>
      <w:lvlText w:val="(%1)"/>
      <w:numFmt w:val="lowerLetter"/>
      <w:start w:val="5"/>
    </w:lvl>
  </w:abstractNum>
  <w:abstractNum w:abstractNumId="258">
    <w:nsid w:val="3957756A"/>
    <w:multiLevelType w:val="hybridMultilevel"/>
    <w:lvl w:ilvl="0">
      <w:lvlJc w:val="left"/>
      <w:lvlText w:val="%1"/>
      <w:numFmt w:val="decimal"/>
      <w:start w:val="1"/>
    </w:lvl>
    <w:lvl w:ilvl="1">
      <w:lvlJc w:val="left"/>
      <w:lvlText w:val="(%2)"/>
      <w:numFmt w:val="lowerLetter"/>
      <w:start w:val="7"/>
    </w:lvl>
  </w:abstractNum>
  <w:abstractNum w:abstractNumId="259">
    <w:nsid w:val="3E6DA1C7"/>
    <w:multiLevelType w:val="hybridMultilevel"/>
    <w:lvl w:ilvl="0">
      <w:lvlJc w:val="left"/>
      <w:lvlText w:val="%1."/>
      <w:numFmt w:val="decimal"/>
      <w:start w:val="2"/>
    </w:lvl>
    <w:lvl w:ilvl="1">
      <w:lvlJc w:val="left"/>
      <w:lvlText w:val="(%2)"/>
      <w:numFmt w:val="lowerLetter"/>
      <w:start w:val="1"/>
    </w:lvl>
  </w:abstractNum>
  <w:abstractNum w:abstractNumId="260">
    <w:nsid w:val="65CA235B"/>
    <w:multiLevelType w:val="hybridMultilevel"/>
    <w:lvl w:ilvl="0">
      <w:lvlJc w:val="left"/>
      <w:lvlText w:val="(%1)"/>
      <w:numFmt w:val="lowerLetter"/>
      <w:start w:val="4"/>
    </w:lvl>
  </w:abstractNum>
  <w:abstractNum w:abstractNumId="261">
    <w:nsid w:val="51CB0DA4"/>
    <w:multiLevelType w:val="hybridMultilevel"/>
    <w:lvl w:ilvl="0">
      <w:lvlJc w:val="left"/>
      <w:lvlText w:val="%1."/>
      <w:numFmt w:val="decimal"/>
      <w:start w:val="3"/>
    </w:lvl>
  </w:abstractNum>
  <w:abstractNum w:abstractNumId="262">
    <w:nsid w:val="7B9B743C"/>
    <w:multiLevelType w:val="hybridMultilevel"/>
    <w:lvl w:ilvl="0">
      <w:lvlJc w:val="left"/>
      <w:lvlText w:val="%1."/>
      <w:numFmt w:val="decimal"/>
      <w:start w:val="7"/>
    </w:lvl>
  </w:abstractNum>
  <w:abstractNum w:abstractNumId="263">
    <w:nsid w:val="13E21002"/>
    <w:multiLevelType w:val="hybridMultilevel"/>
    <w:lvl w:ilvl="0">
      <w:lvlJc w:val="left"/>
      <w:lvlText w:val="%1."/>
      <w:numFmt w:val="decimal"/>
      <w:start w:val="12"/>
    </w:lvl>
  </w:abstractNum>
  <w:abstractNum w:abstractNumId="264">
    <w:nsid w:val="257D63F4"/>
    <w:multiLevelType w:val="hybridMultilevel"/>
    <w:lvl w:ilvl="0">
      <w:lvlJc w:val="left"/>
      <w:lvlText w:val="%1."/>
      <w:numFmt w:val="decimal"/>
      <w:start w:val="15"/>
    </w:lvl>
  </w:abstractNum>
  <w:abstractNum w:abstractNumId="265">
    <w:nsid w:val="70EC11B2"/>
    <w:multiLevelType w:val="hybridMultilevel"/>
    <w:lvl w:ilvl="0">
      <w:lvlJc w:val="left"/>
      <w:lvlText w:val="%1."/>
      <w:numFmt w:val="decimal"/>
      <w:start w:val="18"/>
    </w:lvl>
  </w:abstractNum>
  <w:abstractNum w:abstractNumId="266">
    <w:nsid w:val="2EDA00ED"/>
    <w:multiLevelType w:val="hybridMultilevel"/>
    <w:lvl w:ilvl="0">
      <w:lvlJc w:val="left"/>
      <w:lvlText w:val="(%1)"/>
      <w:numFmt w:val="lowerLetter"/>
      <w:start w:val="1"/>
    </w:lvl>
  </w:abstractNum>
  <w:abstractNum w:abstractNumId="267">
    <w:nsid w:val="73209072"/>
    <w:multiLevelType w:val="hybridMultilevel"/>
    <w:lvl w:ilvl="0">
      <w:lvlJc w:val="left"/>
      <w:lvlText w:val="(%1)"/>
      <w:numFmt w:val="lowerLetter"/>
      <w:start w:val="2"/>
    </w:lvl>
  </w:abstractNum>
  <w:abstractNum w:abstractNumId="268">
    <w:nsid w:val="5FB29816"/>
    <w:multiLevelType w:val="hybridMultilevel"/>
    <w:lvl w:ilvl="0">
      <w:lvlJc w:val="left"/>
      <w:lvlText w:val="%1."/>
      <w:numFmt w:val="decimal"/>
      <w:start w:val="22"/>
    </w:lvl>
  </w:abstractNum>
  <w:abstractNum w:abstractNumId="269">
    <w:nsid w:val="3CE732EC"/>
    <w:multiLevelType w:val="hybridMultilevel"/>
    <w:lvl w:ilvl="0">
      <w:lvlJc w:val="left"/>
      <w:lvlText w:val="%1."/>
      <w:numFmt w:val="decimal"/>
      <w:start w:val="1"/>
    </w:lvl>
    <w:lvl w:ilvl="1">
      <w:lvlJc w:val="left"/>
      <w:lvlText w:val="(%2)"/>
      <w:numFmt w:val="lowerLetter"/>
      <w:start w:val="1"/>
    </w:lvl>
  </w:abstractNum>
  <w:abstractNum w:abstractNumId="270">
    <w:nsid w:val="22F13DF3"/>
    <w:multiLevelType w:val="hybridMultilevel"/>
    <w:lvl w:ilvl="0">
      <w:lvlJc w:val="left"/>
      <w:lvlText w:val="(%1)"/>
      <w:numFmt w:val="lowerLetter"/>
      <w:start w:val="5"/>
    </w:lvl>
  </w:abstractNum>
  <w:abstractNum w:abstractNumId="271">
    <w:nsid w:val="792B8401"/>
    <w:multiLevelType w:val="hybridMultilevel"/>
    <w:lvl w:ilvl="0">
      <w:lvlJc w:val="left"/>
      <w:lvlText w:val="%1"/>
      <w:numFmt w:val="decimal"/>
      <w:start w:val="1"/>
    </w:lvl>
    <w:lvl w:ilvl="1">
      <w:lvlJc w:val="left"/>
      <w:lvlText w:val="(%2)"/>
      <w:numFmt w:val="lowerLetter"/>
      <w:start w:val="7"/>
    </w:lvl>
  </w:abstractNum>
  <w:abstractNum w:abstractNumId="272">
    <w:nsid w:val="FA85F4D"/>
    <w:multiLevelType w:val="hybridMultilevel"/>
    <w:lvl w:ilvl="0">
      <w:lvlJc w:val="left"/>
      <w:lvlText w:val="%1."/>
      <w:numFmt w:val="decimal"/>
      <w:start w:val="2"/>
    </w:lvl>
    <w:lvl w:ilvl="1">
      <w:lvlJc w:val="left"/>
      <w:lvlText w:val="(%2)"/>
      <w:numFmt w:val="lowerLetter"/>
      <w:start w:val="1"/>
    </w:lvl>
  </w:abstractNum>
  <w:abstractNum w:abstractNumId="273">
    <w:nsid w:val="6ECE91F0"/>
    <w:multiLevelType w:val="hybridMultilevel"/>
    <w:lvl w:ilvl="0">
      <w:lvlJc w:val="left"/>
      <w:lvlText w:val="%1"/>
      <w:numFmt w:val="decimal"/>
      <w:start w:val="1"/>
    </w:lvl>
    <w:lvl w:ilvl="1">
      <w:lvlJc w:val="left"/>
      <w:lvlText w:val="(%2)"/>
      <w:numFmt w:val="lowerLetter"/>
      <w:start w:val="4"/>
    </w:lvl>
  </w:abstractNum>
  <w:abstractNum w:abstractNumId="274">
    <w:nsid w:val="4FC4D600"/>
    <w:multiLevelType w:val="hybridMultilevel"/>
    <w:lvl w:ilvl="0">
      <w:lvlJc w:val="left"/>
      <w:lvlText w:val="%1."/>
      <w:numFmt w:val="decimal"/>
      <w:start w:val="3"/>
    </w:lvl>
    <w:lvl w:ilvl="1">
      <w:lvlJc w:val="left"/>
      <w:lvlText w:val="%2"/>
      <w:numFmt w:val="lowerLetter"/>
      <w:start w:val="1"/>
    </w:lvl>
  </w:abstractNum>
  <w:abstractNum w:abstractNumId="275">
    <w:nsid w:val="5BFD4210"/>
    <w:multiLevelType w:val="hybridMultilevel"/>
    <w:lvl w:ilvl="0">
      <w:lvlJc w:val="left"/>
      <w:lvlText w:val="%1."/>
      <w:numFmt w:val="decimal"/>
      <w:start w:val="4"/>
    </w:lvl>
  </w:abstractNum>
  <w:abstractNum w:abstractNumId="276">
    <w:nsid w:val="76574F8B"/>
    <w:multiLevelType w:val="hybridMultilevel"/>
    <w:lvl w:ilvl="0">
      <w:lvlJc w:val="left"/>
      <w:lvlText w:val="%1."/>
      <w:numFmt w:val="decimal"/>
      <w:start w:val="8"/>
    </w:lvl>
  </w:abstractNum>
  <w:abstractNum w:abstractNumId="277">
    <w:nsid w:val="178F7B67"/>
    <w:multiLevelType w:val="hybridMultilevel"/>
    <w:lvl w:ilvl="0">
      <w:lvlJc w:val="left"/>
      <w:lvlText w:val="%1."/>
      <w:numFmt w:val="decimal"/>
      <w:start w:val="12"/>
    </w:lvl>
  </w:abstractNum>
  <w:abstractNum w:abstractNumId="278">
    <w:nsid w:val="2421DFCF"/>
    <w:multiLevelType w:val="hybridMultilevel"/>
    <w:lvl w:ilvl="0">
      <w:lvlJc w:val="left"/>
      <w:lvlText w:val="%1."/>
      <w:numFmt w:val="decimal"/>
      <w:start w:val="15"/>
    </w:lvl>
  </w:abstractNum>
  <w:abstractNum w:abstractNumId="279">
    <w:nsid w:val="1565AC99"/>
    <w:multiLevelType w:val="hybridMultilevel"/>
    <w:lvl w:ilvl="0">
      <w:lvlJc w:val="left"/>
      <w:lvlText w:val="%1."/>
      <w:numFmt w:val="decimal"/>
      <w:start w:val="19"/>
    </w:lvl>
  </w:abstractNum>
  <w:abstractNum w:abstractNumId="280">
    <w:nsid w:val="19FB2650"/>
    <w:multiLevelType w:val="hybridMultilevel"/>
    <w:lvl w:ilvl="0">
      <w:lvlJc w:val="left"/>
      <w:lvlText w:val="(%1)"/>
      <w:numFmt w:val="lowerLetter"/>
      <w:start w:val="1"/>
    </w:lvl>
  </w:abstractNum>
  <w:abstractNum w:abstractNumId="281">
    <w:nsid w:val="5024DE5B"/>
    <w:multiLevelType w:val="hybridMultilevel"/>
    <w:lvl w:ilvl="0">
      <w:lvlJc w:val="left"/>
      <w:lvlText w:val="(%1)"/>
      <w:numFmt w:val="lowerLetter"/>
      <w:start w:val="2"/>
    </w:lvl>
  </w:abstractNum>
  <w:abstractNum w:abstractNumId="282">
    <w:nsid w:val="168EFE17"/>
    <w:multiLevelType w:val="hybridMultilevel"/>
    <w:lvl w:ilvl="0">
      <w:lvlJc w:val="left"/>
      <w:lvlText w:val="%1."/>
      <w:numFmt w:val="decimal"/>
      <w:start w:val="22"/>
    </w:lvl>
  </w:abstractNum>
  <w:abstractNum w:abstractNumId="283">
    <w:nsid w:val="1036B29F"/>
    <w:multiLevelType w:val="hybridMultilevel"/>
    <w:lvl w:ilvl="0">
      <w:lvlJc w:val="left"/>
      <w:lvlText w:val="%1."/>
      <w:numFmt w:val="decimal"/>
      <w:start w:val="1"/>
    </w:lvl>
    <w:lvl w:ilvl="1">
      <w:lvlJc w:val="left"/>
      <w:lvlText w:val="(%2)"/>
      <w:numFmt w:val="lowerLetter"/>
      <w:start w:val="1"/>
    </w:lvl>
  </w:abstractNum>
  <w:abstractNum w:abstractNumId="284">
    <w:nsid w:val="1D206B8E"/>
    <w:multiLevelType w:val="hybridMultilevel"/>
    <w:lvl w:ilvl="0">
      <w:lvlJc w:val="left"/>
      <w:lvlText w:val="(%1)"/>
      <w:numFmt w:val="lowerLetter"/>
      <w:start w:val="5"/>
    </w:lvl>
  </w:abstractNum>
  <w:abstractNum w:abstractNumId="285">
    <w:nsid w:val="7934D3D4"/>
    <w:multiLevelType w:val="hybridMultilevel"/>
    <w:lvl w:ilvl="0">
      <w:lvlJc w:val="left"/>
      <w:lvlText w:val="%1"/>
      <w:numFmt w:val="decimal"/>
      <w:start w:val="1"/>
    </w:lvl>
    <w:lvl w:ilvl="1">
      <w:lvlJc w:val="left"/>
      <w:lvlText w:val="(%2)"/>
      <w:numFmt w:val="lowerLetter"/>
      <w:start w:val="7"/>
    </w:lvl>
  </w:abstractNum>
  <w:abstractNum w:abstractNumId="286">
    <w:nsid w:val="1C65E98"/>
    <w:multiLevelType w:val="hybridMultilevel"/>
    <w:lvl w:ilvl="0">
      <w:lvlJc w:val="left"/>
      <w:lvlText w:val="%1."/>
      <w:numFmt w:val="decimal"/>
      <w:start w:val="2"/>
    </w:lvl>
    <w:lvl w:ilvl="1">
      <w:lvlJc w:val="left"/>
      <w:lvlText w:val="(%2)"/>
      <w:numFmt w:val="lowerLetter"/>
      <w:start w:val="1"/>
    </w:lvl>
  </w:abstractNum>
  <w:abstractNum w:abstractNumId="287">
    <w:nsid w:val="1495E50A"/>
    <w:multiLevelType w:val="hybridMultilevel"/>
    <w:lvl w:ilvl="0">
      <w:lvlJc w:val="left"/>
      <w:lvlText w:val="(%1)"/>
      <w:numFmt w:val="lowerLetter"/>
      <w:start w:val="4"/>
    </w:lvl>
  </w:abstractNum>
  <w:abstractNum w:abstractNumId="288">
    <w:nsid w:val="F5BCF61"/>
    <w:multiLevelType w:val="hybridMultilevel"/>
    <w:lvl w:ilvl="0">
      <w:lvlJc w:val="left"/>
      <w:lvlText w:val="%1."/>
      <w:numFmt w:val="decimal"/>
      <w:start w:val="3"/>
    </w:lvl>
  </w:abstractNum>
  <w:abstractNum w:abstractNumId="289">
    <w:nsid w:val="3B1DD403"/>
    <w:multiLevelType w:val="hybridMultilevel"/>
    <w:lvl w:ilvl="0">
      <w:lvlJc w:val="left"/>
      <w:lvlText w:val="%1."/>
      <w:numFmt w:val="decimal"/>
      <w:start w:val="7"/>
    </w:lvl>
  </w:abstractNum>
  <w:abstractNum w:abstractNumId="290">
    <w:nsid w:val="530386D1"/>
    <w:multiLevelType w:val="hybridMultilevel"/>
    <w:lvl w:ilvl="0">
      <w:lvlJc w:val="left"/>
      <w:lvlText w:val="%1."/>
      <w:numFmt w:val="decimal"/>
      <w:start w:val="12"/>
    </w:lvl>
  </w:abstractNum>
  <w:abstractNum w:abstractNumId="291">
    <w:nsid w:val="7525F2BC"/>
    <w:multiLevelType w:val="hybridMultilevel"/>
    <w:lvl w:ilvl="0">
      <w:lvlJc w:val="left"/>
      <w:lvlText w:val="%1."/>
      <w:numFmt w:val="decimal"/>
      <w:start w:val="15"/>
    </w:lvl>
  </w:abstractNum>
  <w:abstractNum w:abstractNumId="292">
    <w:nsid w:val="CE8E1A7"/>
    <w:multiLevelType w:val="hybridMultilevel"/>
    <w:lvl w:ilvl="0">
      <w:lvlJc w:val="left"/>
      <w:lvlText w:val="%1."/>
      <w:numFmt w:val="decimal"/>
      <w:start w:val="18"/>
    </w:lvl>
  </w:abstractNum>
  <w:abstractNum w:abstractNumId="293">
    <w:nsid w:val="4E9EFB0D"/>
    <w:multiLevelType w:val="hybridMultilevel"/>
    <w:lvl w:ilvl="0">
      <w:lvlJc w:val="left"/>
      <w:lvlText w:val="(%1)"/>
      <w:numFmt w:val="lowerLetter"/>
      <w:start w:val="1"/>
    </w:lvl>
  </w:abstractNum>
  <w:abstractNum w:abstractNumId="294">
    <w:nsid w:val="90802BE"/>
    <w:multiLevelType w:val="hybridMultilevel"/>
    <w:lvl w:ilvl="0">
      <w:lvlJc w:val="left"/>
      <w:lvlText w:val="(%1)"/>
      <w:numFmt w:val="lowerLetter"/>
      <w:start w:val="2"/>
    </w:lvl>
  </w:abstractNum>
  <w:abstractNum w:abstractNumId="295">
    <w:nsid w:val="3266459B"/>
    <w:multiLevelType w:val="hybridMultilevel"/>
    <w:lvl w:ilvl="0">
      <w:lvlJc w:val="left"/>
      <w:lvlText w:val="%1."/>
      <w:numFmt w:val="decimal"/>
      <w:start w:val="22"/>
    </w:lvl>
  </w:abstractNum>
  <w:abstractNum w:abstractNumId="296">
    <w:nsid w:val="3F8B0CBF"/>
    <w:multiLevelType w:val="hybridMultilevel"/>
    <w:lvl w:ilvl="0">
      <w:lvlJc w:val="left"/>
      <w:lvlText w:val="%1."/>
      <w:numFmt w:val="decimal"/>
      <w:start w:val="1"/>
    </w:lvl>
    <w:lvl w:ilvl="1">
      <w:lvlJc w:val="left"/>
      <w:lvlText w:val="(%2)"/>
      <w:numFmt w:val="lowerLetter"/>
      <w:start w:val="1"/>
    </w:lvl>
  </w:abstractNum>
  <w:abstractNum w:abstractNumId="297">
    <w:nsid w:val="37E203AB"/>
    <w:multiLevelType w:val="hybridMultilevel"/>
    <w:lvl w:ilvl="0">
      <w:lvlJc w:val="left"/>
      <w:lvlText w:val="(%1)"/>
      <w:numFmt w:val="lowerLetter"/>
      <w:start w:val="5"/>
    </w:lvl>
  </w:abstractNum>
  <w:abstractNum w:abstractNumId="298">
    <w:nsid w:val="2586D60E"/>
    <w:multiLevelType w:val="hybridMultilevel"/>
    <w:lvl w:ilvl="0">
      <w:lvlJc w:val="left"/>
      <w:lvlText w:val="%1"/>
      <w:numFmt w:val="decimal"/>
      <w:start w:val="1"/>
    </w:lvl>
    <w:lvl w:ilvl="1">
      <w:lvlJc w:val="left"/>
      <w:lvlText w:val="(%2)"/>
      <w:numFmt w:val="lowerLetter"/>
      <w:start w:val="8"/>
    </w:lvl>
  </w:abstractNum>
  <w:abstractNum w:abstractNumId="299">
    <w:nsid w:val="1F3DA4D5"/>
    <w:multiLevelType w:val="hybridMultilevel"/>
    <w:lvl w:ilvl="0">
      <w:lvlJc w:val="left"/>
      <w:lvlText w:val="%1."/>
      <w:numFmt w:val="decimal"/>
      <w:start w:val="2"/>
    </w:lvl>
    <w:lvl w:ilvl="1">
      <w:lvlJc w:val="left"/>
      <w:lvlText w:val="(%2)"/>
      <w:numFmt w:val="lowerLetter"/>
      <w:start w:val="1"/>
    </w:lvl>
  </w:abstractNum>
  <w:abstractNum w:abstractNumId="300">
    <w:nsid w:val="74C93698"/>
    <w:multiLevelType w:val="hybridMultilevel"/>
    <w:lvl w:ilvl="0">
      <w:lvlJc w:val="left"/>
      <w:lvlText w:val="(%1)"/>
      <w:numFmt w:val="lowerLetter"/>
      <w:start w:val="4"/>
    </w:lvl>
  </w:abstractNum>
  <w:abstractNum w:abstractNumId="301">
    <w:nsid w:val="48781401"/>
    <w:multiLevelType w:val="hybridMultilevel"/>
    <w:lvl w:ilvl="0">
      <w:lvlJc w:val="left"/>
      <w:lvlText w:val="%1."/>
      <w:numFmt w:val="decimal"/>
      <w:start w:val="3"/>
    </w:lvl>
  </w:abstractNum>
  <w:abstractNum w:abstractNumId="302">
    <w:nsid w:val="186928D6"/>
    <w:multiLevelType w:val="hybridMultilevel"/>
    <w:lvl w:ilvl="0">
      <w:lvlJc w:val="left"/>
      <w:lvlText w:val="%1."/>
      <w:numFmt w:val="decimal"/>
      <w:start w:val="7"/>
    </w:lvl>
  </w:abstractNum>
  <w:abstractNum w:abstractNumId="303">
    <w:nsid w:val="47195E5"/>
    <w:multiLevelType w:val="hybridMultilevel"/>
    <w:lvl w:ilvl="0">
      <w:lvlJc w:val="left"/>
      <w:lvlText w:val="%1."/>
      <w:numFmt w:val="decimal"/>
      <w:start w:val="12"/>
    </w:lvl>
  </w:abstractNum>
  <w:abstractNum w:abstractNumId="304">
    <w:nsid w:val="3746A5F2"/>
    <w:multiLevelType w:val="hybridMultilevel"/>
    <w:lvl w:ilvl="0">
      <w:lvlJc w:val="left"/>
      <w:lvlText w:val="%1."/>
      <w:numFmt w:val="decimal"/>
      <w:start w:val="15"/>
    </w:lvl>
  </w:abstractNum>
  <w:abstractNum w:abstractNumId="305">
    <w:nsid w:val="682DFED6"/>
    <w:multiLevelType w:val="hybridMultilevel"/>
    <w:lvl w:ilvl="0">
      <w:lvlJc w:val="left"/>
      <w:lvlText w:val="%1."/>
      <w:numFmt w:val="decimal"/>
      <w:start w:val="18"/>
    </w:lvl>
  </w:abstractNum>
  <w:abstractNum w:abstractNumId="306">
    <w:nsid w:val="606ED7F6"/>
    <w:multiLevelType w:val="hybridMultilevel"/>
    <w:lvl w:ilvl="0">
      <w:lvlJc w:val="left"/>
      <w:lvlText w:val="(%1)"/>
      <w:numFmt w:val="lowerLetter"/>
      <w:start w:val="1"/>
    </w:lvl>
  </w:abstractNum>
  <w:abstractNum w:abstractNumId="307">
    <w:nsid w:val="2D9DF57D"/>
    <w:multiLevelType w:val="hybridMultilevel"/>
    <w:lvl w:ilvl="0">
      <w:lvlJc w:val="left"/>
      <w:lvlText w:val="(%1)"/>
      <w:numFmt w:val="lowerLetter"/>
      <w:start w:val="2"/>
    </w:lvl>
  </w:abstractNum>
  <w:abstractNum w:abstractNumId="308">
    <w:nsid w:val="7FBD7A3E"/>
    <w:multiLevelType w:val="hybridMultilevel"/>
    <w:lvl w:ilvl="0">
      <w:lvlJc w:val="left"/>
      <w:lvlText w:val="%1."/>
      <w:numFmt w:val="decimal"/>
      <w:start w:val="22"/>
    </w:lvl>
  </w:abstractNum>
  <w:abstractNum w:abstractNumId="309">
    <w:nsid w:val="490B7C5"/>
    <w:multiLevelType w:val="hybridMultilevel"/>
    <w:lvl w:ilvl="0">
      <w:lvlJc w:val="left"/>
      <w:lvlText w:val="%1."/>
      <w:numFmt w:val="decimal"/>
      <w:start w:val="1"/>
    </w:lvl>
    <w:lvl w:ilvl="1">
      <w:lvlJc w:val="left"/>
      <w:lvlText w:val="(%2)"/>
      <w:numFmt w:val="lowerLetter"/>
      <w:start w:val="1"/>
    </w:lvl>
  </w:abstractNum>
  <w:abstractNum w:abstractNumId="310">
    <w:nsid w:val="4303A216"/>
    <w:multiLevelType w:val="hybridMultilevel"/>
    <w:lvl w:ilvl="0">
      <w:lvlJc w:val="left"/>
      <w:lvlText w:val="(%1)"/>
      <w:numFmt w:val="lowerLetter"/>
      <w:start w:val="5"/>
    </w:lvl>
  </w:abstractNum>
  <w:abstractNum w:abstractNumId="311">
    <w:nsid w:val="19B8A08E"/>
    <w:multiLevelType w:val="hybridMultilevel"/>
    <w:lvl w:ilvl="0">
      <w:lvlJc w:val="left"/>
      <w:lvlText w:val="%1"/>
      <w:numFmt w:val="decimal"/>
      <w:start w:val="1"/>
    </w:lvl>
    <w:lvl w:ilvl="1">
      <w:lvlJc w:val="left"/>
      <w:lvlText w:val="(%2)"/>
      <w:numFmt w:val="lowerLetter"/>
      <w:start w:val="7"/>
    </w:lvl>
  </w:abstractNum>
  <w:abstractNum w:abstractNumId="312">
    <w:nsid w:val="54B59621"/>
    <w:multiLevelType w:val="hybridMultilevel"/>
    <w:lvl w:ilvl="0">
      <w:lvlJc w:val="left"/>
      <w:lvlText w:val="%1."/>
      <w:numFmt w:val="decimal"/>
      <w:start w:val="2"/>
    </w:lvl>
    <w:lvl w:ilvl="1">
      <w:lvlJc w:val="left"/>
      <w:lvlText w:val="(%2)"/>
      <w:numFmt w:val="lowerLetter"/>
      <w:start w:val="1"/>
    </w:lvl>
  </w:abstractNum>
  <w:abstractNum w:abstractNumId="313">
    <w:nsid w:val="5992A02E"/>
    <w:multiLevelType w:val="hybridMultilevel"/>
    <w:lvl w:ilvl="0">
      <w:lvlJc w:val="left"/>
      <w:lvlText w:val="(%1)"/>
      <w:numFmt w:val="lowerLetter"/>
      <w:start w:val="4"/>
    </w:lvl>
  </w:abstractNum>
  <w:abstractNum w:abstractNumId="314">
    <w:nsid w:val="29EF532D"/>
    <w:multiLevelType w:val="hybridMultilevel"/>
    <w:lvl w:ilvl="0">
      <w:lvlJc w:val="left"/>
      <w:lvlText w:val="%1."/>
      <w:numFmt w:val="decimal"/>
      <w:start w:val="3"/>
    </w:lvl>
  </w:abstractNum>
  <w:abstractNum w:abstractNumId="315">
    <w:nsid w:val="71D601AF"/>
    <w:multiLevelType w:val="hybridMultilevel"/>
    <w:lvl w:ilvl="0">
      <w:lvlJc w:val="left"/>
      <w:lvlText w:val="%1."/>
      <w:numFmt w:val="decimal"/>
      <w:start w:val="7"/>
    </w:lvl>
  </w:abstractNum>
  <w:abstractNum w:abstractNumId="316">
    <w:nsid w:val="52C77402"/>
    <w:multiLevelType w:val="hybridMultilevel"/>
    <w:lvl w:ilvl="0">
      <w:lvlJc w:val="left"/>
      <w:lvlText w:val="%1."/>
      <w:numFmt w:val="decimal"/>
      <w:start w:val="11"/>
    </w:lvl>
  </w:abstractNum>
  <w:abstractNum w:abstractNumId="317">
    <w:nsid w:val="2BB5B1C6"/>
    <w:multiLevelType w:val="hybridMultilevel"/>
    <w:lvl w:ilvl="0">
      <w:lvlJc w:val="left"/>
      <w:lvlText w:val="%1."/>
      <w:numFmt w:val="decimal"/>
      <w:start w:val="15"/>
    </w:lvl>
  </w:abstractNum>
  <w:abstractNum w:abstractNumId="318">
    <w:nsid w:val="66BE6B9"/>
    <w:multiLevelType w:val="hybridMultilevel"/>
    <w:lvl w:ilvl="0">
      <w:lvlJc w:val="left"/>
      <w:lvlText w:val="%1."/>
      <w:numFmt w:val="decimal"/>
      <w:start w:val="18"/>
    </w:lvl>
  </w:abstractNum>
  <w:abstractNum w:abstractNumId="319">
    <w:nsid w:val="62234363"/>
    <w:multiLevelType w:val="hybridMultilevel"/>
    <w:lvl w:ilvl="0">
      <w:lvlJc w:val="left"/>
      <w:lvlText w:val="(%1)"/>
      <w:numFmt w:val="lowerLetter"/>
      <w:start w:val="1"/>
    </w:lvl>
  </w:abstractNum>
  <w:abstractNum w:abstractNumId="320">
    <w:nsid w:val="66D385C9"/>
    <w:multiLevelType w:val="hybridMultilevel"/>
    <w:lvl w:ilvl="0">
      <w:lvlJc w:val="left"/>
      <w:lvlText w:val="(%1)"/>
      <w:numFmt w:val="lowerLetter"/>
      <w:start w:val="2"/>
    </w:lvl>
  </w:abstractNum>
  <w:abstractNum w:abstractNumId="321">
    <w:nsid w:val="596F6D8A"/>
    <w:multiLevelType w:val="hybridMultilevel"/>
    <w:lvl w:ilvl="0">
      <w:lvlJc w:val="left"/>
      <w:lvlText w:val="%1."/>
      <w:numFmt w:val="decimal"/>
      <w:start w:val="22"/>
    </w:lvl>
  </w:abstractNum>
  <w:abstractNum w:abstractNumId="322">
    <w:nsid w:val="5749361F"/>
    <w:multiLevelType w:val="hybridMultilevel"/>
    <w:lvl w:ilvl="0">
      <w:lvlJc w:val="left"/>
      <w:lvlText w:val="%1."/>
      <w:numFmt w:val="decimal"/>
      <w:start w:val="1"/>
    </w:lvl>
    <w:lvl w:ilvl="1">
      <w:lvlJc w:val="left"/>
      <w:lvlText w:val="(%2)"/>
      <w:numFmt w:val="lowerLetter"/>
      <w:start w:val="1"/>
    </w:lvl>
  </w:abstractNum>
  <w:abstractNum w:abstractNumId="323">
    <w:nsid w:val="73BC6770"/>
    <w:multiLevelType w:val="hybridMultilevel"/>
    <w:lvl w:ilvl="0">
      <w:lvlJc w:val="left"/>
      <w:lvlText w:val="(%1)"/>
      <w:numFmt w:val="lowerLetter"/>
      <w:start w:val="5"/>
    </w:lvl>
  </w:abstractNum>
  <w:abstractNum w:abstractNumId="324">
    <w:nsid w:val="280E6897"/>
    <w:multiLevelType w:val="hybridMultilevel"/>
    <w:lvl w:ilvl="0">
      <w:lvlJc w:val="left"/>
      <w:lvlText w:val="%1"/>
      <w:numFmt w:val="decimal"/>
      <w:start w:val="1"/>
    </w:lvl>
    <w:lvl w:ilvl="1">
      <w:lvlJc w:val="left"/>
      <w:lvlText w:val="(%2)"/>
      <w:numFmt w:val="lowerLetter"/>
      <w:start w:val="7"/>
    </w:lvl>
  </w:abstractNum>
  <w:abstractNum w:abstractNumId="325">
    <w:nsid w:val="605138DE"/>
    <w:multiLevelType w:val="hybridMultilevel"/>
    <w:lvl w:ilvl="0">
      <w:lvlJc w:val="left"/>
      <w:lvlText w:val="%1."/>
      <w:numFmt w:val="decimal"/>
      <w:start w:val="2"/>
    </w:lvl>
    <w:lvl w:ilvl="1">
      <w:lvlJc w:val="left"/>
      <w:lvlText w:val="(%2)"/>
      <w:numFmt w:val="lowerLetter"/>
      <w:start w:val="1"/>
    </w:lvl>
  </w:abstractNum>
  <w:abstractNum w:abstractNumId="326">
    <w:nsid w:val="2622AD0C"/>
    <w:multiLevelType w:val="hybridMultilevel"/>
    <w:lvl w:ilvl="0">
      <w:lvlJc w:val="left"/>
      <w:lvlText w:val="(%1)"/>
      <w:numFmt w:val="lowerLetter"/>
      <w:start w:val="4"/>
    </w:lvl>
  </w:abstractNum>
  <w:abstractNum w:abstractNumId="327">
    <w:nsid w:val="67997556"/>
    <w:multiLevelType w:val="hybridMultilevel"/>
    <w:lvl w:ilvl="0">
      <w:lvlJc w:val="left"/>
      <w:lvlText w:val="%1."/>
      <w:numFmt w:val="decimal"/>
      <w:start w:val="3"/>
    </w:lvl>
  </w:abstractNum>
  <w:abstractNum w:abstractNumId="328">
    <w:nsid w:val="18333C89"/>
    <w:multiLevelType w:val="hybridMultilevel"/>
    <w:lvl w:ilvl="0">
      <w:lvlJc w:val="left"/>
      <w:lvlText w:val="%1."/>
      <w:numFmt w:val="decimal"/>
      <w:start w:val="7"/>
    </w:lvl>
  </w:abstractNum>
  <w:abstractNum w:abstractNumId="329">
    <w:nsid w:val="4BA9831A"/>
    <w:multiLevelType w:val="hybridMultilevel"/>
    <w:lvl w:ilvl="0">
      <w:lvlJc w:val="left"/>
      <w:lvlText w:val="%1."/>
      <w:numFmt w:val="decimal"/>
      <w:start w:val="11"/>
    </w:lvl>
  </w:abstractNum>
  <w:abstractNum w:abstractNumId="330">
    <w:nsid w:val="6D71A2B"/>
    <w:multiLevelType w:val="hybridMultilevel"/>
    <w:lvl w:ilvl="0">
      <w:lvlJc w:val="left"/>
      <w:lvlText w:val="%1."/>
      <w:numFmt w:val="decimal"/>
      <w:start w:val="15"/>
    </w:lvl>
  </w:abstractNum>
  <w:abstractNum w:abstractNumId="331">
    <w:nsid w:val="CFC7321"/>
    <w:multiLevelType w:val="hybridMultilevel"/>
    <w:lvl w:ilvl="0">
      <w:lvlJc w:val="left"/>
      <w:lvlText w:val="%1."/>
      <w:numFmt w:val="decimal"/>
      <w:start w:val="18"/>
    </w:lvl>
  </w:abstractNum>
  <w:abstractNum w:abstractNumId="332">
    <w:nsid w:val="1421971B"/>
    <w:multiLevelType w:val="hybridMultilevel"/>
    <w:lvl w:ilvl="0">
      <w:lvlJc w:val="left"/>
      <w:lvlText w:val="(%1)"/>
      <w:numFmt w:val="lowerLetter"/>
      <w:start w:val="1"/>
    </w:lvl>
  </w:abstractNum>
  <w:abstractNum w:abstractNumId="333">
    <w:nsid w:val="1F404301"/>
    <w:multiLevelType w:val="hybridMultilevel"/>
    <w:lvl w:ilvl="0">
      <w:lvlJc w:val="left"/>
      <w:lvlText w:val="(%1)"/>
      <w:numFmt w:val="lowerLetter"/>
      <w:start w:val="2"/>
    </w:lvl>
  </w:abstractNum>
  <w:abstractNum w:abstractNumId="334">
    <w:nsid w:val="116E0907"/>
    <w:multiLevelType w:val="hybridMultilevel"/>
    <w:lvl w:ilvl="0">
      <w:lvlJc w:val="left"/>
      <w:lvlText w:val="%1."/>
      <w:numFmt w:val="decimal"/>
      <w:start w:val="22"/>
    </w:lvl>
  </w:abstractNum>
  <w:abstractNum w:abstractNumId="335">
    <w:nsid w:val="4B683D0D"/>
    <w:multiLevelType w:val="hybridMultilevel"/>
    <w:lvl w:ilvl="0">
      <w:lvlJc w:val="left"/>
      <w:lvlText w:val="%1."/>
      <w:numFmt w:val="decimal"/>
      <w:start w:val="1"/>
    </w:lvl>
    <w:lvl w:ilvl="1">
      <w:lvlJc w:val="left"/>
      <w:lvlText w:val="(%2)"/>
      <w:numFmt w:val="lowerLetter"/>
      <w:start w:val="1"/>
    </w:lvl>
  </w:abstractNum>
  <w:abstractNum w:abstractNumId="336">
    <w:nsid w:val="76E41D8"/>
    <w:multiLevelType w:val="hybridMultilevel"/>
    <w:lvl w:ilvl="0">
      <w:lvlJc w:val="left"/>
      <w:lvlText w:val="(%1)"/>
      <w:numFmt w:val="lowerLetter"/>
      <w:start w:val="5"/>
    </w:lvl>
  </w:abstractNum>
  <w:abstractNum w:abstractNumId="337">
    <w:nsid w:val="71DCE0FD"/>
    <w:multiLevelType w:val="hybridMultilevel"/>
    <w:lvl w:ilvl="0">
      <w:lvlJc w:val="left"/>
      <w:lvlText w:val="%1"/>
      <w:numFmt w:val="decimal"/>
      <w:start w:val="1"/>
    </w:lvl>
    <w:lvl w:ilvl="1">
      <w:lvlJc w:val="left"/>
      <w:lvlText w:val="(%2)"/>
      <w:numFmt w:val="lowerLetter"/>
      <w:start w:val="7"/>
    </w:lvl>
  </w:abstractNum>
  <w:abstractNum w:abstractNumId="338">
    <w:nsid w:val="7906328B"/>
    <w:multiLevelType w:val="hybridMultilevel"/>
    <w:lvl w:ilvl="0">
      <w:lvlJc w:val="left"/>
      <w:lvlText w:val="%1."/>
      <w:numFmt w:val="decimal"/>
      <w:start w:val="2"/>
    </w:lvl>
    <w:lvl w:ilvl="1">
      <w:lvlJc w:val="left"/>
      <w:lvlText w:val="(%2)"/>
      <w:numFmt w:val="lowerLetter"/>
      <w:start w:val="1"/>
    </w:lvl>
  </w:abstractNum>
  <w:abstractNum w:abstractNumId="339">
    <w:nsid w:val="72BBC16"/>
    <w:multiLevelType w:val="hybridMultilevel"/>
    <w:lvl w:ilvl="0">
      <w:lvlJc w:val="left"/>
      <w:lvlText w:val="%1"/>
      <w:numFmt w:val="decimal"/>
      <w:start w:val="1"/>
    </w:lvl>
    <w:lvl w:ilvl="1">
      <w:lvlJc w:val="left"/>
      <w:lvlText w:val="(%2)"/>
      <w:numFmt w:val="lowerLetter"/>
      <w:start w:val="4"/>
    </w:lvl>
  </w:abstractNum>
  <w:abstractNum w:abstractNumId="340">
    <w:nsid w:val="766D98C2"/>
    <w:multiLevelType w:val="hybridMultilevel"/>
    <w:lvl w:ilvl="0">
      <w:lvlJc w:val="left"/>
      <w:lvlText w:val="%1."/>
      <w:numFmt w:val="decimal"/>
      <w:start w:val="3"/>
    </w:lvl>
    <w:lvl w:ilvl="1">
      <w:lvlJc w:val="left"/>
      <w:lvlText w:val="%2"/>
      <w:numFmt w:val="lowerLetter"/>
      <w:start w:val="1"/>
    </w:lvl>
  </w:abstractNum>
  <w:abstractNum w:abstractNumId="341">
    <w:nsid w:val="3C09D4A1"/>
    <w:multiLevelType w:val="hybridMultilevel"/>
    <w:lvl w:ilvl="0">
      <w:lvlJc w:val="left"/>
      <w:lvlText w:val="%1."/>
      <w:numFmt w:val="decimal"/>
      <w:start w:val="4"/>
    </w:lvl>
  </w:abstractNum>
  <w:abstractNum w:abstractNumId="342">
    <w:nsid w:val="20E45CA4"/>
    <w:multiLevelType w:val="hybridMultilevel"/>
    <w:lvl w:ilvl="0">
      <w:lvlJc w:val="left"/>
      <w:lvlText w:val="%1."/>
      <w:numFmt w:val="decimal"/>
      <w:start w:val="8"/>
    </w:lvl>
  </w:abstractNum>
  <w:abstractNum w:abstractNumId="343">
    <w:nsid w:val="4B232EE3"/>
    <w:multiLevelType w:val="hybridMultilevel"/>
    <w:lvl w:ilvl="0">
      <w:lvlJc w:val="left"/>
      <w:lvlText w:val="%1."/>
      <w:numFmt w:val="decimal"/>
      <w:start w:val="12"/>
    </w:lvl>
  </w:abstractNum>
  <w:abstractNum w:abstractNumId="344">
    <w:nsid w:val="159C74CF"/>
    <w:multiLevelType w:val="hybridMultilevel"/>
    <w:lvl w:ilvl="0">
      <w:lvlJc w:val="left"/>
      <w:lvlText w:val="%1."/>
      <w:numFmt w:val="decimal"/>
      <w:start w:val="15"/>
    </w:lvl>
  </w:abstractNum>
  <w:abstractNum w:abstractNumId="345">
    <w:nsid w:val="4AD3AFD2"/>
    <w:multiLevelType w:val="hybridMultilevel"/>
    <w:lvl w:ilvl="0">
      <w:lvlJc w:val="left"/>
      <w:lvlText w:val="%1."/>
      <w:numFmt w:val="decimal"/>
      <w:start w:val="19"/>
    </w:lvl>
  </w:abstractNum>
  <w:abstractNum w:abstractNumId="346">
    <w:nsid w:val="3CF93092"/>
    <w:multiLevelType w:val="hybridMultilevel"/>
    <w:lvl w:ilvl="0">
      <w:lvlJc w:val="left"/>
      <w:lvlText w:val="(%1)"/>
      <w:numFmt w:val="lowerLetter"/>
      <w:start w:val="1"/>
    </w:lvl>
  </w:abstractNum>
  <w:abstractNum w:abstractNumId="347">
    <w:nsid w:val="6863E8D2"/>
    <w:multiLevelType w:val="hybridMultilevel"/>
    <w:lvl w:ilvl="0">
      <w:lvlJc w:val="left"/>
      <w:lvlText w:val="(%1)"/>
      <w:numFmt w:val="lowerLetter"/>
      <w:start w:val="2"/>
    </w:lvl>
  </w:abstractNum>
  <w:abstractNum w:abstractNumId="348">
    <w:nsid w:val="76896198"/>
    <w:multiLevelType w:val="hybridMultilevel"/>
    <w:lvl w:ilvl="0">
      <w:lvlJc w:val="left"/>
      <w:lvlText w:val="%1."/>
      <w:numFmt w:val="decimal"/>
      <w:start w:val="22"/>
    </w:lvl>
  </w:abstractNum>
  <w:abstractNum w:abstractNumId="349">
    <w:nsid w:val="4365174B"/>
    <w:multiLevelType w:val="hybridMultilevel"/>
    <w:lvl w:ilvl="0">
      <w:lvlJc w:val="left"/>
      <w:lvlText w:val="%1."/>
      <w:numFmt w:val="decimal"/>
      <w:start w:val="1"/>
    </w:lvl>
    <w:lvl w:ilvl="1">
      <w:lvlJc w:val="left"/>
      <w:lvlText w:val="(%2)"/>
      <w:numFmt w:val="lowerLetter"/>
      <w:start w:val="1"/>
    </w:lvl>
  </w:abstractNum>
  <w:abstractNum w:abstractNumId="350">
    <w:nsid w:val="4A872C35"/>
    <w:multiLevelType w:val="hybridMultilevel"/>
    <w:lvl w:ilvl="0">
      <w:lvlJc w:val="left"/>
      <w:lvlText w:val="(%1)"/>
      <w:numFmt w:val="lowerLetter"/>
      <w:start w:val="5"/>
    </w:lvl>
  </w:abstractNum>
  <w:abstractNum w:abstractNumId="351">
    <w:nsid w:val="5D5CE761"/>
    <w:multiLevelType w:val="hybridMultilevel"/>
    <w:lvl w:ilvl="0">
      <w:lvlJc w:val="left"/>
      <w:lvlText w:val="%1"/>
      <w:numFmt w:val="decimal"/>
      <w:start w:val="1"/>
    </w:lvl>
    <w:lvl w:ilvl="1">
      <w:lvlJc w:val="left"/>
      <w:lvlText w:val="(%2)"/>
      <w:numFmt w:val="lowerLetter"/>
      <w:start w:val="7"/>
    </w:lvl>
  </w:abstractNum>
  <w:abstractNum w:abstractNumId="352">
    <w:nsid w:val="1CD484D5"/>
    <w:multiLevelType w:val="hybridMultilevel"/>
    <w:lvl w:ilvl="0">
      <w:lvlJc w:val="left"/>
      <w:lvlText w:val="%1."/>
      <w:numFmt w:val="decimal"/>
      <w:start w:val="2"/>
    </w:lvl>
    <w:lvl w:ilvl="1">
      <w:lvlJc w:val="left"/>
      <w:lvlText w:val="(%2)"/>
      <w:numFmt w:val="lowerLetter"/>
      <w:start w:val="1"/>
    </w:lvl>
  </w:abstractNum>
  <w:abstractNum w:abstractNumId="353">
    <w:nsid w:val="21D06255"/>
    <w:multiLevelType w:val="hybridMultilevel"/>
    <w:lvl w:ilvl="0">
      <w:lvlJc w:val="left"/>
      <w:lvlText w:val="%1"/>
      <w:numFmt w:val="decimal"/>
      <w:start w:val="1"/>
    </w:lvl>
    <w:lvl w:ilvl="1">
      <w:lvlJc w:val="left"/>
      <w:lvlText w:val="(%2)"/>
      <w:numFmt w:val="lowerLetter"/>
      <w:start w:val="4"/>
    </w:lvl>
  </w:abstractNum>
  <w:abstractNum w:abstractNumId="354">
    <w:nsid w:val="51194ED1"/>
    <w:multiLevelType w:val="hybridMultilevel"/>
    <w:lvl w:ilvl="0">
      <w:lvlJc w:val="left"/>
      <w:lvlText w:val="%1."/>
      <w:numFmt w:val="decimal"/>
      <w:start w:val="3"/>
    </w:lvl>
    <w:lvl w:ilvl="1">
      <w:lvlJc w:val="left"/>
      <w:lvlText w:val="%2"/>
      <w:numFmt w:val="lowerLetter"/>
      <w:start w:val="1"/>
    </w:lvl>
  </w:abstractNum>
  <w:abstractNum w:abstractNumId="355">
    <w:nsid w:val="44E2ED6C"/>
    <w:multiLevelType w:val="hybridMultilevel"/>
    <w:lvl w:ilvl="0">
      <w:lvlJc w:val="left"/>
      <w:lvlText w:val="%1."/>
      <w:numFmt w:val="decimal"/>
      <w:start w:val="4"/>
    </w:lvl>
  </w:abstractNum>
  <w:abstractNum w:abstractNumId="356">
    <w:nsid w:val="2219B33"/>
    <w:multiLevelType w:val="hybridMultilevel"/>
    <w:lvl w:ilvl="0">
      <w:lvlJc w:val="left"/>
      <w:lvlText w:val="%1."/>
      <w:numFmt w:val="decimal"/>
      <w:start w:val="8"/>
    </w:lvl>
  </w:abstractNum>
  <w:abstractNum w:abstractNumId="357">
    <w:nsid w:val="773BFBDD"/>
    <w:multiLevelType w:val="hybridMultilevel"/>
    <w:lvl w:ilvl="0">
      <w:lvlJc w:val="left"/>
      <w:lvlText w:val="%1."/>
      <w:numFmt w:val="decimal"/>
      <w:start w:val="12"/>
    </w:lvl>
  </w:abstractNum>
  <w:abstractNum w:abstractNumId="358">
    <w:nsid w:val="2C7C62C2"/>
    <w:multiLevelType w:val="hybridMultilevel"/>
    <w:lvl w:ilvl="0">
      <w:lvlJc w:val="left"/>
      <w:lvlText w:val="%1."/>
      <w:numFmt w:val="decimal"/>
      <w:start w:val="15"/>
    </w:lvl>
  </w:abstractNum>
  <w:abstractNum w:abstractNumId="359">
    <w:nsid w:val="1A54D7BC"/>
    <w:multiLevelType w:val="hybridMultilevel"/>
    <w:lvl w:ilvl="0">
      <w:lvlJc w:val="left"/>
      <w:lvlText w:val="%1."/>
      <w:numFmt w:val="decimal"/>
      <w:start w:val="18"/>
    </w:lvl>
  </w:abstractNum>
  <w:abstractNum w:abstractNumId="360">
    <w:nsid w:val="42E57EF7"/>
    <w:multiLevelType w:val="hybridMultilevel"/>
    <w:lvl w:ilvl="0">
      <w:lvlJc w:val="left"/>
      <w:lvlText w:val="(%1)"/>
      <w:numFmt w:val="lowerLetter"/>
      <w:start w:val="1"/>
    </w:lvl>
  </w:abstractNum>
  <w:abstractNum w:abstractNumId="361">
    <w:nsid w:val="33537CED"/>
    <w:multiLevelType w:val="hybridMultilevel"/>
    <w:lvl w:ilvl="0">
      <w:lvlJc w:val="left"/>
      <w:lvlText w:val="(%1)"/>
      <w:numFmt w:val="lowerLetter"/>
      <w:start w:val="2"/>
    </w:lvl>
  </w:abstractNum>
  <w:abstractNum w:abstractNumId="362">
    <w:nsid w:val="27514ADE"/>
    <w:multiLevelType w:val="hybridMultilevel"/>
    <w:lvl w:ilvl="0">
      <w:lvlJc w:val="left"/>
      <w:lvlText w:val="%1."/>
      <w:numFmt w:val="decimal"/>
      <w:start w:val="22"/>
    </w:lvl>
  </w:abstractNum>
  <w:abstractNum w:abstractNumId="363">
    <w:nsid w:val="57071613"/>
    <w:multiLevelType w:val="hybridMultilevel"/>
    <w:lvl w:ilvl="0">
      <w:lvlJc w:val="left"/>
      <w:lvlText w:val="%1."/>
      <w:numFmt w:val="decimal"/>
      <w:start w:val="1"/>
    </w:lvl>
    <w:lvl w:ilvl="1">
      <w:lvlJc w:val="left"/>
      <w:lvlText w:val="(%2)"/>
      <w:numFmt w:val="lowerLetter"/>
      <w:start w:val="1"/>
    </w:lvl>
  </w:abstractNum>
  <w:abstractNum w:abstractNumId="364">
    <w:nsid w:val="5293BFEF"/>
    <w:multiLevelType w:val="hybridMultilevel"/>
    <w:lvl w:ilvl="0">
      <w:lvlJc w:val="left"/>
      <w:lvlText w:val="(%1)"/>
      <w:numFmt w:val="lowerLetter"/>
      <w:start w:val="5"/>
    </w:lvl>
  </w:abstractNum>
  <w:abstractNum w:abstractNumId="365">
    <w:nsid w:val="38BF53E5"/>
    <w:multiLevelType w:val="hybridMultilevel"/>
    <w:lvl w:ilvl="0">
      <w:lvlJc w:val="left"/>
      <w:lvlText w:val="%1"/>
      <w:numFmt w:val="decimal"/>
      <w:start w:val="1"/>
    </w:lvl>
    <w:lvl w:ilvl="1">
      <w:lvlJc w:val="left"/>
      <w:lvlText w:val="(%2)"/>
      <w:numFmt w:val="lowerLetter"/>
      <w:start w:val="8"/>
    </w:lvl>
  </w:abstractNum>
  <w:abstractNum w:abstractNumId="366">
    <w:nsid w:val="226F5320"/>
    <w:multiLevelType w:val="hybridMultilevel"/>
    <w:lvl w:ilvl="0">
      <w:lvlJc w:val="left"/>
      <w:lvlText w:val="%1."/>
      <w:numFmt w:val="decimal"/>
      <w:start w:val="2"/>
    </w:lvl>
    <w:lvl w:ilvl="1">
      <w:lvlJc w:val="left"/>
      <w:lvlText w:val="(%2)"/>
      <w:numFmt w:val="lowerLetter"/>
      <w:start w:val="1"/>
    </w:lvl>
  </w:abstractNum>
  <w:abstractNum w:abstractNumId="367">
    <w:nsid w:val="5A0201C7"/>
    <w:multiLevelType w:val="hybridMultilevel"/>
    <w:lvl w:ilvl="0">
      <w:lvlJc w:val="left"/>
      <w:lvlText w:val="%1"/>
      <w:numFmt w:val="decimal"/>
      <w:start w:val="1"/>
    </w:lvl>
    <w:lvl w:ilvl="1">
      <w:lvlJc w:val="left"/>
      <w:lvlText w:val="(%2)"/>
      <w:numFmt w:val="lowerLetter"/>
      <w:start w:val="4"/>
    </w:lvl>
  </w:abstractNum>
  <w:abstractNum w:abstractNumId="368">
    <w:nsid w:val="2A9C34E2"/>
    <w:multiLevelType w:val="hybridMultilevel"/>
    <w:lvl w:ilvl="0">
      <w:lvlJc w:val="left"/>
      <w:lvlText w:val="%1."/>
      <w:numFmt w:val="decimal"/>
      <w:start w:val="3"/>
    </w:lvl>
    <w:lvl w:ilvl="1">
      <w:lvlJc w:val="left"/>
      <w:lvlText w:val="%2"/>
      <w:numFmt w:val="lowerLetter"/>
      <w:start w:val="1"/>
    </w:lvl>
  </w:abstractNum>
  <w:abstractNum w:abstractNumId="369">
    <w:nsid w:val="1B7585AB"/>
    <w:multiLevelType w:val="hybridMultilevel"/>
    <w:lvl w:ilvl="0">
      <w:lvlJc w:val="left"/>
      <w:lvlText w:val="%1."/>
      <w:numFmt w:val="decimal"/>
      <w:start w:val="4"/>
    </w:lvl>
  </w:abstractNum>
  <w:abstractNum w:abstractNumId="370">
    <w:nsid w:val="612DBDDD"/>
    <w:multiLevelType w:val="hybridMultilevel"/>
    <w:lvl w:ilvl="0">
      <w:lvlJc w:val="left"/>
      <w:lvlText w:val="%1."/>
      <w:numFmt w:val="decimal"/>
      <w:start w:val="8"/>
    </w:lvl>
  </w:abstractNum>
  <w:abstractNum w:abstractNumId="371">
    <w:nsid w:val="2109CDA4"/>
    <w:multiLevelType w:val="hybridMultilevel"/>
    <w:lvl w:ilvl="0">
      <w:lvlJc w:val="left"/>
      <w:lvlText w:val="%1."/>
      <w:numFmt w:val="decimal"/>
      <w:start w:val="12"/>
    </w:lvl>
  </w:abstractNum>
  <w:abstractNum w:abstractNumId="372">
    <w:nsid w:val="577F5A4D"/>
    <w:multiLevelType w:val="hybridMultilevel"/>
    <w:lvl w:ilvl="0">
      <w:lvlJc w:val="left"/>
      <w:lvlText w:val="%1."/>
      <w:numFmt w:val="decimal"/>
      <w:start w:val="15"/>
    </w:lvl>
  </w:abstractNum>
  <w:abstractNum w:abstractNumId="373">
    <w:nsid w:val="2121A81"/>
    <w:multiLevelType w:val="hybridMultilevel"/>
    <w:lvl w:ilvl="0">
      <w:lvlJc w:val="left"/>
      <w:lvlText w:val="%1."/>
      <w:numFmt w:val="decimal"/>
      <w:start w:val="19"/>
    </w:lvl>
  </w:abstractNum>
  <w:abstractNum w:abstractNumId="374">
    <w:nsid w:val="6C2CFC88"/>
    <w:multiLevelType w:val="hybridMultilevel"/>
    <w:lvl w:ilvl="0">
      <w:lvlJc w:val="left"/>
      <w:lvlText w:val="(%1)"/>
      <w:numFmt w:val="lowerLetter"/>
      <w:start w:val="1"/>
    </w:lvl>
  </w:abstractNum>
  <w:abstractNum w:abstractNumId="375">
    <w:nsid w:val="6D1BCF1C"/>
    <w:multiLevelType w:val="hybridMultilevel"/>
    <w:lvl w:ilvl="0">
      <w:lvlJc w:val="left"/>
      <w:lvlText w:val="(%1)"/>
      <w:numFmt w:val="lowerLetter"/>
      <w:start w:val="2"/>
    </w:lvl>
  </w:abstractNum>
  <w:abstractNum w:abstractNumId="376">
    <w:nsid w:val="4CE5CA53"/>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jpeg"/><Relationship Id="rId432" Type="http://schemas.openxmlformats.org/officeDocument/2006/relationships/image" Target="media/image424.png"/><Relationship Id="rId433" Type="http://schemas.openxmlformats.org/officeDocument/2006/relationships/image" Target="media/image425.png"/><Relationship Id="rId24" Type="http://schemas.openxmlformats.org/officeDocument/2006/relationships/hyperlink" Target="http://www.sec.gov/Archives/edgar/data/1749723/000114036119002438/s002392x19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2019-12-28T16:52:36Z</dcterms:created>
  <dcterms:modified xsi:type="dcterms:W3CDTF">2019-12-28T16:52:36Z</dcterms:modified>
</cp:coreProperties>
</file>