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ind w:left="3880" w:right="1760" w:hanging="3872"/>
        <w:spacing w:after="0" w:line="532"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40" w:right="1740" w:hanging="3432"/>
        <w:spacing w:after="0" w:line="532" w:lineRule="auto"/>
        <w:tabs>
          <w:tab w:leader="none" w:pos="3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to__________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001-38790</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111 W. 19th Street, 8th Floor</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New York, NY</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25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7" w:right="339" w:bottom="1440" w:gutter="0" w:footer="0" w:header="0"/>
        </w:sectPr>
      </w:pP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40" w:space="720"/>
            <w:col w:w="2180"/>
          </w:cols>
          <w:pgMar w:left="320" w:top="927" w:right="339" w:bottom="1440" w:gutter="0" w:footer="0" w:header="0"/>
          <w:type w:val="continuous"/>
        </w:sectPr>
      </w:pPr>
    </w:p>
    <w:p>
      <w:pPr>
        <w:spacing w:after="0" w:line="59"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9"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Trading Symbol(s)</w:t>
            </w:r>
          </w:p>
        </w:tc>
        <w:tc>
          <w:tcPr>
            <w:tcW w:w="3200" w:type="dxa"/>
            <w:vAlign w:val="bottom"/>
          </w:tcPr>
          <w:p>
            <w:pP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6"/>
        </w:trPr>
        <w:tc>
          <w:tcPr>
            <w:tcW w:w="5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Class A shares, representing limited liability company interests</w:t>
            </w:r>
          </w:p>
        </w:tc>
        <w:tc>
          <w:tcPr>
            <w:tcW w:w="320" w:type="dxa"/>
            <w:vAlign w:val="bottom"/>
          </w:tcPr>
          <w:p>
            <w:pPr>
              <w:spacing w:after="0"/>
              <w:rPr>
                <w:sz w:val="20"/>
                <w:szCs w:val="20"/>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“NFE”</w:t>
            </w:r>
          </w:p>
        </w:tc>
        <w:tc>
          <w:tcPr>
            <w:tcW w:w="3200" w:type="dxa"/>
            <w:vAlign w:val="bottom"/>
          </w:tcPr>
          <w:p>
            <w:pPr>
              <w:ind w:left="48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As of July 30, 2020, the registrant had 168,706,396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8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320" w:type="dxa"/>
            <w:vAlign w:val="bottom"/>
          </w:tcPr>
          <w:p>
            <w:pPr>
              <w:spacing w:after="0"/>
              <w:rPr>
                <w:sz w:val="24"/>
                <w:szCs w:val="24"/>
                <w:color w:val="auto"/>
              </w:rPr>
            </w:pPr>
          </w:p>
        </w:tc>
        <w:tc>
          <w:tcPr>
            <w:tcW w:w="822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54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GLOSSARY OF TERMS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STATEMENT ON FORWARD-LOOKING STATEMENTS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 FINANCIAL INFORMATION</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1.</w:t>
            </w:r>
          </w:p>
        </w:tc>
        <w:tc>
          <w:tcPr>
            <w:tcW w:w="8220" w:type="dxa"/>
            <w:vAlign w:val="bottom"/>
            <w:shd w:val="clear" w:color="auto" w:fill="CCEEFF"/>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2.</w:t>
            </w:r>
          </w:p>
        </w:tc>
        <w:tc>
          <w:tcPr>
            <w:tcW w:w="8220" w:type="dxa"/>
            <w:vAlign w:val="bottom"/>
            <w:shd w:val="clear" w:color="auto" w:fill="CCEEFF"/>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3.</w:t>
            </w:r>
          </w:p>
        </w:tc>
        <w:tc>
          <w:tcPr>
            <w:tcW w:w="8220" w:type="dxa"/>
            <w:vAlign w:val="bottom"/>
            <w:shd w:val="clear" w:color="auto" w:fill="CCEEFF"/>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4.</w:t>
            </w:r>
          </w:p>
        </w:tc>
        <w:tc>
          <w:tcPr>
            <w:tcW w:w="8220" w:type="dxa"/>
            <w:vAlign w:val="bottom"/>
            <w:shd w:val="clear" w:color="auto" w:fill="CCEEFF"/>
          </w:tcPr>
          <w:p>
            <w:pPr>
              <w:ind w:left="200"/>
              <w:spacing w:after="0"/>
              <w:rPr>
                <w:rFonts w:ascii="Arial" w:cs="Arial" w:eastAsia="Arial" w:hAnsi="Arial"/>
                <w:sz w:val="18"/>
                <w:szCs w:val="18"/>
                <w:color w:val="0000EE"/>
              </w:rPr>
            </w:pPr>
            <w:hyperlink w:anchor="page45">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PART II OTHER INFORMATION</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1.</w:t>
            </w:r>
          </w:p>
        </w:tc>
        <w:tc>
          <w:tcPr>
            <w:tcW w:w="8220" w:type="dxa"/>
            <w:vAlign w:val="bottom"/>
            <w:shd w:val="clear" w:color="auto" w:fill="CCEEFF"/>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1A.</w:t>
            </w:r>
          </w:p>
        </w:tc>
        <w:tc>
          <w:tcPr>
            <w:tcW w:w="8220" w:type="dxa"/>
            <w:vAlign w:val="bottom"/>
            <w:shd w:val="clear" w:color="auto" w:fill="CCEEFF"/>
          </w:tcPr>
          <w:p>
            <w:pPr>
              <w:ind w:left="20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2.</w:t>
            </w:r>
          </w:p>
        </w:tc>
        <w:tc>
          <w:tcPr>
            <w:tcW w:w="8220" w:type="dxa"/>
            <w:vAlign w:val="bottom"/>
            <w:shd w:val="clear" w:color="auto" w:fill="CCEEFF"/>
          </w:tcPr>
          <w:p>
            <w:pPr>
              <w:ind w:left="200"/>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3.</w:t>
            </w:r>
          </w:p>
        </w:tc>
        <w:tc>
          <w:tcPr>
            <w:tcW w:w="8220" w:type="dxa"/>
            <w:vAlign w:val="bottom"/>
            <w:shd w:val="clear" w:color="auto" w:fill="CCEEFF"/>
          </w:tcPr>
          <w:p>
            <w:pPr>
              <w:ind w:left="200"/>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4.</w:t>
            </w:r>
          </w:p>
        </w:tc>
        <w:tc>
          <w:tcPr>
            <w:tcW w:w="8220" w:type="dxa"/>
            <w:vAlign w:val="bottom"/>
            <w:shd w:val="clear" w:color="auto" w:fill="CCEEFF"/>
          </w:tcPr>
          <w:p>
            <w:pPr>
              <w:ind w:left="200"/>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5.</w:t>
            </w:r>
          </w:p>
        </w:tc>
        <w:tc>
          <w:tcPr>
            <w:tcW w:w="8220" w:type="dxa"/>
            <w:vAlign w:val="bottom"/>
            <w:shd w:val="clear" w:color="auto" w:fill="CCEEFF"/>
          </w:tcPr>
          <w:p>
            <w:pPr>
              <w:ind w:left="2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6.</w:t>
            </w:r>
          </w:p>
        </w:tc>
        <w:tc>
          <w:tcPr>
            <w:tcW w:w="8220" w:type="dxa"/>
            <w:vAlign w:val="bottom"/>
            <w:shd w:val="clear" w:color="auto" w:fill="CCEEFF"/>
          </w:tcPr>
          <w:p>
            <w:pPr>
              <w:ind w:left="20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SIGNATURES</w:t>
              </w:r>
            </w:hyperlink>
          </w:p>
        </w:tc>
        <w:tc>
          <w:tcPr>
            <w:tcW w:w="8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commonly used in the liquefied natural gas industry, to the extent applicable and as used in this Quarterly Report on Form 10-Q (“Quarterly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Btu</w:t>
            </w:r>
          </w:p>
        </w:tc>
        <w:tc>
          <w:tcPr>
            <w:tcW w:w="8300" w:type="dxa"/>
            <w:vAlign w:val="bottom"/>
          </w:tcPr>
          <w:p>
            <w:pPr>
              <w:ind w:left="1560"/>
              <w:spacing w:after="0"/>
              <w:rPr>
                <w:sz w:val="20"/>
                <w:szCs w:val="20"/>
                <w:color w:val="auto"/>
              </w:rPr>
            </w:pPr>
            <w:r>
              <w:rPr>
                <w:rFonts w:ascii="Arial" w:cs="Arial" w:eastAsia="Arial" w:hAnsi="Arial"/>
                <w:sz w:val="18"/>
                <w:szCs w:val="18"/>
                <w:color w:val="auto"/>
                <w:w w:val="91"/>
              </w:rPr>
              <w:t>the amount of heat required to raise the temperature of one avoirdupois pound of pure water</w:t>
            </w:r>
          </w:p>
        </w:tc>
      </w:tr>
      <w:tr>
        <w:trPr>
          <w:trHeight w:val="216"/>
        </w:trPr>
        <w:tc>
          <w:tcPr>
            <w:tcW w:w="2940" w:type="dxa"/>
            <w:vAlign w:val="bottom"/>
          </w:tcPr>
          <w:p>
            <w:pPr>
              <w:spacing w:after="0"/>
              <w:rPr>
                <w:sz w:val="18"/>
                <w:szCs w:val="18"/>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w w:val="95"/>
              </w:rPr>
              <w:t>from 59 degrees Fahrenheit to 60 degrees Fahrenheit at an absolute pressure of 14.696</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pounds per square inch gage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CAA</w:t>
            </w:r>
          </w:p>
        </w:tc>
        <w:tc>
          <w:tcPr>
            <w:tcW w:w="8300" w:type="dxa"/>
            <w:vAlign w:val="bottom"/>
          </w:tcPr>
          <w:p>
            <w:pPr>
              <w:ind w:left="1560"/>
              <w:spacing w:after="0"/>
              <w:rPr>
                <w:sz w:val="20"/>
                <w:szCs w:val="20"/>
                <w:color w:val="auto"/>
              </w:rPr>
            </w:pPr>
            <w:r>
              <w:rPr>
                <w:rFonts w:ascii="Arial" w:cs="Arial" w:eastAsia="Arial" w:hAnsi="Arial"/>
                <w:sz w:val="18"/>
                <w:szCs w:val="18"/>
                <w:color w:val="auto"/>
              </w:rPr>
              <w:t>Clean Air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CERCLA</w:t>
            </w:r>
          </w:p>
        </w:tc>
        <w:tc>
          <w:tcPr>
            <w:tcW w:w="8300" w:type="dxa"/>
            <w:vAlign w:val="bottom"/>
          </w:tcPr>
          <w:p>
            <w:pPr>
              <w:ind w:left="1560"/>
              <w:spacing w:after="0"/>
              <w:rPr>
                <w:sz w:val="20"/>
                <w:szCs w:val="20"/>
                <w:color w:val="auto"/>
              </w:rPr>
            </w:pPr>
            <w:r>
              <w:rPr>
                <w:rFonts w:ascii="Arial" w:cs="Arial" w:eastAsia="Arial" w:hAnsi="Arial"/>
                <w:sz w:val="18"/>
                <w:szCs w:val="18"/>
                <w:color w:val="auto"/>
              </w:rPr>
              <w:t>Comprehensive Environmental Response, Compensation and Liability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CWA</w:t>
            </w:r>
          </w:p>
        </w:tc>
        <w:tc>
          <w:tcPr>
            <w:tcW w:w="8300" w:type="dxa"/>
            <w:vAlign w:val="bottom"/>
          </w:tcPr>
          <w:p>
            <w:pPr>
              <w:ind w:left="1560"/>
              <w:spacing w:after="0"/>
              <w:rPr>
                <w:sz w:val="20"/>
                <w:szCs w:val="20"/>
                <w:color w:val="auto"/>
              </w:rPr>
            </w:pPr>
            <w:r>
              <w:rPr>
                <w:rFonts w:ascii="Arial" w:cs="Arial" w:eastAsia="Arial" w:hAnsi="Arial"/>
                <w:sz w:val="18"/>
                <w:szCs w:val="18"/>
                <w:color w:val="auto"/>
              </w:rPr>
              <w:t>Clean Water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DOE</w:t>
            </w:r>
          </w:p>
        </w:tc>
        <w:tc>
          <w:tcPr>
            <w:tcW w:w="8300" w:type="dxa"/>
            <w:vAlign w:val="bottom"/>
          </w:tcPr>
          <w:p>
            <w:pPr>
              <w:ind w:left="1560"/>
              <w:spacing w:after="0"/>
              <w:rPr>
                <w:sz w:val="20"/>
                <w:szCs w:val="20"/>
                <w:color w:val="auto"/>
              </w:rPr>
            </w:pPr>
            <w:r>
              <w:rPr>
                <w:rFonts w:ascii="Arial" w:cs="Arial" w:eastAsia="Arial" w:hAnsi="Arial"/>
                <w:sz w:val="18"/>
                <w:szCs w:val="18"/>
                <w:color w:val="auto"/>
              </w:rPr>
              <w:t>U.S. Department of Energy</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FERC</w:t>
            </w:r>
          </w:p>
        </w:tc>
        <w:tc>
          <w:tcPr>
            <w:tcW w:w="8300" w:type="dxa"/>
            <w:vAlign w:val="bottom"/>
          </w:tcPr>
          <w:p>
            <w:pPr>
              <w:ind w:left="1560"/>
              <w:spacing w:after="0"/>
              <w:rPr>
                <w:sz w:val="20"/>
                <w:szCs w:val="20"/>
                <w:color w:val="auto"/>
              </w:rPr>
            </w:pPr>
            <w:r>
              <w:rPr>
                <w:rFonts w:ascii="Arial" w:cs="Arial" w:eastAsia="Arial" w:hAnsi="Arial"/>
                <w:sz w:val="18"/>
                <w:szCs w:val="18"/>
                <w:color w:val="auto"/>
              </w:rPr>
              <w:t>Federal Energy Regulatory Commission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GAAP</w:t>
            </w:r>
          </w:p>
        </w:tc>
        <w:tc>
          <w:tcPr>
            <w:tcW w:w="8300" w:type="dxa"/>
            <w:vAlign w:val="bottom"/>
          </w:tcPr>
          <w:p>
            <w:pPr>
              <w:ind w:left="156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GHG</w:t>
            </w:r>
          </w:p>
        </w:tc>
        <w:tc>
          <w:tcPr>
            <w:tcW w:w="8300" w:type="dxa"/>
            <w:vAlign w:val="bottom"/>
          </w:tcPr>
          <w:p>
            <w:pPr>
              <w:ind w:left="1560"/>
              <w:spacing w:after="0"/>
              <w:rPr>
                <w:sz w:val="20"/>
                <w:szCs w:val="20"/>
                <w:color w:val="auto"/>
              </w:rPr>
            </w:pPr>
            <w:r>
              <w:rPr>
                <w:rFonts w:ascii="Arial" w:cs="Arial" w:eastAsia="Arial" w:hAnsi="Arial"/>
                <w:sz w:val="18"/>
                <w:szCs w:val="18"/>
                <w:color w:val="auto"/>
              </w:rPr>
              <w:t>greenhouse gases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GSA</w:t>
            </w:r>
          </w:p>
        </w:tc>
        <w:tc>
          <w:tcPr>
            <w:tcW w:w="8300" w:type="dxa"/>
            <w:vAlign w:val="bottom"/>
          </w:tcPr>
          <w:p>
            <w:pPr>
              <w:ind w:left="1560"/>
              <w:spacing w:after="0"/>
              <w:rPr>
                <w:sz w:val="20"/>
                <w:szCs w:val="20"/>
                <w:color w:val="auto"/>
              </w:rPr>
            </w:pPr>
            <w:r>
              <w:rPr>
                <w:rFonts w:ascii="Arial" w:cs="Arial" w:eastAsia="Arial" w:hAnsi="Arial"/>
                <w:sz w:val="18"/>
                <w:szCs w:val="18"/>
                <w:color w:val="auto"/>
              </w:rPr>
              <w:t>gas sales agreement</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Henry Hub</w:t>
            </w:r>
          </w:p>
        </w:tc>
        <w:tc>
          <w:tcPr>
            <w:tcW w:w="8300" w:type="dxa"/>
            <w:vAlign w:val="bottom"/>
          </w:tcPr>
          <w:p>
            <w:pPr>
              <w:ind w:left="1560"/>
              <w:spacing w:after="0"/>
              <w:rPr>
                <w:sz w:val="20"/>
                <w:szCs w:val="20"/>
                <w:color w:val="auto"/>
              </w:rPr>
            </w:pPr>
            <w:r>
              <w:rPr>
                <w:rFonts w:ascii="Arial" w:cs="Arial" w:eastAsia="Arial" w:hAnsi="Arial"/>
                <w:sz w:val="18"/>
                <w:szCs w:val="18"/>
                <w:color w:val="auto"/>
                <w:w w:val="92"/>
              </w:rPr>
              <w:t>a natural gas pipeline located in Erath, Louisiana that serves as the official delivery location</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for futures contracts on the New York Mercantile Exchange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ISO container</w:t>
            </w:r>
          </w:p>
        </w:tc>
        <w:tc>
          <w:tcPr>
            <w:tcW w:w="8300" w:type="dxa"/>
            <w:vAlign w:val="bottom"/>
          </w:tcPr>
          <w:p>
            <w:pPr>
              <w:ind w:left="1560"/>
              <w:spacing w:after="0"/>
              <w:rPr>
                <w:sz w:val="20"/>
                <w:szCs w:val="20"/>
                <w:color w:val="auto"/>
              </w:rPr>
            </w:pPr>
            <w:r>
              <w:rPr>
                <w:rFonts w:ascii="Arial" w:cs="Arial" w:eastAsia="Arial" w:hAnsi="Arial"/>
                <w:sz w:val="18"/>
                <w:szCs w:val="18"/>
                <w:color w:val="auto"/>
              </w:rPr>
              <w:t>International Organization of Standardization, an intermodal container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LNG</w:t>
            </w:r>
          </w:p>
        </w:tc>
        <w:tc>
          <w:tcPr>
            <w:tcW w:w="8300" w:type="dxa"/>
            <w:vAlign w:val="bottom"/>
          </w:tcPr>
          <w:p>
            <w:pPr>
              <w:ind w:left="1560"/>
              <w:spacing w:after="0"/>
              <w:rPr>
                <w:sz w:val="20"/>
                <w:szCs w:val="20"/>
                <w:color w:val="auto"/>
              </w:rPr>
            </w:pPr>
            <w:r>
              <w:rPr>
                <w:rFonts w:ascii="Arial" w:cs="Arial" w:eastAsia="Arial" w:hAnsi="Arial"/>
                <w:sz w:val="18"/>
                <w:szCs w:val="18"/>
                <w:color w:val="auto"/>
                <w:w w:val="96"/>
              </w:rPr>
              <w:t>natural gas in its liquid state at or below its boiling point at or near atmospheric pressure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MMBtu</w:t>
            </w:r>
          </w:p>
        </w:tc>
        <w:tc>
          <w:tcPr>
            <w:tcW w:w="8300" w:type="dxa"/>
            <w:vAlign w:val="bottom"/>
          </w:tcPr>
          <w:p>
            <w:pPr>
              <w:ind w:left="1560"/>
              <w:spacing w:after="0"/>
              <w:rPr>
                <w:sz w:val="20"/>
                <w:szCs w:val="20"/>
                <w:color w:val="auto"/>
              </w:rPr>
            </w:pPr>
            <w:r>
              <w:rPr>
                <w:rFonts w:ascii="Arial" w:cs="Arial" w:eastAsia="Arial" w:hAnsi="Arial"/>
                <w:sz w:val="18"/>
                <w:szCs w:val="18"/>
                <w:color w:val="auto"/>
              </w:rPr>
              <w:t>one million Btus, which corresponds to approximately 12.1 LNG gallons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MW</w:t>
            </w:r>
          </w:p>
        </w:tc>
        <w:tc>
          <w:tcPr>
            <w:tcW w:w="8300" w:type="dxa"/>
            <w:vAlign w:val="bottom"/>
          </w:tcPr>
          <w:p>
            <w:pPr>
              <w:ind w:left="1560"/>
              <w:spacing w:after="0"/>
              <w:rPr>
                <w:sz w:val="20"/>
                <w:szCs w:val="20"/>
                <w:color w:val="auto"/>
              </w:rPr>
            </w:pPr>
            <w:r>
              <w:rPr>
                <w:rFonts w:ascii="Arial" w:cs="Arial" w:eastAsia="Arial" w:hAnsi="Arial"/>
                <w:sz w:val="18"/>
                <w:szCs w:val="18"/>
                <w:color w:val="auto"/>
                <w:w w:val="96"/>
              </w:rPr>
              <w:t>megawatt. We estimate 2,500 LNG gallons would be required to produce one megawatt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NGA</w:t>
            </w:r>
          </w:p>
        </w:tc>
        <w:tc>
          <w:tcPr>
            <w:tcW w:w="8300" w:type="dxa"/>
            <w:vAlign w:val="bottom"/>
          </w:tcPr>
          <w:p>
            <w:pPr>
              <w:ind w:left="1560"/>
              <w:spacing w:after="0"/>
              <w:rPr>
                <w:sz w:val="20"/>
                <w:szCs w:val="20"/>
                <w:color w:val="auto"/>
              </w:rPr>
            </w:pPr>
            <w:r>
              <w:rPr>
                <w:rFonts w:ascii="Arial" w:cs="Arial" w:eastAsia="Arial" w:hAnsi="Arial"/>
                <w:sz w:val="18"/>
                <w:szCs w:val="18"/>
                <w:color w:val="auto"/>
              </w:rPr>
              <w:t>Natural Gas Act of 1938, as amended</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non-FTA countries</w:t>
            </w:r>
          </w:p>
        </w:tc>
        <w:tc>
          <w:tcPr>
            <w:tcW w:w="8300" w:type="dxa"/>
            <w:vAlign w:val="bottom"/>
          </w:tcPr>
          <w:p>
            <w:pPr>
              <w:ind w:left="1560"/>
              <w:spacing w:after="0"/>
              <w:rPr>
                <w:sz w:val="20"/>
                <w:szCs w:val="20"/>
                <w:color w:val="auto"/>
              </w:rPr>
            </w:pPr>
            <w:r>
              <w:rPr>
                <w:rFonts w:ascii="Arial" w:cs="Arial" w:eastAsia="Arial" w:hAnsi="Arial"/>
                <w:sz w:val="18"/>
                <w:szCs w:val="18"/>
                <w:color w:val="auto"/>
                <w:w w:val="99"/>
              </w:rPr>
              <w:t>countries without a free trade agreement with the United States providing for national</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treatment for trade in natural gas and with which trade is permitted</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OPA</w:t>
            </w:r>
          </w:p>
        </w:tc>
        <w:tc>
          <w:tcPr>
            <w:tcW w:w="8300" w:type="dxa"/>
            <w:vAlign w:val="bottom"/>
          </w:tcPr>
          <w:p>
            <w:pPr>
              <w:ind w:left="1560"/>
              <w:spacing w:after="0"/>
              <w:rPr>
                <w:sz w:val="20"/>
                <w:szCs w:val="20"/>
                <w:color w:val="auto"/>
              </w:rPr>
            </w:pPr>
            <w:r>
              <w:rPr>
                <w:rFonts w:ascii="Arial" w:cs="Arial" w:eastAsia="Arial" w:hAnsi="Arial"/>
                <w:sz w:val="18"/>
                <w:szCs w:val="18"/>
                <w:color w:val="auto"/>
              </w:rPr>
              <w:t>Oil Pollution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OUR</w:t>
            </w:r>
          </w:p>
        </w:tc>
        <w:tc>
          <w:tcPr>
            <w:tcW w:w="8300" w:type="dxa"/>
            <w:vAlign w:val="bottom"/>
          </w:tcPr>
          <w:p>
            <w:pPr>
              <w:ind w:left="1560"/>
              <w:spacing w:after="0"/>
              <w:rPr>
                <w:sz w:val="20"/>
                <w:szCs w:val="20"/>
                <w:color w:val="auto"/>
              </w:rPr>
            </w:pPr>
            <w:r>
              <w:rPr>
                <w:rFonts w:ascii="Arial" w:cs="Arial" w:eastAsia="Arial" w:hAnsi="Arial"/>
                <w:sz w:val="18"/>
                <w:szCs w:val="18"/>
                <w:color w:val="auto"/>
              </w:rPr>
              <w:t>Office of Utilities Regulation (Jamaica)</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PHMSA</w:t>
            </w:r>
          </w:p>
        </w:tc>
        <w:tc>
          <w:tcPr>
            <w:tcW w:w="8300" w:type="dxa"/>
            <w:vAlign w:val="bottom"/>
          </w:tcPr>
          <w:p>
            <w:pPr>
              <w:ind w:left="15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PPA</w:t>
            </w:r>
          </w:p>
        </w:tc>
        <w:tc>
          <w:tcPr>
            <w:tcW w:w="8300" w:type="dxa"/>
            <w:vAlign w:val="bottom"/>
          </w:tcPr>
          <w:p>
            <w:pPr>
              <w:ind w:left="1560"/>
              <w:spacing w:after="0"/>
              <w:rPr>
                <w:sz w:val="20"/>
                <w:szCs w:val="20"/>
                <w:color w:val="auto"/>
              </w:rPr>
            </w:pPr>
            <w:r>
              <w:rPr>
                <w:rFonts w:ascii="Arial" w:cs="Arial" w:eastAsia="Arial" w:hAnsi="Arial"/>
                <w:sz w:val="18"/>
                <w:szCs w:val="18"/>
                <w:color w:val="auto"/>
              </w:rPr>
              <w:t>power purchase agreement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SSA</w:t>
            </w:r>
          </w:p>
        </w:tc>
        <w:tc>
          <w:tcPr>
            <w:tcW w:w="8300" w:type="dxa"/>
            <w:vAlign w:val="bottom"/>
          </w:tcPr>
          <w:p>
            <w:pPr>
              <w:ind w:left="1560"/>
              <w:spacing w:after="0"/>
              <w:rPr>
                <w:sz w:val="20"/>
                <w:szCs w:val="20"/>
                <w:color w:val="auto"/>
              </w:rPr>
            </w:pPr>
            <w:r>
              <w:rPr>
                <w:rFonts w:ascii="Arial" w:cs="Arial" w:eastAsia="Arial" w:hAnsi="Arial"/>
                <w:sz w:val="18"/>
                <w:szCs w:val="18"/>
                <w:color w:val="auto"/>
              </w:rPr>
              <w:t>steam supply agreement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TBtu</w:t>
            </w:r>
          </w:p>
        </w:tc>
        <w:tc>
          <w:tcPr>
            <w:tcW w:w="8300" w:type="dxa"/>
            <w:vAlign w:val="bottom"/>
          </w:tcPr>
          <w:p>
            <w:pPr>
              <w:ind w:left="1560"/>
              <w:spacing w:after="0"/>
              <w:rPr>
                <w:sz w:val="20"/>
                <w:szCs w:val="20"/>
                <w:color w:val="auto"/>
              </w:rPr>
            </w:pPr>
            <w:r>
              <w:rPr>
                <w:rFonts w:ascii="Arial" w:cs="Arial" w:eastAsia="Arial" w:hAnsi="Arial"/>
                <w:sz w:val="18"/>
                <w:szCs w:val="18"/>
                <w:color w:val="auto"/>
              </w:rPr>
              <w:t>one trillion Btus, which corresponds to approximately 12,100,000 LNG gallons</w:t>
            </w:r>
          </w:p>
        </w:tc>
      </w:tr>
      <w:tr>
        <w:trPr>
          <w:trHeight w:val="596"/>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Arial" w:cs="Arial" w:eastAsia="Arial" w:hAnsi="Arial"/>
                <w:sz w:val="14"/>
                <w:szCs w:val="14"/>
                <w:color w:val="auto"/>
              </w:rPr>
              <w:t>ii</w:t>
            </w:r>
          </w:p>
        </w:tc>
      </w:tr>
      <w:tr>
        <w:trPr>
          <w:trHeight w:val="46"/>
        </w:trPr>
        <w:tc>
          <w:tcPr>
            <w:tcW w:w="294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56"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20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on a fixed-price basis, or otherwise to manage LNG price risks, including hedging arrangements;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power plants or Liquefaction Facilities (as defined herein) and the terms of our construction contracts for the completion of these assets;</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power plants or Liquefaction Facilities, as well as difficulties in obtaining sufficient financing to pay for such costs and delays;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of the COVID-19 pandemic on our or our customers’ demand or customers' or suppliers’ operations and financial status;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operational, regulatory, environmental, political, legal and economic risks pertaining to the construction and operation of our facilities;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 and alternative fuels including oil-based fuels;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 or implement our financing plans;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Puerto Rico, Jamaica, Angola, Nicaragua and other jurisdictions in the Caribbean;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forecast the anticipated benefits of converting from a limited liability company to a corporation.</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2019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7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1300" w:type="dxa"/>
            <w:vAlign w:val="bottom"/>
          </w:tcPr>
          <w:p>
            <w:pPr>
              <w:spacing w:after="0"/>
              <w:rPr>
                <w:sz w:val="24"/>
                <w:szCs w:val="24"/>
                <w:color w:val="auto"/>
              </w:rPr>
            </w:pPr>
          </w:p>
        </w:tc>
        <w:tc>
          <w:tcPr>
            <w:tcW w:w="738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7380" w:type="dxa"/>
            <w:vAlign w:val="bottom"/>
          </w:tcPr>
          <w:p>
            <w:pPr>
              <w:jc w:val="center"/>
              <w:ind w:left="117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New Fortress Energy LLC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As of June 30, 2020 and December 31, 2019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(Unaudited, in thousands of U.S. dollars, except share amounts)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3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8"/>
        </w:trPr>
        <w:tc>
          <w:tcPr>
            <w:tcW w:w="13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7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27,098</w:t>
            </w:r>
          </w:p>
        </w:tc>
      </w:tr>
      <w:tr>
        <w:trPr>
          <w:trHeight w:val="216"/>
        </w:trPr>
        <w:tc>
          <w:tcPr>
            <w:tcW w:w="1300" w:type="dxa"/>
            <w:vAlign w:val="bottom"/>
          </w:tcPr>
          <w:p>
            <w:pPr>
              <w:ind w:left="140"/>
              <w:spacing w:after="0"/>
              <w:rPr>
                <w:sz w:val="20"/>
                <w:szCs w:val="20"/>
                <w:color w:val="auto"/>
              </w:rPr>
            </w:pPr>
            <w:r>
              <w:rPr>
                <w:rFonts w:ascii="Arial" w:cs="Arial" w:eastAsia="Arial" w:hAnsi="Arial"/>
                <w:sz w:val="18"/>
                <w:szCs w:val="18"/>
                <w:color w:val="auto"/>
                <w:w w:val="91"/>
              </w:rPr>
              <w:t>Restricted cash</w:t>
            </w: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32,946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30,966</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 of allowances of $0 and $0, respectively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49,890</w:t>
            </w:r>
          </w:p>
        </w:tc>
      </w:tr>
      <w:tr>
        <w:trPr>
          <w:trHeight w:val="216"/>
        </w:trPr>
        <w:tc>
          <w:tcPr>
            <w:tcW w:w="13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50,885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63,432</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39,734</w:t>
            </w:r>
          </w:p>
        </w:tc>
      </w:tr>
      <w:tr>
        <w:trPr>
          <w:trHeight w:val="216"/>
        </w:trPr>
        <w:tc>
          <w:tcPr>
            <w:tcW w:w="868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345,157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211,120</w:t>
            </w:r>
          </w:p>
        </w:tc>
        <w:tc>
          <w:tcPr>
            <w:tcW w:w="100" w:type="dxa"/>
            <w:vAlign w:val="bottom"/>
            <w:tcBorders>
              <w:top w:val="single" w:sz="8" w:color="CCEEFF"/>
            </w:tcBorders>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1300" w:type="dxa"/>
            <w:vAlign w:val="bottom"/>
          </w:tcPr>
          <w:p>
            <w:pPr>
              <w:ind w:left="140"/>
              <w:spacing w:after="0"/>
              <w:rPr>
                <w:sz w:val="20"/>
                <w:szCs w:val="20"/>
                <w:color w:val="auto"/>
              </w:rPr>
            </w:pPr>
            <w:r>
              <w:rPr>
                <w:rFonts w:ascii="Arial" w:cs="Arial" w:eastAsia="Arial" w:hAnsi="Arial"/>
                <w:sz w:val="18"/>
                <w:szCs w:val="18"/>
                <w:color w:val="auto"/>
                <w:w w:val="91"/>
              </w:rPr>
              <w:t>Restricted cash</w:t>
            </w: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34,971</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466,587</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475,198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192,222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42,931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43,540</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91,174</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Investment in equity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81,626</w:t>
            </w:r>
          </w:p>
        </w:tc>
      </w:tr>
      <w:tr>
        <w:trPr>
          <w:trHeight w:val="257"/>
        </w:trPr>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11,593</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54,943</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ind w:left="140"/>
              <w:spacing w:after="0"/>
              <w:rPr>
                <w:sz w:val="20"/>
                <w:szCs w:val="20"/>
                <w:color w:val="auto"/>
              </w:rPr>
            </w:pPr>
            <w:r>
              <w:rPr>
                <w:rFonts w:ascii="Arial" w:cs="Arial" w:eastAsia="Arial" w:hAnsi="Arial"/>
                <w:sz w:val="18"/>
                <w:szCs w:val="18"/>
                <w:color w:val="auto"/>
                <w:w w:val="91"/>
              </w:rPr>
              <w:t>Due to affiliates</w:t>
            </w: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10,252</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25,475</w:t>
            </w:r>
          </w:p>
        </w:tc>
      </w:tr>
      <w:tr>
        <w:trPr>
          <w:trHeight w:val="216"/>
        </w:trPr>
        <w:tc>
          <w:tcPr>
            <w:tcW w:w="868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249,701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102,263</w:t>
            </w:r>
          </w:p>
        </w:tc>
        <w:tc>
          <w:tcPr>
            <w:tcW w:w="100" w:type="dxa"/>
            <w:vAlign w:val="bottom"/>
            <w:tcBorders>
              <w:top w:val="single" w:sz="8" w:color="CCEEFF"/>
            </w:tcBorders>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1300" w:type="dxa"/>
            <w:vAlign w:val="bottom"/>
          </w:tcPr>
          <w:p>
            <w:pPr>
              <w:ind w:left="140"/>
              <w:spacing w:after="0"/>
              <w:rPr>
                <w:sz w:val="20"/>
                <w:szCs w:val="20"/>
                <w:color w:val="auto"/>
              </w:rPr>
            </w:pPr>
            <w:r>
              <w:rPr>
                <w:rFonts w:ascii="Arial" w:cs="Arial" w:eastAsia="Arial" w:hAnsi="Arial"/>
                <w:sz w:val="18"/>
                <w:szCs w:val="18"/>
                <w:color w:val="auto"/>
                <w:w w:val="93"/>
              </w:rPr>
              <w:t>Long-term debt</w:t>
            </w: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950,238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619,057</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14,929</w:t>
            </w:r>
          </w:p>
        </w:tc>
      </w:tr>
      <w:tr>
        <w:trPr>
          <w:trHeight w:val="223"/>
        </w:trPr>
        <w:tc>
          <w:tcPr>
            <w:tcW w:w="1300" w:type="dxa"/>
            <w:vAlign w:val="bottom"/>
            <w:tcBorders>
              <w:top w:val="single" w:sz="8" w:color="CCEEFF"/>
            </w:tcBorders>
          </w:tcPr>
          <w:p>
            <w:pPr>
              <w:ind w:left="140"/>
              <w:spacing w:after="0"/>
              <w:rPr>
                <w:sz w:val="20"/>
                <w:szCs w:val="20"/>
                <w:color w:val="auto"/>
              </w:rPr>
            </w:pPr>
            <w:r>
              <w:rPr>
                <w:rFonts w:ascii="Arial" w:cs="Arial" w:eastAsia="Arial" w:hAnsi="Arial"/>
                <w:sz w:val="18"/>
                <w:szCs w:val="18"/>
                <w:b w:val="1"/>
                <w:bCs w:val="1"/>
                <w:color w:val="auto"/>
                <w:w w:val="91"/>
              </w:rPr>
              <w:t>Total liabilities</w:t>
            </w:r>
          </w:p>
        </w:tc>
        <w:tc>
          <w:tcPr>
            <w:tcW w:w="73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1,271,439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736,490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contingences (Note 18)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Class A shares, 169,174,104 shares issued and 168,587,346 outstanding as of June 30, 2020; 23,607,096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issued and outstanding as of December 31, 2019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341,675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130,658</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Treasury shares, 586,758 shares as of June 30, 2020, at cost; 0 shares at December 31, 2019, at cost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(6,172)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Class B shares, 0 shares issued and outstanding as of June 30, 2020; 144,342,572 shares, issued and outstanding as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of December 31, 2019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(192,852)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(45,823)</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868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143,003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84,805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387,324</w:t>
            </w:r>
          </w:p>
        </w:tc>
      </w:tr>
      <w:tr>
        <w:trPr>
          <w:trHeight w:val="256"/>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p>
      <w:pPr>
        <w:ind w:right="5360"/>
        <w:spacing w:after="0" w:line="265"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three and six months ended June 30, 2020 and 2019</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revenue</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29,417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11,841</w:t>
            </w: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94,566</w:t>
            </w: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169,096</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69,717</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44,043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138,115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77,392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32,169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60,216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81,918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12,874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3,801</w:t>
            </w: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242,771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353,302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(148,205)</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(43,959)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(184,206)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(103,296)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Loss before taxes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(166,402)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(51,078)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(226,461)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(111,124)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(166,519)</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(51,233)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(226,574)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(111,525)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91,782</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Net loss attributable to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(137,425)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(145,723)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(19,743)</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57,341,215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22,114,002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41,771,849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18,154,939</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(111,525)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Unrealized gain on currency translation adjustment</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(165,999)</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(226,423)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45,047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81,082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91,782</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(136,990)</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Members' 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Class A shares</w:t>
            </w:r>
          </w:p>
        </w:tc>
        <w:tc>
          <w:tcPr>
            <w:tcW w:w="140" w:type="dxa"/>
            <w:vAlign w:val="bottom"/>
            <w:vMerge w:val="restart"/>
          </w:tcPr>
          <w:p>
            <w:pPr>
              <w:spacing w:after="0"/>
              <w:rPr>
                <w:sz w:val="14"/>
                <w:szCs w:val="14"/>
                <w:color w:val="auto"/>
              </w:rPr>
            </w:pPr>
          </w:p>
        </w:tc>
        <w:tc>
          <w:tcPr>
            <w:tcW w:w="13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9"/>
              </w:rPr>
              <w:t>Class B 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Treasury shares</w:t>
            </w:r>
          </w:p>
        </w:tc>
        <w:tc>
          <w:tcPr>
            <w:tcW w:w="140" w:type="dxa"/>
            <w:vAlign w:val="bottom"/>
            <w:vMerge w:val="restart"/>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 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bottom w:val="single" w:sz="8" w:color="auto"/>
            </w:tcBorders>
            <w:gridSpan w:val="5"/>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3"/>
                <w:szCs w:val="13"/>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controlling</w:t>
            </w:r>
          </w:p>
        </w:tc>
        <w:tc>
          <w:tcPr>
            <w:tcW w:w="920" w:type="dxa"/>
            <w:vAlign w:val="bottom"/>
            <w:gridSpan w:val="4"/>
          </w:tcPr>
          <w:p>
            <w:pPr>
              <w:ind w:left="40"/>
              <w:spacing w:after="0" w:line="125"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(loss) income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6"/>
        </w:trPr>
        <w:tc>
          <w:tcPr>
            <w:tcW w:w="13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4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23,607,096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$ 130,658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144,342,572</w:t>
            </w: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(45,823)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302,519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387,324</w:t>
            </w:r>
          </w:p>
        </w:tc>
        <w:tc>
          <w:tcPr>
            <w:tcW w:w="0" w:type="dxa"/>
            <w:vAlign w:val="bottom"/>
          </w:tcPr>
          <w:p>
            <w:pPr>
              <w:spacing w:after="0"/>
              <w:rPr>
                <w:sz w:val="1"/>
                <w:szCs w:val="1"/>
                <w:color w:val="auto"/>
              </w:rPr>
            </w:pPr>
          </w:p>
        </w:tc>
      </w:tr>
      <w:tr>
        <w:trPr>
          <w:trHeight w:val="130"/>
        </w:trPr>
        <w:tc>
          <w:tcPr>
            <w:tcW w:w="1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Cumulative effect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of accounting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change (ASC</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tcPr>
          <w:p>
            <w:pPr>
              <w:ind w:left="260"/>
              <w:spacing w:after="0"/>
              <w:rPr>
                <w:sz w:val="20"/>
                <w:szCs w:val="20"/>
                <w:color w:val="auto"/>
              </w:rPr>
            </w:pPr>
            <w:r>
              <w:rPr>
                <w:rFonts w:ascii="Arial" w:cs="Arial" w:eastAsia="Arial" w:hAnsi="Arial"/>
                <w:sz w:val="14"/>
                <w:szCs w:val="14"/>
                <w:color w:val="auto"/>
              </w:rPr>
              <w:t>842)</w:t>
            </w:r>
          </w:p>
        </w:tc>
        <w:tc>
          <w:tcPr>
            <w:tcW w:w="40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14"/>
                <w:szCs w:val="14"/>
                <w:color w:val="auto"/>
              </w:rPr>
            </w:pP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(7,779)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(9,085)</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(51,757)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(60,055)</w:t>
            </w:r>
          </w:p>
        </w:tc>
        <w:tc>
          <w:tcPr>
            <w:tcW w:w="0" w:type="dxa"/>
            <w:vAlign w:val="bottom"/>
          </w:tcPr>
          <w:p>
            <w:pPr>
              <w:spacing w:after="0"/>
              <w:rPr>
                <w:sz w:val="1"/>
                <w:szCs w:val="1"/>
                <w:color w:val="auto"/>
              </w:rPr>
            </w:pPr>
          </w:p>
        </w:tc>
      </w:tr>
      <w:tr>
        <w:trPr>
          <w:trHeight w:val="130"/>
        </w:trPr>
        <w:tc>
          <w:tcPr>
            <w:tcW w:w="1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gridSpan w:val="2"/>
          </w:tcPr>
          <w:p>
            <w:pPr>
              <w:ind w:left="260"/>
              <w:spacing w:after="0"/>
              <w:rPr>
                <w:sz w:val="20"/>
                <w:szCs w:val="20"/>
                <w:color w:val="auto"/>
              </w:rPr>
            </w:pPr>
            <w:r>
              <w:rPr>
                <w:rFonts w:ascii="Arial" w:cs="Arial" w:eastAsia="Arial" w:hAnsi="Arial"/>
                <w:sz w:val="14"/>
                <w:szCs w:val="14"/>
                <w:color w:val="auto"/>
              </w:rPr>
              <w:t>loss</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14"/>
                <w:szCs w:val="14"/>
                <w:color w:val="auto"/>
              </w:rPr>
            </w:pP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(316)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2,508</w:t>
            </w:r>
          </w:p>
        </w:tc>
        <w:tc>
          <w:tcPr>
            <w:tcW w:w="0" w:type="dxa"/>
            <w:vAlign w:val="bottom"/>
          </w:tcPr>
          <w:p>
            <w:pPr>
              <w:spacing w:after="0"/>
              <w:rPr>
                <w:sz w:val="1"/>
                <w:szCs w:val="1"/>
                <w:color w:val="auto"/>
              </w:rPr>
            </w:pPr>
          </w:p>
        </w:tc>
      </w:tr>
      <w:tr>
        <w:trPr>
          <w:trHeight w:val="130"/>
        </w:trPr>
        <w:tc>
          <w:tcPr>
            <w:tcW w:w="1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Issuance of shares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gridSpan w:val="2"/>
          </w:tcPr>
          <w:p>
            <w:pPr>
              <w:ind w:left="260"/>
              <w:spacing w:after="0"/>
              <w:rPr>
                <w:sz w:val="20"/>
                <w:szCs w:val="20"/>
                <w:color w:val="auto"/>
              </w:rPr>
            </w:pPr>
            <w:r>
              <w:rPr>
                <w:rFonts w:ascii="Arial" w:cs="Arial" w:eastAsia="Arial" w:hAnsi="Arial"/>
                <w:sz w:val="14"/>
                <w:szCs w:val="14"/>
                <w:color w:val="auto"/>
              </w:rPr>
              <w:t>for vested RSUs</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14"/>
                <w:szCs w:val="14"/>
                <w:color w:val="auto"/>
              </w:rPr>
            </w:pP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1,212,907</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from employees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related to share-</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based</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at cost</w:t>
            </w:r>
          </w:p>
        </w:tc>
        <w:tc>
          <w:tcPr>
            <w:tcW w:w="4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(583,508)</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(6,132)</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(6,132)</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24,820,003</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$ 133,166</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144,342,572</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(583,508)</w:t>
            </w: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(6,132)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(55,427)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(83)</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242,667</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314,191</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(137,425)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(29,094)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(166,519)</w:t>
            </w:r>
          </w:p>
        </w:tc>
        <w:tc>
          <w:tcPr>
            <w:tcW w:w="0" w:type="dxa"/>
            <w:vAlign w:val="bottom"/>
          </w:tcPr>
          <w:p>
            <w:pPr>
              <w:spacing w:after="0"/>
              <w:rPr>
                <w:sz w:val="1"/>
                <w:szCs w:val="1"/>
                <w:color w:val="auto"/>
              </w:rPr>
            </w:pPr>
          </w:p>
        </w:tc>
      </w:tr>
      <w:tr>
        <w:trPr>
          <w:trHeight w:val="130"/>
        </w:trPr>
        <w:tc>
          <w:tcPr>
            <w:tcW w:w="1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gridSpan w:val="2"/>
          </w:tcPr>
          <w:p>
            <w:pPr>
              <w:ind w:left="260"/>
              <w:spacing w:after="0"/>
              <w:rPr>
                <w:sz w:val="20"/>
                <w:szCs w:val="20"/>
                <w:color w:val="auto"/>
              </w:rPr>
            </w:pPr>
            <w:r>
              <w:rPr>
                <w:rFonts w:ascii="Arial" w:cs="Arial" w:eastAsia="Arial" w:hAnsi="Arial"/>
                <w:sz w:val="14"/>
                <w:szCs w:val="14"/>
                <w:color w:val="auto"/>
              </w:rPr>
              <w:t>income</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14"/>
                <w:szCs w:val="14"/>
                <w:color w:val="auto"/>
              </w:rPr>
            </w:pP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30"/>
        </w:trPr>
        <w:tc>
          <w:tcPr>
            <w:tcW w:w="1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Issuance of shares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gridSpan w:val="2"/>
          </w:tcPr>
          <w:p>
            <w:pPr>
              <w:ind w:left="260"/>
              <w:spacing w:after="0"/>
              <w:rPr>
                <w:sz w:val="20"/>
                <w:szCs w:val="20"/>
                <w:color w:val="auto"/>
              </w:rPr>
            </w:pPr>
            <w:r>
              <w:rPr>
                <w:rFonts w:ascii="Arial" w:cs="Arial" w:eastAsia="Arial" w:hAnsi="Arial"/>
                <w:sz w:val="14"/>
                <w:szCs w:val="14"/>
                <w:color w:val="auto"/>
              </w:rPr>
              <w:t>for vested RSUs</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14"/>
                <w:szCs w:val="14"/>
                <w:color w:val="auto"/>
              </w:rPr>
            </w:pP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11,529</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from employees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related to share-</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based</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at cost</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(3,250)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1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Exchange of NFI</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00" w:type="dxa"/>
            <w:vAlign w:val="bottom"/>
            <w:gridSpan w:val="2"/>
          </w:tcPr>
          <w:p>
            <w:pPr>
              <w:ind w:left="260"/>
              <w:spacing w:after="0"/>
              <w:rPr>
                <w:sz w:val="20"/>
                <w:szCs w:val="20"/>
                <w:color w:val="auto"/>
              </w:rPr>
            </w:pPr>
            <w:r>
              <w:rPr>
                <w:rFonts w:ascii="Arial" w:cs="Arial" w:eastAsia="Arial" w:hAnsi="Arial"/>
                <w:sz w:val="14"/>
                <w:szCs w:val="14"/>
                <w:color w:val="auto"/>
              </w:rPr>
              <w:t>units</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Pr>
          <w:p>
            <w:pPr>
              <w:spacing w:after="0"/>
              <w:rPr>
                <w:sz w:val="15"/>
                <w:szCs w:val="15"/>
                <w:color w:val="auto"/>
              </w:rPr>
            </w:pP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144,342,572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206,587</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(144,342,572)</w:t>
            </w:r>
          </w:p>
        </w:tc>
        <w:tc>
          <w:tcPr>
            <w:tcW w:w="3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(206,587)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1300" w:type="dxa"/>
            <w:vAlign w:val="bottom"/>
            <w:shd w:val="clear" w:color="auto" w:fill="CCEEFF"/>
          </w:tcPr>
          <w:p>
            <w:pPr>
              <w:ind w:left="140"/>
              <w:spacing w:after="0" w:line="126" w:lineRule="exact"/>
              <w:rPr>
                <w:sz w:val="20"/>
                <w:szCs w:val="20"/>
                <w:color w:val="auto"/>
              </w:rPr>
            </w:pPr>
            <w:r>
              <w:rPr>
                <w:rFonts w:ascii="Arial" w:cs="Arial" w:eastAsia="Arial" w:hAnsi="Arial"/>
                <w:sz w:val="14"/>
                <w:szCs w:val="14"/>
                <w:b w:val="1"/>
                <w:bCs w:val="1"/>
                <w:color w:val="auto"/>
              </w:rPr>
              <w:t>Balance as of</w:t>
            </w: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169,174,104</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$ 341,675</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(586,758)</w:t>
            </w:r>
          </w:p>
        </w:tc>
        <w:tc>
          <w:tcPr>
            <w:tcW w:w="1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(6,172)</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(192,852)</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352</w:t>
            </w:r>
          </w:p>
        </w:tc>
        <w:tc>
          <w:tcPr>
            <w:tcW w:w="1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7,071</w:t>
            </w:r>
          </w:p>
        </w:tc>
        <w:tc>
          <w:tcPr>
            <w:tcW w:w="1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150,074</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540" w:type="dxa"/>
            <w:vAlign w:val="bottom"/>
            <w:gridSpan w:val="5"/>
            <w:vMerge w:val="restart"/>
          </w:tcPr>
          <w:p>
            <w:pPr>
              <w:jc w:val="right"/>
              <w:ind w:right="128"/>
              <w:spacing w:after="0"/>
              <w:rPr>
                <w:sz w:val="20"/>
                <w:szCs w:val="20"/>
                <w:color w:val="auto"/>
              </w:rPr>
            </w:pPr>
            <w:r>
              <w:rPr>
                <w:rFonts w:ascii="Arial" w:cs="Arial" w:eastAsia="Arial" w:hAnsi="Arial"/>
                <w:sz w:val="14"/>
                <w:szCs w:val="14"/>
                <w:b w:val="1"/>
                <w:bCs w:val="1"/>
                <w:color w:val="auto"/>
              </w:rPr>
              <w:t>Members' Capital</w:t>
            </w:r>
          </w:p>
        </w:tc>
        <w:tc>
          <w:tcPr>
            <w:tcW w:w="140" w:type="dxa"/>
            <w:vAlign w:val="bottom"/>
            <w:vMerge w:val="restart"/>
          </w:tcPr>
          <w:p>
            <w:pPr>
              <w:spacing w:after="0"/>
              <w:rPr>
                <w:sz w:val="14"/>
                <w:szCs w:val="14"/>
                <w:color w:val="auto"/>
              </w:rPr>
            </w:pPr>
          </w:p>
        </w:tc>
        <w:tc>
          <w:tcPr>
            <w:tcW w:w="140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Class A shares</w:t>
            </w:r>
          </w:p>
        </w:tc>
        <w:tc>
          <w:tcPr>
            <w:tcW w:w="140" w:type="dxa"/>
            <w:vAlign w:val="bottom"/>
            <w:vMerge w:val="restart"/>
          </w:tcPr>
          <w:p>
            <w:pPr>
              <w:spacing w:after="0"/>
              <w:rPr>
                <w:sz w:val="14"/>
                <w:szCs w:val="14"/>
                <w:color w:val="auto"/>
              </w:rPr>
            </w:pPr>
          </w:p>
        </w:tc>
        <w:tc>
          <w:tcPr>
            <w:tcW w:w="13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99"/>
              </w:rPr>
              <w:t>Class B 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88"/>
              </w:rPr>
              <w:t>Treasury 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 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1540" w:type="dxa"/>
            <w:vAlign w:val="bottom"/>
            <w:tcBorders>
              <w:bottom w:val="single" w:sz="8" w:color="auto"/>
            </w:tcBorders>
            <w:gridSpan w:val="5"/>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300" w:type="dxa"/>
            <w:vAlign w:val="bottom"/>
            <w:tcBorders>
              <w:bottom w:val="single" w:sz="8" w:color="auto"/>
            </w:tcBorders>
            <w:gridSpan w:val="4"/>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3"/>
                <w:szCs w:val="13"/>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controlling</w:t>
            </w:r>
          </w:p>
        </w:tc>
        <w:tc>
          <w:tcPr>
            <w:tcW w:w="920" w:type="dxa"/>
            <w:vAlign w:val="bottom"/>
            <w:gridSpan w:val="4"/>
          </w:tcPr>
          <w:p>
            <w:pPr>
              <w:ind w:left="40"/>
              <w:spacing w:after="0" w:line="125"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Amounts</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(loss) income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67,983,095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426,741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(158,423)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14,340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282,647</w:t>
            </w:r>
          </w:p>
        </w:tc>
        <w:tc>
          <w:tcPr>
            <w:tcW w:w="0" w:type="dxa"/>
            <w:vAlign w:val="bottom"/>
          </w:tcPr>
          <w:p>
            <w:pPr>
              <w:spacing w:after="0"/>
              <w:rPr>
                <w:sz w:val="1"/>
                <w:szCs w:val="1"/>
                <w:color w:val="auto"/>
              </w:rPr>
            </w:pPr>
          </w:p>
        </w:tc>
      </w:tr>
      <w:tr>
        <w:trPr>
          <w:trHeight w:val="130"/>
        </w:trPr>
        <w:tc>
          <w:tcPr>
            <w:tcW w:w="1240" w:type="dxa"/>
            <w:vAlign w:val="bottom"/>
          </w:tcPr>
          <w:p>
            <w:pPr>
              <w:ind w:left="140"/>
              <w:spacing w:after="0" w:line="130" w:lineRule="exact"/>
              <w:rPr>
                <w:sz w:val="20"/>
                <w:szCs w:val="20"/>
                <w:color w:val="auto"/>
              </w:rPr>
            </w:pPr>
            <w:r>
              <w:rPr>
                <w:rFonts w:ascii="Arial" w:cs="Arial" w:eastAsia="Arial" w:hAnsi="Arial"/>
                <w:sz w:val="14"/>
                <w:szCs w:val="14"/>
                <w:i w:val="1"/>
                <w:iCs w:val="1"/>
                <w:color w:val="auto"/>
              </w:rPr>
              <w:t>Activity prior 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60"/>
              <w:spacing w:after="0" w:line="149" w:lineRule="exact"/>
              <w:rPr>
                <w:sz w:val="20"/>
                <w:szCs w:val="20"/>
                <w:color w:val="auto"/>
              </w:rPr>
            </w:pPr>
            <w:r>
              <w:rPr>
                <w:rFonts w:ascii="Arial" w:cs="Arial" w:eastAsia="Arial" w:hAnsi="Arial"/>
                <w:sz w:val="14"/>
                <w:szCs w:val="14"/>
                <w:i w:val="1"/>
                <w:iCs w:val="1"/>
                <w:color w:val="auto"/>
              </w:rPr>
              <w:t>the IPO and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60"/>
              <w:spacing w:after="0" w:line="149" w:lineRule="exact"/>
              <w:rPr>
                <w:sz w:val="20"/>
                <w:szCs w:val="20"/>
                <w:color w:val="auto"/>
              </w:rPr>
            </w:pPr>
            <w:r>
              <w:rPr>
                <w:rFonts w:ascii="Arial" w:cs="Arial" w:eastAsia="Arial" w:hAnsi="Arial"/>
                <w:sz w:val="14"/>
                <w:szCs w:val="14"/>
                <w:i w:val="1"/>
                <w:iCs w:val="1"/>
                <w:color w:val="auto"/>
              </w:rPr>
              <w:t>related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60"/>
              <w:spacing w:after="0" w:line="149" w:lineRule="exact"/>
              <w:rPr>
                <w:sz w:val="20"/>
                <w:szCs w:val="20"/>
                <w:color w:val="auto"/>
              </w:rPr>
            </w:pPr>
            <w:r>
              <w:rPr>
                <w:rFonts w:ascii="Arial" w:cs="Arial" w:eastAsia="Arial" w:hAnsi="Arial"/>
                <w:sz w:val="14"/>
                <w:szCs w:val="14"/>
                <w:i w:val="1"/>
                <w:iCs w:val="1"/>
                <w:color w:val="auto"/>
              </w:rPr>
              <w:t>organizational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260"/>
              <w:spacing w:after="0"/>
              <w:rPr>
                <w:sz w:val="20"/>
                <w:szCs w:val="20"/>
                <w:color w:val="auto"/>
              </w:rPr>
            </w:pPr>
            <w:r>
              <w:rPr>
                <w:rFonts w:ascii="Arial" w:cs="Arial" w:eastAsia="Arial" w:hAnsi="Arial"/>
                <w:sz w:val="14"/>
                <w:szCs w:val="14"/>
                <w:i w:val="1"/>
                <w:iCs w:val="1"/>
                <w:color w:val="auto"/>
              </w:rPr>
              <w:t>transactions: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(8,003)</w:t>
            </w:r>
          </w:p>
        </w:tc>
        <w:tc>
          <w:tcPr>
            <w:tcW w:w="0" w:type="dxa"/>
            <w:vAlign w:val="bottom"/>
          </w:tcPr>
          <w:p>
            <w:pPr>
              <w:spacing w:after="0"/>
              <w:rPr>
                <w:sz w:val="1"/>
                <w:szCs w:val="1"/>
                <w:color w:val="auto"/>
              </w:rPr>
            </w:pPr>
          </w:p>
        </w:tc>
      </w:tr>
      <w:tr>
        <w:trPr>
          <w:trHeight w:val="130"/>
        </w:trPr>
        <w:tc>
          <w:tcPr>
            <w:tcW w:w="1240" w:type="dxa"/>
            <w:vAlign w:val="bottom"/>
          </w:tcPr>
          <w:p>
            <w:pPr>
              <w:ind w:left="140"/>
              <w:spacing w:after="0" w:line="130" w:lineRule="exact"/>
              <w:rPr>
                <w:sz w:val="20"/>
                <w:szCs w:val="20"/>
                <w:color w:val="auto"/>
              </w:rPr>
            </w:pPr>
            <w:r>
              <w:rPr>
                <w:rFonts w:ascii="Arial" w:cs="Arial" w:eastAsia="Arial" w:hAnsi="Arial"/>
                <w:sz w:val="14"/>
                <w:szCs w:val="14"/>
                <w:i w:val="1"/>
                <w:iCs w:val="1"/>
                <w:color w:val="auto"/>
                <w:w w:val="98"/>
              </w:rPr>
              <w:t>Effects of the IPO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60"/>
              <w:spacing w:after="0" w:line="149" w:lineRule="exact"/>
              <w:rPr>
                <w:sz w:val="20"/>
                <w:szCs w:val="20"/>
                <w:color w:val="auto"/>
              </w:rPr>
            </w:pPr>
            <w:r>
              <w:rPr>
                <w:rFonts w:ascii="Arial" w:cs="Arial" w:eastAsia="Arial" w:hAnsi="Arial"/>
                <w:sz w:val="14"/>
                <w:szCs w:val="14"/>
                <w:i w:val="1"/>
                <w:iCs w:val="1"/>
                <w:color w:val="auto"/>
              </w:rPr>
              <w:t>and related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60"/>
              <w:spacing w:after="0" w:line="149" w:lineRule="exact"/>
              <w:rPr>
                <w:sz w:val="20"/>
                <w:szCs w:val="20"/>
                <w:color w:val="auto"/>
              </w:rPr>
            </w:pPr>
            <w:r>
              <w:rPr>
                <w:rFonts w:ascii="Arial" w:cs="Arial" w:eastAsia="Arial" w:hAnsi="Arial"/>
                <w:sz w:val="14"/>
                <w:szCs w:val="14"/>
                <w:i w:val="1"/>
                <w:iCs w:val="1"/>
                <w:color w:val="auto"/>
              </w:rPr>
              <w:t>organizational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260"/>
              <w:spacing w:after="0"/>
              <w:rPr>
                <w:sz w:val="20"/>
                <w:szCs w:val="20"/>
                <w:color w:val="auto"/>
              </w:rPr>
            </w:pPr>
            <w:r>
              <w:rPr>
                <w:rFonts w:ascii="Arial" w:cs="Arial" w:eastAsia="Arial" w:hAnsi="Arial"/>
                <w:sz w:val="14"/>
                <w:szCs w:val="14"/>
                <w:i w:val="1"/>
                <w:iCs w:val="1"/>
                <w:color w:val="auto"/>
              </w:rPr>
              <w:t>transactions: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7"/>
              </w:rPr>
              <w:t>Issuance of Class</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 shares in the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IPO, net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underwriting</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discount and</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offering costs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20,837,272</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32,136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235,874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268,010</w:t>
            </w:r>
          </w:p>
        </w:tc>
        <w:tc>
          <w:tcPr>
            <w:tcW w:w="0" w:type="dxa"/>
            <w:vAlign w:val="bottom"/>
          </w:tcPr>
          <w:p>
            <w:pPr>
              <w:spacing w:after="0"/>
              <w:rPr>
                <w:sz w:val="1"/>
                <w:szCs w:val="1"/>
                <w:color w:val="auto"/>
              </w:rPr>
            </w:pPr>
          </w:p>
        </w:tc>
      </w:tr>
      <w:tr>
        <w:trPr>
          <w:trHeight w:val="130"/>
        </w:trPr>
        <w:tc>
          <w:tcPr>
            <w:tcW w:w="1240" w:type="dxa"/>
            <w:vAlign w:val="bottom"/>
          </w:tcPr>
          <w:p>
            <w:pPr>
              <w:ind w:left="140"/>
              <w:spacing w:after="0" w:line="130" w:lineRule="exact"/>
              <w:rPr>
                <w:sz w:val="20"/>
                <w:szCs w:val="20"/>
                <w:color w:val="auto"/>
              </w:rPr>
            </w:pPr>
            <w:r>
              <w:rPr>
                <w:rFonts w:ascii="Arial" w:cs="Arial" w:eastAsia="Arial" w:hAnsi="Arial"/>
                <w:sz w:val="14"/>
                <w:szCs w:val="14"/>
                <w:color w:val="auto"/>
              </w:rPr>
              <w:t>Effects of the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60"/>
              <w:spacing w:after="0" w:line="149" w:lineRule="exact"/>
              <w:rPr>
                <w:sz w:val="20"/>
                <w:szCs w:val="20"/>
                <w:color w:val="auto"/>
              </w:rPr>
            </w:pPr>
            <w:r>
              <w:rPr>
                <w:rFonts w:ascii="Arial" w:cs="Arial" w:eastAsia="Arial" w:hAnsi="Arial"/>
                <w:sz w:val="14"/>
                <w:szCs w:val="14"/>
                <w:color w:val="auto"/>
              </w:rPr>
              <w:t>reorganization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260"/>
              <w:spacing w:after="0"/>
              <w:rPr>
                <w:sz w:val="20"/>
                <w:szCs w:val="20"/>
                <w:color w:val="auto"/>
              </w:rPr>
            </w:pPr>
            <w:r>
              <w:rPr>
                <w:rFonts w:ascii="Arial" w:cs="Arial" w:eastAsia="Arial" w:hAnsi="Arial"/>
                <w:sz w:val="14"/>
                <w:szCs w:val="14"/>
                <w:color w:val="auto"/>
              </w:rPr>
              <w:t>transactions</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(67,983,095)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(426,741)</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51,092</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147,058,824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146,420</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229,229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i w:val="1"/>
                <w:iCs w:val="1"/>
                <w:color w:val="auto"/>
              </w:rPr>
              <w:t>Activity</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i w:val="1"/>
                <w:iCs w:val="1"/>
                <w:color w:val="auto"/>
              </w:rPr>
              <w:t>subsequent to</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i w:val="1"/>
                <w:iCs w:val="1"/>
                <w:color w:val="auto"/>
              </w:rPr>
              <w:t>the IPO and</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i w:val="1"/>
                <w:iCs w:val="1"/>
                <w:color w:val="auto"/>
              </w:rPr>
              <w:t>related</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i w:val="1"/>
                <w:iCs w:val="1"/>
                <w:color w:val="auto"/>
              </w:rPr>
              <w:t>organizational</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transactions: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(5,645)</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(46,644)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(52,289)</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19,037</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19,037</w:t>
            </w:r>
          </w:p>
        </w:tc>
        <w:tc>
          <w:tcPr>
            <w:tcW w:w="0" w:type="dxa"/>
            <w:vAlign w:val="bottom"/>
          </w:tcPr>
          <w:p>
            <w:pPr>
              <w:spacing w:after="0"/>
              <w:rPr>
                <w:sz w:val="1"/>
                <w:szCs w:val="1"/>
                <w:color w:val="auto"/>
              </w:rPr>
            </w:pPr>
          </w:p>
        </w:tc>
      </w:tr>
      <w:tr>
        <w:trPr>
          <w:trHeight w:val="126"/>
        </w:trPr>
        <w:tc>
          <w:tcPr>
            <w:tcW w:w="1240" w:type="dxa"/>
            <w:vAlign w:val="bottom"/>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March 31, 2019</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20,837,272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102,265</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147,058,824</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(25,571)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432,708</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509,402</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(6,186)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(45,047)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(51,233)</w:t>
            </w:r>
          </w:p>
        </w:tc>
        <w:tc>
          <w:tcPr>
            <w:tcW w:w="0" w:type="dxa"/>
            <w:vAlign w:val="bottom"/>
          </w:tcPr>
          <w:p>
            <w:pPr>
              <w:spacing w:after="0"/>
              <w:rPr>
                <w:sz w:val="1"/>
                <w:szCs w:val="1"/>
                <w:color w:val="auto"/>
              </w:rPr>
            </w:pPr>
          </w:p>
        </w:tc>
      </w:tr>
      <w:tr>
        <w:trPr>
          <w:trHeight w:val="130"/>
        </w:trPr>
        <w:tc>
          <w:tcPr>
            <w:tcW w:w="1240" w:type="dxa"/>
            <w:vAlign w:val="bottom"/>
          </w:tcPr>
          <w:p>
            <w:pPr>
              <w:ind w:left="140"/>
              <w:spacing w:after="0" w:line="130" w:lineRule="exact"/>
              <w:rPr>
                <w:sz w:val="20"/>
                <w:szCs w:val="20"/>
                <w:color w:val="auto"/>
              </w:rPr>
            </w:pPr>
            <w:r>
              <w:rPr>
                <w:rFonts w:ascii="Arial" w:cs="Arial" w:eastAsia="Arial" w:hAnsi="Arial"/>
                <w:sz w:val="14"/>
                <w:szCs w:val="14"/>
                <w:color w:val="auto"/>
              </w:rPr>
              <w:t>Share-based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6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40" w:type="dxa"/>
            <w:vAlign w:val="bottom"/>
          </w:tcPr>
          <w:p>
            <w:pPr>
              <w:ind w:left="260"/>
              <w:spacing w:after="0"/>
              <w:rPr>
                <w:sz w:val="20"/>
                <w:szCs w:val="20"/>
                <w:color w:val="auto"/>
              </w:rPr>
            </w:pPr>
            <w:r>
              <w:rPr>
                <w:rFonts w:ascii="Arial" w:cs="Arial" w:eastAsia="Arial" w:hAnsi="Arial"/>
                <w:sz w:val="14"/>
                <w:szCs w:val="14"/>
                <w:color w:val="auto"/>
              </w:rPr>
              <w:t>expense</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8,971</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8,971</w:t>
            </w: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ind w:left="140"/>
              <w:spacing w:after="0" w:line="126" w:lineRule="exact"/>
              <w:rPr>
                <w:sz w:val="20"/>
                <w:szCs w:val="20"/>
                <w:color w:val="auto"/>
              </w:rPr>
            </w:pPr>
            <w:r>
              <w:rPr>
                <w:rFonts w:ascii="Arial" w:cs="Arial" w:eastAsia="Arial" w:hAnsi="Arial"/>
                <w:sz w:val="14"/>
                <w:szCs w:val="14"/>
                <w:b w:val="1"/>
                <w:bCs w:val="1"/>
                <w:color w:val="auto"/>
              </w:rPr>
              <w:t>Balance as of</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June 30, 2019</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20,837,272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111,236</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147,058,824</w:t>
            </w: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(31,757)</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387,661</w:t>
            </w:r>
          </w:p>
        </w:tc>
        <w:tc>
          <w:tcPr>
            <w:tcW w:w="1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467,140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(111,525)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value of Investment in equity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(3,664)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Decrease in right-of-use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accounts payable/accrued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(Decrease) Increase in amounts due to affiliates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Increase in 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(95,422)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(232,348)</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Principal payments received on finance lease, net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(95,344)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(231,877)</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borrowings of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 of deferred financing costs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IPO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274,948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related to tax withholdings for share-based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(6,938)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157,165</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93,035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100,853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equipment additions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(54,888)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56"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New Fortress Energy LLC (“NFE,” together with its subsidiaries, the “Company”) is a Delaware limited liability company formed by New Fortress Energy Holdings LLC (“New Fortress Energy Holdings”) on August 6, 2018. The Company is a global integrated gas-to-power infrastructure company that seeks to use natural gas to satisfy the world’s large and growing power needs and is engaged in providing energy and logistical services to end-users worldwide seeking to convert their operating assets from diesel or heavy fuel oil to LNG. The Company currently sources LNG from a combination of its own liquefaction facility in Miami, Florida and purchases on the open market. The Company has liquefaction, regasification and power generation operations in the United States and Jamaica.</w:t>
      </w:r>
    </w:p>
    <w:p>
      <w:pPr>
        <w:spacing w:after="0" w:line="219" w:lineRule="exact"/>
        <w:rPr>
          <w:rFonts w:ascii="Arial" w:cs="Arial" w:eastAsia="Arial" w:hAnsi="Arial"/>
          <w:sz w:val="18"/>
          <w:szCs w:val="18"/>
          <w:b w:val="1"/>
          <w:bCs w:val="1"/>
          <w:color w:val="auto"/>
        </w:rPr>
      </w:pPr>
    </w:p>
    <w:p>
      <w:pPr>
        <w:ind w:left="500" w:right="3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w:t>
      </w:r>
    </w:p>
    <w:p>
      <w:pPr>
        <w:spacing w:after="0" w:line="146" w:lineRule="exact"/>
        <w:rPr>
          <w:rFonts w:ascii="Arial" w:cs="Arial" w:eastAsia="Arial" w:hAnsi="Arial"/>
          <w:sz w:val="18"/>
          <w:szCs w:val="18"/>
          <w:b w:val="1"/>
          <w:bCs w:val="1"/>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principle accounting policies adopted are set out below.</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Basis of presentation and principles of consolidation</w:t>
      </w:r>
    </w:p>
    <w:p>
      <w:pPr>
        <w:spacing w:after="0" w:line="252" w:lineRule="exact"/>
        <w:rPr>
          <w:rFonts w:ascii="Arial" w:cs="Arial" w:eastAsia="Arial" w:hAnsi="Arial"/>
          <w:sz w:val="18"/>
          <w:szCs w:val="18"/>
          <w:color w:val="auto"/>
        </w:rPr>
      </w:pPr>
    </w:p>
    <w:p>
      <w:pPr>
        <w:ind w:left="500"/>
        <w:spacing w:after="0" w:line="291" w:lineRule="auto"/>
        <w:rPr>
          <w:rFonts w:ascii="Arial" w:cs="Arial" w:eastAsia="Arial" w:hAnsi="Arial"/>
          <w:sz w:val="18"/>
          <w:szCs w:val="18"/>
          <w:color w:val="auto"/>
        </w:rPr>
      </w:pPr>
      <w:r>
        <w:rPr>
          <w:rFonts w:ascii="Arial" w:cs="Arial" w:eastAsia="Arial" w:hAnsi="Arial"/>
          <w:sz w:val="16"/>
          <w:szCs w:val="16"/>
          <w:color w:val="auto"/>
        </w:rPr>
        <w:t>The accompanying unaudited interim condensed consolidated financial statements contained herein were prepared in accordance with GAAP and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These condensed consolidated financial statements and accompanying notes should be read in conjunction with the Company’s annual consolidated financial statements and accompanying notes included in its Annual Report on Form 10-K for the year ended December 31, 2019.</w:t>
      </w:r>
    </w:p>
    <w:p>
      <w:pPr>
        <w:spacing w:after="0" w:line="193" w:lineRule="exact"/>
        <w:rPr>
          <w:rFonts w:ascii="Arial" w:cs="Arial" w:eastAsia="Arial" w:hAnsi="Arial"/>
          <w:sz w:val="18"/>
          <w:szCs w:val="18"/>
          <w:color w:val="auto"/>
        </w:rPr>
      </w:pPr>
    </w:p>
    <w:p>
      <w:pPr>
        <w:ind w:left="500" w:right="20"/>
        <w:spacing w:after="0" w:line="269" w:lineRule="auto"/>
        <w:rPr>
          <w:rFonts w:ascii="Arial" w:cs="Arial" w:eastAsia="Arial" w:hAnsi="Arial"/>
          <w:sz w:val="18"/>
          <w:szCs w:val="18"/>
          <w:color w:val="auto"/>
        </w:rPr>
      </w:pPr>
      <w:r>
        <w:rPr>
          <w:rFonts w:ascii="Arial" w:cs="Arial" w:eastAsia="Arial" w:hAnsi="Arial"/>
          <w:sz w:val="17"/>
          <w:szCs w:val="17"/>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New Fortress Energy Holdings retained a significant interest in NFE through its ownership of 147,058,824 Class B shares, representing a 88.0% voting and non-economic interest. New Fortress Energy Holdings also had an 88.0% economic interest in NFI through its ownership of 147,058,824 of NFI LLC Units. New Fortress Energy Holdings has been determined to be NFE’s predecessor for accounting purposes.</w:t>
      </w:r>
    </w:p>
    <w:p>
      <w:pPr>
        <w:spacing w:after="0" w:line="208" w:lineRule="exact"/>
        <w:rPr>
          <w:rFonts w:ascii="Arial" w:cs="Arial" w:eastAsia="Arial" w:hAnsi="Arial"/>
          <w:sz w:val="18"/>
          <w:szCs w:val="18"/>
          <w:color w:val="auto"/>
        </w:rPr>
      </w:pPr>
    </w:p>
    <w:p>
      <w:pPr>
        <w:ind w:left="500" w:right="80"/>
        <w:spacing w:after="0" w:line="301" w:lineRule="auto"/>
        <w:rPr>
          <w:rFonts w:ascii="Arial" w:cs="Arial" w:eastAsia="Arial" w:hAnsi="Arial"/>
          <w:sz w:val="18"/>
          <w:szCs w:val="18"/>
          <w:color w:val="auto"/>
        </w:rPr>
      </w:pPr>
      <w:r>
        <w:rPr>
          <w:rFonts w:ascii="Arial" w:cs="Arial" w:eastAsia="Arial" w:hAnsi="Arial"/>
          <w:sz w:val="16"/>
          <w:szCs w:val="16"/>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were 20,837,272 outstanding Class A shares. In connection with the exercise of the underwriters’ option to purchase an additional 837,272 Class A shares, NFE contributed such additional net proceeds to NFI in exchange for 837,272 NFI LLC Units.</w:t>
      </w:r>
    </w:p>
    <w:p>
      <w:pPr>
        <w:spacing w:after="0" w:line="184" w:lineRule="exact"/>
        <w:rPr>
          <w:rFonts w:ascii="Arial" w:cs="Arial" w:eastAsia="Arial" w:hAnsi="Arial"/>
          <w:sz w:val="18"/>
          <w:szCs w:val="18"/>
          <w:color w:val="auto"/>
        </w:rPr>
      </w:pPr>
    </w:p>
    <w:p>
      <w:pPr>
        <w:ind w:left="500" w:right="20"/>
        <w:spacing w:after="0" w:line="257" w:lineRule="auto"/>
        <w:rPr>
          <w:rFonts w:ascii="Arial" w:cs="Arial" w:eastAsia="Arial" w:hAnsi="Arial"/>
          <w:sz w:val="18"/>
          <w:szCs w:val="18"/>
          <w:color w:val="auto"/>
        </w:rPr>
      </w:pPr>
      <w:r>
        <w:rPr>
          <w:rFonts w:ascii="Arial" w:cs="Arial" w:eastAsia="Arial" w:hAnsi="Arial"/>
          <w:sz w:val="18"/>
          <w:szCs w:val="18"/>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condensed consolidated balances sheets and statements of operations and comprehensive loss of New Fortress Energy Holdings for all periods prior to the IPO.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color w:val="auto"/>
        </w:rPr>
        <w:t>On June 3, 2020, the Company entered into a mutual agreement (the “Mutual Agreement”) with the members holding the majority voting interest in New Fortress Energy Holdings (“Exchanging Members”) and NFE Sub LLC (a wholly-owned subsidiary of the Company). Pursuant to the Mutual Agreement, the Exchanging Members agreed to deliver a block redemption notice in accordance with the Amended and Restated Limited Liability Company Agreement of New Fortress Intermediate LLC (the “NFI LLCA”) with respect to all of the NFI LLC Units, together with an equal number of Class B shares of the Company, that such Exchanging Members indirectly own as members of New Fortress Energy Holdings. Pursuant to the Mutual Agreement, the Company agreed to exercise the Call Right (as defined in the NFI LLCA), pursuant to which the Company would acquire such NFI LLC Units and such Class B shares in exchange for Class A shares of the Company (the “Exchange Transactions”). The Exchange Transactions were completed on June 10, 2020. In connection with the closing of the Exchange Transactions, the Company issued 144,342,572 Class A shares in exchange for an equal number of NFI LLC Units, together with an equal number of Class B shares of the Company. Following the completion of the Exchange Transactions, the Company owns all of the NFI LLC Units directly or indirectly and no Class B shares remain outstanding. As of June 30, 2020, NFE has 168,587,346 Class A shares outstanding.</w:t>
      </w:r>
    </w:p>
    <w:p>
      <w:pPr>
        <w:spacing w:after="0" w:line="209"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Prior to the Exchange Transactions, the Company recognized the Exchanging Members’ economic interest in NFI as non-controlling interest in the Company’s condensed consolidated financial statements. Results of operations for the period prior to the date of the Exchange Transactions, June 10, 2020, was attributed to non-controlling interest based on the Exchanging Members’ interest in NFI; subsequent to the Exchange Transactions, results of operations, excluding results attributable to other investors in non-wholly owned subsidiaries, were recognized as net income or loss attributable to stockholders. Amounts that were attributable to these Exchanging Members' prior interest in NFI previously shown as non-controlling interest on the Company’s consolidated balance sheets have been reclassified to Class A shares.</w:t>
      </w:r>
    </w:p>
    <w:p>
      <w:pPr>
        <w:spacing w:after="0" w:line="20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rFonts w:ascii="Arial" w:cs="Arial" w:eastAsia="Arial" w:hAnsi="Arial"/>
          <w:sz w:val="18"/>
          <w:szCs w:val="18"/>
          <w:color w:val="auto"/>
        </w:rPr>
      </w:pPr>
    </w:p>
    <w:p>
      <w:pPr>
        <w:ind w:left="500" w:right="80"/>
        <w:spacing w:after="0" w:line="293" w:lineRule="auto"/>
        <w:rPr>
          <w:rFonts w:ascii="Arial" w:cs="Arial" w:eastAsia="Arial" w:hAnsi="Arial"/>
          <w:sz w:val="18"/>
          <w:szCs w:val="18"/>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relative fair value allocation between revenue and lease components of contracts with customers, total consideration and fair value of identifiable net assets related to acquisitions and the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91"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and contingencies</w:t>
      </w:r>
    </w:p>
    <w:p>
      <w:pPr>
        <w:spacing w:after="0" w:line="252" w:lineRule="exact"/>
        <w:rPr>
          <w:rFonts w:ascii="Arial" w:cs="Arial" w:eastAsia="Arial" w:hAnsi="Arial"/>
          <w:sz w:val="18"/>
          <w:szCs w:val="18"/>
          <w:color w:val="auto"/>
        </w:rPr>
      </w:pPr>
    </w:p>
    <w:p>
      <w:pPr>
        <w:ind w:left="500"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214"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500" w:right="20"/>
        <w:spacing w:after="0" w:line="288" w:lineRule="auto"/>
        <w:rPr>
          <w:rFonts w:ascii="Arial" w:cs="Arial" w:eastAsia="Arial" w:hAnsi="Arial"/>
          <w:sz w:val="18"/>
          <w:szCs w:val="18"/>
          <w:color w:val="auto"/>
        </w:rPr>
      </w:pPr>
      <w:r>
        <w:rPr>
          <w:rFonts w:ascii="Arial" w:cs="Arial" w:eastAsia="Arial" w:hAnsi="Arial"/>
          <w:sz w:val="16"/>
          <w:szCs w:val="16"/>
          <w:color w:val="auto"/>
        </w:rPr>
        <w:t>The Company’s contracts with customers may contain one or several performance obligations usually consisting of the sale of LNG, natural gas, and beginning in the first quarter of 2020,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the Company has presented Operating revenue on an aggregated basis.</w:t>
      </w:r>
    </w:p>
    <w:p>
      <w:pPr>
        <w:spacing w:after="0" w:line="195" w:lineRule="exact"/>
        <w:rPr>
          <w:rFonts w:ascii="Arial" w:cs="Arial" w:eastAsia="Arial" w:hAnsi="Arial"/>
          <w:sz w:val="18"/>
          <w:szCs w:val="18"/>
          <w:color w:val="auto"/>
        </w:rPr>
      </w:pPr>
    </w:p>
    <w:p>
      <w:pPr>
        <w:ind w:left="500" w:right="240"/>
        <w:spacing w:after="0" w:line="263" w:lineRule="auto"/>
        <w:rPr>
          <w:rFonts w:ascii="Arial" w:cs="Arial" w:eastAsia="Arial" w:hAnsi="Arial"/>
          <w:sz w:val="18"/>
          <w:szCs w:val="18"/>
          <w:color w:val="auto"/>
        </w:rPr>
      </w:pPr>
      <w:r>
        <w:rPr>
          <w:rFonts w:ascii="Arial" w:cs="Arial" w:eastAsia="Arial" w:hAnsi="Arial"/>
          <w:sz w:val="18"/>
          <w:szCs w:val="18"/>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right="260"/>
        <w:spacing w:after="0" w:line="301" w:lineRule="auto"/>
        <w:rPr>
          <w:sz w:val="20"/>
          <w:szCs w:val="20"/>
          <w:color w:val="auto"/>
        </w:rPr>
      </w:pPr>
      <w:r>
        <w:rPr>
          <w:rFonts w:ascii="Arial" w:cs="Arial" w:eastAsia="Arial" w:hAnsi="Arial"/>
          <w:sz w:val="16"/>
          <w:szCs w:val="16"/>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84" w:lineRule="exact"/>
        <w:rPr>
          <w:sz w:val="20"/>
          <w:szCs w:val="20"/>
          <w:color w:val="auto"/>
        </w:rPr>
      </w:pPr>
    </w:p>
    <w:p>
      <w:pPr>
        <w:ind w:left="500" w:right="40"/>
        <w:spacing w:after="0" w:line="272" w:lineRule="auto"/>
        <w:rPr>
          <w:sz w:val="20"/>
          <w:szCs w:val="20"/>
          <w:color w:val="auto"/>
        </w:rPr>
      </w:pPr>
      <w:r>
        <w:rPr>
          <w:rFonts w:ascii="Arial" w:cs="Arial" w:eastAsia="Arial" w:hAnsi="Arial"/>
          <w:sz w:val="17"/>
          <w:szCs w:val="17"/>
          <w:color w:val="auto"/>
        </w:rPr>
        <w:t>The leases of certain facilities and equipment to customers are accounted for as financing or operating leases. The current and non-current portion of financing leases are recorded within Prepaid expenses and other current assets and Finance leases, net on the condensed consolidated balance sheets, respectively.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For the Company’s operating leases, the amount allocated to the leasing component is recognized over the lease term as Other revenue in the condensed consolidated statements of operations and comprehensive loss.</w:t>
      </w:r>
    </w:p>
    <w:p>
      <w:pPr>
        <w:spacing w:after="0" w:line="204" w:lineRule="exact"/>
        <w:rPr>
          <w:sz w:val="20"/>
          <w:szCs w:val="20"/>
          <w:color w:val="auto"/>
        </w:rPr>
      </w:pPr>
    </w:p>
    <w:p>
      <w:pPr>
        <w:ind w:left="500" w:right="20"/>
        <w:spacing w:after="0" w:line="271" w:lineRule="auto"/>
        <w:rPr>
          <w:sz w:val="20"/>
          <w:szCs w:val="20"/>
          <w:color w:val="auto"/>
        </w:rPr>
      </w:pPr>
      <w:r>
        <w:rPr>
          <w:rFonts w:ascii="Arial" w:cs="Arial" w:eastAsia="Arial" w:hAnsi="Arial"/>
          <w:sz w:val="17"/>
          <w:szCs w:val="17"/>
          <w:color w:val="auto"/>
        </w:rPr>
        <w:t>In addition to the revenue recognized from the leasing components of agreements with customers, Other revenue includes revenue recognized from the construction, installation and commissioning of equipment, inclusive of natural gas used in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205" w:lineRule="exact"/>
        <w:rPr>
          <w:sz w:val="20"/>
          <w:szCs w:val="20"/>
          <w:color w:val="auto"/>
        </w:rPr>
      </w:pPr>
    </w:p>
    <w:p>
      <w:pPr>
        <w:jc w:val="both"/>
        <w:ind w:left="500" w:right="200"/>
        <w:spacing w:after="0" w:line="286" w:lineRule="auto"/>
        <w:rPr>
          <w:sz w:val="20"/>
          <w:szCs w:val="20"/>
          <w:color w:val="auto"/>
        </w:rPr>
      </w:pPr>
      <w:r>
        <w:rPr>
          <w:rFonts w:ascii="Arial" w:cs="Arial" w:eastAsia="Arial" w:hAnsi="Arial"/>
          <w:sz w:val="17"/>
          <w:szCs w:val="17"/>
          <w:color w:val="auto"/>
        </w:rPr>
        <w:t>Shipping and handling costs are not considered to be separate performance obligations. These costs are recognized in the period in which the costs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192" w:lineRule="exact"/>
        <w:rPr>
          <w:sz w:val="20"/>
          <w:szCs w:val="20"/>
          <w:color w:val="auto"/>
        </w:rPr>
      </w:pPr>
    </w:p>
    <w:p>
      <w:pPr>
        <w:ind w:left="500" w:right="160"/>
        <w:spacing w:after="0" w:line="263" w:lineRule="auto"/>
        <w:rPr>
          <w:sz w:val="20"/>
          <w:szCs w:val="20"/>
          <w:color w:val="auto"/>
        </w:rPr>
      </w:pPr>
      <w:r>
        <w:rPr>
          <w:rFonts w:ascii="Arial" w:cs="Arial" w:eastAsia="Arial" w:hAnsi="Arial"/>
          <w:sz w:val="18"/>
          <w:szCs w:val="18"/>
          <w:color w:val="auto"/>
        </w:rPr>
        <w:t>The Company collects sales taxes from its customers based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211" w:lineRule="exact"/>
        <w:rPr>
          <w:sz w:val="20"/>
          <w:szCs w:val="20"/>
          <w:color w:val="auto"/>
        </w:rPr>
      </w:pPr>
    </w:p>
    <w:p>
      <w:pPr>
        <w:jc w:val="both"/>
        <w:ind w:left="500" w:right="440"/>
        <w:spacing w:after="0" w:line="263" w:lineRule="auto"/>
        <w:rPr>
          <w:sz w:val="20"/>
          <w:szCs w:val="20"/>
          <w:color w:val="auto"/>
        </w:rPr>
      </w:pPr>
      <w:r>
        <w:rPr>
          <w:rFonts w:ascii="Arial" w:cs="Arial" w:eastAsia="Arial" w:hAnsi="Arial"/>
          <w:sz w:val="18"/>
          <w:szCs w:val="18"/>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21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termination charges and loss on mitigation sales</w:t>
      </w:r>
    </w:p>
    <w:p>
      <w:pPr>
        <w:spacing w:after="0" w:line="252" w:lineRule="exact"/>
        <w:rPr>
          <w:rFonts w:ascii="Arial" w:cs="Arial" w:eastAsia="Arial" w:hAnsi="Arial"/>
          <w:sz w:val="18"/>
          <w:szCs w:val="18"/>
          <w:color w:val="auto"/>
        </w:rPr>
      </w:pPr>
    </w:p>
    <w:p>
      <w:pPr>
        <w:ind w:left="500" w:right="60"/>
        <w:spacing w:after="0" w:line="255" w:lineRule="auto"/>
        <w:rPr>
          <w:rFonts w:ascii="Arial" w:cs="Arial" w:eastAsia="Arial" w:hAnsi="Arial"/>
          <w:sz w:val="18"/>
          <w:szCs w:val="18"/>
          <w:color w:val="auto"/>
        </w:rPr>
      </w:pPr>
      <w:r>
        <w:rPr>
          <w:rFonts w:ascii="Arial" w:cs="Arial" w:eastAsia="Arial" w:hAnsi="Arial"/>
          <w:sz w:val="18"/>
          <w:szCs w:val="18"/>
          <w:color w:val="auto"/>
        </w:rPr>
        <w:t>The Company has long-term supply agreements to purchase LNG, and the Company may incur termination charges to the extent that the Company cancels such contractual arrangements. Further, if the Company is unable to take physical possession of a portion of the contracted quantity of LNG due to capacity limitations, the supplier will attempt to sell the undelivered quantity through a mitigation sale. The Company may incur a loss on a mitigation sale if the cargo is unable to be sold for a price greater than the contracted price. These costs are included in a separate line in the condensed consolidated statements of operations and comprehensive loss because such costs are not related to inventory delivered to the Company’s customers.</w:t>
      </w:r>
    </w:p>
    <w:p>
      <w:pPr>
        <w:spacing w:after="0" w:line="219" w:lineRule="exact"/>
        <w:rPr>
          <w:rFonts w:ascii="Arial" w:cs="Arial" w:eastAsia="Arial" w:hAnsi="Arial"/>
          <w:sz w:val="18"/>
          <w:szCs w:val="18"/>
          <w:color w:val="auto"/>
        </w:rPr>
      </w:pPr>
    </w:p>
    <w:p>
      <w:pPr>
        <w:ind w:left="500"/>
        <w:spacing w:after="0" w:line="259" w:lineRule="auto"/>
        <w:rPr>
          <w:rFonts w:ascii="Arial" w:cs="Arial" w:eastAsia="Arial" w:hAnsi="Arial"/>
          <w:sz w:val="18"/>
          <w:szCs w:val="18"/>
          <w:color w:val="auto"/>
        </w:rPr>
      </w:pPr>
      <w:r>
        <w:rPr>
          <w:rFonts w:ascii="Arial" w:cs="Arial" w:eastAsia="Arial" w:hAnsi="Arial"/>
          <w:sz w:val="18"/>
          <w:szCs w:val="18"/>
          <w:color w:val="auto"/>
        </w:rPr>
        <w:t>During the three and six months ended June 30, 2020, the Company recognized a termination charge of $105,000 associated with an agreement with one of the Company’s LNG suppliers to terminate the obligation to purchase any LNG from this supplier for the remainder of 2020 in exchange for a cancellation fee of $105,000. Loss on mitigation sales of $18,906 and $19,114 were recognized in the three and six months ended June 30, 2020, respectively.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256" w:lineRule="exact"/>
        <w:rPr>
          <w:sz w:val="20"/>
          <w:szCs w:val="20"/>
          <w:color w:val="auto"/>
        </w:rPr>
      </w:pPr>
    </w:p>
    <w:p>
      <w:pPr>
        <w:jc w:val="both"/>
        <w:ind w:left="500" w:right="40"/>
        <w:spacing w:after="0" w:line="311" w:lineRule="auto"/>
        <w:rPr>
          <w:sz w:val="20"/>
          <w:szCs w:val="20"/>
          <w:color w:val="auto"/>
        </w:rPr>
      </w:pPr>
      <w:r>
        <w:rPr>
          <w:rFonts w:ascii="Arial" w:cs="Arial" w:eastAsia="Arial" w:hAnsi="Arial"/>
          <w:sz w:val="16"/>
          <w:szCs w:val="16"/>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7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standards, amendments and interpretations issued but not effective for the financial year beginning January 1, 2020:</w:t>
      </w:r>
    </w:p>
    <w:p>
      <w:pPr>
        <w:spacing w:after="0" w:line="252" w:lineRule="exact"/>
        <w:rPr>
          <w:rFonts w:ascii="Arial" w:cs="Arial" w:eastAsia="Arial" w:hAnsi="Arial"/>
          <w:sz w:val="18"/>
          <w:szCs w:val="18"/>
          <w:color w:val="auto"/>
        </w:rPr>
      </w:pPr>
    </w:p>
    <w:p>
      <w:pPr>
        <w:ind w:left="500" w:right="60"/>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In June 2016, the Financial Accounting Standards Board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Framework – Measurement of Credit Losses on Financial Instruments </w:t>
      </w:r>
      <w:r>
        <w:rPr>
          <w:rFonts w:ascii="Arial" w:cs="Arial" w:eastAsia="Arial" w:hAnsi="Arial"/>
          <w:sz w:val="17"/>
          <w:szCs w:val="17"/>
          <w:color w:val="auto"/>
        </w:rPr>
        <w:t>(“ASU 2016-13”), which requires financial assets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basis, including trade receivables, to be presented net of the amount expected to be collected. The measurement of all expected credit losses will be based on historical experience, current conditions, and reasonable and supportable forecasts. In October 2019, the FASB voted to approve a proposal to defer the effective date of ASC 2016-13 for certain entities, including emerging growth companies that take advantage of the extended transition period, to fiscal years beginning after December 15, 2022, and early adoption is permitted. The Company is currently evaluating the impact of adopting this new guidance on its consolidated financial statements and timing of adoption.</w:t>
      </w:r>
    </w:p>
    <w:p>
      <w:pPr>
        <w:spacing w:after="0" w:line="204" w:lineRule="exact"/>
        <w:rPr>
          <w:rFonts w:ascii="Arial" w:cs="Arial" w:eastAsia="Arial" w:hAnsi="Arial"/>
          <w:sz w:val="18"/>
          <w:szCs w:val="18"/>
          <w:color w:val="auto"/>
        </w:rPr>
      </w:pPr>
    </w:p>
    <w:p>
      <w:pPr>
        <w:ind w:left="500"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including removing certain exceptions related to the general principles in ASU 740, </w:t>
      </w:r>
      <w:r>
        <w:rPr>
          <w:rFonts w:ascii="Arial" w:cs="Arial" w:eastAsia="Arial" w:hAnsi="Arial"/>
          <w:sz w:val="18"/>
          <w:szCs w:val="18"/>
          <w:i w:val="1"/>
          <w:iCs w:val="1"/>
          <w:color w:val="auto"/>
        </w:rPr>
        <w:t>Income Taxes</w:t>
      </w:r>
      <w:r>
        <w:rPr>
          <w:rFonts w:ascii="Arial" w:cs="Arial" w:eastAsia="Arial" w:hAnsi="Arial"/>
          <w:sz w:val="18"/>
          <w:szCs w:val="18"/>
          <w:color w:val="auto"/>
        </w:rPr>
        <w:t>. It also clarifies and simplifies other aspects of the accounting for income taxes. The new standard is effective for interim and annual periods beginning after December 15, 2021, and early adoption is permitted. The Company is currently evaluating the impact of adopting this new guidance on its consolidated financial statements and timing of adoption.</w:t>
      </w:r>
    </w:p>
    <w:p>
      <w:pPr>
        <w:spacing w:after="0" w:line="214"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and amended standards adopted by the Company:</w:t>
      </w:r>
    </w:p>
    <w:p>
      <w:pPr>
        <w:spacing w:after="0" w:line="252" w:lineRule="exact"/>
        <w:rPr>
          <w:rFonts w:ascii="Arial" w:cs="Arial" w:eastAsia="Arial" w:hAnsi="Arial"/>
          <w:sz w:val="18"/>
          <w:szCs w:val="18"/>
          <w:color w:val="auto"/>
        </w:rPr>
      </w:pPr>
    </w:p>
    <w:p>
      <w:pPr>
        <w:ind w:left="500" w:right="280"/>
        <w:spacing w:after="0" w:line="296" w:lineRule="auto"/>
        <w:rPr>
          <w:rFonts w:ascii="Arial" w:cs="Arial" w:eastAsia="Arial" w:hAnsi="Arial"/>
          <w:sz w:val="18"/>
          <w:szCs w:val="18"/>
          <w:color w:val="auto"/>
        </w:rPr>
      </w:pPr>
      <w:r>
        <w:rPr>
          <w:rFonts w:ascii="Arial" w:cs="Arial" w:eastAsia="Arial" w:hAnsi="Arial"/>
          <w:sz w:val="16"/>
          <w:szCs w:val="16"/>
          <w:color w:val="auto"/>
        </w:rPr>
        <w:t xml:space="preserve">On February 25,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amends the existing accounting standards for lease accounting, including requiring lessees to recognize most leases on their balance sheet and making targeted changes to lessor accounting. The recognition, measurement and presentation of expenses and cash flows arising from a lease by a lessee will depend primarily on the lease’s classification as a finance or operating lease. However, unlike ASC 840, which required only capital leases to be recognized on the balance sheet, ASC 842 requires most leases to be recognized on the balance sheet as a right-of-use (“ROU”) asset and a lease liability.</w:t>
      </w:r>
    </w:p>
    <w:p>
      <w:pPr>
        <w:spacing w:after="0" w:line="188" w:lineRule="exact"/>
        <w:rPr>
          <w:rFonts w:ascii="Arial" w:cs="Arial" w:eastAsia="Arial" w:hAnsi="Arial"/>
          <w:sz w:val="18"/>
          <w:szCs w:val="18"/>
          <w:color w:val="auto"/>
        </w:rPr>
      </w:pPr>
    </w:p>
    <w:p>
      <w:pPr>
        <w:ind w:left="500"/>
        <w:spacing w:after="0" w:line="273" w:lineRule="auto"/>
        <w:rPr>
          <w:rFonts w:ascii="Arial" w:cs="Arial" w:eastAsia="Arial" w:hAnsi="Arial"/>
          <w:sz w:val="18"/>
          <w:szCs w:val="18"/>
          <w:color w:val="auto"/>
        </w:rPr>
      </w:pPr>
      <w:r>
        <w:rPr>
          <w:rFonts w:ascii="Arial" w:cs="Arial" w:eastAsia="Arial" w:hAnsi="Arial"/>
          <w:sz w:val="17"/>
          <w:szCs w:val="17"/>
          <w:color w:val="auto"/>
        </w:rPr>
        <w:t>The Company has entered into lease agreements for the use of LNG vessels, marine port space, office space, land and equipment, all of which are operating leases.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 The incremental borrowing rate used to calculate the present value of lease payments is determined using existing credit rates of unsecured borrowings adjusted for collateral, which are then adjusted for the appropriate lease term and currency.</w:t>
      </w:r>
    </w:p>
    <w:p>
      <w:pPr>
        <w:spacing w:after="0" w:line="204" w:lineRule="exact"/>
        <w:rPr>
          <w:rFonts w:ascii="Arial" w:cs="Arial" w:eastAsia="Arial" w:hAnsi="Arial"/>
          <w:sz w:val="18"/>
          <w:szCs w:val="18"/>
          <w:color w:val="auto"/>
        </w:rPr>
      </w:pPr>
    </w:p>
    <w:p>
      <w:pPr>
        <w:ind w:left="500" w:right="140"/>
        <w:spacing w:after="0" w:line="259" w:lineRule="auto"/>
        <w:rPr>
          <w:rFonts w:ascii="Arial" w:cs="Arial" w:eastAsia="Arial" w:hAnsi="Arial"/>
          <w:sz w:val="18"/>
          <w:szCs w:val="18"/>
          <w:color w:val="auto"/>
        </w:rPr>
      </w:pPr>
      <w:r>
        <w:rPr>
          <w:rFonts w:ascii="Arial" w:cs="Arial" w:eastAsia="Arial" w:hAnsi="Arial"/>
          <w:sz w:val="18"/>
          <w:szCs w:val="18"/>
          <w:color w:val="auto"/>
        </w:rPr>
        <w:t>The Company adopted ASC 842 effective January 1, 2020 and elected to apply the modified retrospective transition method at the beginning of the period of adoption, which allowed the Company to begin recognizing and measuring leases under ASC 842 at January 1, 2020, without modifying the comparative period financial statements. Upon adoption of ASC 842, the Company recorded ROU assets and corresponding lease liabilities of $124,774 and $103,874, respectively.</w:t>
      </w:r>
    </w:p>
    <w:p>
      <w:pPr>
        <w:spacing w:after="0" w:line="213" w:lineRule="exact"/>
        <w:rPr>
          <w:rFonts w:ascii="Arial" w:cs="Arial" w:eastAsia="Arial" w:hAnsi="Arial"/>
          <w:sz w:val="18"/>
          <w:szCs w:val="18"/>
          <w:color w:val="auto"/>
        </w:rPr>
      </w:pPr>
    </w:p>
    <w:p>
      <w:pPr>
        <w:ind w:left="500"/>
        <w:spacing w:after="0" w:line="288" w:lineRule="auto"/>
        <w:rPr>
          <w:rFonts w:ascii="Arial" w:cs="Arial" w:eastAsia="Arial" w:hAnsi="Arial"/>
          <w:sz w:val="18"/>
          <w:szCs w:val="18"/>
          <w:color w:val="auto"/>
        </w:rPr>
      </w:pPr>
      <w:r>
        <w:rPr>
          <w:rFonts w:ascii="Arial" w:cs="Arial" w:eastAsia="Arial" w:hAnsi="Arial"/>
          <w:sz w:val="16"/>
          <w:szCs w:val="16"/>
          <w:color w:val="auto"/>
        </w:rPr>
        <w:t>The Company did not elect the package of practical expedients and therefore, as part of transition, the Company reassessed the previous conclusions made under ASC 840 related to the identification of leases, classification of leases and initial direct costs based on the standards of ASC 842. In connection with the reassessment of previous conclusions, the Company determined that the direct financing lease recognized related to the Montego Bay Terminal is no longer a lease under ASC 842. The Company recognized a transition adjustment that removed the unamortized net investment in the direct financing lease and recognized the underlying assets as Property, plant and equipment net of depreciation that would have been recognized since the commissioning of the Montego Bay Terminal, with the difference of approximately $9,085, net of taxes of $2,945, recorded as an adjustment to retained earnings. Beginning in 2020, the Company will recognize payments previously allocated to the leasing component of the gas sales agreement with this customer within Operating revenue in the condensed consolidated statements of operations and comprehensive loss. Under ASC 840, amounts allocated to the leasing component had been recognized on an effective interest method over the lease term with only the portion representing interest income recognized as Other revenue.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spacing w:after="0" w:line="290" w:lineRule="auto"/>
        <w:rPr>
          <w:sz w:val="20"/>
          <w:szCs w:val="20"/>
          <w:color w:val="auto"/>
        </w:rPr>
      </w:pPr>
      <w:r>
        <w:rPr>
          <w:rFonts w:ascii="Arial" w:cs="Arial" w:eastAsia="Arial" w:hAnsi="Arial"/>
          <w:sz w:val="16"/>
          <w:szCs w:val="16"/>
          <w:color w:val="auto"/>
        </w:rPr>
        <w:t>The Company made an accounting policy election to exclude leases with terms of 12 months or less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 The Company, as lessee, has also elected the practical expedient not to separate lease and non-lease components for marine port space, office space, land and equipment leases. The Company will separate the lease and non-lease components for LNG vessel leases. The allocation of lease payments between lease and non-lease components has been determined based on the relative fair value of each component. The fair value of the lease component is estimated based on the estimated standalone price to lease a bareboat LNG vessel. The fair value of the non-lease component is estimated based on the estimated standalone price of operating the respective vessel, inclusive of the costs of the crew and other operating costs.</w:t>
      </w:r>
    </w:p>
    <w:p>
      <w:pPr>
        <w:spacing w:after="0" w:line="192"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color w:val="auto"/>
        </w:rPr>
        <w:t>The Company, as lessor, will continue to separate lease and non-lease components for the equipment leases provided in connection with agreements for the sale of LNG or natural gas to customers.</w:t>
      </w:r>
    </w:p>
    <w:p>
      <w:pPr>
        <w:spacing w:after="0" w:line="197"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The Company has elected the land easement practical expedient, which allows the Company to continue to account for pre-existing land easements as intangible assets under the accounting policy that existed before adoption of ASC 842.</w:t>
      </w:r>
    </w:p>
    <w:p>
      <w:pPr>
        <w:spacing w:after="0" w:line="197" w:lineRule="exact"/>
        <w:rPr>
          <w:sz w:val="20"/>
          <w:szCs w:val="20"/>
          <w:color w:val="auto"/>
        </w:rPr>
      </w:pPr>
    </w:p>
    <w:p>
      <w:pPr>
        <w:ind w:left="500" w:right="120"/>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2018-13”), which provides additional guidance to improve the effectiveness of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on fair value measurement. The Company has adopted ASU 2018-13 for the year beginning January 1, 2020. As this guidance is only related to qualitative financial disclosures, it did not have a material impact on the Company’s condensed consolidated financial statements.</w:t>
      </w:r>
    </w:p>
    <w:p>
      <w:pPr>
        <w:spacing w:after="0" w:line="184" w:lineRule="exact"/>
        <w:rPr>
          <w:sz w:val="20"/>
          <w:szCs w:val="20"/>
          <w:color w:val="auto"/>
        </w:rPr>
      </w:pPr>
    </w:p>
    <w:p>
      <w:pPr>
        <w:ind w:left="500" w:right="40"/>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which requires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that is a service contract to follow the internal-use software guidance in ASC 350-40 to determine which implementation costs to capitalize as assets. A customer’s accounting for the costs of the hosting component of the arrangement is not affected by the new guidance. The Company has early adopted ASU 2018-15 for the year beginning January 1, 2020, using the prospective transition approach. This approach did not require any adjustment to comparative financial statements. The Company did not capitalize a material amount of implementation costs as a result of adopting this guidance in the three or six months ended June 30, 2020, and the adoption did not result in material impact on the Company’s condensed consolidated financial statements.</w:t>
      </w:r>
    </w:p>
    <w:p>
      <w:pPr>
        <w:spacing w:after="0" w:line="20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6" w:lineRule="exact"/>
        <w:rPr>
          <w:rFonts w:ascii="Arial" w:cs="Arial" w:eastAsia="Arial" w:hAnsi="Arial"/>
          <w:sz w:val="18"/>
          <w:szCs w:val="18"/>
          <w:b w:val="1"/>
          <w:bCs w:val="1"/>
          <w:color w:val="auto"/>
        </w:rPr>
      </w:pPr>
    </w:p>
    <w:p>
      <w:pPr>
        <w:ind w:left="500" w:right="4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Under most customer contracts, invoicing occurs once the Company’s performance obligations have been satisfied, at which point payment is unconditional. As of June 30, 2020 and December 31, 2019, receivables related to revenue from contracts with customers totaled $44,704 and $30,563, respectively, and were included in “Receivables, net” on the condensed consolidated balance sheets, net of the allowance for doubtful accounts. Other items included in Receivables, net not related to revenue from contracts with customers represent receivables associated with reimbursable costs, recoverable taxes and leases which are accounted for outside the scope of ASC 606.</w:t>
      </w:r>
    </w:p>
    <w:p>
      <w:pPr>
        <w:spacing w:after="0" w:line="188" w:lineRule="exact"/>
        <w:rPr>
          <w:rFonts w:ascii="Arial" w:cs="Arial" w:eastAsia="Arial" w:hAnsi="Arial"/>
          <w:sz w:val="18"/>
          <w:szCs w:val="18"/>
          <w:b w:val="1"/>
          <w:bCs w:val="1"/>
          <w:color w:val="auto"/>
        </w:rPr>
      </w:pPr>
    </w:p>
    <w:p>
      <w:pPr>
        <w:ind w:left="5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has recognized a contract liability, comprised of unconditional payments due or paid under the contract with a customer prior to the Company’s satisfaction of the related performance obligations. The performance obligations are expected to be satisfied during the next 12 months, and the contract liability is classified within Other current liabilities on the condensed consolidated balance sheets. Contract assets are comprised of the transaction price allocated to completed performance obligations that will be billed to customers in subsequent periods. The contract liability and contract assets balances as of June 30, 2020 and December 31, 2019 are detailed below:</w:t>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8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80" w:type="dxa"/>
            <w:vAlign w:val="bottom"/>
            <w:shd w:val="clear" w:color="auto" w:fill="CCEEFF"/>
          </w:tcPr>
          <w:p>
            <w:pPr>
              <w:spacing w:after="0"/>
              <w:rPr>
                <w:sz w:val="18"/>
                <w:szCs w:val="18"/>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 - non-current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19,474</w:t>
            </w:r>
          </w:p>
        </w:tc>
      </w:tr>
      <w:tr>
        <w:trPr>
          <w:trHeight w:val="25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27,795</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80" w:type="dxa"/>
            <w:vAlign w:val="bottom"/>
            <w:shd w:val="clear" w:color="auto" w:fill="CCEEFF"/>
          </w:tcPr>
          <w:p>
            <w:pPr>
              <w:spacing w:after="0"/>
              <w:rPr>
                <w:sz w:val="22"/>
                <w:szCs w:val="22"/>
                <w:color w:val="auto"/>
              </w:rPr>
            </w:pPr>
          </w:p>
        </w:tc>
      </w:tr>
      <w:tr>
        <w:trPr>
          <w:trHeight w:val="210"/>
        </w:trPr>
        <w:tc>
          <w:tcPr>
            <w:tcW w:w="8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6,542</w:t>
            </w:r>
          </w:p>
        </w:tc>
      </w:tr>
      <w:tr>
        <w:trPr>
          <w:trHeight w:val="216"/>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in the year from:</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Amounts included in contract liability at the beginning of the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4,816</w:t>
            </w:r>
          </w:p>
        </w:tc>
        <w:tc>
          <w:tcPr>
            <w:tcW w:w="2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00" w:right="160"/>
        <w:spacing w:after="0" w:line="263" w:lineRule="auto"/>
        <w:rPr>
          <w:sz w:val="20"/>
          <w:szCs w:val="20"/>
          <w:color w:val="auto"/>
        </w:rPr>
      </w:pPr>
      <w:r>
        <w:rPr>
          <w:rFonts w:ascii="Arial" w:cs="Arial" w:eastAsia="Arial" w:hAnsi="Arial"/>
          <w:sz w:val="18"/>
          <w:szCs w:val="18"/>
          <w:color w:val="auto"/>
        </w:rPr>
        <w:t>As of June 30, 2020, the Company has unbilled receivables of $6,999, of which $356 is presented within Other current assets and $6,643 is presented within Other non-current assets on the condensed consolidated balance sheet. These unbilled receivables represent unconditional right to payment subject only to the passage of time.</w:t>
      </w:r>
    </w:p>
    <w:p>
      <w:pPr>
        <w:sectPr>
          <w:pgSz w:w="11900" w:h="16838" w:orient="portrait"/>
          <w:cols w:equalWidth="0" w:num="1">
            <w:col w:w="11220"/>
          </w:cols>
          <w:pgMar w:left="320" w:top="122" w:right="35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right="80"/>
        <w:spacing w:after="0" w:line="255" w:lineRule="auto"/>
        <w:rPr>
          <w:sz w:val="20"/>
          <w:szCs w:val="20"/>
          <w:color w:val="auto"/>
        </w:rPr>
      </w:pPr>
      <w:r>
        <w:rPr>
          <w:rFonts w:ascii="Arial" w:cs="Arial" w:eastAsia="Arial" w:hAnsi="Arial"/>
          <w:sz w:val="18"/>
          <w:szCs w:val="18"/>
          <w:color w:val="auto"/>
        </w:rPr>
        <w:t>Operating revenue which includes revenue from sales of LNG and natural gas as well as outputs from the Company’s natural gas-fired power generation facilities, including power and steam, was $76,177 and $31,738 for the three months ended June 30, 2020 and 2019, respectively. Operating revenue was $139,679 and $57,876 for the six months ended June 30, 2020 and 2019, respectively. During March 2020, the Company began to deliver power and steam recognizing $6,946 and $8,677 in operating revenue for the three and six months ended June 30, 2020, respectively. Other revenue includes revenue for development services as well as lease and other revenue. The table below summarizes the balances in Other revenue:</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0"/>
                <w:szCs w:val="20"/>
                <w:color w:val="auto"/>
              </w:rPr>
            </w:pPr>
          </w:p>
        </w:tc>
        <w:tc>
          <w:tcPr>
            <w:tcW w:w="2320" w:type="dxa"/>
            <w:vAlign w:val="bottom"/>
            <w:gridSpan w:val="5"/>
          </w:tcPr>
          <w:p>
            <w:pPr>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5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services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4"/>
              </w:rPr>
              <w:t>3,908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8"/>
                <w:szCs w:val="18"/>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Lease and other revenue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7,933</w:t>
            </w:r>
          </w:p>
        </w:tc>
      </w:tr>
      <w:tr>
        <w:trPr>
          <w:trHeight w:val="257"/>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revenue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4"/>
              </w:rPr>
              <w:t>8,028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jc w:val="both"/>
        <w:ind w:left="500" w:right="6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97"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The Company has arrangements in which LNG, natural gas or outputs from the Company’s power generation facilities are sold on a “take-or-pay” basis whereby the customer is obligated to pay for the minimum guaranteed volumes even if it does not take delivery of them. The price under these agreements is typically based on a market index plus a fixed margin. The fixed transaction price allocated to the remaining performance obligations under these arrangements is $4,410,159 as of June 30, 2020,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Revenue</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129,090</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243,553</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242,745</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242,836</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243,090</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3,308,845</w:t>
            </w:r>
          </w:p>
        </w:tc>
      </w:tr>
      <w:tr>
        <w:trPr>
          <w:trHeight w:val="23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4,410,159</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500" w:right="100"/>
        <w:spacing w:after="0" w:line="273" w:lineRule="auto"/>
        <w:rPr>
          <w:sz w:val="20"/>
          <w:szCs w:val="20"/>
          <w:color w:val="auto"/>
        </w:rPr>
      </w:pPr>
      <w:r>
        <w:rPr>
          <w:rFonts w:ascii="Arial" w:cs="Arial" w:eastAsia="Arial" w:hAnsi="Arial"/>
          <w:sz w:val="17"/>
          <w:szCs w:val="17"/>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05" w:lineRule="exact"/>
        <w:rPr>
          <w:sz w:val="20"/>
          <w:szCs w:val="20"/>
          <w:color w:val="auto"/>
        </w:rPr>
      </w:pPr>
    </w:p>
    <w:p>
      <w:pPr>
        <w:ind w:left="500"/>
        <w:spacing w:after="0" w:line="293" w:lineRule="auto"/>
        <w:rPr>
          <w:sz w:val="20"/>
          <w:szCs w:val="20"/>
          <w:color w:val="auto"/>
        </w:rPr>
      </w:pPr>
      <w:r>
        <w:rPr>
          <w:rFonts w:ascii="Arial" w:cs="Arial" w:eastAsia="Arial" w:hAnsi="Arial"/>
          <w:sz w:val="16"/>
          <w:szCs w:val="16"/>
          <w:color w:val="auto"/>
        </w:rPr>
        <w:t>The Company has recognized costs to fulfill a contract with a significant customer, which primarily consist of expenses required to enhance resources to deliver under the agreement with the customer. As of June 30, 2020, the Company has capitalized $10,031, of which $498 of these costs is presented within Other current assets and $9,533 is presented within Other non-current assets on the condensed consolidated balance sheets. As of December 31, 2019, the Company had capitalized $8,839, of which $331 of these costs was presented within Other current assets and $8,508 was presented within Other non-current assets on the condensed consolidated balance sheets. In the first quarter of 2020, the Company began to delivery under the agreement and started recognizing these costs on a straight-line basis over the expected term of the agreement.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500" w:right="10240" w:hanging="492"/>
        <w:spacing w:after="0" w:line="740" w:lineRule="auto"/>
        <w:tabs>
          <w:tab w:leader="none" w:pos="5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Leases Lessee</w:t>
      </w:r>
    </w:p>
    <w:p>
      <w:pPr>
        <w:ind w:left="500" w:right="80"/>
        <w:spacing w:after="0" w:line="279" w:lineRule="auto"/>
        <w:rPr>
          <w:rFonts w:ascii="Arial" w:cs="Arial" w:eastAsia="Arial" w:hAnsi="Arial"/>
          <w:sz w:val="13"/>
          <w:szCs w:val="13"/>
          <w:b w:val="1"/>
          <w:bCs w:val="1"/>
          <w:color w:val="auto"/>
        </w:rPr>
      </w:pPr>
      <w:r>
        <w:rPr>
          <w:rFonts w:ascii="Arial" w:cs="Arial" w:eastAsia="Arial" w:hAnsi="Arial"/>
          <w:sz w:val="17"/>
          <w:szCs w:val="17"/>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98" w:lineRule="exact"/>
        <w:rPr>
          <w:rFonts w:ascii="Arial" w:cs="Arial" w:eastAsia="Arial" w:hAnsi="Arial"/>
          <w:sz w:val="13"/>
          <w:szCs w:val="13"/>
          <w:b w:val="1"/>
          <w:bCs w:val="1"/>
          <w:color w:val="auto"/>
        </w:rPr>
      </w:pPr>
    </w:p>
    <w:p>
      <w:pPr>
        <w:ind w:left="500" w:right="60"/>
        <w:spacing w:after="0" w:line="272" w:lineRule="auto"/>
        <w:rPr>
          <w:rFonts w:ascii="Arial" w:cs="Arial" w:eastAsia="Arial" w:hAnsi="Arial"/>
          <w:sz w:val="13"/>
          <w:szCs w:val="13"/>
          <w:b w:val="1"/>
          <w:bCs w:val="1"/>
          <w:color w:val="auto"/>
        </w:rPr>
      </w:pPr>
      <w:r>
        <w:rPr>
          <w:rFonts w:ascii="Arial" w:cs="Arial" w:eastAsia="Arial" w:hAnsi="Arial"/>
          <w:sz w:val="17"/>
          <w:szCs w:val="17"/>
          <w:color w:val="auto"/>
        </w:rPr>
        <w:t>The Company’s leases include fixed lease payments which may include escalation terms based on a fixed percentage or may vary based on an inflation indexes or other market adjustments. Escalations based on changes in inflation indices and market adjustments and other lease costs that vary based on the use of the underlying asset are not included as lease payments in the calculation of the lease liability or ROU asset and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204" w:lineRule="exact"/>
        <w:rPr>
          <w:rFonts w:ascii="Arial" w:cs="Arial" w:eastAsia="Arial" w:hAnsi="Arial"/>
          <w:sz w:val="13"/>
          <w:szCs w:val="13"/>
          <w:b w:val="1"/>
          <w:bCs w:val="1"/>
          <w:color w:val="auto"/>
        </w:rPr>
      </w:pPr>
    </w:p>
    <w:p>
      <w:pPr>
        <w:ind w:left="500" w:right="760"/>
        <w:spacing w:after="0" w:line="277" w:lineRule="auto"/>
        <w:rPr>
          <w:rFonts w:ascii="Arial" w:cs="Arial" w:eastAsia="Arial" w:hAnsi="Arial"/>
          <w:sz w:val="13"/>
          <w:szCs w:val="13"/>
          <w:b w:val="1"/>
          <w:bCs w:val="1"/>
          <w:color w:val="auto"/>
        </w:rPr>
      </w:pPr>
      <w:r>
        <w:rPr>
          <w:rFonts w:ascii="Arial" w:cs="Arial" w:eastAsia="Arial" w:hAnsi="Arial"/>
          <w:sz w:val="18"/>
          <w:szCs w:val="18"/>
          <w:color w:val="auto"/>
        </w:rPr>
        <w:t>For the three months and six months ended June 30, 2020, the Company’s operating lease cost recorded within the condensed consolidated statements of operations and comprehensive loss were as follows:</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220" w:type="dxa"/>
            <w:vAlign w:val="bottom"/>
            <w:gridSpan w:val="6"/>
          </w:tcPr>
          <w:p>
            <w:pPr>
              <w:spacing w:after="0"/>
              <w:rPr>
                <w:sz w:val="20"/>
                <w:szCs w:val="20"/>
                <w:color w:val="auto"/>
              </w:rPr>
            </w:pPr>
            <w:r>
              <w:rPr>
                <w:rFonts w:ascii="Arial" w:cs="Arial" w:eastAsia="Arial" w:hAnsi="Arial"/>
                <w:sz w:val="18"/>
                <w:szCs w:val="18"/>
                <w:b w:val="1"/>
                <w:bCs w:val="1"/>
                <w:color w:val="auto"/>
              </w:rPr>
              <w:t>Three Months Six Months</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Ended</w:t>
            </w:r>
          </w:p>
        </w:tc>
      </w:tr>
      <w:tr>
        <w:trPr>
          <w:trHeight w:val="241"/>
        </w:trPr>
        <w:tc>
          <w:tcPr>
            <w:tcW w:w="5840" w:type="dxa"/>
            <w:vAlign w:val="bottom"/>
          </w:tcPr>
          <w:p>
            <w:pPr>
              <w:spacing w:after="0"/>
              <w:rPr>
                <w:sz w:val="20"/>
                <w:szCs w:val="20"/>
                <w:color w:val="auto"/>
              </w:rPr>
            </w:pPr>
          </w:p>
        </w:tc>
        <w:tc>
          <w:tcPr>
            <w:tcW w:w="2220" w:type="dxa"/>
            <w:vAlign w:val="bottom"/>
            <w:gridSpan w:val="6"/>
          </w:tcPr>
          <w:p>
            <w:pPr>
              <w:ind w:left="20"/>
              <w:spacing w:after="0"/>
              <w:rPr>
                <w:sz w:val="20"/>
                <w:szCs w:val="20"/>
                <w:color w:val="auto"/>
              </w:rPr>
            </w:pPr>
            <w:r>
              <w:rPr>
                <w:rFonts w:ascii="Arial" w:cs="Arial" w:eastAsia="Arial" w:hAnsi="Arial"/>
                <w:sz w:val="18"/>
                <w:szCs w:val="18"/>
                <w:b w:val="1"/>
                <w:bCs w:val="1"/>
                <w:color w:val="auto"/>
                <w:w w:val="91"/>
              </w:rPr>
              <w:t>June 30, 2020 June 30, 2020</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lease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16,863</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Cost of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15,460</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Lease cost - Operations and maintenance</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828</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Selling, general and administrative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1,904</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lease cost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8,013</w:t>
            </w:r>
          </w:p>
        </w:tc>
      </w:tr>
    </w:tbl>
    <w:p>
      <w:pPr>
        <w:spacing w:after="0" w:line="229" w:lineRule="exact"/>
        <w:rPr>
          <w:sz w:val="20"/>
          <w:szCs w:val="20"/>
          <w:color w:val="auto"/>
        </w:rPr>
      </w:pPr>
    </w:p>
    <w:p>
      <w:pPr>
        <w:jc w:val="both"/>
        <w:ind w:left="500" w:right="100"/>
        <w:spacing w:after="0" w:line="263" w:lineRule="auto"/>
        <w:rPr>
          <w:sz w:val="20"/>
          <w:szCs w:val="20"/>
          <w:color w:val="auto"/>
        </w:rPr>
      </w:pPr>
      <w:r>
        <w:rPr>
          <w:rFonts w:ascii="Arial" w:cs="Arial" w:eastAsia="Arial" w:hAnsi="Arial"/>
          <w:sz w:val="18"/>
          <w:szCs w:val="18"/>
          <w:color w:val="auto"/>
        </w:rPr>
        <w:t>Capitalized lease cost relates to operating lease cost for vessels and port space used during the commissioning of development projects. Short-term lease costs for vessels chartered by the Company to bring inventory from a supplier’s facilities to the Company’s storage locations are capitalized to inventory.</w:t>
      </w:r>
    </w:p>
    <w:p>
      <w:pPr>
        <w:spacing w:after="0" w:line="211"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six months ended June 30,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Six Months</w:t>
            </w:r>
          </w:p>
        </w:tc>
        <w:tc>
          <w:tcPr>
            <w:tcW w:w="26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2680" w:type="dxa"/>
            <w:vAlign w:val="bottom"/>
          </w:tcPr>
          <w:p>
            <w:pPr>
              <w:spacing w:after="0"/>
              <w:rPr>
                <w:sz w:val="18"/>
                <w:szCs w:val="18"/>
                <w:color w:val="auto"/>
              </w:rPr>
            </w:pPr>
          </w:p>
        </w:tc>
      </w:tr>
      <w:tr>
        <w:trPr>
          <w:trHeight w:val="241"/>
        </w:trPr>
        <w:tc>
          <w:tcPr>
            <w:tcW w:w="5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26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for operating lease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23,257</w:t>
            </w:r>
          </w:p>
        </w:tc>
        <w:tc>
          <w:tcPr>
            <w:tcW w:w="26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128,592</w:t>
            </w:r>
          </w:p>
        </w:tc>
        <w:tc>
          <w:tcPr>
            <w:tcW w:w="2680" w:type="dxa"/>
            <w:vAlign w:val="bottom"/>
          </w:tcPr>
          <w:p>
            <w:pPr>
              <w:spacing w:after="0"/>
              <w:rPr>
                <w:sz w:val="20"/>
                <w:szCs w:val="20"/>
                <w:color w:val="auto"/>
              </w:rPr>
            </w:pPr>
          </w:p>
        </w:tc>
      </w:tr>
      <w:tr>
        <w:trPr>
          <w:trHeight w:val="581"/>
        </w:trPr>
        <w:tc>
          <w:tcPr>
            <w:tcW w:w="500" w:type="dxa"/>
            <w:vAlign w:val="bottom"/>
          </w:tcPr>
          <w:p>
            <w:pPr>
              <w:spacing w:after="0"/>
              <w:rPr>
                <w:sz w:val="24"/>
                <w:szCs w:val="24"/>
                <w:color w:val="auto"/>
              </w:rPr>
            </w:pPr>
          </w:p>
        </w:tc>
        <w:tc>
          <w:tcPr>
            <w:tcW w:w="6940" w:type="dxa"/>
            <w:vAlign w:val="bottom"/>
          </w:tcPr>
          <w:p>
            <w:pPr>
              <w:jc w:val="right"/>
              <w:ind w:right="1656"/>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future payments due under operating leases as of June 30, 2020 is as follows: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w w:val="92"/>
              </w:rPr>
              <w:t>Operating Leases</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Due remainder of 2020</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35,398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33,780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Less: effects of discounting</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32,337</w:t>
            </w:r>
          </w:p>
        </w:tc>
        <w:tc>
          <w:tcPr>
            <w:tcW w:w="6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84,001</w:t>
            </w:r>
          </w:p>
        </w:tc>
        <w:tc>
          <w:tcPr>
            <w:tcW w:w="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lease liability</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Non-current lease liability</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57,166</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500" w:right="360"/>
        <w:spacing w:after="0" w:line="263" w:lineRule="auto"/>
        <w:rPr>
          <w:sz w:val="20"/>
          <w:szCs w:val="20"/>
          <w:color w:val="auto"/>
        </w:rPr>
      </w:pPr>
      <w:r>
        <w:rPr>
          <w:rFonts w:ascii="Arial" w:cs="Arial" w:eastAsia="Arial" w:hAnsi="Arial"/>
          <w:sz w:val="18"/>
          <w:szCs w:val="18"/>
          <w:color w:val="auto"/>
        </w:rPr>
        <w:t>As of June 30, 2020, the weighted-average remaining lease term for all operating leases was 5.8 years. Because the Company generally does not have access to the rate implicit in the lease, the incremental borrowing rate is utilized as the discount rate. The weighted average discount rate associated with operating leases as of June 30, 2020 was 8.6%.</w:t>
      </w:r>
    </w:p>
    <w:p>
      <w:pPr>
        <w:spacing w:after="0" w:line="211"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The Company has entered into an LNG vessel lease that has not commenced as of June 30, 2020 with a noncancelable term of 5 years and includes fixed payments for lease and non-lease components of $69,704.</w:t>
      </w:r>
    </w:p>
    <w:p>
      <w:pPr>
        <w:spacing w:after="0" w:line="197"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Future annual minimum lease payments for operating leases as of December 31, 2019, prepared in accordance with accounting standards prior to the adoption of ASC 842, were as follows:</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37,776</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35,478</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18,387</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7,083</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26,458</w:t>
            </w: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132,333</w:t>
            </w:r>
          </w:p>
        </w:tc>
      </w:tr>
      <w:tr>
        <w:trPr>
          <w:trHeight w:val="20"/>
        </w:trPr>
        <w:tc>
          <w:tcPr>
            <w:tcW w:w="7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500" w:right="540"/>
        <w:spacing w:after="0" w:line="308" w:lineRule="auto"/>
        <w:rPr>
          <w:sz w:val="20"/>
          <w:szCs w:val="20"/>
          <w:color w:val="auto"/>
        </w:rPr>
      </w:pPr>
      <w:r>
        <w:rPr>
          <w:rFonts w:ascii="Arial" w:cs="Arial" w:eastAsia="Arial" w:hAnsi="Arial"/>
          <w:sz w:val="17"/>
          <w:szCs w:val="17"/>
          <w:color w:val="auto"/>
        </w:rPr>
        <w:t>During the three and six months ended June 30, 2019, the Company recognized rental expense for all operating leases of $8,939 and $17,376, respectively, related primarily to LNG vessel time charters, office space, a land site lease and marine port berth leases.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Lessor</w:t>
      </w:r>
    </w:p>
    <w:p>
      <w:pPr>
        <w:spacing w:after="0" w:line="256" w:lineRule="exact"/>
        <w:rPr>
          <w:sz w:val="20"/>
          <w:szCs w:val="20"/>
          <w:color w:val="auto"/>
        </w:rPr>
      </w:pPr>
    </w:p>
    <w:p>
      <w:pPr>
        <w:ind w:left="500" w:right="220"/>
        <w:spacing w:after="0" w:line="263" w:lineRule="auto"/>
        <w:rPr>
          <w:sz w:val="20"/>
          <w:szCs w:val="20"/>
          <w:color w:val="auto"/>
        </w:rPr>
      </w:pPr>
      <w:r>
        <w:rPr>
          <w:rFonts w:ascii="Arial" w:cs="Arial" w:eastAsia="Arial" w:hAnsi="Arial"/>
          <w:sz w:val="18"/>
          <w:szCs w:val="18"/>
          <w:color w:val="auto"/>
        </w:rPr>
        <w:t>In the Company’s agreements to sell LNG or natural gas to customers, the Company may also lease certain equipment to customers which are accounted for either as a finance or an operating lease. Property, plant and equipment subject to operating leases is included within ISO containers and other equipment within Note 12. Property, plant and equipment,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w:t>
            </w:r>
          </w:p>
        </w:tc>
        <w:tc>
          <w:tcPr>
            <w:tcW w:w="2680" w:type="dxa"/>
            <w:vAlign w:val="bottom"/>
          </w:tcPr>
          <w:p>
            <w:pPr>
              <w:spacing w:after="0"/>
              <w:rPr>
                <w:sz w:val="18"/>
                <w:szCs w:val="18"/>
                <w:color w:val="auto"/>
              </w:rPr>
            </w:pPr>
          </w:p>
        </w:tc>
      </w:tr>
      <w:tr>
        <w:trPr>
          <w:trHeight w:val="241"/>
        </w:trPr>
        <w:tc>
          <w:tcPr>
            <w:tcW w:w="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80" w:type="dxa"/>
            <w:vAlign w:val="bottom"/>
            <w:tcBorders>
              <w:right w:val="single" w:sz="8" w:color="CCEEFF"/>
            </w:tcBorders>
            <w:shd w:val="clear" w:color="auto" w:fill="CCEEFF"/>
          </w:tcPr>
          <w:p>
            <w:pPr>
              <w:spacing w:after="0"/>
              <w:rPr>
                <w:sz w:val="18"/>
                <w:szCs w:val="18"/>
                <w:color w:val="auto"/>
              </w:rPr>
            </w:pPr>
          </w:p>
        </w:tc>
        <w:tc>
          <w:tcPr>
            <w:tcW w:w="268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268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33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10,313</w:t>
            </w:r>
          </w:p>
        </w:tc>
        <w:tc>
          <w:tcPr>
            <w:tcW w:w="2680" w:type="dxa"/>
            <w:vAlign w:val="bottom"/>
          </w:tcPr>
          <w:p>
            <w:pPr>
              <w:spacing w:after="0"/>
              <w:rPr>
                <w:sz w:val="22"/>
                <w:szCs w:val="22"/>
                <w:color w:val="auto"/>
              </w:rPr>
            </w:pPr>
          </w:p>
        </w:tc>
      </w:tr>
      <w:tr>
        <w:trPr>
          <w:trHeight w:val="589"/>
        </w:trPr>
        <w:tc>
          <w:tcPr>
            <w:tcW w:w="50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jc w:val="right"/>
              <w:ind w:right="1908"/>
              <w:spacing w:after="0"/>
              <w:rPr>
                <w:sz w:val="20"/>
                <w:szCs w:val="20"/>
                <w:color w:val="auto"/>
              </w:rPr>
            </w:pPr>
            <w:r>
              <w:rPr>
                <w:rFonts w:ascii="Arial" w:cs="Arial" w:eastAsia="Arial" w:hAnsi="Arial"/>
                <w:sz w:val="14"/>
                <w:szCs w:val="14"/>
                <w:color w:val="auto"/>
              </w:rPr>
              <w:t>12</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8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expected future lease payments as of June 30, 2020, for the remainder of 2020 through 2024 and thereafter:</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1"/>
              </w:rPr>
              <w:t>Future cash receipts</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44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Financing leases</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85"/>
              </w:rPr>
              <w:t>Operating leases</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109</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206</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194</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196</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197</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860</w:t>
            </w:r>
          </w:p>
        </w:tc>
      </w:tr>
      <w:tr>
        <w:trPr>
          <w:trHeight w:val="22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1,762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Present value of total lease receipts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0"/>
        </w:trPr>
        <w:tc>
          <w:tcPr>
            <w:tcW w:w="68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finance leases, net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Non-current finance leases, net</w:t>
            </w: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56" w:lineRule="exact"/>
        <w:rPr>
          <w:rFonts w:ascii="Arial" w:cs="Arial" w:eastAsia="Arial" w:hAnsi="Arial"/>
          <w:sz w:val="18"/>
          <w:szCs w:val="18"/>
          <w:b w:val="1"/>
          <w:bCs w:val="1"/>
          <w:color w:val="auto"/>
        </w:rPr>
      </w:pPr>
    </w:p>
    <w:p>
      <w:pPr>
        <w:ind w:left="5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and disclosures require the use of valuation techniques that maximize the use of observable inputs and minimize the use of unobservable inputs. These inputs are prioritized as follows:</w:t>
      </w:r>
    </w:p>
    <w:p>
      <w:pPr>
        <w:spacing w:after="0" w:line="197" w:lineRule="exact"/>
        <w:rPr>
          <w:rFonts w:ascii="Arial" w:cs="Arial" w:eastAsia="Arial" w:hAnsi="Arial"/>
          <w:sz w:val="18"/>
          <w:szCs w:val="18"/>
          <w:b w:val="1"/>
          <w:bCs w:val="1"/>
          <w:color w:val="auto"/>
        </w:rPr>
      </w:pPr>
    </w:p>
    <w:p>
      <w:pPr>
        <w:ind w:left="860" w:hanging="366"/>
        <w:spacing w:after="0"/>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860" w:right="20" w:hanging="366"/>
        <w:spacing w:after="0" w:line="277"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97" w:lineRule="exact"/>
        <w:rPr>
          <w:rFonts w:ascii="Arial" w:cs="Arial" w:eastAsia="Arial" w:hAnsi="Arial"/>
          <w:sz w:val="18"/>
          <w:szCs w:val="18"/>
          <w:color w:val="auto"/>
        </w:rPr>
      </w:pPr>
    </w:p>
    <w:p>
      <w:pPr>
        <w:ind w:left="860" w:right="20" w:hanging="366"/>
        <w:spacing w:after="0" w:line="277"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52" w:lineRule="exact"/>
        <w:rPr>
          <w:sz w:val="20"/>
          <w:szCs w:val="20"/>
          <w:color w:val="auto"/>
        </w:rPr>
      </w:pPr>
    </w:p>
    <w:p>
      <w:pPr>
        <w:ind w:left="860" w:hanging="366"/>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197" w:lineRule="exact"/>
        <w:rPr>
          <w:rFonts w:ascii="Arial" w:cs="Arial" w:eastAsia="Arial" w:hAnsi="Arial"/>
          <w:sz w:val="18"/>
          <w:szCs w:val="18"/>
          <w:color w:val="auto"/>
        </w:rPr>
      </w:pPr>
    </w:p>
    <w:p>
      <w:pPr>
        <w:ind w:left="860" w:hanging="366"/>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discounted cash flow technique, to convert future amounts to a single present amount based on current market expectations about those future amounts.</w:t>
      </w:r>
    </w:p>
    <w:p>
      <w:pPr>
        <w:spacing w:after="0" w:line="197" w:lineRule="exact"/>
        <w:rPr>
          <w:rFonts w:ascii="Arial" w:cs="Arial" w:eastAsia="Arial" w:hAnsi="Arial"/>
          <w:sz w:val="18"/>
          <w:szCs w:val="18"/>
          <w:color w:val="auto"/>
        </w:rPr>
      </w:pPr>
    </w:p>
    <w:p>
      <w:pPr>
        <w:ind w:left="860" w:hanging="366"/>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approach – based on the amount that currently would be required to replace the service capacity of an asset (replacement cost).</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 June 30, 2020 and</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December 31, 2019:</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June 30, 2020</w:t>
            </w:r>
          </w:p>
        </w:tc>
        <w:tc>
          <w:tcPr>
            <w:tcW w:w="2780" w:type="dxa"/>
            <w:vAlign w:val="bottom"/>
            <w:tcBorders>
              <w:bottom w:val="single" w:sz="8" w:color="auto"/>
            </w:tcBorders>
          </w:tcPr>
          <w:p>
            <w:pPr>
              <w:spacing w:after="0"/>
              <w:rPr>
                <w:sz w:val="20"/>
                <w:szCs w:val="20"/>
                <w:color w:val="auto"/>
              </w:rPr>
            </w:pPr>
          </w:p>
        </w:tc>
      </w:tr>
      <w:tr>
        <w:trPr>
          <w:trHeight w:val="198"/>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Valuation</w:t>
            </w:r>
          </w:p>
        </w:tc>
      </w:tr>
      <w:tr>
        <w:trPr>
          <w:trHeight w:val="241"/>
        </w:trPr>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technique</w:t>
            </w: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167,316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167,316</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56,077</w:t>
            </w:r>
          </w:p>
        </w:tc>
        <w:tc>
          <w:tcPr>
            <w:tcW w:w="92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56,077</w:t>
            </w:r>
          </w:p>
        </w:tc>
        <w:tc>
          <w:tcPr>
            <w:tcW w:w="2780" w:type="dxa"/>
            <w:vAlign w:val="bottom"/>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equity securities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7"/>
        </w:trPr>
        <w:tc>
          <w:tcPr>
            <w:tcW w:w="29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r>
        <w:trPr>
          <w:trHeight w:val="216"/>
        </w:trPr>
        <w:tc>
          <w:tcPr>
            <w:tcW w:w="290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223,716</w:t>
            </w:r>
          </w:p>
        </w:tc>
        <w:tc>
          <w:tcPr>
            <w:tcW w:w="2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223,716</w:t>
            </w:r>
          </w:p>
        </w:tc>
        <w:tc>
          <w:tcPr>
            <w:tcW w:w="278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liability¹</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9,686</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Equity agreement²</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16,678</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16,678</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3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r>
      <w:tr>
        <w:trPr>
          <w:trHeight w:val="20"/>
        </w:trPr>
        <w:tc>
          <w:tcPr>
            <w:tcW w:w="2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December 31, 2019</w:t>
            </w:r>
          </w:p>
        </w:tc>
        <w:tc>
          <w:tcPr>
            <w:tcW w:w="2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Level 1</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27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Valuation</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technique</w:t>
            </w:r>
          </w:p>
        </w:tc>
        <w:tc>
          <w:tcPr>
            <w:tcW w:w="0" w:type="dxa"/>
            <w:vAlign w:val="bottom"/>
          </w:tcPr>
          <w:p>
            <w:pPr>
              <w:spacing w:after="0"/>
              <w:rPr>
                <w:sz w:val="1"/>
                <w:szCs w:val="1"/>
                <w:color w:val="auto"/>
              </w:rPr>
            </w:pPr>
          </w:p>
        </w:tc>
      </w:tr>
      <w:tr>
        <w:trPr>
          <w:trHeight w:val="115"/>
        </w:trPr>
        <w:tc>
          <w:tcPr>
            <w:tcW w:w="2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27,098</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27,098</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65,937</w:t>
            </w:r>
          </w:p>
        </w:tc>
        <w:tc>
          <w:tcPr>
            <w:tcW w:w="92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65,937</w:t>
            </w:r>
          </w:p>
        </w:tc>
        <w:tc>
          <w:tcPr>
            <w:tcW w:w="2780" w:type="dxa"/>
            <w:vAlign w:val="bottom"/>
          </w:tcPr>
          <w:p>
            <w:pPr>
              <w:jc w:val="center"/>
              <w:spacing w:after="0"/>
              <w:rPr>
                <w:sz w:val="20"/>
                <w:szCs w:val="20"/>
                <w:color w:val="auto"/>
              </w:rPr>
            </w:pPr>
            <w:r>
              <w:rPr>
                <w:rFonts w:ascii="Arial" w:cs="Arial" w:eastAsia="Arial" w:hAnsi="Arial"/>
                <w:sz w:val="18"/>
                <w:szCs w:val="18"/>
                <w:color w:val="auto"/>
                <w:w w:val="91"/>
              </w:rPr>
              <w:t>Market approach</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equity securities</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2,540</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c>
          <w:tcPr>
            <w:tcW w:w="0" w:type="dxa"/>
            <w:vAlign w:val="bottom"/>
          </w:tcPr>
          <w:p>
            <w:pPr>
              <w:spacing w:after="0"/>
              <w:rPr>
                <w:sz w:val="1"/>
                <w:szCs w:val="1"/>
                <w:color w:val="auto"/>
              </w:rPr>
            </w:pPr>
          </w:p>
        </w:tc>
      </w:tr>
      <w:tr>
        <w:trPr>
          <w:trHeight w:val="27"/>
        </w:trPr>
        <w:tc>
          <w:tcPr>
            <w:tcW w:w="29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95,575</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95,575</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liability¹</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9,800</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Equity agreement²</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16,800</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16,800</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Consideration due to the sellers of Shannon LNG once first gas is supplied from the terminal to be built.</w:t>
      </w:r>
    </w:p>
    <w:p>
      <w:pPr>
        <w:ind w:left="820" w:hanging="326"/>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be paid in shares at the earlier of agreed-upon date or the commencement of significant construction activities specified in the Shannon LNG Agreement.</w:t>
      </w:r>
    </w:p>
    <w:p>
      <w:pPr>
        <w:spacing w:after="0" w:line="223"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table below summarizes the fair value adjustment, recorded within Other expense (income), net in the condensed consolidated statements of operations and comprehensive loss, and currency translation adjustment, recorded within the Other comprehensive loss, for the three and six months ended June 30, 2020 and 2019:</w:t>
      </w:r>
    </w:p>
    <w:p>
      <w:pPr>
        <w:spacing w:after="0" w:line="211"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0"/>
                <w:szCs w:val="20"/>
                <w:color w:val="auto"/>
              </w:rPr>
            </w:pPr>
          </w:p>
        </w:tc>
        <w:tc>
          <w:tcPr>
            <w:tcW w:w="2320" w:type="dxa"/>
            <w:vAlign w:val="bottom"/>
            <w:gridSpan w:val="5"/>
          </w:tcPr>
          <w:p>
            <w:pPr>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5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 Loss/(gain)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Currency translation adjustment - Loss</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During the three and six months ended June 30, 2020 and 2019, the Company had no settlements of the equity agreement or derivative liability or any transfers in or out of Level 3 in the fair value hierarchy.</w:t>
      </w:r>
    </w:p>
    <w:p>
      <w:pPr>
        <w:spacing w:after="0" w:line="197" w:lineRule="exact"/>
        <w:rPr>
          <w:sz w:val="20"/>
          <w:szCs w:val="20"/>
          <w:color w:val="auto"/>
        </w:rPr>
      </w:pPr>
    </w:p>
    <w:p>
      <w:pPr>
        <w:ind w:left="500" w:right="340"/>
        <w:spacing w:after="0" w:line="259" w:lineRule="auto"/>
        <w:rPr>
          <w:sz w:val="20"/>
          <w:szCs w:val="20"/>
          <w:color w:val="auto"/>
        </w:rPr>
      </w:pPr>
      <w:r>
        <w:rPr>
          <w:rFonts w:ascii="Arial" w:cs="Arial" w:eastAsia="Arial" w:hAnsi="Arial"/>
          <w:sz w:val="18"/>
          <w:szCs w:val="18"/>
          <w:color w:val="auto"/>
        </w:rPr>
        <w:t>The liability associated with the equity agreement of $16,678 and $16,800 as of June 30, 2020 and December 31, 2019, respectively, is recorded within Other current liabilities on the condensed consolidated balance sheets. The liability associated with the derivative liability of $9,686 and $9,800 as of June 30, 2020 and December 31, 2019, respectively, is recorded within Other long-term liabilities on the condensed consolidated balance sheets.</w:t>
      </w:r>
    </w:p>
    <w:p>
      <w:pPr>
        <w:spacing w:after="0" w:line="214"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The Company estimates fair value of outstanding debt using a discounted cash flow method based on current market interest rates for debt issuances with similar remaining years to maturity and adjusted for credit risk. The Company has estimated that the carrying value for each of the Credit Agreement, Senior Secured Bonds, and Senior Unsecured Bonds (all defined below in “Note 16. Debt”) approximate fair value. The fair value estimate is classified as Level 3 in the fair value hierarchy.</w:t>
      </w:r>
    </w:p>
    <w:p>
      <w:pPr>
        <w:spacing w:after="0" w:line="21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June 30, 2020 and December 31, 2019, restricted cash consisted of the following:</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performance under customer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Collateral for LNG purchases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letters of credit and performance bonds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7,388</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Debt service reserve account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8,299</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7"/>
        </w:trPr>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8"/>
                <w:szCs w:val="18"/>
                <w:color w:val="auto"/>
              </w:rPr>
              <w:t>Total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56,077</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65,937</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Current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32,946</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30,966</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34,971</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June 30, 2020 and December 31, 2019, inventory consisted of the following:</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LNG and natural gas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57,436</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Automotive diesel oil inventory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4,746</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supplies and 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r>
      <w:tr>
        <w:trPr>
          <w:trHeight w:val="27"/>
        </w:trPr>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50,885</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63,432</w:t>
            </w:r>
          </w:p>
        </w:tc>
      </w:tr>
      <w:tr>
        <w:trPr>
          <w:trHeight w:val="21"/>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three and six months ended June 30, 2020 and 2019.</w:t>
      </w:r>
    </w:p>
    <w:p>
      <w:pPr>
        <w:spacing w:after="0" w:line="20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June 30, 2020 and December 31, 2019, prepaid expenses and other current assets consisted of the following:</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Prepaid LNG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7,097</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(Note 21)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23,602</w:t>
            </w:r>
          </w:p>
        </w:tc>
      </w:tr>
      <w:tr>
        <w:trPr>
          <w:trHeight w:val="257"/>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Other current assets as of June 30, 2020 and December 31, 2019 primarily consists of receivables for recoverable taxes and capitalized costs associated with delivering development services to a customer.</w:t>
      </w:r>
    </w:p>
    <w:p>
      <w:pPr>
        <w:spacing w:after="0" w:line="19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securities</w:t>
      </w:r>
    </w:p>
    <w:p>
      <w:pPr>
        <w:spacing w:after="0" w:line="256" w:lineRule="exact"/>
        <w:rPr>
          <w:rFonts w:ascii="Arial" w:cs="Arial" w:eastAsia="Arial" w:hAnsi="Arial"/>
          <w:sz w:val="18"/>
          <w:szCs w:val="18"/>
          <w:b w:val="1"/>
          <w:bCs w:val="1"/>
          <w:color w:val="auto"/>
        </w:rPr>
      </w:pPr>
    </w:p>
    <w:p>
      <w:pPr>
        <w:jc w:val="both"/>
        <w:ind w:left="50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invested in equity securities of an international oil and gas drilling contractor. The cost of the investment was $3,667. As of June 30, 2020 and December 31, 2019, the Company owned 295,256 shares of that contractor and the fair value of the investment was $323 and $2,540, respectively.</w:t>
      </w:r>
    </w:p>
    <w:p>
      <w:pPr>
        <w:spacing w:after="0" w:line="210" w:lineRule="exact"/>
        <w:rPr>
          <w:rFonts w:ascii="Arial" w:cs="Arial" w:eastAsia="Arial" w:hAnsi="Arial"/>
          <w:sz w:val="18"/>
          <w:szCs w:val="18"/>
          <w:b w:val="1"/>
          <w:bCs w:val="1"/>
          <w:color w:val="auto"/>
        </w:rPr>
      </w:pPr>
    </w:p>
    <w:p>
      <w:pPr>
        <w:ind w:left="5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unrealized (gain) loss of $(183) and $1,698 for the three months ended June 30, 2020 and 2019, respectively, and $2,217 and $802 for the six months ended June 30, 2020 and 2019, respectively, is included within Other expense (income), net in the condensed consolidated statements of operations and comprehensive loss.</w:t>
      </w:r>
    </w:p>
    <w:p>
      <w:pPr>
        <w:spacing w:after="0" w:line="206" w:lineRule="exact"/>
        <w:rPr>
          <w:rFonts w:ascii="Arial" w:cs="Arial" w:eastAsia="Arial" w:hAnsi="Arial"/>
          <w:sz w:val="18"/>
          <w:szCs w:val="18"/>
          <w:b w:val="1"/>
          <w:bCs w:val="1"/>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construction in progress activity during the six months ended June 30, 2020 is detailed below:</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7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466,587</w:t>
            </w:r>
          </w:p>
        </w:tc>
      </w:tr>
      <w:tr>
        <w:trPr>
          <w:trHeight w:val="216"/>
        </w:trPr>
        <w:tc>
          <w:tcPr>
            <w:tcW w:w="718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80,541</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Transferred to property, plant and equipment, net (Note 12)</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(200,177)</w:t>
            </w:r>
          </w:p>
        </w:tc>
      </w:tr>
      <w:tr>
        <w:trPr>
          <w:trHeight w:val="27"/>
        </w:trPr>
        <w:tc>
          <w:tcPr>
            <w:tcW w:w="7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346,951</w:t>
            </w:r>
          </w:p>
        </w:tc>
      </w:tr>
      <w:tr>
        <w:trPr>
          <w:trHeight w:val="20"/>
        </w:trPr>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color w:val="auto"/>
        </w:rPr>
        <w:t>Interest expense of $17,902 and $9,111, inclusive of amortized debt issuance costs, was capitalized for the six months ended June 30, 2020 and 2019, respectively.</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June 30, 2020 and December 31, 2019, the Company’s property, plant and equipment, net consisted of the following:</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CHP facilities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117,496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Terminal and power plant equipment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14,981</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LNG liquefaction facilities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65,992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66,273</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Gas terminals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72,394</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52,781</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pipelines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58,974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11,692</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ISO containers and other equipment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74,071</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39,951</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15,401</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8,054</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(16,911)</w:t>
            </w:r>
          </w:p>
        </w:tc>
      </w:tr>
      <w:tr>
        <w:trPr>
          <w:trHeight w:val="27"/>
        </w:trPr>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475,198</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192,222</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20"/>
        <w:spacing w:after="0" w:line="275" w:lineRule="auto"/>
        <w:rPr>
          <w:sz w:val="20"/>
          <w:szCs w:val="20"/>
          <w:color w:val="auto"/>
        </w:rPr>
      </w:pPr>
      <w:r>
        <w:rPr>
          <w:rFonts w:ascii="Arial" w:cs="Arial" w:eastAsia="Arial" w:hAnsi="Arial"/>
          <w:sz w:val="17"/>
          <w:szCs w:val="17"/>
          <w:color w:val="auto"/>
        </w:rPr>
        <w:t>In connection with the adoption of ASC 842, the Company determined that the direct financing lease recognized related to the Montego Bay Terminal is no longer a lease under ASC 842. As of January 1, 2020, the Company recognized a transition adjustment that removed the unamortized net investment in the direct financing lease of $91,005 and recognized the underlying assets as Property, plant and equipment of $92,207 and accumulated depreciation of $13,932 that would have been recognized since the commissioning of the Montego Bay Terminal, with the difference of approximately $9,085, net of taxes of $2,945, recorded as an adjustment to retained earnings.</w:t>
      </w:r>
    </w:p>
    <w:p>
      <w:pPr>
        <w:spacing w:after="0" w:line="203"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Depreciation for the three months ended June 30, 2020 and 2019 totaled $7,539 and $1,983, respectively, of which $223 and $147 is respectively included within Cost of sales in the condensed consolidated statements of operations and comprehensive loss. Depreciation for the six months ended June 30, 2020 and 2019 totaled $12,750 and $3,563, respectively, of which $450 and $305 is respectively included within Cost of sales in the condensed consolidated statements of operations and comprehensive loss.</w:t>
      </w:r>
    </w:p>
    <w:p>
      <w:pPr>
        <w:spacing w:after="0" w:line="21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composition of intangible assets as of June 30,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June 30, 2020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2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Accumulated</w:t>
            </w:r>
          </w:p>
        </w:tc>
        <w:tc>
          <w:tcPr>
            <w:tcW w:w="12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Net Carrying</w:t>
            </w: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 Life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Shannon LNG permits</w:t>
            </w:r>
          </w:p>
        </w:tc>
        <w:tc>
          <w:tcPr>
            <w:tcW w:w="21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42,078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40,369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1,559</w:t>
            </w:r>
          </w:p>
        </w:tc>
        <w:tc>
          <w:tcPr>
            <w:tcW w:w="3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1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44,805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42,931</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20" w:type="dxa"/>
            <w:vAlign w:val="bottom"/>
            <w:vMerge w:val="restart"/>
          </w:tcPr>
          <w:p>
            <w:pPr>
              <w:jc w:val="right"/>
              <w:ind w:right="416"/>
              <w:spacing w:after="0"/>
              <w:rPr>
                <w:sz w:val="20"/>
                <w:szCs w:val="20"/>
                <w:color w:val="auto"/>
              </w:rPr>
            </w:pPr>
            <w:r>
              <w:rPr>
                <w:rFonts w:ascii="Arial" w:cs="Arial" w:eastAsia="Arial" w:hAnsi="Arial"/>
                <w:sz w:val="14"/>
                <w:szCs w:val="14"/>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w w:val="96"/>
              </w:rPr>
              <w:t>December 31, 2019</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570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2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Accumulated</w:t>
            </w:r>
          </w:p>
        </w:tc>
        <w:tc>
          <w:tcPr>
            <w:tcW w:w="12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Net Carrying</w:t>
            </w: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r>
      <w:tr>
        <w:trPr>
          <w:trHeight w:val="241"/>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Shannon LNG leases and permits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40,959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216"/>
        </w:trPr>
        <w:tc>
          <w:tcPr>
            <w:tcW w:w="570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1,420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16"/>
        </w:trPr>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7"/>
        </w:trPr>
        <w:tc>
          <w:tcPr>
            <w:tcW w:w="5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70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44,877</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43,540</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18"/>
          <w:szCs w:val="18"/>
          <w:color w:val="auto"/>
        </w:rPr>
        <w:t>As of June 30, 2020 and December 31, 2019, the weighted-average remaining amortization periods for the intangible assets was 38.0 years and 38.8 years, respectively. As of January 1, 2020, intangible assets associated with favorable lease terms in acquired leases have been reclassified as a ROU assets as a result of adoption of ASC 842.</w:t>
      </w:r>
    </w:p>
    <w:p>
      <w:pPr>
        <w:spacing w:after="0" w:line="211"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color w:val="auto"/>
        </w:rPr>
        <w:t>Amortization for the three months ended June 30, 2020 and 2019 totaled $282 and $286, respectively. Amortization was $552 and $564 for the six months ended June 30, 2020 and 2019, respectively.</w:t>
      </w:r>
    </w:p>
    <w:p>
      <w:pPr>
        <w:spacing w:after="0" w:line="19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June 30, 2020 and December 31, 2019, Other non-current assets consisted of the following:</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Nonrefundable deposit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22,262</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Contract asset (Note 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19,474</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fulfill (Note 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8,508</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Unbilled receivables (Note 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Upfront payments to customers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5,904</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Port access rights and initial lease costs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17,762</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7,716</w:t>
            </w:r>
          </w:p>
        </w:tc>
      </w:tr>
      <w:tr>
        <w:trPr>
          <w:trHeight w:val="27"/>
        </w:trPr>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8"/>
                <w:szCs w:val="18"/>
                <w:color w:val="auto"/>
              </w:rPr>
              <w:t>Total other 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77,170</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81,626</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Nonrefundable deposits are primarily related to deposits for planned land purchases in Pennsylvania and Ireland.</w:t>
      </w:r>
    </w:p>
    <w:p>
      <w:pPr>
        <w:spacing w:after="0" w:line="252"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Upfront payments to customers consist of amounts the Company has paid in relation to two natural gas sales contracts with customers to construct fuel-delivery infrastructure that the customers will own.</w:t>
      </w:r>
    </w:p>
    <w:p>
      <w:pPr>
        <w:spacing w:after="0" w:line="197" w:lineRule="exact"/>
        <w:rPr>
          <w:sz w:val="20"/>
          <w:szCs w:val="20"/>
          <w:color w:val="auto"/>
        </w:rPr>
      </w:pPr>
    </w:p>
    <w:p>
      <w:pPr>
        <w:ind w:left="500" w:right="140"/>
        <w:spacing w:after="0" w:line="342" w:lineRule="auto"/>
        <w:rPr>
          <w:sz w:val="20"/>
          <w:szCs w:val="20"/>
          <w:color w:val="auto"/>
        </w:rPr>
      </w:pPr>
      <w:r>
        <w:rPr>
          <w:rFonts w:ascii="Arial" w:cs="Arial" w:eastAsia="Arial" w:hAnsi="Arial"/>
          <w:sz w:val="16"/>
          <w:szCs w:val="16"/>
          <w:color w:val="auto"/>
        </w:rPr>
        <w:t>As of January 1, 2020, port access rights related to the Company’s port lease in Baja California Sur, Mexico, and payments to incumbent tenants to secure the Company’s port lease in San Juan, Puerto Rico were reclassified as ROU assets in connection with the adoption of ASC 842.</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June 30, 2020 and December 31, 2019, 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contract termination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Accrued construction costs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25,037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8"/>
                <w:szCs w:val="18"/>
                <w:color w:val="auto"/>
              </w:rPr>
              <w:t>Total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165,292</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54,943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00" w:type="dxa"/>
            <w:vAlign w:val="bottom"/>
            <w:gridSpan w:val="2"/>
          </w:tcPr>
          <w:p>
            <w:pPr>
              <w:ind w:left="500"/>
              <w:spacing w:after="0"/>
              <w:rPr>
                <w:sz w:val="20"/>
                <w:szCs w:val="20"/>
                <w:color w:val="auto"/>
              </w:rPr>
            </w:pPr>
            <w:r>
              <w:rPr>
                <w:rFonts w:ascii="Arial" w:cs="Arial" w:eastAsia="Arial" w:hAnsi="Arial"/>
                <w:sz w:val="18"/>
                <w:szCs w:val="18"/>
                <w:color w:val="auto"/>
                <w:w w:val="97"/>
              </w:rPr>
              <w:t>As of June 30, 2020 and December 31, 2019, debt consisted of the following:</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 due January 15,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773,895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Term Loan Facility, due January 21, 2020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Bonds, due September 2034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Secured Bonds, due December 2034</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62,968</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Bonds, due September 2036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42,274</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950,238</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619,057</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Credit Agreement</w:t>
      </w:r>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On January 10, 2020, the Company entered into a credit agreement to borrow $800,000 in term loans (the “Credit Agreement”). The Credit Agreement will mature in January 2023 with the full principal balance due upon maturity. Interest is payable quarterly and is based on a LIBOR rate divided by one minus the applicable reserve requirement, subject to a floor of 1.50%, plus a margin of 6.25%. The interest rate margin increases each year of the term by 1.50%. A portion of the proceeds received were utilized to extinguish the Term Loan Facility (defined below), including outstanding principal of $495,000.</w:t>
      </w:r>
    </w:p>
    <w:p>
      <w:pPr>
        <w:spacing w:after="0" w:line="21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Credit Agreement is secured by mortgages on certain properties owned by the Company’s subsidiaries, in addition to other collateral. The Company is required to comply with certain financial covenants and other restricted covenants customary for credit agreement of this type, including restrictions on indebtedness, liens, acquisitions and investments, restricted payments and dispositions. The Credit Agreement also provides for customary events of default, prepayment and cure provisions.</w:t>
      </w:r>
    </w:p>
    <w:p>
      <w:pPr>
        <w:spacing w:after="0" w:line="21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In connection with obtaining the Credit Agreement and the extinguishment of the Term Loan Facility, the Company incurred $36,313 in origination, structuring, and other fees which were recognized as a reduction of the principal balance of the Credit Agreement on the condensed consolidated balance sheets. As of June 30, 2020, the remaining unamortized deferred financing costs were $26,105.</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Term Loan Facility</w:t>
      </w:r>
    </w:p>
    <w:p>
      <w:pPr>
        <w:spacing w:after="0" w:line="252" w:lineRule="exact"/>
        <w:rPr>
          <w:sz w:val="20"/>
          <w:szCs w:val="20"/>
          <w:color w:val="auto"/>
        </w:rPr>
      </w:pPr>
    </w:p>
    <w:p>
      <w:pPr>
        <w:ind w:left="500" w:right="80"/>
        <w:spacing w:after="0" w:line="296" w:lineRule="auto"/>
        <w:rPr>
          <w:sz w:val="20"/>
          <w:szCs w:val="20"/>
          <w:color w:val="auto"/>
        </w:rPr>
      </w:pPr>
      <w:r>
        <w:rPr>
          <w:rFonts w:ascii="Arial" w:cs="Arial" w:eastAsia="Arial" w:hAnsi="Arial"/>
          <w:sz w:val="16"/>
          <w:szCs w:val="16"/>
          <w:color w:val="auto"/>
        </w:rPr>
        <w:t>On August 16, 2018, the Company entered into a credit agreement with a syndicate of two lenders to borrow up to an aggregate principal amount of $240,000, and proceeds received from this credit agreement were utilized to repay prior debt facilities. On December 31, 2018, the Company amended this credit agreement to increase the available borrowing principal amount to $500,000 (as amended, the “Term Loan Facility”), and as of December 31, 2018, the Company had an outstanding principal balance of $280,000 under the Term Loan Facility. On March 21, 2019, the Company drew an additional $220,000, bringing the Company’s total outstanding borrowings to $500,000 under the Term Loan Facility.</w:t>
      </w:r>
    </w:p>
    <w:p>
      <w:pPr>
        <w:spacing w:after="0" w:line="188" w:lineRule="exact"/>
        <w:rPr>
          <w:sz w:val="20"/>
          <w:szCs w:val="20"/>
          <w:color w:val="auto"/>
        </w:rPr>
      </w:pPr>
    </w:p>
    <w:p>
      <w:pPr>
        <w:ind w:left="500" w:right="420"/>
        <w:spacing w:after="0" w:line="259" w:lineRule="auto"/>
        <w:rPr>
          <w:sz w:val="20"/>
          <w:szCs w:val="20"/>
          <w:color w:val="auto"/>
        </w:rPr>
      </w:pPr>
      <w:r>
        <w:rPr>
          <w:rFonts w:ascii="Arial" w:cs="Arial" w:eastAsia="Arial" w:hAnsi="Arial"/>
          <w:sz w:val="18"/>
          <w:szCs w:val="18"/>
          <w:color w:val="auto"/>
        </w:rPr>
        <w:t>All borrowings under the Term Loan Facility bore interest at a rate selected by the Company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500" w:right="220"/>
        <w:spacing w:after="0" w:line="263" w:lineRule="auto"/>
        <w:rPr>
          <w:sz w:val="20"/>
          <w:szCs w:val="20"/>
          <w:color w:val="auto"/>
        </w:rPr>
      </w:pPr>
      <w:r>
        <w:rPr>
          <w:rFonts w:ascii="Arial" w:cs="Arial" w:eastAsia="Arial" w:hAnsi="Arial"/>
          <w:sz w:val="18"/>
          <w:szCs w:val="18"/>
          <w:color w:val="auto"/>
        </w:rPr>
        <w:t>The Term Loan Facility was secured by mortgages on certain properties owned by the Company’s subsidiaries, in addition to other collateral. The Term Loan Facility was amended in the third quarter of 2019 to allow certain properties of a consolidated subsidiary to secure the Senior Secured Bonds (defined below).</w:t>
      </w:r>
    </w:p>
    <w:p>
      <w:pPr>
        <w:spacing w:after="0" w:line="211" w:lineRule="exact"/>
        <w:rPr>
          <w:sz w:val="20"/>
          <w:szCs w:val="20"/>
          <w:color w:val="auto"/>
        </w:rPr>
      </w:pPr>
    </w:p>
    <w:p>
      <w:pPr>
        <w:ind w:left="500" w:right="20"/>
        <w:spacing w:after="0" w:line="279" w:lineRule="auto"/>
        <w:rPr>
          <w:sz w:val="20"/>
          <w:szCs w:val="20"/>
          <w:color w:val="auto"/>
        </w:rPr>
      </w:pPr>
      <w:r>
        <w:rPr>
          <w:rFonts w:ascii="Arial" w:cs="Arial" w:eastAsia="Arial" w:hAnsi="Arial"/>
          <w:sz w:val="17"/>
          <w:szCs w:val="17"/>
          <w:color w:val="auto"/>
        </w:rPr>
        <w:t>The Company incurred costs in connection with obtaining the Term Loan Facility, the extinguishment of the Company’s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98" w:lineRule="exact"/>
        <w:rPr>
          <w:sz w:val="20"/>
          <w:szCs w:val="20"/>
          <w:color w:val="auto"/>
        </w:rPr>
      </w:pPr>
    </w:p>
    <w:p>
      <w:pPr>
        <w:ind w:left="500" w:right="80"/>
        <w:spacing w:after="0" w:line="272" w:lineRule="auto"/>
        <w:rPr>
          <w:sz w:val="20"/>
          <w:szCs w:val="20"/>
          <w:color w:val="auto"/>
        </w:rPr>
      </w:pPr>
      <w:r>
        <w:rPr>
          <w:rFonts w:ascii="Arial" w:cs="Arial" w:eastAsia="Arial" w:hAnsi="Arial"/>
          <w:sz w:val="17"/>
          <w:szCs w:val="17"/>
          <w:color w:val="auto"/>
        </w:rPr>
        <w:t>The Term Loan Facility had a maturity date of December 31, 2019 with an option to extend the maturity date for two additional six-month periods. Upon the exercise of each extension option, the Company would pay a fee equal to 1.0% of the outstanding principal balance at the time of the exercise and the spread on LIBOR and Base Rate would increase by 0.5%. On December 30, 2019, the Company entered into an amendment with the lenders to extend the maturity to January 21, 2020; no fees were due to lenders from the execution of this amendment. On January 15, 2020, the Company repaid the full amount outstanding including fees due to the lenders using proceeds from the Credit Agreement to extinguish the Term Loan Facility. In conjunction with the extinguishment of the Term Loan Facility, the Company recognized a Loss on extinguishment of debt of $9,557 in the condensed consolidated statements of operations and comprehensive loss.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South Power Bonds</w:t>
      </w:r>
    </w:p>
    <w:p>
      <w:pPr>
        <w:spacing w:after="0" w:line="252" w:lineRule="exact"/>
        <w:rPr>
          <w:sz w:val="20"/>
          <w:szCs w:val="20"/>
          <w:color w:val="auto"/>
        </w:rPr>
      </w:pPr>
    </w:p>
    <w:p>
      <w:pPr>
        <w:ind w:left="500" w:right="40"/>
        <w:spacing w:after="0" w:line="272" w:lineRule="auto"/>
        <w:rPr>
          <w:sz w:val="20"/>
          <w:szCs w:val="20"/>
          <w:color w:val="auto"/>
        </w:rPr>
      </w:pPr>
      <w:r>
        <w:rPr>
          <w:rFonts w:ascii="Arial" w:cs="Arial" w:eastAsia="Arial" w:hAnsi="Arial"/>
          <w:sz w:val="17"/>
          <w:szCs w:val="17"/>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dual-fired combined heat and power facility in Clarendon, Jamaica (the “CHP Plant”) and related receivables and assets, and the proceeds were used to fund the completion of the CHP Plant and to reimburse shareholder advances. Upon completion of construction of the CHP Plant in the fourth quarter of 2019, South Power issued an additional $63,000 in Senior Secured Bonds. The Company received $10,856 of the proceeds in 2019 and received the remaining proceeds of $52,144 in January 2020.</w:t>
      </w:r>
    </w:p>
    <w:p>
      <w:pPr>
        <w:spacing w:after="0" w:line="204" w:lineRule="exact"/>
        <w:rPr>
          <w:sz w:val="20"/>
          <w:szCs w:val="20"/>
          <w:color w:val="auto"/>
        </w:rPr>
      </w:pPr>
    </w:p>
    <w:p>
      <w:pPr>
        <w:ind w:left="500"/>
        <w:spacing w:after="0" w:line="311" w:lineRule="auto"/>
        <w:rPr>
          <w:sz w:val="20"/>
          <w:szCs w:val="20"/>
          <w:color w:val="auto"/>
        </w:rPr>
      </w:pPr>
      <w:r>
        <w:rPr>
          <w:rFonts w:ascii="Arial" w:cs="Arial" w:eastAsia="Arial" w:hAnsi="Arial"/>
          <w:sz w:val="16"/>
          <w:szCs w:val="16"/>
          <w:color w:val="auto"/>
        </w:rPr>
        <w:t>The Senior Secured Bonds bear interest at an annual fixed rate of 8.25% and will mature 15 years from the closing date of each issuance. No principal payments will be due for the first seven years. After seven years, quarterly principal payments of approximately 1.6% of the original principal amount will be due, with a 50% balloon payment due upon maturity. Interest payments on outstanding principal balances are due quarterly.</w:t>
      </w:r>
    </w:p>
    <w:p>
      <w:pPr>
        <w:spacing w:after="0" w:line="176" w:lineRule="exact"/>
        <w:rPr>
          <w:sz w:val="20"/>
          <w:szCs w:val="20"/>
          <w:color w:val="auto"/>
        </w:rPr>
      </w:pPr>
    </w:p>
    <w:p>
      <w:pPr>
        <w:ind w:left="500" w:right="80"/>
        <w:spacing w:after="0" w:line="263" w:lineRule="auto"/>
        <w:rPr>
          <w:sz w:val="20"/>
          <w:szCs w:val="20"/>
          <w:color w:val="auto"/>
        </w:rPr>
      </w:pPr>
      <w:r>
        <w:rPr>
          <w:rFonts w:ascii="Arial" w:cs="Arial" w:eastAsia="Arial" w:hAnsi="Arial"/>
          <w:sz w:val="18"/>
          <w:szCs w:val="18"/>
          <w:color w:val="auto"/>
        </w:rPr>
        <w:t>The Senior Unsecured Bonds bear interest at an annual fixed rate of 11.00% and will mature in September 2036. No principal payments will be due for the first nine years. Beginning in 2028, principal payments will be due quarterly on an escalating schedule. Interest payments on outstanding principal balances are due quarterly.</w:t>
      </w:r>
    </w:p>
    <w:p>
      <w:pPr>
        <w:spacing w:after="0" w:line="211" w:lineRule="exact"/>
        <w:rPr>
          <w:sz w:val="20"/>
          <w:szCs w:val="20"/>
          <w:color w:val="auto"/>
        </w:rPr>
      </w:pPr>
    </w:p>
    <w:p>
      <w:pPr>
        <w:jc w:val="both"/>
        <w:ind w:left="500" w:right="620"/>
        <w:spacing w:after="0" w:line="342" w:lineRule="auto"/>
        <w:rPr>
          <w:sz w:val="20"/>
          <w:szCs w:val="20"/>
          <w:color w:val="auto"/>
        </w:rPr>
      </w:pPr>
      <w:r>
        <w:rPr>
          <w:rFonts w:ascii="Arial" w:cs="Arial" w:eastAsia="Arial" w:hAnsi="Arial"/>
          <w:sz w:val="16"/>
          <w:szCs w:val="16"/>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51" w:lineRule="exact"/>
        <w:rPr>
          <w:sz w:val="20"/>
          <w:szCs w:val="20"/>
          <w:color w:val="auto"/>
        </w:rPr>
      </w:pPr>
    </w:p>
    <w:p>
      <w:pPr>
        <w:jc w:val="both"/>
        <w:ind w:left="500" w:right="40"/>
        <w:spacing w:after="0" w:line="311" w:lineRule="auto"/>
        <w:rPr>
          <w:sz w:val="20"/>
          <w:szCs w:val="20"/>
          <w:color w:val="auto"/>
        </w:rPr>
      </w:pPr>
      <w:r>
        <w:rPr>
          <w:rFonts w:ascii="Arial" w:cs="Arial" w:eastAsia="Arial" w:hAnsi="Arial"/>
          <w:sz w:val="16"/>
          <w:szCs w:val="16"/>
          <w:color w:val="auto"/>
        </w:rPr>
        <w:t>The Company paid approximately $3,892 of fees in connection with the issuance of Senior Secured Bonds and Senior Unsecured Bonds. These fees were capitalized on a pro-rata basis as a reduction of the Senior Secured Bonds and Senior Unsecured Bonds on the condensed consolidated balance sheets. The total unamortized deferred financing costs as of June 30, 2020 and December 31, 2019 was $3,657 and $3,799, respectively.</w:t>
      </w:r>
    </w:p>
    <w:p>
      <w:pPr>
        <w:spacing w:after="0" w:line="176" w:lineRule="exact"/>
        <w:rPr>
          <w:sz w:val="20"/>
          <w:szCs w:val="20"/>
          <w:color w:val="auto"/>
        </w:rPr>
      </w:pPr>
    </w:p>
    <w:p>
      <w:pPr>
        <w:ind w:left="500" w:right="340"/>
        <w:spacing w:after="0" w:line="342" w:lineRule="auto"/>
        <w:rPr>
          <w:sz w:val="20"/>
          <w:szCs w:val="20"/>
          <w:color w:val="auto"/>
        </w:rPr>
      </w:pPr>
      <w:r>
        <w:rPr>
          <w:rFonts w:ascii="Arial" w:cs="Arial" w:eastAsia="Arial" w:hAnsi="Arial"/>
          <w:sz w:val="16"/>
          <w:szCs w:val="16"/>
          <w:color w:val="auto"/>
        </w:rPr>
        <w:t>Under the terms of the facility, South Power is required to maintain a Debt Service Reserve Account (as defined in the facility) in the amount of $8,131. Such amount is included as a component of Restricted cash on the Company’s condensed consolidated balance sheets (see Note 7).</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left="500" w:right="80"/>
        <w:spacing w:after="0" w:line="263" w:lineRule="auto"/>
        <w:rPr>
          <w:sz w:val="20"/>
          <w:szCs w:val="20"/>
          <w:color w:val="auto"/>
        </w:rPr>
      </w:pPr>
      <w:r>
        <w:rPr>
          <w:rFonts w:ascii="Arial" w:cs="Arial" w:eastAsia="Arial" w:hAnsi="Arial"/>
          <w:sz w:val="18"/>
          <w:szCs w:val="18"/>
          <w:color w:val="auto"/>
        </w:rPr>
        <w:t>Interest and related amortization of debt issuance costs recognized during major development and construction projects are capitalized and included in the cost of the project. Interest expense, net of amounts capitalized, recognized for the three and six months ended June 30, 2020 and 2019 consisted of the following:</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b w:val="1"/>
                <w:bCs w:val="1"/>
                <w:color w:val="auto"/>
                <w:w w:val="86"/>
              </w:rPr>
              <w:t>Six months ended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2020</w:t>
            </w: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3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2020</w:t>
            </w: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2019</w:t>
            </w:r>
          </w:p>
        </w:tc>
        <w:tc>
          <w:tcPr>
            <w:tcW w:w="80" w:type="dxa"/>
            <w:vAlign w:val="bottom"/>
          </w:tcPr>
          <w:p>
            <w:pPr>
              <w:spacing w:after="0"/>
              <w:rPr>
                <w:sz w:val="19"/>
                <w:szCs w:val="19"/>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per contractual rates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19,766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8,475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38,640</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13,364</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3,166</w:t>
            </w:r>
          </w:p>
        </w:tc>
        <w:tc>
          <w:tcPr>
            <w:tcW w:w="30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10,350</w:t>
            </w:r>
          </w:p>
        </w:tc>
        <w:tc>
          <w:tcPr>
            <w:tcW w:w="5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5,230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25,494</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3"/>
              </w:rPr>
              <w:t>11,641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48,990</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18,594</w:t>
            </w:r>
          </w:p>
        </w:tc>
        <w:tc>
          <w:tcPr>
            <w:tcW w:w="80" w:type="dxa"/>
            <w:vAlign w:val="bottom"/>
            <w:shd w:val="clear" w:color="auto" w:fill="CCEEFF"/>
          </w:tcPr>
          <w:p>
            <w:pPr>
              <w:spacing w:after="0"/>
              <w:rPr>
                <w:sz w:val="18"/>
                <w:szCs w:val="18"/>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5,442</w:t>
            </w:r>
          </w:p>
        </w:tc>
        <w:tc>
          <w:tcPr>
            <w:tcW w:w="30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17,902</w:t>
            </w:r>
          </w:p>
        </w:tc>
        <w:tc>
          <w:tcPr>
            <w:tcW w:w="5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9,111</w:t>
            </w:r>
          </w:p>
        </w:tc>
      </w:tr>
      <w:tr>
        <w:trPr>
          <w:trHeight w:val="257"/>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6,199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31,088</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50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IPO, NFE contributed the net proceeds from the IPO to NFI in exchange for NFI LLC Units, and NFE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including NFE,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221" w:lineRule="exact"/>
        <w:rPr>
          <w:rFonts w:ascii="Arial" w:cs="Arial" w:eastAsia="Arial" w:hAnsi="Arial"/>
          <w:sz w:val="18"/>
          <w:szCs w:val="18"/>
          <w:b w:val="1"/>
          <w:bCs w:val="1"/>
          <w:color w:val="auto"/>
        </w:rPr>
      </w:pPr>
    </w:p>
    <w:p>
      <w:pPr>
        <w:ind w:left="50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IPO, NFE recorded a deferred tax asset of $42,783 related to the difference between its tax basis in its investment in NFI and NFE’s share of the financial statement carrying amount of the net assets of NFI. The deferred tax asset was recorded to equity and is fully offset by a valuation allowance also recorded to equity.</w:t>
      </w:r>
    </w:p>
    <w:p>
      <w:pPr>
        <w:spacing w:after="0" w:line="210" w:lineRule="exact"/>
        <w:rPr>
          <w:rFonts w:ascii="Arial" w:cs="Arial" w:eastAsia="Arial" w:hAnsi="Arial"/>
          <w:sz w:val="18"/>
          <w:szCs w:val="18"/>
          <w:b w:val="1"/>
          <w:bCs w:val="1"/>
          <w:color w:val="auto"/>
        </w:rPr>
      </w:pPr>
    </w:p>
    <w:p>
      <w:pPr>
        <w:ind w:left="5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Subsequent to the Exchange Transactions completed on June 10, 2020, 100% of NFI’s operations will be included in the NFE income tax provision; there is no impact on income tax expense expected due to the Exchange Transactions.</w:t>
      </w:r>
    </w:p>
    <w:p>
      <w:pPr>
        <w:spacing w:after="0" w:line="197" w:lineRule="exact"/>
        <w:rPr>
          <w:rFonts w:ascii="Arial" w:cs="Arial" w:eastAsia="Arial" w:hAnsi="Arial"/>
          <w:sz w:val="18"/>
          <w:szCs w:val="18"/>
          <w:b w:val="1"/>
          <w:bCs w:val="1"/>
          <w:color w:val="auto"/>
        </w:rPr>
      </w:pPr>
    </w:p>
    <w:p>
      <w:pPr>
        <w:ind w:left="500"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three months ended June 30, 2020 was (0.07)%, compared to (0.30)% for the three months ended June 30, 2019. The total tax expense for the three months ended June 30, 2020 was $117, compared to $155 for the three months ended June 30, 2019.</w:t>
      </w:r>
    </w:p>
    <w:p>
      <w:pPr>
        <w:spacing w:after="0" w:line="150" w:lineRule="exact"/>
        <w:rPr>
          <w:rFonts w:ascii="Arial" w:cs="Arial" w:eastAsia="Arial" w:hAnsi="Arial"/>
          <w:sz w:val="18"/>
          <w:szCs w:val="18"/>
          <w:b w:val="1"/>
          <w:bCs w:val="1"/>
          <w:color w:val="auto"/>
        </w:rPr>
      </w:pPr>
    </w:p>
    <w:p>
      <w:pPr>
        <w:ind w:left="50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effective tax rate for the six months ended June 30, 2020 was (0.05)%, compared to (0.36)% for the six months ended June 30, 2019. The total tax expense for the six months ended June 30, 2020 was $113, compared to $401 for the six months ended June 30, 2019.</w:t>
      </w:r>
    </w:p>
    <w:p>
      <w:pPr>
        <w:spacing w:after="0" w:line="173" w:lineRule="exact"/>
        <w:rPr>
          <w:rFonts w:ascii="Arial" w:cs="Arial" w:eastAsia="Arial" w:hAnsi="Arial"/>
          <w:sz w:val="18"/>
          <w:szCs w:val="18"/>
          <w:b w:val="1"/>
          <w:bCs w:val="1"/>
          <w:color w:val="auto"/>
        </w:rPr>
      </w:pPr>
    </w:p>
    <w:p>
      <w:pPr>
        <w:ind w:left="50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primary items which decreased the Company’s effective tax rate for the three months and six months ended June 30, 2020 and June 30, 2019 from the U.S. federal statutory rate of 21% were valuation allowances recorded against the Company’s current period losses and earnings generated in Non-U.S. jurisdictions with preferential tax rates.</w:t>
      </w:r>
    </w:p>
    <w:p>
      <w:pPr>
        <w:spacing w:after="0" w:line="210" w:lineRule="exact"/>
        <w:rPr>
          <w:rFonts w:ascii="Arial" w:cs="Arial" w:eastAsia="Arial" w:hAnsi="Arial"/>
          <w:sz w:val="18"/>
          <w:szCs w:val="18"/>
          <w:b w:val="1"/>
          <w:bCs w:val="1"/>
          <w:color w:val="auto"/>
        </w:rPr>
      </w:pPr>
    </w:p>
    <w:p>
      <w:pPr>
        <w:ind w:left="5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not recorded a liability for uncertain tax positions as of June 30, 2020. The Company remains subject to periodic audits and reviews by the taxing authorities, and NFE’s returns since its formation remain open for examination.</w:t>
      </w:r>
    </w:p>
    <w:p>
      <w:pPr>
        <w:spacing w:after="0" w:line="193" w:lineRule="exact"/>
        <w:rPr>
          <w:rFonts w:ascii="Arial" w:cs="Arial" w:eastAsia="Arial" w:hAnsi="Arial"/>
          <w:sz w:val="18"/>
          <w:szCs w:val="18"/>
          <w:b w:val="1"/>
          <w:bCs w:val="1"/>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rFonts w:ascii="Arial" w:cs="Arial" w:eastAsia="Arial" w:hAnsi="Arial"/>
          <w:sz w:val="18"/>
          <w:szCs w:val="18"/>
          <w:b w:val="1"/>
          <w:bCs w:val="1"/>
          <w:color w:val="auto"/>
        </w:rPr>
      </w:pPr>
    </w:p>
    <w:p>
      <w:pPr>
        <w:ind w:left="50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19.   Earnings per share</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2020</w:t>
            </w: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2020</w:t>
            </w: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2019</w:t>
            </w:r>
          </w:p>
        </w:tc>
        <w:tc>
          <w:tcPr>
            <w:tcW w:w="8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(166,519)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(51,233)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(111,525)</w:t>
            </w:r>
          </w:p>
        </w:tc>
      </w:tr>
      <w:tr>
        <w:trPr>
          <w:trHeight w:val="223"/>
        </w:trPr>
        <w:tc>
          <w:tcPr>
            <w:tcW w:w="50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80,851</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91,782</w:t>
            </w:r>
          </w:p>
        </w:tc>
      </w:tr>
      <w:tr>
        <w:trPr>
          <w:trHeight w:val="257"/>
        </w:trPr>
        <w:tc>
          <w:tcPr>
            <w:tcW w:w="500" w:type="dxa"/>
            <w:vAlign w:val="bottom"/>
          </w:tcPr>
          <w:p>
            <w:pPr>
              <w:spacing w:after="0"/>
              <w:rPr>
                <w:sz w:val="22"/>
                <w:szCs w:val="22"/>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Class A shares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(137,425)</w:t>
            </w:r>
          </w:p>
        </w:tc>
        <w:tc>
          <w:tcPr>
            <w:tcW w:w="1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(145,723)</w:t>
            </w:r>
          </w:p>
        </w:tc>
        <w:tc>
          <w:tcPr>
            <w:tcW w:w="2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80" w:type="dxa"/>
            <w:vAlign w:val="bottom"/>
            <w:shd w:val="clear" w:color="auto" w:fill="CCEEFF"/>
          </w:tcPr>
          <w:p>
            <w:pPr>
              <w:spacing w:after="0"/>
              <w:rPr>
                <w:sz w:val="22"/>
                <w:szCs w:val="22"/>
                <w:color w:val="auto"/>
              </w:rPr>
            </w:pPr>
          </w:p>
        </w:tc>
      </w:tr>
      <w:tr>
        <w:trPr>
          <w:trHeight w:val="209"/>
        </w:trPr>
        <w:tc>
          <w:tcPr>
            <w:tcW w:w="500" w:type="dxa"/>
            <w:vAlign w:val="bottom"/>
          </w:tcPr>
          <w:p>
            <w:pPr>
              <w:spacing w:after="0"/>
              <w:rPr>
                <w:sz w:val="18"/>
                <w:szCs w:val="18"/>
                <w:color w:val="auto"/>
              </w:rPr>
            </w:pPr>
          </w:p>
        </w:tc>
        <w:tc>
          <w:tcPr>
            <w:tcW w:w="5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shares-basic and diluted</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57,341,215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22,114,002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41,771,849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18,154,939</w:t>
            </w:r>
          </w:p>
        </w:tc>
      </w:tr>
      <w:tr>
        <w:trPr>
          <w:trHeight w:val="223"/>
        </w:trPr>
        <w:tc>
          <w:tcPr>
            <w:tcW w:w="5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r>
        <w:trPr>
          <w:trHeight w:val="20"/>
        </w:trPr>
        <w:tc>
          <w:tcPr>
            <w:tcW w:w="500" w:type="dxa"/>
            <w:vAlign w:val="bottom"/>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In connection with the IPO, New Fortress Energy Holdings, the Company’s predecessor, effected a one-for-2.16 stock split of its issued and outstanding common shares, resulting in 147,058,824 common shares. Upon the reorganization, New Fortress Energy Holdings obtained the same number of Class B shares in NFE. In connection with the closing of the Exchange Transactions on June 10, 2020, all outstanding Class B shares were exchanged for Class A shares. The weighted average shares outstanding are significantly lower than the Class A shares outstanding on June 30, 2020 due to the timing of the Exchange Transactions.</w:t>
      </w:r>
    </w:p>
    <w:p>
      <w:pPr>
        <w:spacing w:after="0" w:line="215" w:lineRule="exact"/>
        <w:rPr>
          <w:sz w:val="20"/>
          <w:szCs w:val="20"/>
          <w:color w:val="auto"/>
        </w:rPr>
      </w:pPr>
    </w:p>
    <w:p>
      <w:pPr>
        <w:ind w:left="500" w:right="38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loss per share for the periods presented because its effects would have been anti-dilutive.</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June 30, 2020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June 30, 2019</w:t>
            </w:r>
          </w:p>
        </w:tc>
      </w:tr>
      <w:tr>
        <w:trPr>
          <w:trHeight w:val="27"/>
        </w:trPr>
        <w:tc>
          <w:tcPr>
            <w:tcW w:w="57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6"/>
        </w:trPr>
        <w:tc>
          <w:tcPr>
            <w:tcW w:w="57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Unvested RSUs</w:t>
            </w:r>
            <w:r>
              <w:rPr>
                <w:rFonts w:ascii="Arial" w:cs="Arial" w:eastAsia="Arial" w:hAnsi="Arial"/>
                <w:sz w:val="29"/>
                <w:szCs w:val="29"/>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1,627,673</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3,959,725</w:t>
            </w:r>
          </w:p>
        </w:tc>
      </w:tr>
      <w:tr>
        <w:trPr>
          <w:trHeight w:val="257"/>
        </w:trPr>
        <w:tc>
          <w:tcPr>
            <w:tcW w:w="5780" w:type="dxa"/>
            <w:vAlign w:val="bottom"/>
          </w:tcPr>
          <w:p>
            <w:pPr>
              <w:ind w:left="20"/>
              <w:spacing w:after="0" w:line="256" w:lineRule="exact"/>
              <w:rPr>
                <w:sz w:val="20"/>
                <w:szCs w:val="20"/>
                <w:color w:val="auto"/>
              </w:rPr>
            </w:pPr>
            <w:r>
              <w:rPr>
                <w:rFonts w:ascii="Arial" w:cs="Arial" w:eastAsia="Arial" w:hAnsi="Arial"/>
                <w:sz w:val="18"/>
                <w:szCs w:val="18"/>
                <w:color w:val="auto"/>
              </w:rPr>
              <w:t>Class B shares</w:t>
            </w:r>
            <w:r>
              <w:rPr>
                <w:rFonts w:ascii="Arial" w:cs="Arial" w:eastAsia="Arial" w:hAnsi="Arial"/>
                <w:sz w:val="29"/>
                <w:szCs w:val="29"/>
                <w:color w:val="auto"/>
                <w:vertAlign w:val="superscript"/>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147,058,824</w:t>
            </w:r>
          </w:p>
        </w:tc>
      </w:tr>
      <w:tr>
        <w:trPr>
          <w:trHeight w:val="257"/>
        </w:trPr>
        <w:tc>
          <w:tcPr>
            <w:tcW w:w="57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Shannon Equity Agreement shares</w:t>
            </w:r>
            <w:r>
              <w:rPr>
                <w:rFonts w:ascii="Arial" w:cs="Arial" w:eastAsia="Arial" w:hAnsi="Arial"/>
                <w:sz w:val="29"/>
                <w:szCs w:val="29"/>
                <w:color w:val="auto"/>
                <w:vertAlign w:val="superscript"/>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1,290,710</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1,432,208</w:t>
            </w:r>
          </w:p>
        </w:tc>
      </w:tr>
      <w:tr>
        <w:trPr>
          <w:trHeight w:val="27"/>
        </w:trPr>
        <w:tc>
          <w:tcPr>
            <w:tcW w:w="57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2,918,383</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152,450,757</w:t>
            </w:r>
          </w:p>
        </w:tc>
      </w:tr>
      <w:tr>
        <w:trPr>
          <w:trHeight w:val="20"/>
        </w:trPr>
        <w:tc>
          <w:tcPr>
            <w:tcW w:w="5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  Represents the number of instruments outstanding at the end of the period.</w:t>
      </w:r>
    </w:p>
    <w:p>
      <w:pPr>
        <w:ind w:left="500"/>
        <w:spacing w:after="0" w:line="221" w:lineRule="auto"/>
        <w:rPr>
          <w:sz w:val="20"/>
          <w:szCs w:val="20"/>
          <w:color w:val="auto"/>
        </w:rPr>
      </w:pPr>
      <w:r>
        <w:rPr>
          <w:rFonts w:ascii="Arial" w:cs="Arial" w:eastAsia="Arial" w:hAnsi="Arial"/>
          <w:sz w:val="14"/>
          <w:szCs w:val="14"/>
          <w:color w:val="auto"/>
        </w:rPr>
        <w:t>2  Class B shares at the end of the period are considered potentially dilutive Class A shares.</w:t>
      </w:r>
    </w:p>
    <w:p>
      <w:pPr>
        <w:ind w:left="500"/>
        <w:spacing w:after="0"/>
        <w:rPr>
          <w:sz w:val="20"/>
          <w:szCs w:val="20"/>
          <w:color w:val="auto"/>
        </w:rPr>
      </w:pPr>
      <w:r>
        <w:rPr>
          <w:rFonts w:ascii="Arial" w:cs="Arial" w:eastAsia="Arial" w:hAnsi="Arial"/>
          <w:sz w:val="14"/>
          <w:szCs w:val="14"/>
          <w:color w:val="auto"/>
        </w:rPr>
        <w:t>3  Class A shares that would be issued in relation to the Shannon LNG Equity Agreement.</w:t>
      </w:r>
    </w:p>
    <w:p>
      <w:pPr>
        <w:spacing w:after="0" w:line="21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rFonts w:ascii="Arial" w:cs="Arial" w:eastAsia="Arial" w:hAnsi="Arial"/>
          <w:sz w:val="18"/>
          <w:szCs w:val="18"/>
          <w:b w:val="1"/>
          <w:bCs w:val="1"/>
          <w:color w:val="auto"/>
        </w:rPr>
      </w:pPr>
    </w:p>
    <w:p>
      <w:pPr>
        <w:ind w:left="5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IPO, the Company adopted the New Fortress Energy LLC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w:t>
      </w:r>
    </w:p>
    <w:p>
      <w:pPr>
        <w:spacing w:after="0" w:line="21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RSUs</w:t>
      </w:r>
    </w:p>
    <w:p>
      <w:pPr>
        <w:spacing w:after="0" w:line="252" w:lineRule="exact"/>
        <w:rPr>
          <w:rFonts w:ascii="Arial" w:cs="Arial" w:eastAsia="Arial" w:hAnsi="Arial"/>
          <w:sz w:val="18"/>
          <w:szCs w:val="18"/>
          <w:b w:val="1"/>
          <w:bCs w:val="1"/>
          <w:color w:val="auto"/>
        </w:rPr>
      </w:pPr>
    </w:p>
    <w:p>
      <w:pPr>
        <w:ind w:left="500"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has granted RSUs to select officers, employees, non-employee members of the board of directors and select non-employees under the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RSU activity for the six months ended June 30, 2020:</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Weighted-average</w:t>
            </w:r>
          </w:p>
        </w:tc>
      </w:tr>
      <w:tr>
        <w:trPr>
          <w:trHeight w:val="216"/>
        </w:trPr>
        <w:tc>
          <w:tcPr>
            <w:tcW w:w="5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Restricted Share</w:t>
            </w:r>
          </w:p>
        </w:tc>
        <w:tc>
          <w:tcPr>
            <w:tcW w:w="1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0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value per share</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3,137,415</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4"/>
              </w:rPr>
              <w:t>13.44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109,409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14.47</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shares issued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(1,491,964)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13.46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(127,187)</w:t>
            </w:r>
          </w:p>
        </w:tc>
        <w:tc>
          <w:tcPr>
            <w:tcW w:w="100" w:type="dxa"/>
            <w:vAlign w:val="bottom"/>
          </w:tcPr>
          <w:p>
            <w:pPr>
              <w:spacing w:after="0"/>
              <w:rPr>
                <w:sz w:val="19"/>
                <w:szCs w:val="19"/>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13.51</w:t>
            </w:r>
          </w:p>
        </w:tc>
      </w:tr>
      <w:tr>
        <w:trPr>
          <w:trHeight w:val="25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June 30,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1,627,673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4"/>
              </w:rPr>
              <w:t>13.49</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The following table summarizes the share-based compensation expense for the Company’s RSUs recorded for the three and six months ended June 30, 2020 and 2019:</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0"/>
                <w:szCs w:val="20"/>
                <w:color w:val="auto"/>
              </w:rPr>
            </w:pPr>
          </w:p>
        </w:tc>
        <w:tc>
          <w:tcPr>
            <w:tcW w:w="2320" w:type="dxa"/>
            <w:vAlign w:val="bottom"/>
            <w:gridSpan w:val="5"/>
          </w:tcPr>
          <w:p>
            <w:pPr>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5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27,679</w:t>
            </w:r>
          </w:p>
        </w:tc>
      </w:tr>
      <w:tr>
        <w:trPr>
          <w:trHeight w:val="256"/>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For the three months ended June 30, 2020 and 2019, cumulative compensation expense recognized for forfeited RSU awards of $488 and $0, respectively, was reversed. For the six months ended June 30, 2020 and 2019, cumulative compensation expense recognized for forfeited RSU awards of $549 and $0, respectively, was reversed. The Company recognizes the income tax benefits resulting from vesting of RSUs in the period of vesting, to the extent the compensation expense has been recognized.</w:t>
      </w:r>
    </w:p>
    <w:p>
      <w:pPr>
        <w:spacing w:after="0" w:line="214" w:lineRule="exact"/>
        <w:rPr>
          <w:sz w:val="20"/>
          <w:szCs w:val="20"/>
          <w:color w:val="auto"/>
        </w:rPr>
      </w:pPr>
    </w:p>
    <w:p>
      <w:pPr>
        <w:ind w:left="500" w:right="20"/>
        <w:spacing w:after="0" w:line="263" w:lineRule="auto"/>
        <w:rPr>
          <w:sz w:val="20"/>
          <w:szCs w:val="20"/>
          <w:color w:val="auto"/>
        </w:rPr>
      </w:pPr>
      <w:r>
        <w:rPr>
          <w:rFonts w:ascii="Arial" w:cs="Arial" w:eastAsia="Arial" w:hAnsi="Arial"/>
          <w:sz w:val="18"/>
          <w:szCs w:val="18"/>
          <w:color w:val="auto"/>
        </w:rPr>
        <w:t>As of June 30, 2020, the Company had 1,627,673 non-vested RSUs subject to service conditions and had unrecognized compensation costs of approximately $13,515. The non-vested RSUs will vest over a period from ten months to three years following the grant date. The weighted-average remaining vesting period of non-vested RSUs totaled 1.75 years as of June 30, 2020.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Performance Share Units (“PSUs”)</w:t>
      </w:r>
    </w:p>
    <w:p>
      <w:pPr>
        <w:spacing w:after="0" w:line="252" w:lineRule="exact"/>
        <w:rPr>
          <w:sz w:val="20"/>
          <w:szCs w:val="20"/>
          <w:color w:val="auto"/>
        </w:rPr>
      </w:pPr>
    </w:p>
    <w:p>
      <w:pPr>
        <w:ind w:left="500" w:right="160"/>
        <w:spacing w:after="0" w:line="272" w:lineRule="auto"/>
        <w:rPr>
          <w:sz w:val="20"/>
          <w:szCs w:val="20"/>
          <w:color w:val="auto"/>
        </w:rPr>
      </w:pPr>
      <w:r>
        <w:rPr>
          <w:rFonts w:ascii="Arial" w:cs="Arial" w:eastAsia="Arial" w:hAnsi="Arial"/>
          <w:sz w:val="17"/>
          <w:szCs w:val="17"/>
          <w:color w:val="auto"/>
        </w:rPr>
        <w:t>During the first quarter of 2020, the Company granted 1,109,777 PSUs to certain employees and non-employees. The PSUs contain a performance condition, and vesting will be determined based on achievement of a performance metric for the year ended December 31, 2021. The number of shares that will vest can range from zero to 2,219,554. For the three and six months ended June 30, 2020, the Company determined that it was not probable that the performance condition required for any of the PSUs to vest would be achieved, and as such, no compensation expense has been recognized in the condensed consolidated statements of operations and comprehensive loss. Unrecognized compensation costs if the maximum amount of shares were to vest based on the achievement of the performance condition was $32,073, and the weighted-average remaining vesting period of non-vested PSUs totaled 1.50 years as of June 30, 2020.</w:t>
      </w:r>
    </w:p>
    <w:p>
      <w:pPr>
        <w:spacing w:after="0" w:line="200" w:lineRule="exact"/>
        <w:rPr>
          <w:sz w:val="20"/>
          <w:szCs w:val="20"/>
          <w:color w:val="auto"/>
        </w:rPr>
      </w:pPr>
    </w:p>
    <w:p>
      <w:pPr>
        <w:ind w:left="500" w:right="8680" w:hanging="492"/>
        <w:spacing w:after="0" w:line="601" w:lineRule="auto"/>
        <w:tabs>
          <w:tab w:leader="none" w:pos="50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500" w:right="2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$1,914 and $1,742 for the three months ended June 30, 2020 and 2019, respectively, and $4,145 and $4,520 for the six months ended June 30, 2020 and 2019, respectively. Costs associated with the Management Agreement and Administrative Agreement are included within Selling, general and administrative in the condensed consolidated statements of operations and comprehensive loss. As of June 30, 2020 and December 31, 2019, $3,465 and $5,083 were due to Fortress, respectively.</w:t>
      </w:r>
    </w:p>
    <w:p>
      <w:pPr>
        <w:spacing w:after="0" w:line="212" w:lineRule="exact"/>
        <w:rPr>
          <w:rFonts w:ascii="Arial" w:cs="Arial" w:eastAsia="Arial" w:hAnsi="Arial"/>
          <w:sz w:val="16"/>
          <w:szCs w:val="16"/>
          <w:b w:val="1"/>
          <w:bCs w:val="1"/>
          <w:color w:val="auto"/>
        </w:rPr>
      </w:pPr>
    </w:p>
    <w:p>
      <w:pPr>
        <w:ind w:left="500" w:right="20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In addition to management and administrative services, an affiliate of Fortress owns and leases an aircraft chartered by the Company for business purposes in the course of operations. The Company incurred, at aircraft operator market rates, charter costs of $45 and $649 for the three months ended June 30, 2020 and 2019, respectively, and $1,284 and $1,625 for the six months ended June 30, 2020 and 2019, respectively. As of June 30, 2020 and December 31, 2019, $1,974 and $4,286 was due to this affiliate, respectively.</w:t>
      </w:r>
    </w:p>
    <w:p>
      <w:pPr>
        <w:sectPr>
          <w:pgSz w:w="11900" w:h="16838" w:orient="portrait"/>
          <w:cols w:equalWidth="0" w:num="1">
            <w:col w:w="11220"/>
          </w:cols>
          <w:pgMar w:left="320" w:top="121"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Land and office lease</w:t>
      </w:r>
    </w:p>
    <w:p>
      <w:pPr>
        <w:spacing w:after="0" w:line="252"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color w:val="auto"/>
        </w:rPr>
        <w:t>The Company has leased land and office space from Florida East Coast Industries, LLC (“FECI”), which is controlled by funds managed by an affiliate of Fortress. In April 2019, FECI sold the office building to a non-affiliate, and as such, the lease of the office space is no longer held with a related party. The Company recognized expense related to the land lease still held by a related party during the three and six months ended June 30, 2020 of $103 and $206, respectively, which was included within Operations and maintenance in the condensed consolidated statements of operations and comprehensive loss. The expense for the period that the land and building was owned by a related party during the three months ended June 30, 2019 totaled $112, of which $38 related to the office lease and ancillary services is included in Selling, general and administrative, and $74 related to the land lease is included within Operations and maintenance. The expense for the period that the land and building was owned by a related party during the six months ended June 30, 2019 totaled $758 of which $386 was capitalized to Construction in progress, $223 related to the office lease and ancillary services is included in Selling, general and administrative, and $149 related to the land lease is included within Operations and maintenance, respectively in the condensed consolidated statements of operations and comprehensive loss. As of June 30, 2020 and December 31, 2019, there was no amount due to FECI.</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DevTech Investment</w:t>
      </w:r>
    </w:p>
    <w:p>
      <w:pPr>
        <w:spacing w:after="0" w:line="252" w:lineRule="exact"/>
        <w:rPr>
          <w:sz w:val="20"/>
          <w:szCs w:val="20"/>
          <w:color w:val="auto"/>
        </w:rPr>
      </w:pPr>
    </w:p>
    <w:p>
      <w:pPr>
        <w:ind w:left="500" w:right="60"/>
        <w:spacing w:after="0" w:line="270" w:lineRule="auto"/>
        <w:rPr>
          <w:sz w:val="20"/>
          <w:szCs w:val="20"/>
          <w:color w:val="auto"/>
        </w:rPr>
      </w:pPr>
      <w:r>
        <w:rPr>
          <w:rFonts w:ascii="Arial" w:cs="Arial" w:eastAsia="Arial" w:hAnsi="Arial"/>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As of June 30, 2020 and December 31, 2019, $715 and $815 was owed to DevTech on the note payable, respectively. The outstanding note payable due to DevTech is included in Other long-term liabilities on the condensed consolidated balance sheets as of June 30, 2020. The interest expense on the note payable due to DevTech was $19 and $24 for the three months ended June 30, 2020 and 2019, respectively, and $38 and $46 for the six months ended June 30, 2020 and 2019, respectively. No interest has been paid, and accrued interest has been recognized within Accrued expenses on the condensed consolidated balance sheets. As of June 30, 2020 and December 31, 2019, $343 and $443 was due from DevTech, respectively.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Fortress affiliated entities</w:t>
      </w:r>
    </w:p>
    <w:p>
      <w:pPr>
        <w:spacing w:after="0" w:line="252" w:lineRule="exact"/>
        <w:rPr>
          <w:sz w:val="20"/>
          <w:szCs w:val="20"/>
          <w:color w:val="auto"/>
        </w:rPr>
      </w:pPr>
    </w:p>
    <w:p>
      <w:pPr>
        <w:jc w:val="both"/>
        <w:ind w:left="500" w:right="240"/>
        <w:spacing w:after="0" w:line="263" w:lineRule="auto"/>
        <w:rPr>
          <w:sz w:val="20"/>
          <w:szCs w:val="20"/>
          <w:color w:val="auto"/>
        </w:rPr>
      </w:pPr>
      <w:r>
        <w:rPr>
          <w:rFonts w:ascii="Arial" w:cs="Arial" w:eastAsia="Arial" w:hAnsi="Arial"/>
          <w:sz w:val="18"/>
          <w:szCs w:val="18"/>
          <w:color w:val="auto"/>
        </w:rPr>
        <w:t>Since 2017, the Company has provided certain administrative services to related parties including Fortress affiliated entities. As of June 30, 2020 and December 31, 2019, $1,117 and $1,134 were due from affiliates, respectively. There are no costs incurred by the Company as the Company is fully reimbursed for all costs incurred.</w:t>
      </w:r>
    </w:p>
    <w:p>
      <w:pPr>
        <w:spacing w:after="0" w:line="211"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$0 and $607 for the three months ended June 30, 2020 and 2019, respectively, and $849 and $1,026 for the six months ended June 30, 2020 and 2019, respectively. No amounts were incurred in the three months ended June 30, 2020 due to credits received from this affiliate for previously performed services. As of June 30, 2020 and December 31, 2019, $1,147 and $883 were due to this entity, respectively.</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Due to/from Affiliates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balances outstanding with affiliates at June 30,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2680" w:type="dxa"/>
            <w:vAlign w:val="bottom"/>
          </w:tcPr>
          <w:p>
            <w:pPr>
              <w:spacing w:after="0"/>
              <w:rPr>
                <w:sz w:val="18"/>
                <w:szCs w:val="18"/>
                <w:color w:val="auto"/>
              </w:rPr>
            </w:pPr>
          </w:p>
        </w:tc>
      </w:tr>
      <w:tr>
        <w:trPr>
          <w:trHeight w:val="241"/>
        </w:trPr>
        <w:tc>
          <w:tcPr>
            <w:tcW w:w="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affiliates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80" w:type="dxa"/>
            <w:vAlign w:val="bottom"/>
            <w:shd w:val="clear" w:color="auto" w:fill="CCEEFF"/>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Amounts due from affiliates</w:t>
            </w: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2680" w:type="dxa"/>
            <w:vAlign w:val="bottom"/>
          </w:tcPr>
          <w:p>
            <w:pPr>
              <w:spacing w:after="0"/>
              <w:rPr>
                <w:sz w:val="20"/>
                <w:szCs w:val="20"/>
                <w:color w:val="auto"/>
              </w:rPr>
            </w:pPr>
          </w:p>
        </w:tc>
      </w:tr>
      <w:tr>
        <w:trPr>
          <w:trHeight w:val="581"/>
        </w:trPr>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460" w:type="dxa"/>
            <w:vAlign w:val="bottom"/>
          </w:tcPr>
          <w:p>
            <w:pPr>
              <w:jc w:val="right"/>
              <w:ind w:right="728"/>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August 3, 2020, the Company announced the decision to complete the final step in simplifying the Company’s corporate structure by converting New Fortress Energy LLC from a Delaware limited liability company to a Delaware corporation named New Fortress Energy Inc. (the “Conversion”). Since its IPO, NFE has been a corporation for U.S. tax purposes, so converting NFE from a limited liability company to a corporation has no effect on the U.S. tax treatment of the Company or its shareholders. The Conversion is expected to become effective on August 7, 2020. The Conversion was approved by NFE’s board of directors, following receipt of special approval of the Conversion pursuant to NFE’s First Amended and Restated Limited Liability Company Agreement (the “LLC Agreement”). Under Section 10.3(d) of our LLC Agreement, no vote of the members is required or will be sought for the Conversion.</w:t>
      </w:r>
    </w:p>
    <w:p>
      <w:pPr>
        <w:spacing w:after="0" w:line="221" w:lineRule="exact"/>
        <w:rPr>
          <w:rFonts w:ascii="Arial" w:cs="Arial" w:eastAsia="Arial" w:hAnsi="Arial"/>
          <w:sz w:val="18"/>
          <w:szCs w:val="18"/>
          <w:b w:val="1"/>
          <w:bCs w:val="1"/>
          <w:color w:val="auto"/>
        </w:rPr>
      </w:pPr>
    </w:p>
    <w:p>
      <w:pPr>
        <w:ind w:left="50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the Conversion, each Class A share, representing Class A limited liability company interests of the Company (“Class A Common Shares”), outstanding immediately prior to the Conversion will be converted into one issued and outstanding, fully paid and nonassessable share of Class A common stock, $0.01 par value per share, of the Corporation (“Class A Common Stock”). Class A Common Shares currently shown on the Company’s condensed consolidated statements of changes in stockholders’ equity will be reclassified to Class A Common Stock and Additional paid-in capital with no change to Total stockholders’ equity.</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due to a variety of factors. This discussion and analysis includes information that is intended to provide investors with an understanding of our past performance and our current financial condition and is not necessarily indicative of our future performance. Please refer to “—Factors Impacting Comparability of Our Financial Results” for further discussion. The results of operations for interim periods are not necessarily indicative of the results that may be expected for any other interim period or for a full year. Unless otherwise indicated, dollar amounts are presented in thousands.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You should read “Part II, Item 1A. Risk Factors” and “Cautionary Statement on Forward-Looking Statements” elsewhere in this Quarterly Report on Form 10-Q (“Quarterly Report”) and “Part I, Item 1A. Risk Factors” in the Annual Report on Form 10-K for the year ended December 31, 2019 (our “Annual Report”) for a discussion of important factors that could cause actual results to differ materially from the results described in or implied by the forward-looking statements contained in the following discussion and analysis.</w:t>
      </w:r>
    </w:p>
    <w:p>
      <w:pPr>
        <w:spacing w:after="0" w:line="21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The unaudited condensed consolidated financial statements as of and for the three and six months ended June 30, 2020 included herein, reflect all adjustments which, in the opinion of management, are necessary for a fair presentation of financial position, results of operations and cash flows for the interim periods on a basis consistent with the annual audited financial statements. All such adjustments are of a normal recurring nature.</w:t>
      </w:r>
    </w:p>
    <w:p>
      <w:pPr>
        <w:spacing w:after="0" w:line="20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New Fortress Energy LLC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“Items 1 and 2: Business and Properties” under “Toward a Carbon-Free Future” in our Annual Report.</w:t>
      </w:r>
    </w:p>
    <w:p>
      <w:pPr>
        <w:spacing w:after="0" w:line="21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As an integrated gas-to-power energy infrastructure company, our business model spans the entire production and delivery chain from natural gas procurement and liquefaction to logistics, shipping, terminals and conversion or development of natural gas-fired power generation. We currently source LNG from long-term supply agreements with third party suppliers and from our own liquefaction facility in Miami, Florida. We expect that control of our vertical supply chain, from procurement to delivery of LNG, will help to reduce our exposure to future LNG price variations and enable us to supply our existing and future customers with LNG at a price that reinforces our competitive standing in the LNG market. Our strategy is simple: we seek to procure LNG at attractive prices using long-term agreements and through our own production, and we seek to sell natural gas (delivered through LNG infrastructure) or gas-fired power to customers that sign long-term, take-or-pay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25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(“JPC”), an affiliate of JPS, Jamalco, a bauxite mining and alumina production in Jamaica, and the Puerto Rico Electric Power Authority (“PREPA”), each of which is described in more detail below. Our assets built to service these significant customers have been designed with capacity to service other customers.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procure our LNG either by purchasing it under a contract from a supplier or by manufacturing it in our natural gas liquefaction and storage facility located in Miami-Dade County, Florida (the “Miami Facility”). Our long-term goal is to develop the infrastructure necessary to supply our existing and future customers with LNG produced primarily at our own facilities, including our expanded delivery logistics chain in Northern Pennsylvania (the “Pennsylvania Facility”).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252"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Our storage and regasification terminal in Montego Bay, Jamaica (the “Montego Bay Terminal”) serves as our supply hub for the north side of Jamaica, providing natural gas to JPS to fuel the 145MW Bogue Power Plant in Montego Bay, Jamaica. Our Montego Bay Terminal commenced commercial operations in October 2016 and is capable of processing up to 740,000 LNG gallons (61,000 MMBtu) per day and features approximately 7,000 cubic meters of onsite storage. The Montego Bay Terminal also consists of an ISO loading facility that can transport LNG to numerous on-island industrial users.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Terminal</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marine LNG storage and regasification terminal in Old Harbour, Jamaica (the “Old Harbour Terminal”) commenced commercial operations in June 2019 and is capable of processing approximately six million gallons of LNG (500,000 MMBtu) per day. The Old Harbour Terminal supplies natural gas to the new 190MW Old Harbour power plant (the “Old Harbour Power Plant”) operated by JPC. The Old Harbour Terminal is also supplying natural gas to our dual-fired combined heat and power facility in Clarendon, Jamaica (the “CHP Plant”). The CHP Plant supplies electricity to JPS under a long-term power purchase agreement (“PPA”). The CHP Plant also provides steam to Jamalco under a long-term take-or-pay steam supply agreement (“SSA”). On March 3, 2020, the CHP Plant commenced commercial operation under both the PPA and the SSA and began supplying power and steam to JPS and Jamalco,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5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are finalizing the development of the micro-fuel handling facility in the Port of San Juan, Puerto Rico (the “San Juan Facility”). The San Juan Facility is currently being developed near the San Juan Power Plant and will serve as our supply hub for the San Juan Power Plant and other industrial end-user customers in Puerto Rico. We began to deliver natural gas used for the commissioning of PREPA's power plant under the Fuel Sale and Purchase Agreement with PREPA in the second quarter of 2020, and we expect the San Juan Facility to be fully commissioned in the third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5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 Projects</w:t>
      </w:r>
    </w:p>
    <w:p>
      <w:pPr>
        <w:spacing w:after="0" w:line="25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in the process of developing an LNG regasification terminal at the Port of Pichilingue in Baja California Sur, Mexico (the “La Paz Terminal”). Our La Paz Terminal is expected to supply approximately 455,000 gallons of LNG (37,565 MMBtu) per day, and we have received all necessary permits for onshore construction of the power plant.</w:t>
      </w:r>
    </w:p>
    <w:p>
      <w:pPr>
        <w:spacing w:after="0" w:line="21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February 2020, we entered into a 25-year power purchase agreement with Nicaragua’s electricity distribution companies, and we expect to construct a new approximately 300 MW natural gas-fired power plant that will consume approximately 800,000 gallons of LNG (65,000 MMBtus) per day. In 2019, we signed a memorandum of understanding to develop a terminal in Angola to supply natural gas for power generation.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are closely monitoring the impact of the novel coronavirus (“COVID-19”) pandemic on all aspects of our operations and development projects. We primarily operate under long-term contracts with customers, many of which contain fixed minimum volumes that must be purchased on a “take-or-pay” basis. We have continued to invoice our customers for these fixed minimum volumes even in cases when our customer’s consumption has decreased. We have not changed our payment terms with these customers, and there has not been deterioration in the timing or volume of collections.</w:t>
      </w:r>
    </w:p>
    <w:p>
      <w:pPr>
        <w:spacing w:after="0" w:line="184" w:lineRule="exact"/>
        <w:rPr>
          <w:sz w:val="20"/>
          <w:szCs w:val="20"/>
          <w:color w:val="auto"/>
        </w:rPr>
      </w:pPr>
    </w:p>
    <w:p>
      <w:pPr>
        <w:ind w:right="440" w:firstLine="324"/>
        <w:spacing w:after="0" w:line="275" w:lineRule="auto"/>
        <w:rPr>
          <w:sz w:val="20"/>
          <w:szCs w:val="20"/>
          <w:color w:val="auto"/>
        </w:rPr>
      </w:pPr>
      <w:r>
        <w:rPr>
          <w:rFonts w:ascii="Arial" w:cs="Arial" w:eastAsia="Arial" w:hAnsi="Arial"/>
          <w:sz w:val="17"/>
          <w:szCs w:val="17"/>
          <w:color w:val="auto"/>
        </w:rPr>
        <w:t>Based on the essential nature of the services we provide to support power generation facilities, our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six months ended June 30, 2020, we have incurred approximately $500 for safety measures introduced into our operations and other responses to the COVID-19 pandemic.</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are actively monitoring the spread of the pandemic and the actions that governments and regulatory agencies are taking to fight the spread. We have not experienced significant disruptions in development projects and daily operations during the six months ended June 30, 2020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to a Corporation</w:t>
      </w:r>
    </w:p>
    <w:p>
      <w:pPr>
        <w:spacing w:after="0" w:line="25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August 3, 2020, we announced our decision to complete the final step in simplifying our corporate structure by converting New Fortress Energy LLC from a Delaware limited liability company to a Delaware corporation named New Fortress Energy Inc. Since its IPO, NFE has been a corporation for U.S. federal tax purposes, so converting NFE from a limited liability company to a corporation has no effect on the U.S. federal tax treatment of the Company or its shareholders. We expect the Conversion to become effective at 12:01 a.m. Eastern Time on August 7, 2020 (such date and time at which the Conversion becomes effective, the “Effective Time”). The Conversion was approved by our board of directors, following receipt of special approval of the Conversion pursuant to our LLC Agreement. Under Section 10.3(d) of our LLC Agreement, no vote of the members is required or will be sought for the Conversion.</w:t>
      </w:r>
    </w:p>
    <w:p>
      <w:pPr>
        <w:spacing w:after="0" w:line="2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the Conversion will further improve our trading liquidity and, as a result, make us more attractive to investors. Following the Conversion, we also anticipate that our common stock will be eligible for inclusion in benchmark stock indices currently utilized by more than $8 trillion of industry assets, which amount we expect will increase over time. We also believe that, as a corporation, we will enhance our access to capital markets and our common stock will be more attractive as a currency in future strategic transactions. There can be no assurance that we can realize all or some of the anticipated benefits in a timely manner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Steps</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August 3, 2020, in order to implement the Conversion, we filed with the Secretary of State of the State of Delaware a Certificate of Conversion (the “Certificate of Conversion”) and a Certificate of Incorporation (the “Certificate of Incorporation”). As a result, at the Effective Time, the Company will convert to a corporation pursuant to a plan of conversion (the “Plan of Conversion”), and the Certificate of Incorporation and the By-Laws of the Corporation (the “By-Laws”) will become effective. Following the Conversion, the Corporation will be named “New Fortress Energy Inc.”</w:t>
      </w:r>
    </w:p>
    <w:p>
      <w:pPr>
        <w:spacing w:after="0" w:line="19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August 3, 2020, the Company notified the NASDAQ Global Select Market (“NASDAQ”) that the Certificate of Conversion had been filed with the Secretary of State of the State of Delaware. At the Effective Time, each Class A share, representing Class A limited liability company interests of the Company (“Class A Common Shares”), outstanding immediately prior to the Effective Time will be converted into one issued and outstanding, fully paid and nonassessable share of Class A common stock, $0.01 par value per share, of the Corporation (“Class A Common Stock”). The Company will request that, as of the open of trading on August 7, 2020, NASDAQ cease trading of the Class A Common Shares and commence trading of the Class A Common Stock on NASDAQ under the existing ticker symbol “NFE.” No action or approval by the current holders of Class A Common Shares is currently anticipated with respect to the Conversion and no new CUSIP numbers will be issued.</w:t>
      </w:r>
    </w:p>
    <w:p>
      <w:pPr>
        <w:spacing w:after="0" w:line="204"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shares of Class A Common Stock issued upon effectiveness of the Conversion will carry all rights with respect to the Class A Common Shares, including the right to receive any distribution declared but not yet paid on the Class A Common Shares prior to the Conversion.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Stockholders</w:t>
      </w:r>
    </w:p>
    <w:p>
      <w:pPr>
        <w:spacing w:after="0" w:line="25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Certificate of Incorporation and By-Laws provide the Corporation’s stockholders following the Conversion with substantially the same rights and obligations that shareholders have pursuant to the LLC Agreement. Following the Conversion, except as otherwise expressly provided in the Certificate of Incorporation and By-Laws, the holders of Class A Common Stock will be entitled to vote on all matters on which stockholders of a corporation are generally entitled to vote on under the Delaware General Corporation Law, including the election of the board of directors of the Corporation. Holders of Class A Common Stock will be entitled to one vote per share of Class A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5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directors and executive officers of the Company immediately prior to the Effective Time will become the directors and executive officers of the Corporation at the Effective Time. In addition, the committees of the board, and the membership thereof, immediately prior to the Effective Time, will be replicated at the Corporation at the Effective Time.</w:t>
      </w:r>
    </w:p>
    <w:p>
      <w:pPr>
        <w:spacing w:after="0" w:line="2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foregoing descriptions are qualified by reference to the forms of the Plan of Conversion, Certificate of Conversion, Certificate of Incorporation and the Bylaws, which are filed as Exhibits 99.1, 99.2, 99.3 and 99.4, respectively, to this Quarterly Report on Form 10-Q.</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received an order from the Federal Energy Regulatory Commission (“FERC”) on June 18, 2020, which asked us to explain why our San Juan Facility is not subject to FERC’s jurisdiction under section 3 of the Natural Gas Act. While we do not believe that the San Juan Facility is jurisdictional, we provided our reply to FERC on July 20, 2020 and requested that FERC act expeditiously. We do not know if or when FERC will respond to our reply, or the outcome of any such response.</w:t>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and Six Months Ended June 30, 2020 compared to Three and Six Months Ended June 30,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8"/>
          </w:tcPr>
          <w:p>
            <w:pPr>
              <w:jc w:val="right"/>
              <w:ind w:right="601"/>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3320" w:type="dxa"/>
            <w:vAlign w:val="bottom"/>
            <w:gridSpan w:val="9"/>
          </w:tcPr>
          <w:p>
            <w:pPr>
              <w:jc w:val="right"/>
              <w:ind w:right="681"/>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Change</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19"/>
                <w:szCs w:val="19"/>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44,439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139,679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57,876</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81,803</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8,028</w:t>
            </w:r>
          </w:p>
        </w:tc>
        <w:tc>
          <w:tcPr>
            <w:tcW w:w="160" w:type="dxa"/>
            <w:vAlign w:val="bottom"/>
          </w:tcPr>
          <w:p>
            <w:pPr>
              <w:spacing w:after="0"/>
              <w:rPr>
                <w:sz w:val="19"/>
                <w:szCs w:val="19"/>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10,361</w:t>
            </w:r>
          </w:p>
        </w:tc>
        <w:tc>
          <w:tcPr>
            <w:tcW w:w="2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29,417</w:t>
            </w:r>
          </w:p>
        </w:tc>
        <w:tc>
          <w:tcPr>
            <w:tcW w:w="20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11,841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17,576</w:t>
            </w:r>
          </w:p>
        </w:tc>
      </w:tr>
      <w:tr>
        <w:trPr>
          <w:trHeight w:val="223"/>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94,566</w:t>
            </w:r>
          </w:p>
        </w:tc>
        <w:tc>
          <w:tcPr>
            <w:tcW w:w="16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169,096</w:t>
            </w:r>
          </w:p>
        </w:tc>
        <w:tc>
          <w:tcPr>
            <w:tcW w:w="2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99,379</w:t>
            </w:r>
          </w:p>
        </w:tc>
        <w:tc>
          <w:tcPr>
            <w:tcW w:w="100" w:type="dxa"/>
            <w:vAlign w:val="bottom"/>
            <w:shd w:val="clear" w:color="auto" w:fill="CCEEFF"/>
          </w:tcPr>
          <w:p>
            <w:pPr>
              <w:spacing w:after="0"/>
              <w:rPr>
                <w:sz w:val="19"/>
                <w:szCs w:val="19"/>
                <w:color w:val="auto"/>
              </w:rPr>
            </w:pPr>
          </w:p>
        </w:tc>
      </w:tr>
      <w:tr>
        <w:trPr>
          <w:trHeight w:val="216"/>
        </w:trPr>
        <w:tc>
          <w:tcPr>
            <w:tcW w:w="42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44,043</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25,856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138,115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77,392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60,723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5,403</w:t>
            </w:r>
          </w:p>
        </w:tc>
        <w:tc>
          <w:tcPr>
            <w:tcW w:w="16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17,983</w:t>
            </w:r>
          </w:p>
        </w:tc>
        <w:tc>
          <w:tcPr>
            <w:tcW w:w="2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9,902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8,081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32,169</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60,216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81,918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1"/>
              </w:rPr>
              <w:t>Contract termination charges and loss on mitigation sales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123,906</w:t>
            </w:r>
          </w:p>
        </w:tc>
        <w:tc>
          <w:tcPr>
            <w:tcW w:w="2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124,114</w:t>
            </w:r>
          </w:p>
        </w:tc>
        <w:tc>
          <w:tcPr>
            <w:tcW w:w="2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124,114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5,510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12,874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9,073</w:t>
            </w:r>
          </w:p>
        </w:tc>
      </w:tr>
      <w:tr>
        <w:trPr>
          <w:trHeight w:val="27"/>
        </w:trPr>
        <w:tc>
          <w:tcPr>
            <w:tcW w:w="4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242,771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159,046</w:t>
            </w:r>
          </w:p>
        </w:tc>
        <w:tc>
          <w:tcPr>
            <w:tcW w:w="2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353,302</w:t>
            </w:r>
          </w:p>
        </w:tc>
        <w:tc>
          <w:tcPr>
            <w:tcW w:w="20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173,013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180,289</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(148,205)</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(104,246)</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(184,206)</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(80,910)</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6,199</w:t>
            </w:r>
          </w:p>
        </w:tc>
        <w:tc>
          <w:tcPr>
            <w:tcW w:w="16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10,999</w:t>
            </w:r>
          </w:p>
        </w:tc>
        <w:tc>
          <w:tcPr>
            <w:tcW w:w="2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31,088</w:t>
            </w:r>
          </w:p>
        </w:tc>
        <w:tc>
          <w:tcPr>
            <w:tcW w:w="2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21,605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1,610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3,265</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9,557</w:t>
            </w:r>
          </w:p>
        </w:tc>
        <w:tc>
          <w:tcPr>
            <w:tcW w:w="20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9,557</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(166,402)</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(51,078)</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(115,324)</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(226,461)</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(115,337)</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Tax expense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w:t>
            </w:r>
          </w:p>
        </w:tc>
      </w:tr>
      <w:tr>
        <w:trPr>
          <w:trHeight w:val="25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(166,519</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(115,286</w:t>
            </w:r>
          </w:p>
        </w:tc>
        <w:tc>
          <w:tcPr>
            <w:tcW w:w="200" w:type="dxa"/>
            <w:vAlign w:val="bottom"/>
            <w:tcBorders>
              <w:bottom w:val="single" w:sz="8" w:color="CCEEFF"/>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(226,574</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Operating revenue from the sale of LNG, natural gas sales or outputs from our natural gas-fired power generation facilities increased $44,439 and $81,803 for the three and six months ended June 30, 2020, respectively. The increase was primarily driven by volumes sold from the Old Harbour Terminal, including volumes utilized in the CHP Plant which commenced commercial operations during March 2020. For the three months ended June 30, 2020, we recognized $43,472 of revenue from volumes sold at the Old Harbour Terminal, including $22,931 from sales to the Old Harbour Power Plant and $20,541 from natural gas utilized in the CHP Plant. For the six months ended June 30, 2020, we recognized $79,249 of revenue from volumes sold at the Old Harbour Terminal, including $52,876 from sales to the Old Harbour Power Plant and $26,373 from natural gas utilized in the CHP Plant. For the three months ended June 30, 2020, the volume delivered to the Old Harbour Power Plant was 19.3 million gallons (1.6 TBtu) and the volume utilized in the CHP Plant was 24.0 million gallons (2.0 TBtu). For the six months ended June 30, 2020, the volume delivered to the Old Harbour Power Plant was 51.5 million gallons (4.3 TBtu) and the volume utilized in the CHP Plant was 33.8 million gallons (2.8 TBtu). We also began to deliver power and steam under our contracts with JPS and Jamalco during March 2020 adding $6,946 and $8,677 in revenue for the three and six months ended June 30, 2020, respectively.</w:t>
      </w:r>
    </w:p>
    <w:p>
      <w:pPr>
        <w:spacing w:after="0" w:line="20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connection with the adoption of ASC 842, we no longer identified a lease of the Montego Bay Terminal in our gas sale agreement with our customer. Accordingly, interest income associated with the direct financing lease of the Montego Bay Terminal is no longer recognized within Other revenue, and all amounts recognized as revenue for activities at the Montego Bay Terminal were included in Operating revenue for the three and six months ended June 30, 2020, resulting in an increase of $3,986 and $7,886 to Operating revenue, respectively. The increase in Operating revenue was partially offset by decrease in sales at the Montego Bay Terminal of $2,105 and $2,707 for the three and six months ended June 30, 2020, respectively, primarily due to decrease in sales volumes delivered at the Bogue Power Plant. The delivered volume at the Montego Bay Terminal decreased by 6.7 million gallons (0.5 TBtu) from 29.8 million gallons (2.4 TBtu) during the three months ended June 30, 2019 to 23.1 million gallons (1.9 TBtu) during the three months ended June 30, 2020. The delivered volume at the Montego Bay Terminal decreased by 9.9 million gallons (0.7 TBtu) from 56.5 million gallons (4.6 TBtu) during the six months ended June 30, 2019 to 46.6 million gallons (3.9 TBtu) during the six months ended June 30, 2020.</w:t>
      </w:r>
    </w:p>
    <w:p>
      <w:pPr>
        <w:spacing w:after="0" w:line="193"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Other revenue includes revenue for development services, which is recognized from the construction, installation and commissioning of equipment to transform customers’ facilities to operate utilizing natural gas or to allow customers to receive power or other outputs from our power generation facilities, and such services are included within certain long-term contracts to supply these customers with natural gas or outputs from our natural gas-fired facilities. Other revenue increased $10,361 and $17,576 for the three and six months ended June 30, 2020, respectively, and the increases were due to the following:</w:t>
      </w:r>
    </w:p>
    <w:p>
      <w:pPr>
        <w:spacing w:after="0" w:line="184" w:lineRule="exact"/>
        <w:rPr>
          <w:sz w:val="20"/>
          <w:szCs w:val="20"/>
          <w:color w:val="auto"/>
        </w:rPr>
      </w:pPr>
    </w:p>
    <w:p>
      <w:pPr>
        <w:ind w:left="660" w:right="80" w:hanging="328"/>
        <w:spacing w:after="0" w:line="279"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Recognition of $17,393 and $26,879 of development services revenue in Puerto Rico for the three and six months ended June 30, 2020, respectively, including conversion of the customer’s infrastructure within the San Juan Power Plant and gas used by our customer for testing and commissioning their assets. Development services revenue recognized in both the three and six months ended June 30, 2020 included $16,484 for the customer’s use of 19.3 million gallons (1.6 TBtu) of natural gas as part of commissioning their assets.</w:t>
      </w:r>
    </w:p>
    <w:p>
      <w:pPr>
        <w:sectPr>
          <w:pgSz w:w="11900" w:h="16838" w:orient="portrait"/>
          <w:cols w:equalWidth="0" w:num="1">
            <w:col w:w="11240"/>
          </w:cols>
          <w:pgMar w:left="320" w:top="121"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right="22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revenue recognized for the infrastructure projects for customers of the CHP Plant. For the three and six months ended June 30, 2020, we recognized $102 and $687, respectively, for the completion of infrastructure projects for customers of the CHP Plant, as compared to $3,908 for the three and six months ended June 30, 2019.</w:t>
      </w:r>
    </w:p>
    <w:p>
      <w:pPr>
        <w:spacing w:after="0" w:line="2" w:lineRule="exact"/>
        <w:rPr>
          <w:rFonts w:ascii="Arial" w:cs="Arial" w:eastAsia="Arial" w:hAnsi="Arial"/>
          <w:sz w:val="18"/>
          <w:szCs w:val="18"/>
          <w:color w:val="auto"/>
        </w:rPr>
      </w:pPr>
    </w:p>
    <w:p>
      <w:pPr>
        <w:ind w:left="660" w:right="400" w:hanging="328"/>
        <w:spacing w:after="0" w:line="323"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interest income associated with the direct financing lease of the Montego Bay Terminal, as all amounts recognized as revenue for activities at the Montego Bay Terminal were included in Operating revenue for the three months and six months ended June 30, 2020.</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Cost of sales includes the procurement of feedgas or LNG, as well as shipping and logistics costs to deliver LNG or natural gas to our terminals or power generation facilities or to our customers. Our LNG and natural gas supply are purchased from third parties or converted in our Miami Facility. Costs to convert natural gas to LNG, including labor, depreciation and other direct costs to operate our Miami Facility are also included in Cost of sales. For natural gas utilized by the CHP Plant, we bill our customer on a pass-through basis, and as such, NFE South Power Holdings, our consolidated subsidiary and owner of the CHP Plant, recognizes no margin on gas sales to our customer.</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sales increased $25,856 and $60,723 for the three and six months ended June 30, 2020, respectively. The increase was primarily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volumes delivered of 159% and 150% compared to the three and six months ended June 30, 2019, respectively, partially offset by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in LNG cost. The weighted-average cost of LNG purchased from third parties for our Jamaican operations decreased from $0.83 per gallon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($10.08 per MMBtu) to $0.68 per gallon ($8.23 per MMBtu) for the three months ended June 30, 2020. The weighted-average cost of LNG purchased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parties for our Jamaican operations decreased from $0.83 per gallon ($10.08 per MMBtu) to $0.67 per gallon ($8.16 per MMBtu)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2020. The weighted-average cost of our inventory balance for our Jamaican operations as of June 30, 2020 and December 31, 2019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$0.66 per gallon ($7.94 per MMBtu) and $0.64 per gallon ($7.70 per MMBtu), respectively.</w:t>
      </w:r>
    </w:p>
    <w:p>
      <w:pPr>
        <w:spacing w:after="0" w:line="23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For the six months ended June 30, 2020, charter costs associated with our expanded fleet, including a full six months of charter costs of the Old Harbour Terminal in 2020, increased Cost of sales by $2,072 as compared with the six months ended June 30, 2019. For the three months ended June 30, 2020, we capitalized charter costs associated with vessels used in commission of the San Juan Facility, decreasing Cost of sales by $848 from the three months ended June 30, 2019.</w:t>
      </w: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increase in Cost of sales was also attributable to costs associated with development services, which increased $7,669 and $17,017 for the three and six months ended June 30, 2020. The increase was due to the following:</w:t>
      </w:r>
    </w:p>
    <w:p>
      <w:pPr>
        <w:spacing w:after="0" w:line="197" w:lineRule="exact"/>
        <w:rPr>
          <w:sz w:val="20"/>
          <w:szCs w:val="20"/>
          <w:color w:val="auto"/>
        </w:rPr>
      </w:pPr>
    </w:p>
    <w:p>
      <w:pPr>
        <w:ind w:left="980" w:right="20" w:hanging="324"/>
        <w:spacing w:after="0" w:line="285"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Recognition of $11,107 and $19,923 of costs associated with development services in Puerto Rico for the three and six months ended June 30, 2020, respectively, including conversion of the customer’s infrastructure within the San Juan Power Plant and gas used by our customer for testing and commissioning their assets. The weighted-average cost of LNG purchased from third parties for our customer’s commissioning activities was $0.49 per gallon ($5.94 per MMBtu) for the three and six months ended June 30, 2020. The weighted-average cost of our inventory balance for our inventory balance for our Puerto Rico operations as of June 30, 2020 was $0.56 per gallon ($6.75 per MMBtu).</w:t>
      </w:r>
    </w:p>
    <w:p>
      <w:pPr>
        <w:spacing w:after="0" w:line="1" w:lineRule="exact"/>
        <w:rPr>
          <w:rFonts w:ascii="Arial" w:cs="Arial" w:eastAsia="Arial" w:hAnsi="Arial"/>
          <w:sz w:val="16"/>
          <w:szCs w:val="16"/>
          <w:color w:val="auto"/>
        </w:rPr>
      </w:pPr>
    </w:p>
    <w:p>
      <w:pPr>
        <w:ind w:left="980" w:hanging="324"/>
        <w:spacing w:after="0" w:line="273"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 in costs associated the infrastructure projects for customers of the CHP Plant of $3,438 and $2,906 for the three and six months ended June 30, 2020. For the three and six months ended June 30, 2020, we recognized $114 and $646 of costs associated with the completion of infrastructure projects for customers of the CHP Plant. For the three and six months ended June 30, 2019, $3,552 of costs associated with the completion of infrastructure projects for customers of the CHP Plant were recognized.</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Operations and maintenance</w:t>
      </w:r>
    </w:p>
    <w:p>
      <w:pPr>
        <w:spacing w:after="0" w:line="25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Operations and maintenance relates to costs of operating our Montego Bay Terminal, CHP Plant, Miami Facility and Old Harbour Terminal, exclusive of costs to convert that are reflected in Cost of sales. Operations and maintenance increased $4,097 and $8,081 for the three and six months ended June 30, 2020, respectively. The increase was primarily a result of higher costs associated with the operations of charter vessels of $457 and $3,375, associated with additional vessels deployed, as well as other increased operating costs, primarily logistics and payroll related expenses at our terminals and facilities in the three and six months ended June 30, 2020, respectively. We incurred operating costs for the CHP Plant for the period after commencement of commercial operations on March 3, 2020 of $1,424 and $1,768 in the three and six months ended June 30, 2020, respectively.</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costs associated with development activities for projects that are in initial stages and development is not yet probable.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Selling, general and administrative decreased $323 and $21,702 for the three and six months ended June 30, 2020, respectively. The decrease was primarily attributable to lower share-based compensation expense of $7,041 and $23,738 and professional fees of $1,126 and $8,970 recognized for the three and six months ended June 30, 2020, respectively. These decreases were partially offset by increases in development costs incurred for development projects that currently do not qualify for capitalization and higher payroll costs associated with increased headcount as compared to the same periods in the prior year.</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termination charges and loss on mitigation sales</w:t>
      </w:r>
    </w:p>
    <w:p>
      <w:pPr>
        <w:spacing w:after="0" w:line="25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Contract termination charges and loss on mitigation sales for the three and six months ended June 30, 2020 was $123,906 and $124,114, respectively. The pricing for LNG in the open market continues to be significantly lower than the pricing in our LNG supply agreement. In June 2020, we executed an agreement to terminate our obligation to purchase LNG from our supplier for the remainder of 2020 in exchange for a payment of $105,000, and we recognized this cancellation charge during the three months ended June 30, 2020. We terminated our obligation in the second quarter of 2020 to both take advantage of the low pricing in the open market and to align future deliveries of LNG with our expected needs. We intend to purchase LNG in the open market for the remainder of our needs in 2020 to significantly reduce our LNG supply cost.</w:t>
      </w:r>
    </w:p>
    <w:p>
      <w:pPr>
        <w:spacing w:after="0" w:line="20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experienced lower than expected consumption by our customers, primarily the result of unplanned maintenance at one of our customer’s facilities in Jamaica in May and June 2020. As a result, we were unable to utilize a firm cargo purchased under our LNG supply agreement, incurring a loss of $18,906 on the sale of this cargo that was recognized during the three months ended June 30,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such transactions during the same periods in the prior year.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Depreciation and amortization increased $5,510 and $9,073 for the three and six months ended June 30, 2020, respectively. The increase was primarily a result of an increase in depreciation of $1,212 and $3,106 for our Old Harbour Terminal that went into service in June 2019 during the three and six months ended June 30, 2020, respectively. Additionally, we recognized additional depreciation expense of $3,000 and $3,673 for the CHP Plant that went into service in March 2020 for the three and six months ended June 30, 2020, respectively. The increase was also due to additional depreciation of $1,246 and $2,325 recognized on our Montego Bay Terminal during the three and six months ended June 30, 2020, respectively. These assets were presented as direct financing leases prior to the adoption of ASC 842, and no depreciation for such assets was previously recorded.</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Interest expense increased $10,999 and $21,605 for the three and six months ended June 30, 2020, respectively. These increases were a result of the additional principal balances outstanding during 2020 under the Credit Agreement, Senior Secured Bonds and Senior Unsecured Bonds (all defined below), as compared to the Term Loan Facility which was extinguished in January 2020. Interest expense incurred under the Credit Agreement, net of capitalized interest, was $13,399 and $24,331, and interest expense incurred on the Secured Bonds and Senior Unsecured Bonds, net of capitalized interest, was $3,814 and $5,601 in the three and six months ended June 30, 2020,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expense (income), net</w:t>
      </w:r>
    </w:p>
    <w:p>
      <w:pPr>
        <w:spacing w:after="0" w:line="25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Other expense (income), net increased $79 and $3,265 for the three and six months ended June 30, 2020, respectively. The increase in expense for the three months ended June 30, 2020 was primarily due to a decrease in interest income and the change in fair value of the derivative liability and equity agreement associated with our acquisition of Shannon LNG in November 2018, partially offset by unrealized gain on investment in equity securities. For the six months ended June 30, 2020, the increase in expense was primarily as a result of the unrealized loss on our investment in equity securities, the changes in fair value of the derivative liability and equity agreement interest and the decrease in interest income.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on extinguishment of debt</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Loss on extinguishment of debt for the three and six months ended June 30, 2020 was $0 and $9,557, respectively, as a result of the extinguishment of the Term Loan Facility (as defined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expense</w:t>
      </w:r>
    </w:p>
    <w:p>
      <w:pPr>
        <w:spacing w:after="0" w:line="25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Tax expense for the three and six months ended June 30, 2020 was $117 and $113, respectively, compared to tax expense of $155 and $401 for the three and six months ended June 30, 2019, respectively. We continue to have valuation allowances in many of our foreign jurisdictions and tax expense for earnings generated in foreign jurisdictions has been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97" w:lineRule="exact"/>
        <w:rPr>
          <w:sz w:val="20"/>
          <w:szCs w:val="20"/>
          <w:color w:val="auto"/>
        </w:rPr>
      </w:pPr>
    </w:p>
    <w:p>
      <w:pPr>
        <w:jc w:val="both"/>
        <w:ind w:left="660" w:hanging="328"/>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do not include significant projects that are near completion. </w:t>
      </w:r>
      <w:r>
        <w:rPr>
          <w:rFonts w:ascii="Arial" w:cs="Arial" w:eastAsia="Arial" w:hAnsi="Arial"/>
          <w:sz w:val="16"/>
          <w:szCs w:val="16"/>
          <w:color w:val="auto"/>
        </w:rPr>
        <w:t>Our results of operations for the first half of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our Montego Bay Terminal, Miami Facility, sales from our Old Harbour Terminal to JPC, and certain industrial end-users. The CHP Plant commenced commercial operations during March 2020, and our results now include revenue and results operations from sales of gas, power and steam from the CHP Plant. We also expect that the San Juan Facility will become fully operational beginning in third quarter of 2020. Our current results also do not include revenue and operating results from other projects under development including the La Paz Terminal, the LNG regasification terminal and power plant in Puerto Sandino, Nicaragua (the “Puerto Sandino Terminal”), the LNG terminal in Angola (the “Angola Terminal”), and the LNG terminal on the Shannon Estuary near Ballylongford, Ireland (the “Ireland Terminal”).</w:t>
      </w:r>
    </w:p>
    <w:p>
      <w:pPr>
        <w:spacing w:after="0" w:line="193"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do not reflect changes to our current long term LNG supply agreement as well a new LNG supply agreement that will lower the cost of our LNG supply through 2030. </w:t>
      </w:r>
      <w:r>
        <w:rPr>
          <w:rFonts w:ascii="Arial" w:cs="Arial" w:eastAsia="Arial" w:hAnsi="Arial"/>
          <w:sz w:val="17"/>
          <w:szCs w:val="17"/>
          <w:color w:val="auto"/>
        </w:rPr>
        <w:t>We currently purchase the majority of our supply of LNG from third parties.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and six months ended June 30, 2020, we sourced 96% of our LNG volumes from third parties. Our cost of sales for the three and six months ended June 30, 2020, reflected an average cost of LNG purchased from third parties for use in our Jamaican operations of $0.68 per gallon ($8.23 per MMBtu) and $0.67 per gallon ($8.16 per MMBtu), respectively, predominately purchased under a long term LNG supply agreement entered into in December 2018. During 2019, the market price for LNG declined significantly, and we have executed an LNG supply agreement to purchase 27.5 TBtus annually beginning in 2022 at prices that are expected to be significantly lower than our current inventory balance. In June 2020, we entered into an agreement to terminate our obligation to purchase LNG from our supplier for the remainder of 2020 in exchange for a payment of $105,000. We intend to purchase all volumes needed for our operations in the remainder of 2020 on the open market, significantly reducing our LNG supply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believe we will have sufficient liquidity from proceeds from recent borrowings and cash flow from operations to fund our capital expenditures and working capital needs for the next 12 months. We expect to fund our current operations and continued development of additional facilities through a combination of cash on hand and additional borrowings from the Senior Secured Bonds, Senior Unsecured Bonds, and the Credit Agreement (all defined below). Our IPO was completed on February 4, 2019, and we raised net proceeds of $268,010, inclusive of additional net proceeds raised from the exercise of the underwriter’s option to purchase additional shares and after deducting underwriting discounts and commissions and transaction costs. On March 21, 2019, we drew the remaining availability on our Term Loan Facility (defined below) and had $495,000 of outstanding principal as of December 31, 2019. On September 5, 2019, we issued approximately $117,000 in Senior Secured Bonds and Senior Unsecured Bonds, and in December 2019, we issued an additional $63,000 in Senior Secured Bonds, which was fully funded by January 2020. In January 2020, we borrowed $800,000 under the Credit Agreement, and repaid the Term Loan Facility in full. No principal payments are due under the Senior Secured and Senior Unsecured Bonds for at least seven years; no principal payments are due under the Credit Agreement until maturity in January 2023.</w:t>
      </w:r>
    </w:p>
    <w:p>
      <w:pPr>
        <w:spacing w:after="0" w:line="19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assumed total expenditures for all completed and existing projects to be approximately $855 million, with approximately $724 million having already been spent through June 30, 2020. This estimate represents the expenditures necessary to complete the San Juan Facility and the La Paz Terminal, as well as expected expenditures to serve new industrial end-users. We expect to be able to fund all such committed projects with a combination of cash on hand, as well as the proceeds from the Credit Agreement, Senior Secured Bonds, and Senior Unsecured Bonds. Through June 30, 2020, we have spent approximately $155 million to develop the Pennsylvania Facility. Approximately $20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$135 million, has been capitalized.</w:t>
      </w:r>
    </w:p>
    <w:p>
      <w:pPr>
        <w:spacing w:after="0" w:line="19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the third quarter of 2020, we will pay the cancellation fee of $105,000 in connection with the agreement executed in June 2020 with our LNG supplier to terminate the supply of LNG for the remainder of 2020. Payment of this fee will be funded by cash on hand.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to our cash flows for the six months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10"/>
          </w:tcPr>
          <w:p>
            <w:pPr>
              <w:jc w:val="right"/>
              <w:ind w:right="7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Change</w:t>
            </w:r>
          </w:p>
        </w:tc>
        <w:tc>
          <w:tcPr>
            <w:tcW w:w="80" w:type="dxa"/>
            <w:vAlign w:val="bottom"/>
          </w:tcPr>
          <w:p>
            <w:pPr>
              <w:spacing w:after="0"/>
              <w:rPr>
                <w:sz w:val="19"/>
                <w:szCs w:val="19"/>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Cash flows from:</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(80,323)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(92,068)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(95,344)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(231,877)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136,533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(175,085)</w:t>
            </w:r>
          </w:p>
        </w:tc>
      </w:tr>
      <w:tr>
        <w:trPr>
          <w:trHeight w:val="27"/>
        </w:trPr>
        <w:tc>
          <w:tcPr>
            <w:tcW w:w="6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157,165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(26,807)</w:t>
            </w:r>
          </w:p>
        </w:tc>
      </w:tr>
      <w:tr>
        <w:trPr>
          <w:trHeight w:val="21"/>
        </w:trPr>
        <w:tc>
          <w:tcPr>
            <w:tcW w:w="6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(used in) operating activities</w:t>
      </w:r>
    </w:p>
    <w:p>
      <w:pPr>
        <w:spacing w:after="0" w:line="25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cash flow used in operating activities was $80,323 for the six months ended June 30, 2020, which decreased by $11,745 from $92,068 for the six months ended June 30, 2020. Our net loss when adjusted for non-cash items was $10,112 lower than the net loss adjusted for non-cash items for the six months ended June 30, 2019, reflecting lower cash used as a result of our operations for the six months ended June 30, 2020.</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Our cash flow used in investing activities was $95,344 for the six months ended June 30, 2020, which decreased by $136,533 from $231,877 for the six months ended June 30, 2019. Cash outflows for investing activities during the six months ended June 30, 2020 were primarily used to complete the CHP Plant and the San Juan Facility, as well as construction of the La Paz Terminal.</w:t>
      </w:r>
    </w:p>
    <w:p>
      <w:pPr>
        <w:spacing w:after="0" w:line="21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Cash used in investing activities during the six months ended June 30, 2019 included significant capital expenditures for development of our Old Harbour Terminal and Pennsylvania Facility, as well as payments for significant outstanding amounts to our suppliers that were accrued as of December 31, 2018. We did not have these activities during the six months ended June 30, 2020, resulting in a decrease in cash outflows for investing activities.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cash flow provided by financing activities was $306,025 for the six months ended June 30, 2020, which decreased by $175,085 from $481,110 for the six months ended June 30, 2019. Cash provided by financing activities during the six months ended June 30, 2020 was due to borrowings under the Credit Agreement of $800,000, partially offset by an original issue discount of $20,000 and transaction costs and other fees to obtain the Credit Agreement of $13,600. A portion of these proceeds was used to fund the repayment of the Term Loan Facility of $506,402. Additionally, the remaining proceeds from the Senior Secured Bonds of $52,144 were received during the first quarter of 2020.</w:t>
      </w:r>
    </w:p>
    <w:p>
      <w:pPr>
        <w:spacing w:after="0" w:line="203"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Cash flow provided by financing activities during the six months ended June 30, 2019 were primarily consisted IPO proceeds of $274,948 and additional borrowing under the Term Loan Facility of $220,000. These cash inflows were partially offset by payment of offering costs for our IPO and principal payments on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Agreement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2020, the Company entered into a credit agreement to borrow $800,000 in term loans (the “Credit Agreement”). The Credit Agreement will mature in January 2023 with the full principal balance due upon maturity. Interest is payable quarterly and is based on a LIBOR rate divided by one minus the applicable reserve requirement, subject to a floor of 1.50%, plus a margin of 6.25%. The interest rate margin increases each year of the term by 1.50%. Loans may be prepaid, at the option of the Company, at any time without premium. We have used a portion of the proceeds received to extinguish the Term Loan Facility (defined below).</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required to comply with certain financial covenants as well as usual and customary affirmative and negative covenants, including limitations on liens and incurring additional indebtedness. The facility also provides for customary events of default and cure provisions.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connection with obtaining the Credit Agreement and the extinguishment of the Term Loan Facility, the Company incurred $36,313 in origination, structuring, and other fees which were recognized as a reduction of the principal balance of the Credit Agreement on the condensed consolidated balance sheets. As of June 30, 2020, the remaining unamortized deferred financing costs were $26,105.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August 16, 2018, the Company entered into a credit agreement with a syndicate of two lenders to borrow up to an aggregate principal amount of $240,000. On December 31, 2018, the Company amended this credit agreement (as amended, the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IPO. As of December 31, 2018, the outstanding principal balance under the Term Loan Facility was $280,000.</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 March 21, 2019, the Company drew an additional $220,000, bringing our total outstanding borrowings to $500,000 under the Term Loan Facility, and as of December 31, 2019, the total principal amount outstanding under the Term Loan Facility was $495,000.</w:t>
      </w:r>
    </w:p>
    <w:p>
      <w:pPr>
        <w:spacing w:after="0" w:line="19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All borrowings under the Term Loan Facility bore interest at a rate selected by us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214"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The Term Loan Facility was secured by mortgages on certain properties owned by our subsidiaries, in addition to other collateral. The Term Loan Facility was amended in the third quarter of 2019 to allow certain properties of a consolidated subsidiary to secure the Senior Secured Bonds (defined below). We were also required to comply with certain financial covenants and other restrictive covenants customary for facilities of this type, including restrictions on indebtedness, liens, acquisitions and investments, restricted payments, and dispositions.</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incurred costs in connection with obtaining the Term Loan Facility, the extinguishment of our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2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Term Loan Facility had a maturity date of December 31, 2019 with an option to extend the maturity date for two additional six-month periods. Upon the exercise of each extension option, we would pay a fee equal to 1.0% of the outstanding principal balance at the time of the exercise, and the spread on LIBOR and Base Rate would increase by 0.5%. On December 30, 2019, the Company entered into an amendment with the lenders to extend the maturity to January 21, 2020. Prior to this new maturity date, we repaid the full amount outstanding, using proceeds from the Credit Agreement to extinguish the Term Loan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Power Bonds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CHP Plant and related receivables and assets, and the proceeds were used to fund the completion of the CHP Plant and to reimburse shareholder advances. In the fourth quarter of 2019, South Power issued an additional $63,000 in Senior Secured Bonds. We received $10,856 of the proceeds in 2019 and received the remaining proceeds of $52,144 in January 2020.</w:t>
      </w:r>
    </w:p>
    <w:p>
      <w:pPr>
        <w:spacing w:after="0" w:line="219"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The Senior Secured Bonds bear interest at an annual fixed rate of 8.25% and will mature 15 years from the closing date of each issuance.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Senior Unsecured Bonds bear interest at an annual fixed rate of 11.00% and will mature in September 2036. No principal payments will be due for the first nine years. Beginning in 2028, principal payments will be due quarterly on an escalating schedule. Interest payments on outstanding principal balances will be due quarterly.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The total unamortized deferred financing costs as of June 30, 2020 was $3,657.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June 30, 2020, we had no off-balance sheet arrangements that may have a current or future material effect on our consolidated financial position or operating results.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June 30,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2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4"/>
          </w:tcPr>
          <w:p>
            <w:pPr>
              <w:ind w:left="220"/>
              <w:spacing w:after="0"/>
              <w:rPr>
                <w:sz w:val="20"/>
                <w:szCs w:val="20"/>
                <w:color w:val="auto"/>
              </w:rPr>
            </w:pPr>
            <w:r>
              <w:rPr>
                <w:rFonts w:ascii="Arial" w:cs="Arial" w:eastAsia="Arial" w:hAnsi="Arial"/>
                <w:sz w:val="18"/>
                <w:szCs w:val="18"/>
                <w:b w:val="1"/>
                <w:bCs w:val="1"/>
                <w:color w:val="auto"/>
                <w:w w:val="98"/>
              </w:rPr>
              <w:t>Less than 1 year</w:t>
            </w:r>
            <w:r>
              <w:rPr>
                <w:rFonts w:ascii="Arial" w:cs="Arial" w:eastAsia="Arial" w:hAnsi="Arial"/>
                <w:sz w:val="29"/>
                <w:szCs w:val="29"/>
                <w:b w:val="1"/>
                <w:bCs w:val="1"/>
                <w:color w:val="auto"/>
                <w:w w:val="98"/>
                <w:vertAlign w:val="superscript"/>
              </w:rPr>
              <w:t>[1]</w:t>
            </w:r>
          </w:p>
        </w:tc>
        <w:tc>
          <w:tcPr>
            <w:tcW w:w="1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Years 2 to 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Year 4 to 5</w:t>
            </w:r>
          </w:p>
        </w:tc>
        <w:tc>
          <w:tcPr>
            <w:tcW w:w="160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More than 5 years</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1,399,922</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316,863</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1,452,703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380,656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303,121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765,272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33,780</w:t>
            </w:r>
          </w:p>
        </w:tc>
      </w:tr>
      <w:tr>
        <w:trPr>
          <w:trHeight w:val="27"/>
        </w:trPr>
        <w:tc>
          <w:tcPr>
            <w:tcW w:w="4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2,968,963</w:t>
            </w:r>
          </w:p>
        </w:tc>
        <w:tc>
          <w:tcPr>
            <w:tcW w:w="2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57,991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623,486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1,171,571</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1,115,915</w:t>
            </w:r>
          </w:p>
        </w:tc>
      </w:tr>
      <w:tr>
        <w:trPr>
          <w:trHeight w:val="21"/>
        </w:trPr>
        <w:tc>
          <w:tcPr>
            <w:tcW w:w="4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Includes contractual obligations from July 1, 2020 through December 31,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5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 is party to long term supply agreements. These contracts are principally take-or-pay contracts, which require the purchase of minimum quantities of LNG and natural gas, and these commitments are designed to assure sources of supply and are not expected to be in excess of normal requirements.</w:t>
      </w:r>
    </w:p>
    <w:p>
      <w:pPr>
        <w:spacing w:after="0" w:line="2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December 2018, the Company entered into a contract with Centrica LNG Company Limited for the purchase of 29 firm cargoes of 1.1 billion gallons of LNG (86.7 million MMBtu) scheduled for delivery between June 2019 and December 2021. Payment for each cargo is due in advance of each shipment. In June 2020, we executed an agreement to terminate our obligation to purchase LNG from Centrica for the remainder of 2020 in exchange for a payment of $105 million. As a result, we will now be able to purchase LNG in the open market at prices that are significantly lower than the price previously agreed to with Centrica. As of June 30, 2020, the Company is committed to purchase 12 remaining cargoes in 2021.</w:t>
      </w:r>
    </w:p>
    <w:p>
      <w:pPr>
        <w:spacing w:after="0" w:line="2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February 7, 2020, the Company entered into a long-term supply agreement with an established international gas supplier for the purchase of 27.5 TBtu per year of LNG at a price indexed to Henry Hub from January 2022 to January 2030.</w:t>
      </w:r>
    </w:p>
    <w:p>
      <w:pPr>
        <w:spacing w:after="0" w:line="19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Company currently has two contracts in place for the purchase of feedgas under take-or-pay minimum volume obligations. These commitments are structured to assure the Miami Facility has uninterrupted supply and the minimum volumes are not expected to be in excess of normal requirements. Deliveries under these contracts are scheduled between March 2019 and November 2025.</w:t>
      </w:r>
    </w:p>
    <w:p>
      <w:pPr>
        <w:spacing w:after="0" w:line="21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2018, the Company entered into a 15-year agreement with an affiliate of Chesapeake Energy Corporation for gas supply to our Pennsylvania Facility. The terms of the agreement are subject to certain conditions precedent under our control before the agreement is effective. These conditions have not yet been met, and as such, this commitment is excluded from the table above.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5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Future fixed lease payments under non-cancellable operating leases, inclusive of fixed lease payments for renewal periods the Company is reasonably certain that renewal options will be exercised, are noted in the above table. The Company’s lease obligations are primarily related to LNG vessel time charters, marine port leases, office space and a land lease.</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 currently has four vessels under time charter leases with non-cancellable terms ranging from two to seven years. The lease commitments in the table above include only the lease component of these arrangements due over the non-cancellable term and does not include any operating services.</w:t>
      </w:r>
    </w:p>
    <w:p>
      <w:pPr>
        <w:spacing w:after="0" w:line="15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Office space includes a space shared with affiliated companies in New York with a month to month lease and an office space in downtown Miami with a lease term of 84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25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6"/>
          <w:szCs w:val="16"/>
          <w:color w:val="auto"/>
        </w:rPr>
        <w:t>Our contracts with customers may contain one or several performance obligations usually consisting of the sale of LNG, natural gas, and beginning in the first quarter of 2020,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9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have concluded that variable consideration included in these agreements meets the exception for allocating variable consideration to each unit sold under the contract. As such, the variable consideration for these contracts is allocated to each distinct unit of LNG, natural gas, power or steam delivered and recognized when that distinct unit of LNG or natural gas is delivered to the customer.</w:t>
      </w:r>
    </w:p>
    <w:p>
      <w:pPr>
        <w:spacing w:after="0" w:line="21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contracts with customers to supply LNG or natural gas may contain a lease of equipment. We allocate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fixed lease payments and the amount to be accounted for under the revenue recognition guidance.</w:t>
      </w:r>
    </w:p>
    <w:p>
      <w:pPr>
        <w:spacing w:after="0" w:line="20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leases of certain facilities and equipment to customers are accounted for as financing or operating leases. The current and non-current portion of financing leases are recorded within Prepaid expenses and other current assets and Finance leases, net, on the condensed consolidated balance sheets, respectively. The lease payments for finance leases are segregated into principal and interest components similar to a loan. Interest income is recognized on an effective interest method over the lease term and is included in Other revenue in the condensed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addition to the revenue recognized from the leasing components of agreements with customers, Other revenue includes development services revenue recognized from the construction, installation and commissioning of equipment to transform customers’ facilities to operate utilizing natural gas or to allow customers to receive power or other outputs from our natural gas-fired power generation facilities. Revenue from these development services is recognized over time as we transfer control of the asset to the customer or based on the quantity of natural gas consumed as part of commissioning the customer’s facilities. If the customer is not able to obtain control over the asset under development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193"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Development services are typically included in arrangements that include other distinct performance obligations, and the Company allocates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we primarily determine the SSP using the cost-plus approach. In the circumstances when available information to determine SSP is highly variable or uncertain, we use the residual approach.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1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w:t>
      </w:r>
    </w:p>
    <w:p>
      <w:pPr>
        <w:spacing w:after="0" w:line="21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considered that the market price of LNG can vary widely, including recent decreases throughout 2019 and the first half of 2020. Due to the decline in LNG prices, we executed a long term LNG supply agreement to purchase 27.5 TBtus annually beginning in 2022 at prices that are expected to be significantly lower than inventory purchased under our contract with our current supplier. Further, we will take advantage of the current market pricing for LNG to supply our operations for the remainder of 2020, resulting in an overall lower average cost of LNG. Our long-term, take-or pay contracts to deliver natural gas or LNG to our customers also limit our exposure to fluctuations in natural gas and LNG as our pricing is based on the Henry Hub index plus a contractual spread. Based on the long-term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w:t>
      </w:r>
    </w:p>
    <w:p>
      <w:pPr>
        <w:spacing w:after="0" w:line="19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many of which contain fixed minimum volumes that must be purchased on a “take-or-pay” basis, even in cases when our customer’s consumption has decreased. We have not changed our payment terms with these customers, and there has not been any deterioration in the timing or volume of collections.</w:t>
      </w:r>
    </w:p>
    <w:p>
      <w:pPr>
        <w:spacing w:after="0" w:line="21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Based on the essential nature of the services we provide to support power generation facilities, our development projects have not currently been significantly impacted by responses to the COVID-19 pandemic. We will continue to monitor this uncertain situation and local responses in jurisdictions where we do business to determine if there are any indicators that a recoverability assessment for our assets should be performed.</w:t>
      </w:r>
    </w:p>
    <w:p>
      <w:pPr>
        <w:spacing w:after="0" w:line="19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COVID-19 pandemic has also significantly impacted energy markets, and the price of oil has traded at historic low prices in 2020. Future expansion of our business is dependent upon LNG being a competitive source of energy and available at a lower cost than the cost to deliver other alternative energy sources, such as diesel or other distillate fuels. We do not believe that oil prices will remain at their historic low levels as evidenced by recent recovery, and we believe that LNG and natural gas will remain a competitive fuel source for customers.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When performing a recoverability assessment, we measure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Company estimates the fair value of RSUs and performance stock units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5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2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Subject to certain conditions, as an EGC, we have elected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our IPO, December 31, 2024;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ind w:right="20" w:firstLine="356"/>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Debt that we incurred under the Credit Agreement bears interest based on a LIBOR rate plus a fixed margin and exposes us to interest rate risk. As of June 30, 2020, the impact on interest expense of a 1% increase or decrease in the interest rate of the Credit Agreement would be approximately $8,000 per year.</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Senior Secured Bonds and Senior Unsecured Bonds were issued with a fixed rate of interest, and as such, a change in interest rates would impact the fair value of the Senior Secured Bonds and Senior Unsecured Bonds but such a change would have no impact on our results of operations or cash flows. A 100-basis point increase or decrease in the market interest rate would decrease or increase the fair value of our fixed rate debt by between $12.5 million and $14.0 million. The sensitivity analysis presented is based on certain simplifying assumptions, including instantaneous change in interest rate and parallel shifts in the yield curve.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currently have any derivative arrangements to protect against fluctuations in interest rates applicable to our outstanding indebtedness.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primarily conduct our operations in U.S. dollars, and as such, our results of operations and cash flows have not materially been impacted by fluctuations due to changes in foreign currency exchange rates. We currently incur a limited amount of costs in foreign jurisdictions that are paid in local currencies, but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June 30, 2020.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June 30, 2020 at the reasonable assurance level.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Rule 15d-15(f) under the Exchange Act) that occurred during the quarter ended June 30, 2020 that have materially affected, or are reasonably likely to materially affect, our internal control over financial reporting.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i w:val="1"/>
          <w:iCs w:val="1"/>
          <w:color w:val="auto"/>
        </w:rPr>
        <w:t>You should carefully consider the following risk factors together with all of the other information included in this Quarterly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Quarterly Report includes forward-looking statements regarding, among other things, our plans, strategies, prospects and projections, both business and financial. As a result, you should not place undue reliance on any such statements included in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Terminals and Liquefaction Facilities. There can be no assurance that our Terminals and Liquefaction Facilities will operate as expected, or at all.</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have not yet entered into binding construction contracts, issued “final notice to proceed” or obtained all necessary environmental, regulatory, construction and zoning permissions for all of our Terminals and Liquefaction Facilities.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Terminals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this Quarterly Report or our other Quarterly or Annual Reports,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20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5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Development projects, including our Terminals,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regulatory reviews, employment laws and diligence requirements can make it more difficult, time-consuming and expensive to develop a project.</w:t>
      </w: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primary focus of our business is the development of projects in foreign jurisdictions, including in locations where we have no prior development experience, and we expect to continue expanding into new jurisdictions in the future. 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Combined Cycle San Juan Power Plant in San Juan, Puerto Rico in the third quarter of 2019. However, due to construction complexity, the earthquakes which occurred near Puerto Rico in January 2020, and third party delays which impacted each project, we began supplying natural gas to allow our customer to commission Units 5 and 6 in the second quarter of 2020 in connection with our development services. We expect our San Juan Facility to be fully commissioned in the third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52" w:lineRule="exact"/>
        <w:rPr>
          <w:sz w:val="20"/>
          <w:szCs w:val="20"/>
          <w:color w:val="auto"/>
        </w:rPr>
      </w:pPr>
    </w:p>
    <w:p>
      <w:pPr>
        <w:ind w:left="20" w:right="80" w:firstLine="318"/>
        <w:spacing w:after="0" w:line="286"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Angola, Nicaragua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98" w:lineRule="exact"/>
        <w:rPr>
          <w:sz w:val="20"/>
          <w:szCs w:val="20"/>
          <w:color w:val="auto"/>
        </w:rPr>
      </w:pPr>
    </w:p>
    <w:p>
      <w:pPr>
        <w:jc w:val="both"/>
        <w:ind w:left="20" w:right="300" w:firstLine="318"/>
        <w:spacing w:after="0" w:line="311"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7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inability to achieve our target costs for the purchase, liquefaction and export of natural gas and/or LNG and our target pricing for long-term contracts;</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197" w:lineRule="exact"/>
        <w:rPr>
          <w:rFonts w:ascii="Arial" w:cs="Arial" w:eastAsia="Arial" w:hAnsi="Arial"/>
          <w:sz w:val="18"/>
          <w:szCs w:val="18"/>
          <w:color w:val="auto"/>
        </w:rPr>
      </w:pPr>
    </w:p>
    <w:p>
      <w:pPr>
        <w:ind w:left="340" w:right="40" w:hanging="332"/>
        <w:spacing w:after="0" w:line="279"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20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Terminals and Liquefaction Facilities, as well as other future projects, in a timely and cost-effective manner;</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investments in technology and machinery, such as liquefaction technology or LNG tank truck technology, to perform as expected;</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252" w:lineRule="exact"/>
        <w:rPr>
          <w:rFonts w:ascii="Arial" w:cs="Arial" w:eastAsia="Arial" w:hAnsi="Arial"/>
          <w:sz w:val="18"/>
          <w:szCs w:val="18"/>
          <w:color w:val="auto"/>
        </w:rPr>
      </w:pPr>
    </w:p>
    <w:p>
      <w:pPr>
        <w:ind w:left="340" w:right="70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Nicaragua, Angola and elsewhere;</w:t>
      </w:r>
    </w:p>
    <w:p>
      <w:pPr>
        <w:spacing w:after="0" w:line="197"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inability to raise significant additional debt and equity capital in the future to implement our strategy as well as to operate and expand our business;</w:t>
      </w:r>
    </w:p>
    <w:p>
      <w:pPr>
        <w:spacing w:after="0" w:line="275" w:lineRule="exact"/>
        <w:rPr>
          <w:rFonts w:ascii="Arial" w:cs="Arial" w:eastAsia="Arial" w:hAnsi="Arial"/>
          <w:sz w:val="16"/>
          <w:szCs w:val="16"/>
          <w:color w:val="auto"/>
        </w:rPr>
      </w:pPr>
    </w:p>
    <w:p>
      <w:pPr>
        <w:ind w:left="340" w:right="7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Nicaragua, Angola and in the other geographic areas in which we intend to operate;</w:t>
      </w:r>
    </w:p>
    <w:p>
      <w:pPr>
        <w:spacing w:after="0" w:line="197"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COVID-19 pandemic and related economic and political impacts on our or our customers’ or suppliers’ operations and financial status;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win new bids or contracts on the terms, size and within the time frame we need to execute our business strategy;</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197"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 or</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w:t>
      </w:r>
    </w:p>
    <w:p>
      <w:pPr>
        <w:spacing w:after="0" w:line="252" w:lineRule="exact"/>
        <w:rPr>
          <w:sz w:val="20"/>
          <w:szCs w:val="20"/>
          <w:color w:val="auto"/>
        </w:rPr>
      </w:pPr>
    </w:p>
    <w:p>
      <w:pPr>
        <w:ind w:left="20" w:right="680" w:firstLine="251"/>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97" w:lineRule="exact"/>
        <w:rPr>
          <w:sz w:val="20"/>
          <w:szCs w:val="20"/>
          <w:color w:val="auto"/>
        </w:rPr>
      </w:pPr>
    </w:p>
    <w:p>
      <w:pPr>
        <w:ind w:left="20" w:right="980"/>
        <w:spacing w:after="0" w:line="308" w:lineRule="auto"/>
        <w:rPr>
          <w:sz w:val="20"/>
          <w:szCs w:val="20"/>
          <w:color w:val="auto"/>
        </w:rPr>
      </w:pPr>
      <w:r>
        <w:rPr>
          <w:rFonts w:ascii="Arial" w:cs="Arial" w:eastAsia="Arial" w:hAnsi="Arial"/>
          <w:sz w:val="17"/>
          <w:szCs w:val="17"/>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7"/>
          <w:szCs w:val="17"/>
          <w:b w:val="1"/>
          <w:bCs w:val="1"/>
          <w:color w:val="auto"/>
        </w:rPr>
        <w:t>.</w:t>
      </w:r>
    </w:p>
    <w:p>
      <w:pPr>
        <w:spacing w:after="0" w:line="173" w:lineRule="exact"/>
        <w:rPr>
          <w:sz w:val="20"/>
          <w:szCs w:val="20"/>
          <w:color w:val="auto"/>
        </w:rPr>
      </w:pPr>
    </w:p>
    <w:p>
      <w:pPr>
        <w:ind w:left="20" w:firstLine="318"/>
        <w:spacing w:after="0" w:line="269"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terminals,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terminals,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52" w:lineRule="exact"/>
        <w:rPr>
          <w:sz w:val="20"/>
          <w:szCs w:val="20"/>
          <w:color w:val="auto"/>
        </w:rPr>
      </w:pPr>
    </w:p>
    <w:p>
      <w:pPr>
        <w:ind w:left="20" w:right="80" w:firstLine="318"/>
        <w:spacing w:after="0" w:line="291"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$31.7 million in 2017, $78.2 million in 2018, and $204.3 million in 2019.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193" w:lineRule="exact"/>
        <w:rPr>
          <w:sz w:val="20"/>
          <w:szCs w:val="20"/>
          <w:color w:val="auto"/>
        </w:rPr>
      </w:pPr>
    </w:p>
    <w:p>
      <w:pPr>
        <w:ind w:right="80" w:firstLine="318"/>
        <w:spacing w:after="0" w:line="269"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Terminals and Liquefaction Facilities under construction, and fulfill our gas delivery obligations under our customer contracts.</w:t>
      </w:r>
    </w:p>
    <w:p>
      <w:pPr>
        <w:spacing w:after="0" w:line="21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9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 Item 2. Management’s Discussion and Analysis of Financial Condition and Results of Operations” in this Quarterly Report for more information on our Credit Agreement, Senior Secured Bonds and Senior Unsecured Bonds. If we are unable to obtain additional funding, approvals or amendments to our existing financings,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203"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252" w:lineRule="exact"/>
        <w:rPr>
          <w:sz w:val="20"/>
          <w:szCs w:val="20"/>
          <w:color w:val="auto"/>
        </w:rPr>
      </w:pPr>
    </w:p>
    <w:p>
      <w:pPr>
        <w:jc w:val="both"/>
        <w:ind w:right="60" w:firstLine="324"/>
        <w:spacing w:after="0" w:line="273"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did not achieve profitability as of June 30, 2020. We will need to make a significant initial investment to complete construction and begin operations of each of our Terminals,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20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1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any disruption to those operations would adversely affect us.</w:t>
      </w:r>
    </w:p>
    <w:p>
      <w:pPr>
        <w:spacing w:after="0" w:line="1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2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9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9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7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current results of operations and liquidity are, and will continue to be in the near future, substantially dependent upon performance by JPS, JPC and PREPA, which have each entered into long-term GSAs and, in the case of JPS, a PPA in relation to the power produced at the CHP Plant, with us, and Jamalco, which has entered into a long-term SSA with us. While certain of our long-term contracts contain minimum volume commitments, our expected sales to customers under existing contracts are substantially in excess of such minimum volume commitments. Our near 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w:t>
      </w:r>
    </w:p>
    <w:p>
      <w:pPr>
        <w:spacing w:after="0" w:line="201" w:lineRule="exact"/>
        <w:rPr>
          <w:sz w:val="20"/>
          <w:szCs w:val="20"/>
          <w:color w:val="auto"/>
        </w:rPr>
      </w:pPr>
    </w:p>
    <w:p>
      <w:pPr>
        <w:ind w:firstLine="251"/>
        <w:spacing w:after="0" w:line="286" w:lineRule="auto"/>
        <w:rPr>
          <w:sz w:val="20"/>
          <w:szCs w:val="20"/>
          <w:color w:val="auto"/>
        </w:rPr>
      </w:pPr>
      <w:r>
        <w:rPr>
          <w:rFonts w:ascii="Arial" w:cs="Arial" w:eastAsia="Arial" w:hAnsi="Arial"/>
          <w:sz w:val="16"/>
          <w:szCs w:val="16"/>
          <w:color w:val="auto"/>
        </w:rPr>
        <w:t>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198" w:lineRule="exact"/>
        <w:rPr>
          <w:sz w:val="20"/>
          <w:szCs w:val="20"/>
          <w:color w:val="auto"/>
        </w:rPr>
      </w:pPr>
    </w:p>
    <w:p>
      <w:pPr>
        <w:jc w:val="both"/>
        <w:ind w:left="20" w:right="280" w:firstLine="251"/>
        <w:spacing w:after="0" w:line="286" w:lineRule="auto"/>
        <w:rPr>
          <w:sz w:val="20"/>
          <w:szCs w:val="20"/>
          <w:color w:val="auto"/>
        </w:rPr>
      </w:pPr>
      <w:r>
        <w:rPr>
          <w:rFonts w:ascii="Arial" w:cs="Arial" w:eastAsia="Arial" w:hAnsi="Arial"/>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52" w:lineRule="exact"/>
        <w:rPr>
          <w:sz w:val="20"/>
          <w:szCs w:val="20"/>
          <w:color w:val="auto"/>
        </w:rPr>
      </w:pPr>
    </w:p>
    <w:p>
      <w:pPr>
        <w:ind w:left="20" w:right="240" w:firstLine="318"/>
        <w:spacing w:after="0" w:line="342" w:lineRule="auto"/>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15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52"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211" w:lineRule="exact"/>
        <w:rPr>
          <w:sz w:val="20"/>
          <w:szCs w:val="20"/>
          <w:color w:val="auto"/>
        </w:rPr>
      </w:pPr>
    </w:p>
    <w:p>
      <w:pPr>
        <w:jc w:val="both"/>
        <w:ind w:left="20" w:firstLine="318"/>
        <w:spacing w:after="0" w:line="263"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11" w:lineRule="exact"/>
        <w:rPr>
          <w:sz w:val="20"/>
          <w:szCs w:val="20"/>
          <w:color w:val="auto"/>
        </w:rPr>
      </w:pPr>
    </w:p>
    <w:p>
      <w:pPr>
        <w:ind w:left="340" w:right="2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252"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including shut-ins and possible proration, which have begun and may continue to decrease the production of natural gas;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252"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197"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52" w:lineRule="exact"/>
        <w:rPr>
          <w:sz w:val="20"/>
          <w:szCs w:val="20"/>
          <w:color w:val="auto"/>
        </w:rPr>
      </w:pPr>
    </w:p>
    <w:p>
      <w:pPr>
        <w:ind w:left="20" w:right="60" w:firstLine="318"/>
        <w:spacing w:after="0" w:line="285"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 – in particular prior to our Pennsylvania Facility becoming operational -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OPEC related to the supply of oil in the market have caused significant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 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ectPr>
          <w:pgSz w:w="11900" w:h="16838" w:orient="portrait"/>
          <w:cols w:equalWidth="0" w:num="1">
            <w:col w:w="11240"/>
          </w:cols>
          <w:pgMar w:left="320" w:top="122"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97" w:lineRule="exact"/>
        <w:rPr>
          <w:sz w:val="20"/>
          <w:szCs w:val="20"/>
          <w:color w:val="auto"/>
        </w:rPr>
      </w:pPr>
    </w:p>
    <w:p>
      <w:pPr>
        <w:ind w:left="20" w:right="120" w:firstLine="318"/>
        <w:spacing w:after="0" w:line="270" w:lineRule="auto"/>
        <w:rPr>
          <w:sz w:val="20"/>
          <w:szCs w:val="20"/>
          <w:color w:val="auto"/>
        </w:rPr>
      </w:pPr>
      <w:r>
        <w:rPr>
          <w:rFonts w:ascii="Arial" w:cs="Arial" w:eastAsia="Arial" w:hAnsi="Arial"/>
          <w:sz w:val="17"/>
          <w:szCs w:val="17"/>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December 31, 2018, we had $280.0 million of total indebtedness outstanding, excluding deferred financing costs. On January 10, 2020, the Company entered into a Credit Agreement to borrow $800 million in term loans (the “Credit Agreement”). On January 15, 2020, all outstanding principal and interest under the Term Loan Facility was paid in full, and the remainder of the proceeds of the Credit Agreement increased the Company’s cash on hand available to invest in our development projects. See “Part I, Item 2. Management’s Discussion and Analysis of Financial Condition and Results of Operations” in this Quarterly Report for more information on our Term Loan Facility, Credit Agreement, Senior Secured Bonds and Senior Unsecured Bonds.</w:t>
      </w:r>
    </w:p>
    <w:p>
      <w:pPr>
        <w:spacing w:after="0" w:line="208" w:lineRule="exact"/>
        <w:rPr>
          <w:sz w:val="20"/>
          <w:szCs w:val="20"/>
          <w:color w:val="auto"/>
        </w:rPr>
      </w:pPr>
    </w:p>
    <w:p>
      <w:pPr>
        <w:ind w:left="20" w:right="60" w:firstLine="318"/>
        <w:spacing w:after="0" w:line="272"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implement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204" w:lineRule="exact"/>
        <w:rPr>
          <w:sz w:val="20"/>
          <w:szCs w:val="20"/>
          <w:color w:val="auto"/>
        </w:rPr>
      </w:pPr>
    </w:p>
    <w:p>
      <w:pPr>
        <w:ind w:left="20" w:right="20" w:firstLine="318"/>
        <w:spacing w:after="0" w:line="308"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173" w:lineRule="exact"/>
        <w:rPr>
          <w:sz w:val="20"/>
          <w:szCs w:val="20"/>
          <w:color w:val="auto"/>
        </w:rPr>
      </w:pPr>
    </w:p>
    <w:p>
      <w:pPr>
        <w:jc w:val="both"/>
        <w:ind w:left="20" w:firstLine="318"/>
        <w:spacing w:after="0" w:line="311"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76" w:lineRule="exact"/>
        <w:rPr>
          <w:sz w:val="20"/>
          <w:szCs w:val="20"/>
          <w:color w:val="auto"/>
        </w:rPr>
      </w:pPr>
    </w:p>
    <w:p>
      <w:pPr>
        <w:ind w:left="20" w:right="82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place restrictions on us and our subsidiaries, reducing operational and financing flexibility and creating default risks.</w:t>
      </w:r>
    </w:p>
    <w:p>
      <w:pPr>
        <w:spacing w:after="0" w:line="197" w:lineRule="exact"/>
        <w:rPr>
          <w:sz w:val="20"/>
          <w:szCs w:val="20"/>
          <w:color w:val="auto"/>
        </w:rPr>
      </w:pPr>
    </w:p>
    <w:p>
      <w:pPr>
        <w:ind w:left="20" w:right="140" w:firstLine="318"/>
        <w:spacing w:after="0" w:line="263" w:lineRule="auto"/>
        <w:rPr>
          <w:sz w:val="20"/>
          <w:szCs w:val="20"/>
          <w:color w:val="auto"/>
        </w:rPr>
      </w:pPr>
      <w:r>
        <w:rPr>
          <w:rFonts w:ascii="Arial" w:cs="Arial" w:eastAsia="Arial" w:hAnsi="Arial"/>
          <w:sz w:val="18"/>
          <w:szCs w:val="18"/>
          <w:color w:val="auto"/>
        </w:rPr>
        <w:t>The agreements governing our indebtedness, including, but not limited to, the Credit Agreement, entered into on January 10, 2020, contain covenants that place restrictions on us and our subsidiaries. The terms governing the Credit Agreement restrict among other things, our and certain of our subsidiaries’ ability to:</w:t>
      </w:r>
    </w:p>
    <w:p>
      <w:pPr>
        <w:spacing w:after="0" w:line="21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liens on our or our subsidiaries’ assets;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otherwise make distributions on or repurchase our shares;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dividend restrictions and other payment restrictions that affect our subsidiaries.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failure to satisfy certain covenants and tests can result in an event of default. These covenants could impair our ability to grow our business, take advantage of attractive business opportunities or successfully compete. In addition, these covenants could restrict our ability to optimize our capital structure with asset-level debt or equity financings. A breach of any of these covenants could result in an event of default. Cross-default provisions in certain of our agreements mean that an event of default under certain of our commercial agreements could trigger an event of default under one of our other agreements, including our debt agreements. Upon the occurrence of an event of default under any of our debt agreements, the lenders or holders thereof could elect to declare all outstanding debt under such agreements to be immediately due and payable, the lenders under our debt instruments could terminate their commitments to loan money, our secured lenders could foreclose against the assets securing such borrowings and we could be forced into bankruptcy or liquidation.</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64" w:lineRule="exact"/>
        <w:rPr>
          <w:sz w:val="20"/>
          <w:szCs w:val="20"/>
          <w:color w:val="auto"/>
        </w:rPr>
      </w:pPr>
    </w:p>
    <w:p>
      <w:pPr>
        <w:ind w:left="20" w:firstLine="318"/>
        <w:spacing w:after="0" w:line="275"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252" w:lineRule="exact"/>
        <w:rPr>
          <w:sz w:val="20"/>
          <w:szCs w:val="20"/>
          <w:color w:val="auto"/>
        </w:rPr>
      </w:pPr>
    </w:p>
    <w:p>
      <w:pPr>
        <w:ind w:left="20" w:right="560" w:firstLine="318"/>
        <w:spacing w:after="0" w:line="279" w:lineRule="auto"/>
        <w:rPr>
          <w:sz w:val="20"/>
          <w:szCs w:val="20"/>
          <w:color w:val="auto"/>
        </w:rPr>
      </w:pPr>
      <w:r>
        <w:rPr>
          <w:rFonts w:ascii="Arial" w:cs="Arial" w:eastAsia="Arial" w:hAnsi="Arial"/>
          <w:sz w:val="17"/>
          <w:szCs w:val="17"/>
          <w:color w:val="auto"/>
        </w:rPr>
        <w:t>As more fully discussed in our Annual Report and elsewhere in this Quarterly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98" w:lineRule="exact"/>
        <w:rPr>
          <w:sz w:val="20"/>
          <w:szCs w:val="20"/>
          <w:color w:val="auto"/>
        </w:rPr>
      </w:pPr>
    </w:p>
    <w:p>
      <w:pPr>
        <w:ind w:right="280" w:firstLine="318"/>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CHP Plant and other power plants will involve particular, significant risks.</w:t>
      </w:r>
    </w:p>
    <w:p>
      <w:pPr>
        <w:spacing w:after="0" w:line="252" w:lineRule="exact"/>
        <w:rPr>
          <w:sz w:val="20"/>
          <w:szCs w:val="20"/>
          <w:color w:val="auto"/>
        </w:rPr>
      </w:pPr>
    </w:p>
    <w:p>
      <w:pPr>
        <w:ind w:right="80" w:firstLine="318"/>
        <w:spacing w:after="0" w:line="286" w:lineRule="auto"/>
        <w:rPr>
          <w:sz w:val="20"/>
          <w:szCs w:val="20"/>
          <w:color w:val="auto"/>
        </w:rPr>
      </w:pPr>
      <w:r>
        <w:rPr>
          <w:rFonts w:ascii="Arial" w:cs="Arial" w:eastAsia="Arial" w:hAnsi="Arial"/>
          <w:sz w:val="16"/>
          <w:szCs w:val="16"/>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27" w:lineRule="exact"/>
        <w:rPr>
          <w:sz w:val="20"/>
          <w:szCs w:val="20"/>
          <w:color w:val="auto"/>
        </w:rPr>
      </w:pPr>
    </w:p>
    <w:p>
      <w:pPr>
        <w:ind w:right="40" w:firstLine="318"/>
        <w:spacing w:after="0" w:line="288" w:lineRule="auto"/>
        <w:rPr>
          <w:sz w:val="20"/>
          <w:szCs w:val="20"/>
          <w:color w:val="auto"/>
        </w:rPr>
      </w:pPr>
      <w:r>
        <w:rPr>
          <w:rFonts w:ascii="Arial" w:cs="Arial" w:eastAsia="Arial" w:hAnsi="Arial"/>
          <w:sz w:val="16"/>
          <w:szCs w:val="16"/>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95"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211" w:lineRule="exact"/>
        <w:rPr>
          <w:sz w:val="20"/>
          <w:szCs w:val="20"/>
          <w:color w:val="auto"/>
        </w:rPr>
      </w:pPr>
    </w:p>
    <w:p>
      <w:pPr>
        <w:ind w:right="20" w:firstLine="318"/>
        <w:spacing w:after="0" w:line="270"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208" w:lineRule="exact"/>
        <w:rPr>
          <w:sz w:val="20"/>
          <w:szCs w:val="20"/>
          <w:color w:val="auto"/>
        </w:rPr>
      </w:pPr>
    </w:p>
    <w:p>
      <w:pPr>
        <w:ind w:firstLine="318"/>
        <w:spacing w:after="0" w:line="293" w:lineRule="auto"/>
        <w:rPr>
          <w:sz w:val="20"/>
          <w:szCs w:val="20"/>
          <w:color w:val="auto"/>
        </w:rPr>
      </w:pPr>
      <w:r>
        <w:rPr>
          <w:rFonts w:ascii="Arial" w:cs="Arial" w:eastAsia="Arial" w:hAnsi="Arial"/>
          <w:sz w:val="16"/>
          <w:szCs w:val="16"/>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91"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52" w:lineRule="exact"/>
        <w:rPr>
          <w:sz w:val="20"/>
          <w:szCs w:val="20"/>
          <w:color w:val="auto"/>
        </w:rPr>
      </w:pPr>
    </w:p>
    <w:p>
      <w:pPr>
        <w:jc w:val="both"/>
        <w:ind w:right="420" w:firstLine="318"/>
        <w:spacing w:after="0" w:line="263" w:lineRule="auto"/>
        <w:rPr>
          <w:sz w:val="20"/>
          <w:szCs w:val="20"/>
          <w:color w:val="auto"/>
        </w:rPr>
      </w:pPr>
      <w:r>
        <w:rPr>
          <w:rFonts w:ascii="Arial" w:cs="Arial" w:eastAsia="Arial" w:hAnsi="Arial"/>
          <w:sz w:val="18"/>
          <w:szCs w:val="18"/>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211"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52" w:lineRule="exact"/>
        <w:rPr>
          <w:sz w:val="20"/>
          <w:szCs w:val="20"/>
          <w:color w:val="auto"/>
        </w:rPr>
      </w:pPr>
    </w:p>
    <w:p>
      <w:pPr>
        <w:ind w:right="20" w:firstLine="318"/>
        <w:spacing w:after="0" w:line="270"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208" w:lineRule="exact"/>
        <w:rPr>
          <w:sz w:val="20"/>
          <w:szCs w:val="20"/>
          <w:color w:val="auto"/>
        </w:rPr>
      </w:pPr>
    </w:p>
    <w:p>
      <w:pPr>
        <w:ind w:firstLine="251"/>
        <w:spacing w:after="0" w:line="275"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20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219" w:lineRule="exact"/>
        <w:rPr>
          <w:sz w:val="20"/>
          <w:szCs w:val="20"/>
          <w:color w:val="auto"/>
        </w:rPr>
      </w:pPr>
    </w:p>
    <w:p>
      <w:pPr>
        <w:ind w:right="200" w:firstLine="318"/>
        <w:spacing w:after="0" w:line="277"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9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are unable to predict the extent to which the global COVID-19 pandemic will negatively affect our operations, financial performance, ability to achieve our strategic objectives. We are also unable to predict how this global pandemic may affect our customers and suppliers.</w:t>
      </w:r>
    </w:p>
    <w:p>
      <w:pPr>
        <w:spacing w:after="0" w:line="151" w:lineRule="exact"/>
        <w:rPr>
          <w:sz w:val="20"/>
          <w:szCs w:val="20"/>
          <w:color w:val="auto"/>
        </w:rPr>
      </w:pPr>
    </w:p>
    <w:p>
      <w:pPr>
        <w:jc w:val="both"/>
        <w:ind w:right="280" w:firstLine="318"/>
        <w:spacing w:after="0" w:line="263" w:lineRule="auto"/>
        <w:rPr>
          <w:sz w:val="20"/>
          <w:szCs w:val="20"/>
          <w:color w:val="auto"/>
        </w:rPr>
      </w:pPr>
      <w:r>
        <w:rPr>
          <w:rFonts w:ascii="Arial" w:cs="Arial" w:eastAsia="Arial" w:hAnsi="Arial"/>
          <w:sz w:val="18"/>
          <w:szCs w:val="18"/>
          <w:color w:val="auto"/>
        </w:rPr>
        <w:t>The COVID-19 pandemic has caused, and is expected to continue to cause, a global economic slowdown, disruptions in global supply chains, significant volatility and disruption of financial markets and in the price of oil. In addition, the pandemic has made travel and commercial activity significantly more cumbersome and less efficient compared to pre-pandemic conditions.</w:t>
      </w:r>
    </w:p>
    <w:p>
      <w:pPr>
        <w:spacing w:after="0" w:line="211" w:lineRule="exact"/>
        <w:rPr>
          <w:sz w:val="20"/>
          <w:szCs w:val="20"/>
          <w:color w:val="auto"/>
        </w:rPr>
      </w:pPr>
    </w:p>
    <w:p>
      <w:pPr>
        <w:ind w:left="20" w:firstLine="318"/>
        <w:spacing w:after="0" w:line="271" w:lineRule="auto"/>
        <w:rPr>
          <w:sz w:val="20"/>
          <w:szCs w:val="20"/>
          <w:color w:val="auto"/>
        </w:rPr>
      </w:pPr>
      <w:r>
        <w:rPr>
          <w:rFonts w:ascii="Arial" w:cs="Arial" w:eastAsia="Arial" w:hAnsi="Arial"/>
          <w:sz w:val="17"/>
          <w:szCs w:val="17"/>
          <w:color w:val="auto"/>
        </w:rPr>
        <w:t>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205" w:lineRule="exact"/>
        <w:rPr>
          <w:sz w:val="20"/>
          <w:szCs w:val="20"/>
          <w:color w:val="auto"/>
        </w:rPr>
      </w:pPr>
    </w:p>
    <w:p>
      <w:pPr>
        <w:ind w:left="20" w:right="140" w:firstLine="318"/>
        <w:spacing w:after="0" w:line="269" w:lineRule="auto"/>
        <w:rPr>
          <w:sz w:val="20"/>
          <w:szCs w:val="20"/>
          <w:color w:val="auto"/>
        </w:rPr>
      </w:pPr>
      <w:r>
        <w:rPr>
          <w:rFonts w:ascii="Arial" w:cs="Arial" w:eastAsia="Arial" w:hAnsi="Arial"/>
          <w:sz w:val="17"/>
          <w:szCs w:val="17"/>
          <w:color w:val="auto"/>
        </w:rPr>
        <w:t>The COVID-19 pandemic has subjected our operations, financial performance and financial condition to a number of risks, including, but not limited operations, customer and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and at customers and suppliers. We may also experience a lower demand for natural gas at our existing customers and a decrease in interest from potential customers as a result of the pandemic’s impact on the price of available fuel options, including oil-based fuels.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We expect that the longer this period of economic and global supply chain and disruption continues, the greater the uncertainty will be regarding the possible adverse impact on our business operations, financial performance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252" w:lineRule="exact"/>
        <w:rPr>
          <w:sz w:val="20"/>
          <w:szCs w:val="20"/>
          <w:color w:val="auto"/>
        </w:rPr>
      </w:pPr>
    </w:p>
    <w:p>
      <w:pPr>
        <w:ind w:left="20" w:right="20" w:firstLine="318"/>
        <w:spacing w:after="0" w:line="257" w:lineRule="auto"/>
        <w:rPr>
          <w:sz w:val="20"/>
          <w:szCs w:val="20"/>
          <w:color w:val="auto"/>
        </w:rPr>
      </w:pPr>
      <w:r>
        <w:rPr>
          <w:rFonts w:ascii="Arial" w:cs="Arial" w:eastAsia="Arial" w:hAnsi="Arial"/>
          <w:sz w:val="18"/>
          <w:szCs w:val="18"/>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 material adverse effect on our business, financial position and results of operations.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52" w:lineRule="exact"/>
        <w:rPr>
          <w:sz w:val="20"/>
          <w:szCs w:val="20"/>
          <w:color w:val="auto"/>
        </w:rPr>
      </w:pPr>
    </w:p>
    <w:p>
      <w:pPr>
        <w:jc w:val="both"/>
        <w:ind w:left="20" w:right="140" w:firstLine="318"/>
        <w:spacing w:after="0" w:line="279" w:lineRule="auto"/>
        <w:rPr>
          <w:sz w:val="20"/>
          <w:szCs w:val="20"/>
          <w:color w:val="auto"/>
        </w:rPr>
      </w:pPr>
      <w:r>
        <w:rPr>
          <w:rFonts w:ascii="Arial" w:cs="Arial" w:eastAsia="Arial" w:hAnsi="Arial"/>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8"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97" w:lineRule="exact"/>
        <w:rPr>
          <w:sz w:val="20"/>
          <w:szCs w:val="20"/>
          <w:color w:val="auto"/>
        </w:rPr>
      </w:pPr>
    </w:p>
    <w:p>
      <w:pPr>
        <w:ind w:left="20" w:right="380" w:firstLine="318"/>
        <w:spacing w:after="0" w:line="286" w:lineRule="auto"/>
        <w:rPr>
          <w:sz w:val="20"/>
          <w:szCs w:val="20"/>
          <w:color w:val="auto"/>
        </w:rPr>
      </w:pPr>
      <w:r>
        <w:rPr>
          <w:rFonts w:ascii="Arial" w:cs="Arial" w:eastAsia="Arial" w:hAnsi="Arial"/>
          <w:sz w:val="17"/>
          <w:szCs w:val="17"/>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92" w:lineRule="exact"/>
        <w:rPr>
          <w:sz w:val="20"/>
          <w:szCs w:val="20"/>
          <w:color w:val="auto"/>
        </w:rPr>
      </w:pPr>
    </w:p>
    <w:p>
      <w:pPr>
        <w:ind w:left="340" w:right="1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197" w:lineRule="exact"/>
        <w:rPr>
          <w:rFonts w:ascii="Arial" w:cs="Arial" w:eastAsia="Arial" w:hAnsi="Arial"/>
          <w:sz w:val="18"/>
          <w:szCs w:val="18"/>
          <w:color w:val="auto"/>
        </w:rPr>
      </w:pPr>
    </w:p>
    <w:p>
      <w:pPr>
        <w:ind w:left="340" w:right="30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21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construct facilities to capture anticipated future energy consumption growth in a region in which such growth does not materialize;</w:t>
      </w:r>
    </w:p>
    <w:p>
      <w:pPr>
        <w:spacing w:after="0" w:line="263"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173" w:lineRule="exact"/>
        <w:rPr>
          <w:rFonts w:ascii="Arial" w:cs="Arial" w:eastAsia="Arial" w:hAnsi="Arial"/>
          <w:sz w:val="17"/>
          <w:szCs w:val="17"/>
          <w:color w:val="auto"/>
        </w:rPr>
      </w:pPr>
    </w:p>
    <w:p>
      <w:pPr>
        <w:ind w:left="340" w:right="18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Terminal is subject to a number of contingencies, many of which are beyond our control and could cause us not to acquire the remaining interests of the project company or cause a delay in the construction of our Ireland Terminal;</w:t>
      </w:r>
    </w:p>
    <w:p>
      <w:pPr>
        <w:spacing w:after="0" w:line="210"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92" w:lineRule="exact"/>
        <w:rPr>
          <w:rFonts w:ascii="Arial" w:cs="Arial" w:eastAsia="Arial" w:hAnsi="Arial"/>
          <w:sz w:val="17"/>
          <w:szCs w:val="17"/>
          <w:color w:val="auto"/>
        </w:rPr>
      </w:pPr>
    </w:p>
    <w:p>
      <w:pPr>
        <w:ind w:left="340" w:right="52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(and have been in select circumstances) subject to local opposition, including the efforts by environmental groups, which may attract negative publicity or have an adverse impact on our reputation;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97" w:lineRule="exact"/>
        <w:rPr>
          <w:sz w:val="20"/>
          <w:szCs w:val="20"/>
          <w:color w:val="auto"/>
        </w:rPr>
      </w:pPr>
    </w:p>
    <w:p>
      <w:pPr>
        <w:ind w:left="20" w:right="1120"/>
        <w:spacing w:after="0" w:line="277"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197" w:lineRule="exact"/>
        <w:rPr>
          <w:sz w:val="20"/>
          <w:szCs w:val="20"/>
          <w:color w:val="auto"/>
        </w:rPr>
      </w:pPr>
    </w:p>
    <w:p>
      <w:pPr>
        <w:ind w:left="20" w:right="180" w:firstLine="318"/>
        <w:spacing w:after="0" w:line="279" w:lineRule="auto"/>
        <w:rPr>
          <w:sz w:val="20"/>
          <w:szCs w:val="20"/>
          <w:color w:val="auto"/>
        </w:rPr>
      </w:pPr>
      <w:r>
        <w:rPr>
          <w:rFonts w:ascii="Arial" w:cs="Arial" w:eastAsia="Arial" w:hAnsi="Arial"/>
          <w:sz w:val="17"/>
          <w:szCs w:val="17"/>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9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252"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 the construction process generally, including coordinating with other contractors and regulatory agencies;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252" w:lineRule="exact"/>
        <w:rPr>
          <w:sz w:val="20"/>
          <w:szCs w:val="20"/>
          <w:color w:val="auto"/>
        </w:rPr>
      </w:pPr>
    </w:p>
    <w:p>
      <w:pPr>
        <w:ind w:left="20" w:firstLine="318"/>
        <w:spacing w:after="0" w:line="286" w:lineRule="auto"/>
        <w:rPr>
          <w:sz w:val="20"/>
          <w:szCs w:val="20"/>
          <w:color w:val="auto"/>
        </w:rPr>
      </w:pPr>
      <w:r>
        <w:rPr>
          <w:rFonts w:ascii="Arial" w:cs="Arial" w:eastAsia="Arial" w:hAnsi="Arial"/>
          <w:sz w:val="16"/>
          <w:szCs w:val="16"/>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98" w:lineRule="exact"/>
        <w:rPr>
          <w:sz w:val="20"/>
          <w:szCs w:val="20"/>
          <w:color w:val="auto"/>
        </w:rPr>
      </w:pPr>
    </w:p>
    <w:p>
      <w:pPr>
        <w:ind w:right="40" w:firstLine="318"/>
        <w:spacing w:after="0" w:line="257" w:lineRule="auto"/>
        <w:rPr>
          <w:sz w:val="20"/>
          <w:szCs w:val="20"/>
          <w:color w:val="auto"/>
        </w:rPr>
      </w:pPr>
      <w:r>
        <w:rPr>
          <w:rFonts w:ascii="Arial" w:cs="Arial" w:eastAsia="Arial" w:hAnsi="Arial"/>
          <w:sz w:val="18"/>
          <w:szCs w:val="18"/>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97" w:lineRule="exact"/>
        <w:rPr>
          <w:sz w:val="20"/>
          <w:szCs w:val="20"/>
          <w:color w:val="auto"/>
        </w:rPr>
      </w:pPr>
    </w:p>
    <w:p>
      <w:pPr>
        <w:ind w:right="300" w:firstLine="318"/>
        <w:spacing w:after="0" w:line="296"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perform development or construction services from time to time, which are subject to a variety of risks unique to these activities.</w:t>
      </w:r>
    </w:p>
    <w:p>
      <w:pPr>
        <w:spacing w:after="0" w:line="264" w:lineRule="exact"/>
        <w:rPr>
          <w:sz w:val="20"/>
          <w:szCs w:val="20"/>
          <w:color w:val="auto"/>
        </w:rPr>
      </w:pPr>
    </w:p>
    <w:p>
      <w:pPr>
        <w:ind w:right="140" w:firstLine="318"/>
        <w:spacing w:after="0" w:line="293" w:lineRule="auto"/>
        <w:rPr>
          <w:sz w:val="20"/>
          <w:szCs w:val="20"/>
          <w:color w:val="auto"/>
        </w:rPr>
      </w:pPr>
      <w:r>
        <w:rPr>
          <w:rFonts w:ascii="Arial" w:cs="Arial" w:eastAsia="Arial" w:hAnsi="Arial"/>
          <w:sz w:val="16"/>
          <w:szCs w:val="16"/>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Combined Cycle Power Plant in San Juan, Puerto Rico was delayed in part due to the earthquakes that occurred near Puerto Rico in January 2020 and third party delays.</w:t>
      </w:r>
    </w:p>
    <w:p>
      <w:pPr>
        <w:spacing w:after="0" w:line="191" w:lineRule="exact"/>
        <w:rPr>
          <w:sz w:val="20"/>
          <w:szCs w:val="20"/>
          <w:color w:val="auto"/>
        </w:rPr>
      </w:pPr>
    </w:p>
    <w:p>
      <w:pPr>
        <w:ind w:right="20" w:firstLine="318"/>
        <w:spacing w:after="0" w:line="272"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any such excess costs or project delays were to be material, such events may adversely affect our cash flow and liquidity.</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73"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Under the GSAs with JPS, JPC and PREPA, we are required to deliver to JPS, 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219" w:lineRule="exact"/>
        <w:rPr>
          <w:sz w:val="20"/>
          <w:szCs w:val="20"/>
          <w:color w:val="auto"/>
        </w:rPr>
      </w:pPr>
    </w:p>
    <w:p>
      <w:pPr>
        <w:ind w:firstLine="318"/>
        <w:spacing w:after="0" w:line="288" w:lineRule="auto"/>
        <w:rPr>
          <w:sz w:val="20"/>
          <w:szCs w:val="20"/>
          <w:color w:val="auto"/>
        </w:rPr>
      </w:pPr>
      <w:r>
        <w:rPr>
          <w:rFonts w:ascii="Arial" w:cs="Arial" w:eastAsia="Arial" w:hAnsi="Arial"/>
          <w:sz w:val="16"/>
          <w:szCs w:val="16"/>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replace such contacts or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95" w:lineRule="exact"/>
        <w:rPr>
          <w:sz w:val="20"/>
          <w:szCs w:val="20"/>
          <w:color w:val="auto"/>
        </w:rPr>
      </w:pPr>
    </w:p>
    <w:p>
      <w:pPr>
        <w:ind w:left="20" w:right="80" w:firstLine="318"/>
        <w:spacing w:after="0" w:line="259" w:lineRule="auto"/>
        <w:rPr>
          <w:sz w:val="20"/>
          <w:szCs w:val="20"/>
          <w:color w:val="auto"/>
        </w:rPr>
      </w:pPr>
      <w:r>
        <w:rPr>
          <w:rFonts w:ascii="Arial" w:cs="Arial" w:eastAsia="Arial" w:hAnsi="Arial"/>
          <w:sz w:val="18"/>
          <w:szCs w:val="18"/>
          <w:color w:val="auto"/>
        </w:rPr>
        <w:t>While we have entered into contracts with a third 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252" w:lineRule="exact"/>
        <w:rPr>
          <w:sz w:val="20"/>
          <w:szCs w:val="20"/>
          <w:color w:val="auto"/>
        </w:rPr>
      </w:pPr>
    </w:p>
    <w:p>
      <w:pPr>
        <w:ind w:left="20" w:right="480" w:firstLine="318"/>
        <w:spacing w:after="0" w:line="275"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20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decreases in the cost of competing sources of natural gas, LNG or alternate fuels such as coal, heavy fuel oil and ADO;</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97" w:lineRule="exact"/>
        <w:rPr>
          <w:sz w:val="20"/>
          <w:szCs w:val="20"/>
          <w:color w:val="auto"/>
        </w:rPr>
      </w:pPr>
    </w:p>
    <w:p>
      <w:pPr>
        <w:ind w:left="20" w:right="160" w:firstLine="318"/>
        <w:spacing w:after="0" w:line="311"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52" w:lineRule="exact"/>
        <w:rPr>
          <w:sz w:val="20"/>
          <w:szCs w:val="20"/>
          <w:color w:val="auto"/>
        </w:rPr>
      </w:pPr>
    </w:p>
    <w:p>
      <w:pPr>
        <w:ind w:left="20" w:right="100" w:firstLine="318"/>
        <w:spacing w:after="0" w:line="273"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197"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252" w:lineRule="exact"/>
        <w:rPr>
          <w:sz w:val="20"/>
          <w:szCs w:val="20"/>
          <w:color w:val="auto"/>
        </w:rPr>
      </w:pPr>
    </w:p>
    <w:p>
      <w:pPr>
        <w:ind w:right="140" w:firstLine="318"/>
        <w:spacing w:after="0" w:line="291"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93" w:lineRule="exact"/>
        <w:rPr>
          <w:sz w:val="20"/>
          <w:szCs w:val="20"/>
          <w:color w:val="auto"/>
        </w:rPr>
      </w:pPr>
    </w:p>
    <w:p>
      <w:pPr>
        <w:ind w:right="40" w:firstLine="318"/>
        <w:spacing w:after="0" w:line="254"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219" w:lineRule="exact"/>
        <w:rPr>
          <w:sz w:val="20"/>
          <w:szCs w:val="20"/>
          <w:color w:val="auto"/>
        </w:rPr>
      </w:pPr>
    </w:p>
    <w:p>
      <w:pPr>
        <w:jc w:val="both"/>
        <w:ind w:right="160" w:firstLine="318"/>
        <w:spacing w:after="0" w:line="263"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21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97" w:lineRule="exact"/>
        <w:rPr>
          <w:sz w:val="20"/>
          <w:szCs w:val="20"/>
          <w:color w:val="auto"/>
        </w:rPr>
      </w:pPr>
    </w:p>
    <w:p>
      <w:pPr>
        <w:ind w:firstLine="318"/>
        <w:spacing w:after="0" w:line="293" w:lineRule="auto"/>
        <w:rPr>
          <w:sz w:val="20"/>
          <w:szCs w:val="20"/>
          <w:color w:val="auto"/>
        </w:rPr>
      </w:pPr>
      <w:r>
        <w:rPr>
          <w:rFonts w:ascii="Arial" w:cs="Arial" w:eastAsia="Arial" w:hAnsi="Arial"/>
          <w:sz w:val="16"/>
          <w:szCs w:val="16"/>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191"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205" w:lineRule="exact"/>
        <w:rPr>
          <w:sz w:val="20"/>
          <w:szCs w:val="20"/>
          <w:color w:val="auto"/>
        </w:rPr>
      </w:pPr>
    </w:p>
    <w:p>
      <w:pPr>
        <w:ind w:left="20" w:right="7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97" w:lineRule="exact"/>
        <w:rPr>
          <w:sz w:val="20"/>
          <w:szCs w:val="20"/>
          <w:color w:val="auto"/>
        </w:rPr>
      </w:pPr>
    </w:p>
    <w:p>
      <w:pPr>
        <w:ind w:left="20" w:right="80" w:firstLine="318"/>
        <w:spacing w:after="0" w:line="296" w:lineRule="auto"/>
        <w:rPr>
          <w:sz w:val="20"/>
          <w:szCs w:val="20"/>
          <w:color w:val="auto"/>
        </w:rPr>
      </w:pPr>
      <w:r>
        <w:rPr>
          <w:rFonts w:ascii="Arial" w:cs="Arial" w:eastAsia="Arial" w:hAnsi="Arial"/>
          <w:sz w:val="16"/>
          <w:szCs w:val="16"/>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18"/>
        <w:spacing w:after="0" w:line="277" w:lineRule="auto"/>
        <w:rPr>
          <w:sz w:val="20"/>
          <w:szCs w:val="20"/>
          <w:color w:val="auto"/>
        </w:rPr>
      </w:pPr>
      <w:r>
        <w:rPr>
          <w:rFonts w:ascii="Arial" w:cs="Arial" w:eastAsia="Arial" w:hAnsi="Arial"/>
          <w:sz w:val="18"/>
          <w:szCs w:val="18"/>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9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piracy;</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52" w:lineRule="exact"/>
        <w:rPr>
          <w:sz w:val="20"/>
          <w:szCs w:val="20"/>
          <w:color w:val="auto"/>
        </w:rPr>
      </w:pPr>
    </w:p>
    <w:p>
      <w:pPr>
        <w:ind w:left="20" w:firstLine="318"/>
        <w:spacing w:after="0" w:line="257"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15"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25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piracy;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An accident involving our cargoes or any of our chartered vessels could result in any of the following: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252" w:lineRule="exact"/>
        <w:rPr>
          <w:sz w:val="20"/>
          <w:szCs w:val="20"/>
          <w:color w:val="auto"/>
        </w:rPr>
      </w:pPr>
    </w:p>
    <w:p>
      <w:pPr>
        <w:ind w:left="20" w:right="80" w:firstLine="318"/>
        <w:spacing w:after="0" w:line="259" w:lineRule="auto"/>
        <w:rPr>
          <w:sz w:val="20"/>
          <w:szCs w:val="20"/>
          <w:color w:val="auto"/>
        </w:rPr>
      </w:pPr>
      <w:r>
        <w:rPr>
          <w:rFonts w:ascii="Arial" w:cs="Arial" w:eastAsia="Arial" w:hAnsi="Arial"/>
          <w:sz w:val="18"/>
          <w:szCs w:val="18"/>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ectPr>
          <w:pgSz w:w="11900" w:h="16838" w:orient="portrait"/>
          <w:cols w:equalWidth="0" w:num="1">
            <w:col w:w="11160"/>
          </w:cols>
          <w:pgMar w:left="320" w:top="122" w:right="419" w:bottom="706" w:gutter="0" w:footer="0" w:header="0"/>
        </w:sect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706"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97" w:lineRule="exact"/>
        <w:rPr>
          <w:sz w:val="20"/>
          <w:szCs w:val="20"/>
          <w:color w:val="auto"/>
        </w:rPr>
      </w:pPr>
    </w:p>
    <w:p>
      <w:pPr>
        <w:ind w:left="20" w:firstLine="318"/>
        <w:spacing w:after="0" w:line="268"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13" w:lineRule="exact"/>
        <w:rPr>
          <w:sz w:val="20"/>
          <w:szCs w:val="20"/>
          <w:color w:val="auto"/>
        </w:rPr>
      </w:pPr>
    </w:p>
    <w:p>
      <w:pPr>
        <w:ind w:left="20" w:firstLine="318"/>
        <w:spacing w:after="0" w:line="293"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For example, the IMO has promulgated regulations limiting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91" w:lineRule="exact"/>
        <w:rPr>
          <w:sz w:val="20"/>
          <w:szCs w:val="20"/>
          <w:color w:val="auto"/>
        </w:rPr>
      </w:pPr>
    </w:p>
    <w:p>
      <w:pPr>
        <w:ind w:left="20" w:right="80" w:firstLine="318"/>
        <w:spacing w:after="0" w:line="293"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91"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97" w:lineRule="exact"/>
        <w:rPr>
          <w:sz w:val="20"/>
          <w:szCs w:val="20"/>
          <w:color w:val="auto"/>
        </w:rPr>
      </w:pPr>
    </w:p>
    <w:p>
      <w:pPr>
        <w:ind w:left="20" w:right="120" w:firstLine="318"/>
        <w:spacing w:after="0" w:line="275"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20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 including as a result of the COVID-19 pandemic;</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252" w:lineRule="exact"/>
        <w:rPr>
          <w:sz w:val="20"/>
          <w:szCs w:val="20"/>
          <w:color w:val="auto"/>
        </w:rPr>
      </w:pPr>
    </w:p>
    <w:p>
      <w:pPr>
        <w:ind w:left="20" w:right="160" w:firstLine="318"/>
        <w:spacing w:after="0" w:line="259" w:lineRule="auto"/>
        <w:rPr>
          <w:sz w:val="20"/>
          <w:szCs w:val="20"/>
          <w:color w:val="auto"/>
        </w:rPr>
      </w:pPr>
      <w:r>
        <w:rPr>
          <w:rFonts w:ascii="Arial" w:cs="Arial" w:eastAsia="Arial" w:hAnsi="Arial"/>
          <w:sz w:val="18"/>
          <w:szCs w:val="18"/>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214" w:lineRule="exact"/>
        <w:rPr>
          <w:sz w:val="20"/>
          <w:szCs w:val="20"/>
          <w:color w:val="auto"/>
        </w:rPr>
      </w:pPr>
    </w:p>
    <w:p>
      <w:pPr>
        <w:ind w:left="20" w:right="900"/>
        <w:spacing w:after="0" w:line="277"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97" w:lineRule="exact"/>
        <w:rPr>
          <w:sz w:val="20"/>
          <w:szCs w:val="20"/>
          <w:color w:val="auto"/>
        </w:rPr>
      </w:pPr>
    </w:p>
    <w:p>
      <w:pPr>
        <w:ind w:left="20" w:right="600" w:firstLine="318"/>
        <w:spacing w:after="0" w:line="342" w:lineRule="auto"/>
        <w:rPr>
          <w:sz w:val="20"/>
          <w:szCs w:val="20"/>
          <w:color w:val="auto"/>
        </w:rPr>
      </w:pPr>
      <w:r>
        <w:rPr>
          <w:rFonts w:ascii="Arial" w:cs="Arial" w:eastAsia="Arial" w:hAnsi="Arial"/>
          <w:sz w:val="16"/>
          <w:szCs w:val="16"/>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51" w:lineRule="exact"/>
        <w:rPr>
          <w:sz w:val="20"/>
          <w:szCs w:val="20"/>
          <w:color w:val="auto"/>
        </w:rPr>
      </w:pPr>
    </w:p>
    <w:p>
      <w:pPr>
        <w:ind w:left="20" w:right="20" w:firstLine="318"/>
        <w:spacing w:after="0" w:line="291" w:lineRule="auto"/>
        <w:rPr>
          <w:sz w:val="20"/>
          <w:szCs w:val="20"/>
          <w:color w:val="auto"/>
        </w:rPr>
      </w:pPr>
      <w:r>
        <w:rPr>
          <w:rFonts w:ascii="Arial" w:cs="Arial" w:eastAsia="Arial" w:hAnsi="Arial"/>
          <w:sz w:val="16"/>
          <w:szCs w:val="16"/>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93" w:lineRule="exact"/>
        <w:rPr>
          <w:sz w:val="20"/>
          <w:szCs w:val="20"/>
          <w:color w:val="auto"/>
        </w:rPr>
      </w:pPr>
    </w:p>
    <w:p>
      <w:pPr>
        <w:ind w:left="20" w:right="38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97" w:lineRule="exact"/>
        <w:rPr>
          <w:sz w:val="20"/>
          <w:szCs w:val="20"/>
          <w:color w:val="auto"/>
        </w:rPr>
      </w:pPr>
    </w:p>
    <w:p>
      <w:pPr>
        <w:ind w:left="20" w:right="60" w:firstLine="318"/>
        <w:spacing w:after="0" w:line="218" w:lineRule="exact"/>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w:t>
      </w:r>
      <w:r>
        <w:rPr>
          <w:rFonts w:ascii="MS PGothic" w:cs="MS PGothic" w:eastAsia="MS PGothic" w:hAnsi="MS PGothic"/>
          <w:sz w:val="16"/>
          <w:szCs w:val="16"/>
          <w:color w:val="auto"/>
        </w:rPr>
        <w:t>‑</w:t>
      </w:r>
      <w:r>
        <w:rPr>
          <w:rFonts w:ascii="Arial" w:cs="Arial" w:eastAsia="Arial" w:hAnsi="Arial"/>
          <w:sz w:val="16"/>
          <w:szCs w:val="16"/>
          <w:color w:val="auto"/>
        </w:rPr>
        <w:t>19 pandemic and actions by OPEC have significantly impacted energy markets, and the price of oil has recently traded at historic low prices.</w:t>
      </w:r>
    </w:p>
    <w:p>
      <w:pPr>
        <w:spacing w:after="0" w:line="233" w:lineRule="exact"/>
        <w:rPr>
          <w:sz w:val="20"/>
          <w:szCs w:val="20"/>
          <w:color w:val="auto"/>
        </w:rPr>
      </w:pPr>
    </w:p>
    <w:p>
      <w:pPr>
        <w:ind w:left="20" w:right="140" w:firstLine="318"/>
        <w:spacing w:after="0" w:line="275" w:lineRule="auto"/>
        <w:rPr>
          <w:sz w:val="20"/>
          <w:szCs w:val="20"/>
          <w:color w:val="auto"/>
        </w:rPr>
      </w:pPr>
      <w:r>
        <w:rPr>
          <w:rFonts w:ascii="Arial" w:cs="Arial" w:eastAsia="Arial" w:hAnsi="Arial"/>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203" w:lineRule="exact"/>
        <w:rPr>
          <w:sz w:val="20"/>
          <w:szCs w:val="20"/>
          <w:color w:val="auto"/>
        </w:rPr>
      </w:pPr>
    </w:p>
    <w:p>
      <w:pPr>
        <w:ind w:left="20" w:right="40" w:firstLine="318"/>
        <w:spacing w:after="0" w:line="257"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215" w:lineRule="exact"/>
        <w:rPr>
          <w:sz w:val="20"/>
          <w:szCs w:val="20"/>
          <w:color w:val="auto"/>
        </w:rPr>
      </w:pPr>
    </w:p>
    <w:p>
      <w:pPr>
        <w:ind w:left="20" w:firstLine="318"/>
        <w:spacing w:after="0" w:line="263"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52" w:lineRule="exact"/>
        <w:rPr>
          <w:sz w:val="20"/>
          <w:szCs w:val="20"/>
          <w:color w:val="auto"/>
        </w:rPr>
      </w:pPr>
    </w:p>
    <w:p>
      <w:pPr>
        <w:ind w:left="20" w:right="400" w:firstLine="318"/>
        <w:spacing w:after="0" w:line="259"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21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252" w:lineRule="exact"/>
        <w:rPr>
          <w:sz w:val="20"/>
          <w:szCs w:val="20"/>
          <w:color w:val="auto"/>
        </w:rPr>
      </w:pPr>
    </w:p>
    <w:p>
      <w:pPr>
        <w:ind w:left="20" w:right="300" w:firstLine="318"/>
        <w:spacing w:after="0" w:line="286" w:lineRule="auto"/>
        <w:rPr>
          <w:sz w:val="20"/>
          <w:szCs w:val="20"/>
          <w:color w:val="auto"/>
        </w:rPr>
      </w:pPr>
      <w:r>
        <w:rPr>
          <w:rFonts w:ascii="Arial" w:cs="Arial" w:eastAsia="Arial" w:hAnsi="Arial"/>
          <w:sz w:val="17"/>
          <w:szCs w:val="17"/>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92" w:lineRule="exact"/>
        <w:rPr>
          <w:sz w:val="20"/>
          <w:szCs w:val="20"/>
          <w:color w:val="auto"/>
        </w:rPr>
      </w:pPr>
    </w:p>
    <w:p>
      <w:pPr>
        <w:ind w:left="20" w:right="720"/>
        <w:spacing w:after="0" w:line="277"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97" w:lineRule="exact"/>
        <w:rPr>
          <w:sz w:val="20"/>
          <w:szCs w:val="20"/>
          <w:color w:val="auto"/>
        </w:rPr>
      </w:pPr>
    </w:p>
    <w:p>
      <w:pPr>
        <w:ind w:left="20" w:firstLine="318"/>
        <w:spacing w:after="0" w:line="286"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201" w:lineRule="exact"/>
        <w:rPr>
          <w:sz w:val="20"/>
          <w:szCs w:val="20"/>
          <w:color w:val="auto"/>
        </w:rPr>
      </w:pPr>
    </w:p>
    <w:p>
      <w:pPr>
        <w:ind w:left="20" w:right="620"/>
        <w:spacing w:after="0" w:line="277"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197" w:lineRule="exact"/>
        <w:rPr>
          <w:sz w:val="20"/>
          <w:szCs w:val="20"/>
          <w:color w:val="auto"/>
        </w:rPr>
      </w:pPr>
    </w:p>
    <w:p>
      <w:pPr>
        <w:ind w:left="20" w:firstLine="318"/>
        <w:spacing w:after="0" w:line="269"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97" w:lineRule="exact"/>
        <w:rPr>
          <w:sz w:val="20"/>
          <w:szCs w:val="20"/>
          <w:color w:val="auto"/>
        </w:rPr>
      </w:pPr>
    </w:p>
    <w:p>
      <w:pPr>
        <w:ind w:right="80" w:firstLine="318"/>
        <w:spacing w:after="0" w:line="296" w:lineRule="auto"/>
        <w:rPr>
          <w:sz w:val="20"/>
          <w:szCs w:val="20"/>
          <w:color w:val="auto"/>
        </w:rPr>
      </w:pPr>
      <w:r>
        <w:rPr>
          <w:rFonts w:ascii="Arial" w:cs="Arial" w:eastAsia="Arial" w:hAnsi="Arial"/>
          <w:sz w:val="16"/>
          <w:szCs w:val="16"/>
          <w:color w:val="auto"/>
        </w:rPr>
        <w:t>The substantial majority of our anticipated revenue in 2020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Terminals or our San Juan Facility, in the energy industry or in the economic conditions in Jamaica or Puerto Rico, would have a significantly greater impact on our financial condition and operating results than if we maintained more diverse assets and operating areas.</w:t>
      </w:r>
    </w:p>
    <w:p>
      <w:pPr>
        <w:sectPr>
          <w:pgSz w:w="11900" w:h="16838" w:orient="portrait"/>
          <w:cols w:equalWidth="0" w:num="1">
            <w:col w:w="11220"/>
          </w:cols>
          <w:pgMar w:left="320" w:top="122" w:right="35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52" w:lineRule="exact"/>
        <w:rPr>
          <w:sz w:val="20"/>
          <w:szCs w:val="20"/>
          <w:color w:val="auto"/>
        </w:rPr>
      </w:pPr>
    </w:p>
    <w:p>
      <w:pPr>
        <w:ind w:right="180" w:firstLine="318"/>
        <w:spacing w:after="0" w:line="272"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204" w:lineRule="exact"/>
        <w:rPr>
          <w:sz w:val="20"/>
          <w:szCs w:val="20"/>
          <w:color w:val="auto"/>
        </w:rPr>
      </w:pPr>
    </w:p>
    <w:p>
      <w:pPr>
        <w:ind w:right="780"/>
        <w:spacing w:after="0" w:line="311" w:lineRule="auto"/>
        <w:rPr>
          <w:sz w:val="20"/>
          <w:szCs w:val="20"/>
          <w:color w:val="auto"/>
        </w:rPr>
      </w:pPr>
      <w:r>
        <w:rPr>
          <w:rFonts w:ascii="Arial" w:cs="Arial" w:eastAsia="Arial" w:hAnsi="Arial"/>
          <w:sz w:val="16"/>
          <w:szCs w:val="16"/>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76"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212" w:lineRule="exact"/>
        <w:rPr>
          <w:sz w:val="20"/>
          <w:szCs w:val="20"/>
          <w:color w:val="auto"/>
        </w:rPr>
      </w:pPr>
    </w:p>
    <w:p>
      <w:pPr>
        <w:ind w:right="480" w:firstLine="42"/>
        <w:spacing w:after="0" w:line="342"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51"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205"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2022—from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18"/>
        <w:spacing w:after="0" w:line="289" w:lineRule="auto"/>
        <w:rPr>
          <w:sz w:val="20"/>
          <w:szCs w:val="20"/>
          <w:color w:val="auto"/>
        </w:rPr>
      </w:pPr>
      <w:r>
        <w:rPr>
          <w:rFonts w:ascii="Arial" w:cs="Arial" w:eastAsia="Arial" w:hAnsi="Arial"/>
          <w:sz w:val="16"/>
          <w:szCs w:val="16"/>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93" w:lineRule="exact"/>
        <w:rPr>
          <w:sz w:val="20"/>
          <w:szCs w:val="20"/>
          <w:color w:val="auto"/>
        </w:rPr>
      </w:pPr>
    </w:p>
    <w:p>
      <w:pPr>
        <w:ind w:right="40" w:firstLine="318"/>
        <w:spacing w:after="0" w:line="288"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195"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5" w:lineRule="exact"/>
        <w:rPr>
          <w:sz w:val="20"/>
          <w:szCs w:val="20"/>
          <w:color w:val="auto"/>
        </w:rPr>
      </w:pPr>
    </w:p>
    <w:p>
      <w:pPr>
        <w:ind w:right="80" w:firstLine="318"/>
        <w:spacing w:after="0" w:line="272" w:lineRule="auto"/>
        <w:rPr>
          <w:sz w:val="20"/>
          <w:szCs w:val="20"/>
          <w:color w:val="auto"/>
        </w:rPr>
      </w:pPr>
      <w:r>
        <w:rPr>
          <w:rFonts w:ascii="Arial" w:cs="Arial" w:eastAsia="Arial" w:hAnsi="Arial"/>
          <w:sz w:val="17"/>
          <w:szCs w:val="17"/>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204" w:lineRule="exact"/>
        <w:rPr>
          <w:sz w:val="20"/>
          <w:szCs w:val="20"/>
          <w:color w:val="auto"/>
        </w:rPr>
      </w:pPr>
    </w:p>
    <w:p>
      <w:pPr>
        <w:ind w:right="340" w:firstLine="318"/>
        <w:spacing w:after="0" w:line="301" w:lineRule="auto"/>
        <w:rPr>
          <w:sz w:val="20"/>
          <w:szCs w:val="20"/>
          <w:color w:val="auto"/>
        </w:rPr>
      </w:pPr>
      <w:r>
        <w:rPr>
          <w:rFonts w:ascii="Arial" w:cs="Arial" w:eastAsia="Arial" w:hAnsi="Arial"/>
          <w:sz w:val="16"/>
          <w:szCs w:val="16"/>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8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27" w:lineRule="exact"/>
        <w:rPr>
          <w:sz w:val="20"/>
          <w:szCs w:val="20"/>
          <w:color w:val="auto"/>
        </w:rPr>
      </w:pPr>
    </w:p>
    <w:p>
      <w:pPr>
        <w:ind w:firstLine="318"/>
        <w:spacing w:after="0" w:line="285" w:lineRule="auto"/>
        <w:rPr>
          <w:sz w:val="20"/>
          <w:szCs w:val="20"/>
          <w:color w:val="auto"/>
        </w:rPr>
      </w:pPr>
      <w:r>
        <w:rPr>
          <w:rFonts w:ascii="Arial" w:cs="Arial" w:eastAsia="Arial" w:hAnsi="Arial"/>
          <w:sz w:val="16"/>
          <w:szCs w:val="16"/>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In January 2020, the White House Council on Environmental Quality issued a proposed revision to NEPA regulations; however, the final form or impacts of any such revisions are uncertain at this time and any such regulations are likely to be challenged in court. On June 18, 2020, we received an order from the Federal Energy Regulatory Commission (“FERC”), which asked us to explain why our San Juan Facility is not subject to FERC’s jurisdiction under section 3 of the Natural Gas Act. While we do not believe that the San Juan Facility is jurisdictional, we provided our reply to FERC on July 20, 2020 and requested that FERC act expeditiously. We do not know if or when FERC will respond to our reply, or the outcome of any such response. Although FERC has civil penalty authority and the authority to authorize the siting, construction, and operation of jurisdictional LNG facilities, we do not know, nor has FERC indicated, what remedy FERC may require if FERC determines that our San Juan Facility is subject to FERC’s Section 3 jurisdiction. In addition, we may be subject to additional requirements in Jamaica, Mexico, Ireland, Nicaragua, Angola or other jurisdictions, including with respect to land use approvals needed to construct and operate our facilities.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18"/>
        <w:spacing w:after="0" w:line="288"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97" w:lineRule="exact"/>
        <w:rPr>
          <w:sz w:val="20"/>
          <w:szCs w:val="20"/>
          <w:color w:val="auto"/>
        </w:rPr>
      </w:pPr>
    </w:p>
    <w:p>
      <w:pPr>
        <w:ind w:right="120" w:firstLine="318"/>
        <w:spacing w:after="0" w:line="288" w:lineRule="auto"/>
        <w:rPr>
          <w:sz w:val="20"/>
          <w:szCs w:val="20"/>
          <w:color w:val="auto"/>
        </w:rPr>
      </w:pPr>
      <w:r>
        <w:rPr>
          <w:rFonts w:ascii="Arial" w:cs="Arial" w:eastAsia="Arial" w:hAnsi="Arial"/>
          <w:sz w:val="16"/>
          <w:szCs w:val="16"/>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195" w:lineRule="exact"/>
        <w:rPr>
          <w:sz w:val="20"/>
          <w:szCs w:val="20"/>
          <w:color w:val="auto"/>
        </w:rPr>
      </w:pPr>
    </w:p>
    <w:p>
      <w:pPr>
        <w:jc w:val="both"/>
        <w:ind w:right="60" w:firstLine="318"/>
        <w:spacing w:after="0" w:line="311" w:lineRule="auto"/>
        <w:rPr>
          <w:sz w:val="20"/>
          <w:szCs w:val="20"/>
          <w:color w:val="auto"/>
        </w:rPr>
      </w:pPr>
      <w:r>
        <w:rPr>
          <w:rFonts w:ascii="Arial" w:cs="Arial" w:eastAsia="Arial" w:hAnsi="Arial"/>
          <w:sz w:val="16"/>
          <w:szCs w:val="16"/>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76"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19" w:lineRule="exact"/>
        <w:rPr>
          <w:sz w:val="20"/>
          <w:szCs w:val="20"/>
          <w:color w:val="auto"/>
        </w:rPr>
      </w:pPr>
    </w:p>
    <w:p>
      <w:pPr>
        <w:ind w:right="300" w:firstLine="318"/>
        <w:spacing w:after="0" w:line="259" w:lineRule="auto"/>
        <w:rPr>
          <w:sz w:val="20"/>
          <w:szCs w:val="20"/>
          <w:color w:val="auto"/>
        </w:rPr>
      </w:pPr>
      <w:r>
        <w:rPr>
          <w:rFonts w:ascii="Arial" w:cs="Arial" w:eastAsia="Arial" w:hAnsi="Arial"/>
          <w:sz w:val="18"/>
          <w:szCs w:val="18"/>
          <w:i w:val="1"/>
          <w:iCs w:val="1"/>
          <w:color w:val="auto"/>
        </w:rPr>
        <w:t>Greenhouse Gases/Climate Change</w:t>
      </w:r>
      <w:r>
        <w:rPr>
          <w:rFonts w:ascii="Arial" w:cs="Arial" w:eastAsia="Arial" w:hAnsi="Arial"/>
          <w:sz w:val="18"/>
          <w:szCs w:val="18"/>
          <w:color w:val="auto"/>
        </w:rPr>
        <w:t>. The threat of climate change continues to attract considerable attention in the United States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214"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color w:val="auto"/>
        </w:rPr>
        <w:t>In the United States to date, no comprehensive climate change legislation has been implemented at the federal level, although various individual states and state coalitions have adopted or are considering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195 countries who agreed to limit their GHG emissions through non-binding, individually-determined reduction goals every five years after 2020. Although the United States has announced its withdrawal from such agreement, effective November 4, 2020, other countries where we operate or plan to operate, including Angola, Jamaica, Ireland, Mexico, and Nicaragua, have signed or acceded to this agreement. However, the scope of future domestic climate and GHG emissions-focused regulatory requirements, if any, remain uncertain.</w:t>
      </w:r>
    </w:p>
    <w:p>
      <w:pPr>
        <w:spacing w:after="0" w:line="219"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increasing political uncertainty in the United States, including climate change related pledges made by certain candidates seeking the office of the President of the United States in 2020. Two critical declarations made by one or more candidates running for the Democratic nomination for President include proposals to take actions banning hydraulic fracturing of oil and natural gas wells and banning new leases for production of minerals on federal properties, including onshore lands and offshore waters. A change in administration as a result of the domestic 2020 Presidential election may lead to legislation, rulemaking, or executive orders that ban or restrict the exploration and production of fossil fuels. Other actions that could be pursued by presidential candidates may include more restrictive requirements for the establishment of pipeline infrastructure or the permitting of LNG export facilities, as well as the reversal of the United States’ withdrawal from the Paris Agreement.</w:t>
      </w:r>
    </w:p>
    <w:p>
      <w:pPr>
        <w:spacing w:after="0" w:line="219" w:lineRule="exact"/>
        <w:rPr>
          <w:sz w:val="20"/>
          <w:szCs w:val="20"/>
          <w:color w:val="auto"/>
        </w:rPr>
      </w:pPr>
    </w:p>
    <w:p>
      <w:pPr>
        <w:ind w:right="200" w:firstLine="318"/>
        <w:spacing w:after="0" w:line="275"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shareholder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3" w:lineRule="exact"/>
        <w:rPr>
          <w:sz w:val="20"/>
          <w:szCs w:val="20"/>
          <w:color w:val="auto"/>
        </w:rPr>
      </w:pPr>
    </w:p>
    <w:p>
      <w:pPr>
        <w:ind w:right="220" w:firstLine="318"/>
        <w:spacing w:after="0" w:line="296" w:lineRule="auto"/>
        <w:rPr>
          <w:sz w:val="20"/>
          <w:szCs w:val="20"/>
          <w:color w:val="auto"/>
        </w:rPr>
      </w:pPr>
      <w:r>
        <w:rPr>
          <w:rFonts w:ascii="Arial" w:cs="Arial" w:eastAsia="Arial" w:hAnsi="Arial"/>
          <w:sz w:val="16"/>
          <w:szCs w:val="16"/>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88" w:lineRule="exact"/>
        <w:rPr>
          <w:sz w:val="20"/>
          <w:szCs w:val="20"/>
          <w:color w:val="auto"/>
        </w:rPr>
      </w:pPr>
    </w:p>
    <w:p>
      <w:pPr>
        <w:ind w:right="20" w:firstLine="318"/>
        <w:spacing w:after="0" w:line="290"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Fossil Fuels</w:t>
      </w:r>
      <w:r>
        <w:rPr>
          <w:rFonts w:ascii="Arial" w:cs="Arial" w:eastAsia="Arial" w:hAnsi="Arial"/>
          <w:sz w:val="17"/>
          <w:szCs w:val="17"/>
          <w:color w:val="auto"/>
        </w:rPr>
        <w:t>. Our business activities depend upon a sufficient and reliable supply of natural gas feedstock, and are therefore subject to concerns</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220" w:lineRule="exact"/>
        <w:rPr>
          <w:sz w:val="20"/>
          <w:szCs w:val="20"/>
          <w:color w:val="auto"/>
        </w:rPr>
      </w:pPr>
    </w:p>
    <w:p>
      <w:pPr>
        <w:ind w:right="180" w:firstLine="318"/>
        <w:spacing w:after="0" w:line="263" w:lineRule="auto"/>
        <w:rPr>
          <w:sz w:val="20"/>
          <w:szCs w:val="20"/>
          <w:color w:val="auto"/>
        </w:rPr>
      </w:pPr>
      <w:r>
        <w:rPr>
          <w:rFonts w:ascii="Arial" w:cs="Arial" w:eastAsia="Arial" w:hAnsi="Arial"/>
          <w:sz w:val="18"/>
          <w:szCs w:val="18"/>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Hydraulic Fracturing</w:t>
      </w:r>
      <w:r>
        <w:rPr>
          <w:rFonts w:ascii="Arial" w:cs="Arial" w:eastAsia="Arial" w:hAnsi="Arial"/>
          <w:sz w:val="18"/>
          <w:szCs w:val="18"/>
          <w:color w:val="auto"/>
        </w:rPr>
        <w:t>. Certain of our suppliers of natural gas and LNG employ hydraulic fracturing techniques to stimulate natural gas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production from unconventional geological formations (including shale formations), which currently entails the injection of pressurized fracturing fluids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(consisting of water, sand and certain chemicals) into a well bore. Moreover, hydraulically fractured natural gas wells account for a significant percentage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natural gas production in the U.S.; the U.S. Energy Information Administration reported in 2016 that hydraulically fractured wells provided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thirds of U.S. marketed gas production in 2015. The requirements for permits or authorizations to conduct these activities vary depending on the location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where such drilling and completion activities will be conducted. Several states have adopted or are considering adopting regulations to impose more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stringent permitting, public disclosure or well construction requirements on hydraulic fracturing operations, or to ban hydraulic fracturing altogether.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most permitting and authorization processes, there is a degree of uncertainty as to whether a permit will be granted, the time it will take for a permit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approval to be issued and any conditions which may be imposed in connection with the granting of the permit. Certain regulatory authorities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delayed or suspended the issuance of permits or authorizations while the potential environmental impacts associated with issuing such permits can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studied and appropriate mitigation measures evaluated. In addition to state laws, some local municipalities have adopted or are considering adopting land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restrictions, such as city ordinances, that may restrict the performance of or prohibit the well drilling in general and/or hydraulic fracturing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particular.</w:t>
      </w:r>
    </w:p>
    <w:p>
      <w:pPr>
        <w:spacing w:after="0" w:line="238" w:lineRule="exact"/>
        <w:rPr>
          <w:sz w:val="20"/>
          <w:szCs w:val="20"/>
          <w:color w:val="auto"/>
        </w:rPr>
      </w:pPr>
    </w:p>
    <w:p>
      <w:pPr>
        <w:ind w:right="100" w:firstLine="318"/>
        <w:spacing w:after="0" w:line="287"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99"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27" w:lineRule="exact"/>
        <w:rPr>
          <w:sz w:val="20"/>
          <w:szCs w:val="20"/>
          <w:color w:val="auto"/>
        </w:rPr>
      </w:pPr>
    </w:p>
    <w:p>
      <w:pPr>
        <w:ind w:firstLine="318"/>
        <w:spacing w:after="0" w:line="287"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Angola,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Angola,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92" w:lineRule="exact"/>
        <w:rPr>
          <w:sz w:val="20"/>
          <w:szCs w:val="20"/>
          <w:color w:val="auto"/>
        </w:rPr>
      </w:pPr>
    </w:p>
    <w:p>
      <w:pPr>
        <w:ind w:left="20" w:right="20" w:firstLine="318"/>
        <w:spacing w:after="0" w:line="254" w:lineRule="auto"/>
        <w:rPr>
          <w:sz w:val="20"/>
          <w:szCs w:val="20"/>
          <w:color w:val="auto"/>
        </w:rPr>
      </w:pPr>
      <w:r>
        <w:rPr>
          <w:rFonts w:ascii="Arial" w:cs="Arial" w:eastAsia="Arial" w:hAnsi="Arial"/>
          <w:sz w:val="18"/>
          <w:szCs w:val="18"/>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219" w:lineRule="exact"/>
        <w:rPr>
          <w:sz w:val="20"/>
          <w:szCs w:val="20"/>
          <w:color w:val="auto"/>
        </w:rPr>
      </w:pPr>
    </w:p>
    <w:p>
      <w:pPr>
        <w:ind w:left="20" w:right="140" w:firstLine="318"/>
        <w:spacing w:after="0" w:line="257" w:lineRule="auto"/>
        <w:rPr>
          <w:sz w:val="20"/>
          <w:szCs w:val="20"/>
          <w:color w:val="auto"/>
        </w:rPr>
      </w:pPr>
      <w:r>
        <w:rPr>
          <w:rFonts w:ascii="Arial" w:cs="Arial" w:eastAsia="Arial" w:hAnsi="Arial"/>
          <w:sz w:val="18"/>
          <w:szCs w:val="18"/>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256" w:lineRule="exact"/>
        <w:rPr>
          <w:sz w:val="20"/>
          <w:szCs w:val="20"/>
          <w:color w:val="auto"/>
        </w:rPr>
      </w:pPr>
    </w:p>
    <w:p>
      <w:pPr>
        <w:ind w:left="20" w:right="800"/>
        <w:spacing w:after="0" w:line="277"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97" w:lineRule="exact"/>
        <w:rPr>
          <w:sz w:val="20"/>
          <w:szCs w:val="20"/>
          <w:color w:val="auto"/>
        </w:rPr>
      </w:pPr>
    </w:p>
    <w:p>
      <w:pPr>
        <w:ind w:left="20" w:right="80" w:firstLine="318"/>
        <w:spacing w:after="0" w:line="277"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197" w:lineRule="exact"/>
        <w:rPr>
          <w:sz w:val="20"/>
          <w:szCs w:val="20"/>
          <w:color w:val="auto"/>
        </w:rPr>
      </w:pPr>
    </w:p>
    <w:p>
      <w:pPr>
        <w:ind w:left="20" w:right="20" w:firstLine="318"/>
        <w:spacing w:after="0" w:line="286" w:lineRule="auto"/>
        <w:rPr>
          <w:sz w:val="20"/>
          <w:szCs w:val="20"/>
          <w:color w:val="auto"/>
        </w:rPr>
      </w:pPr>
      <w:r>
        <w:rPr>
          <w:rFonts w:ascii="Arial" w:cs="Arial" w:eastAsia="Arial" w:hAnsi="Arial"/>
          <w:sz w:val="16"/>
          <w:szCs w:val="16"/>
          <w:color w:val="auto"/>
        </w:rPr>
        <w:t>We currently have interests and operations in Jamaica and the United States and currently intend to expand into additional markets in the Caribbean (including Puerto Rico), Mexico, Ireland, Angola,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have not, to date, been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 PREPA may seek to find alternative power sources or purchase substantially less natural gas from us than what we currently expect to sell to PREPA.</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18"/>
        <w:spacing w:after="0" w:line="263" w:lineRule="auto"/>
        <w:rPr>
          <w:sz w:val="20"/>
          <w:szCs w:val="20"/>
          <w:color w:val="auto"/>
        </w:rPr>
      </w:pPr>
      <w:r>
        <w:rPr>
          <w:rFonts w:ascii="Arial" w:cs="Arial" w:eastAsia="Arial" w:hAnsi="Arial"/>
          <w:sz w:val="18"/>
          <w:szCs w:val="18"/>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211" w:lineRule="exact"/>
        <w:rPr>
          <w:sz w:val="20"/>
          <w:szCs w:val="20"/>
          <w:color w:val="auto"/>
        </w:rPr>
      </w:pPr>
    </w:p>
    <w:p>
      <w:pPr>
        <w:ind w:left="340" w:right="1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economic activity, including as a result of the COVID-19 pandemic which has significantly affected Jamaica’s and other jurisdictions’ tourism industries;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252" w:lineRule="exact"/>
        <w:rPr>
          <w:rFonts w:ascii="Arial" w:cs="Arial" w:eastAsia="Arial" w:hAnsi="Arial"/>
          <w:sz w:val="18"/>
          <w:szCs w:val="18"/>
          <w:color w:val="auto"/>
        </w:rPr>
      </w:pPr>
    </w:p>
    <w:p>
      <w:pPr>
        <w:ind w:left="340"/>
        <w:spacing w:after="0" w:line="253" w:lineRule="auto"/>
        <w:rPr>
          <w:rFonts w:ascii="Arial" w:cs="Arial" w:eastAsia="Arial" w:hAnsi="Arial"/>
          <w:sz w:val="18"/>
          <w:szCs w:val="18"/>
          <w:color w:val="auto"/>
        </w:rPr>
      </w:pPr>
      <w:r>
        <w:rPr>
          <w:rFonts w:ascii="Arial" w:cs="Arial" w:eastAsia="Arial" w:hAnsi="Arial"/>
          <w:sz w:val="18"/>
          <w:szCs w:val="18"/>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w:t>
      </w:r>
    </w:p>
    <w:p>
      <w:pPr>
        <w:spacing w:after="0" w:line="223" w:lineRule="exact"/>
        <w:rPr>
          <w:sz w:val="20"/>
          <w:szCs w:val="20"/>
          <w:color w:val="auto"/>
        </w:rPr>
      </w:pPr>
    </w:p>
    <w:p>
      <w:pPr>
        <w:ind w:right="100" w:firstLine="318"/>
        <w:spacing w:after="0" w:line="279" w:lineRule="auto"/>
        <w:rPr>
          <w:sz w:val="20"/>
          <w:szCs w:val="20"/>
          <w:color w:val="auto"/>
        </w:rPr>
      </w:pPr>
      <w:r>
        <w:rPr>
          <w:rFonts w:ascii="Arial" w:cs="Arial" w:eastAsia="Arial" w:hAnsi="Arial"/>
          <w:sz w:val="17"/>
          <w:szCs w:val="17"/>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development activities and future operations in Nicaragua may be materially affected by political, economic and other uncertainties.</w:t>
      </w:r>
    </w:p>
    <w:p>
      <w:pPr>
        <w:spacing w:after="0" w:line="264" w:lineRule="exact"/>
        <w:rPr>
          <w:sz w:val="20"/>
          <w:szCs w:val="20"/>
          <w:color w:val="auto"/>
        </w:rPr>
      </w:pPr>
    </w:p>
    <w:p>
      <w:pPr>
        <w:ind w:firstLine="318"/>
        <w:spacing w:after="0" w:line="291" w:lineRule="auto"/>
        <w:rPr>
          <w:sz w:val="20"/>
          <w:szCs w:val="20"/>
          <w:color w:val="auto"/>
        </w:rPr>
      </w:pPr>
      <w:r>
        <w:rPr>
          <w:rFonts w:ascii="Arial" w:cs="Arial" w:eastAsia="Arial" w:hAnsi="Arial"/>
          <w:sz w:val="16"/>
          <w:szCs w:val="16"/>
          <w:color w:val="auto"/>
        </w:rPr>
        <w:t>Nicaragua has recently experienced political and economic challenges. Specifically, in 2018, U.S. legislation was approved to restrict U.S. aid to Nicaragua. In 2018, 2019 and early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52" w:lineRule="exact"/>
        <w:rPr>
          <w:sz w:val="20"/>
          <w:szCs w:val="20"/>
          <w:color w:val="auto"/>
        </w:rPr>
      </w:pPr>
    </w:p>
    <w:p>
      <w:pPr>
        <w:ind w:right="260" w:firstLine="318"/>
        <w:spacing w:after="0" w:line="259"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214" w:lineRule="exact"/>
        <w:rPr>
          <w:sz w:val="20"/>
          <w:szCs w:val="20"/>
          <w:color w:val="auto"/>
        </w:rPr>
      </w:pPr>
    </w:p>
    <w:p>
      <w:pPr>
        <w:ind w:right="80" w:firstLine="318"/>
        <w:spacing w:after="0" w:line="254"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21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219" w:lineRule="exact"/>
        <w:rPr>
          <w:sz w:val="20"/>
          <w:szCs w:val="20"/>
          <w:color w:val="auto"/>
        </w:rPr>
      </w:pPr>
    </w:p>
    <w:p>
      <w:pPr>
        <w:ind w:right="1020" w:firstLine="318"/>
        <w:spacing w:after="0" w:line="277"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Owning Class A shares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97" w:lineRule="exact"/>
        <w:rPr>
          <w:sz w:val="20"/>
          <w:szCs w:val="20"/>
          <w:color w:val="auto"/>
        </w:rPr>
      </w:pPr>
    </w:p>
    <w:p>
      <w:pPr>
        <w:ind w:left="20" w:right="100" w:firstLine="318"/>
        <w:spacing w:after="0" w:line="259" w:lineRule="auto"/>
        <w:rPr>
          <w:sz w:val="20"/>
          <w:szCs w:val="20"/>
          <w:color w:val="auto"/>
        </w:rPr>
      </w:pPr>
      <w:r>
        <w:rPr>
          <w:rFonts w:ascii="Arial" w:cs="Arial" w:eastAsia="Arial" w:hAnsi="Arial"/>
          <w:sz w:val="18"/>
          <w:szCs w:val="18"/>
          <w:color w:val="auto"/>
        </w:rPr>
        <w:t>Affiliates of the Consenting Entities (as defined below) hold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14"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252"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97" w:lineRule="exact"/>
        <w:rPr>
          <w:rFonts w:ascii="Arial" w:cs="Arial" w:eastAsia="Arial" w:hAnsi="Arial"/>
          <w:sz w:val="18"/>
          <w:szCs w:val="18"/>
          <w:color w:val="auto"/>
        </w:rPr>
      </w:pPr>
    </w:p>
    <w:p>
      <w:pPr>
        <w:ind w:left="260" w:right="1000" w:hanging="252"/>
        <w:spacing w:after="0" w:line="277"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97" w:lineRule="exact"/>
        <w:rPr>
          <w:sz w:val="20"/>
          <w:szCs w:val="20"/>
          <w:color w:val="auto"/>
        </w:rPr>
      </w:pPr>
    </w:p>
    <w:p>
      <w:pPr>
        <w:jc w:val="both"/>
        <w:ind w:left="20" w:right="60" w:firstLine="318"/>
        <w:spacing w:after="0" w:line="259"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shares, and their interests may conflict with those of our other shareholders.</w:t>
      </w:r>
    </w:p>
    <w:p>
      <w:pPr>
        <w:spacing w:after="0" w:line="197"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As of July 30, 2020, affiliates of the Consenting Entities own an aggregate of approximately 100,035,675 Class A shares, representing 59.3% of our voting power. As of July 30, 2020, Wesley R. Edens and Randal A. Nardone directly or indirectly own 72,627,775 Class A shares and 26,196,526 Class A shares, respectively, representing 43.0% and 15.5% of the voting power of the Class A shares, respectively. The beneficial ownership of greater than 50% of our voting shares means affiliates of the Consenting Entities are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the affiliates of the Consenting Entities with respect to matters potentially or actually involving or affecting us, such as future acquisitions, financings and other corporate opportunities and attempts to acquire us, may conflict with the interests of our other shareholders.</w:t>
      </w:r>
    </w:p>
    <w:p>
      <w:pPr>
        <w:spacing w:after="0" w:line="205" w:lineRule="exact"/>
        <w:rPr>
          <w:sz w:val="20"/>
          <w:szCs w:val="20"/>
          <w:color w:val="auto"/>
        </w:rPr>
      </w:pPr>
    </w:p>
    <w:p>
      <w:pPr>
        <w:ind w:right="60" w:firstLine="318"/>
        <w:spacing w:after="0" w:line="275" w:lineRule="auto"/>
        <w:rPr>
          <w:sz w:val="20"/>
          <w:szCs w:val="20"/>
          <w:color w:val="auto"/>
        </w:rPr>
      </w:pPr>
      <w:r>
        <w:rPr>
          <w:rFonts w:ascii="Arial" w:cs="Arial" w:eastAsia="Arial" w:hAnsi="Arial"/>
          <w:sz w:val="17"/>
          <w:szCs w:val="17"/>
          <w:color w:val="auto"/>
        </w:rPr>
        <w:t>Given this concentrated ownership, the affiliates of the Consenting Entities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the concentration of share ownership with affiliates of the Consenting Entities may adversely affect the trading price of our Class A shares to the extent investors perceive a disadvantage in owning shares of a company with a significant shareholder.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Furthermore, in connection with the IPO, we entered into a shareholders’ agreement (the “Shareholders’ Agreement”) with New Fortress Energy Holdings and its affiliates, and in connection with the Exchange Transactions, New Fortress Energy Holdings assigned, pursuant to the terms of the Shareholders’ Agreement, to certain entities controlled by Wesley R. Edens and Randal A. Nardone (the “Consenting Entities”), New Fortress Energy Holdings’ right to designate a certain number of individuals to be nominated for election to our board of directors so long as its assignees collectively beneficially own at least 5% of the outstanding Class A shares. The Shareholders’ Agreement provides that the parties to the Shareholders’ Agreement (including certain former members of New Fortress Energy Holdings) shall vote their shares in favor of such nominees. In addition, our LLC Agreement provides, and following our conversion to a corporation, our Certificate of Incorporation will provide, the Consenting Entities the right to approve certain material transactions so long as the Consenting Entities and their affiliates collectively, directly or indirectly, own at least 30% of the outstanding Class A shares and Class B shares.</w:t>
      </w:r>
    </w:p>
    <w:p>
      <w:pPr>
        <w:spacing w:after="0" w:line="2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LLC Agreement, and following our Conversion to a corporation, our Certificate of Incorporation and By-Laws, as well as Delaware law, contain provisions that could discourage acquisition bids or merger proposals, which may adversely affect the market price of our Class A shares and could deprive our investors of the opportunity to receive a premium for their shares.</w:t>
      </w:r>
    </w:p>
    <w:p>
      <w:pPr>
        <w:spacing w:after="0" w:line="21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operating agreement, and following our Conversion to a corporation, our Certificate of Incorporation and By-Laws, authorize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LLC Agreement, and following our conversion to a corporation, our Certificate of Incorporation and By-Laws, could make it more difficult for a third party to acquire control of us, even if the change of control would be beneficial to our shareholders. These provisions include:</w:t>
      </w:r>
    </w:p>
    <w:p>
      <w:pPr>
        <w:spacing w:after="0" w:line="22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spacing w:after="0" w:line="25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197"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19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Additionally, following our Conversion to a corporation, our Certificate of Incorporation provides that we have opted out of Section 203 of the Delaware General Corporation Law (the “DGCL”).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Consenting Entities or NFE SMRS Holdings LLC (except in the context of a public offering) or any person whose ownership of shares in excess of 15% of our outstanding voting stock is the result of any action taken solely by us. Our Certificate of Incorporation provides that the Consenting Entities and NFE SMRS Holdings LLC and any of their respective direct or indirect transferees, and any group as to which such persons are a party, do not constitute “interested stockholders” for purposes of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Our LLC Agreement, and following our Conversion to a corporation, our Certificate of Incorporation and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15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LLC Agreement, and following our Conversion to a corporation, 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shareholders,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shares will be deemed to have notice of, and consented to, the provisions described in the preceding sentence. This choice of forum provision may limit a shareholder’s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20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do not currently plan to pay cash dividends on our Class A shares. Consequently, a shareholder’s only opportunity to achieve a return on its investment is if the price of our Class A shares appreciates.</w:t>
      </w:r>
    </w:p>
    <w:p>
      <w:pPr>
        <w:spacing w:after="0" w:line="197" w:lineRule="exact"/>
        <w:rPr>
          <w:sz w:val="20"/>
          <w:szCs w:val="20"/>
          <w:color w:val="auto"/>
        </w:rPr>
      </w:pPr>
    </w:p>
    <w:p>
      <w:pPr>
        <w:ind w:right="140" w:firstLine="318"/>
        <w:spacing w:after="0" w:line="311" w:lineRule="auto"/>
        <w:rPr>
          <w:sz w:val="20"/>
          <w:szCs w:val="20"/>
          <w:color w:val="auto"/>
        </w:rPr>
      </w:pPr>
      <w:r>
        <w:rPr>
          <w:rFonts w:ascii="Arial" w:cs="Arial" w:eastAsia="Arial" w:hAnsi="Arial"/>
          <w:sz w:val="16"/>
          <w:szCs w:val="16"/>
          <w:color w:val="auto"/>
        </w:rPr>
        <w:t>We do not currently plan to declare regular cash dividends on our Class A shares in the foreseeable future. Consequently, a shareholder’s only opportunity to achieve a return on investment in us will be if the shareholder sells its Class A shares at a price greater than it paid for such Class A shares. There is no guarantee that the price of our Class A shares that will prevail in the market will ever exceed the price paid to purchase such Class A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shares, the terms of which could adversely affect the voting power or value of our Class A shares.</w:t>
      </w:r>
    </w:p>
    <w:p>
      <w:pPr>
        <w:spacing w:after="0" w:line="252" w:lineRule="exact"/>
        <w:rPr>
          <w:sz w:val="20"/>
          <w:szCs w:val="20"/>
          <w:color w:val="auto"/>
        </w:rPr>
      </w:pPr>
    </w:p>
    <w:p>
      <w:pPr>
        <w:ind w:right="120" w:firstLine="318"/>
        <w:spacing w:after="0" w:line="254" w:lineRule="auto"/>
        <w:rPr>
          <w:sz w:val="20"/>
          <w:szCs w:val="20"/>
          <w:color w:val="auto"/>
        </w:rPr>
      </w:pPr>
      <w:r>
        <w:rPr>
          <w:rFonts w:ascii="Arial" w:cs="Arial" w:eastAsia="Arial" w:hAnsi="Arial"/>
          <w:sz w:val="18"/>
          <w:szCs w:val="18"/>
          <w:color w:val="auto"/>
        </w:rPr>
        <w:t>Our LLC Agreement, and following our Conversion to a corporation, our Certificate of Incorporation and By-Laws, authorize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22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w:t>
      </w:r>
    </w:p>
    <w:p>
      <w:pPr>
        <w:spacing w:after="0" w:line="197"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As of July 30, 2020, 100,035,675 Class A shares representing 59.3% of our voting power are held by affiliates of the Consenting Entities. Sales by the affiliates of the Consenting Entities or other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affiliates of the Consenting Entities and certain other former members of New Fortress Energy Holdings.</w:t>
      </w:r>
    </w:p>
    <w:p>
      <w:pPr>
        <w:spacing w:after="0" w:line="21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shares may not be maintained and the price of our Class A shares may fluctuate significantly.</w:t>
      </w:r>
    </w:p>
    <w:p>
      <w:pPr>
        <w:spacing w:after="0" w:line="197" w:lineRule="exact"/>
        <w:rPr>
          <w:sz w:val="20"/>
          <w:szCs w:val="20"/>
          <w:color w:val="auto"/>
        </w:rPr>
      </w:pPr>
    </w:p>
    <w:p>
      <w:pPr>
        <w:ind w:right="40" w:firstLine="318"/>
        <w:spacing w:after="0" w:line="301" w:lineRule="auto"/>
        <w:rPr>
          <w:sz w:val="20"/>
          <w:szCs w:val="20"/>
          <w:color w:val="auto"/>
        </w:rPr>
      </w:pPr>
      <w:r>
        <w:rPr>
          <w:rFonts w:ascii="Arial" w:cs="Arial" w:eastAsia="Arial" w:hAnsi="Arial"/>
          <w:sz w:val="16"/>
          <w:szCs w:val="16"/>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173"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shares held by non-affiliates, or issue more than $1.0 billion of non-convertible debt over a three-year period.</w:t>
      </w:r>
    </w:p>
    <w:p>
      <w:pPr>
        <w:spacing w:after="0" w:line="198" w:lineRule="exact"/>
        <w:rPr>
          <w:sz w:val="20"/>
          <w:szCs w:val="20"/>
          <w:color w:val="auto"/>
        </w:rPr>
      </w:pPr>
    </w:p>
    <w:p>
      <w:pPr>
        <w:ind w:right="140" w:firstLine="318"/>
        <w:spacing w:after="0" w:line="311" w:lineRule="auto"/>
        <w:rPr>
          <w:sz w:val="20"/>
          <w:szCs w:val="20"/>
          <w:color w:val="auto"/>
        </w:rPr>
      </w:pPr>
      <w:r>
        <w:rPr>
          <w:rFonts w:ascii="Arial" w:cs="Arial" w:eastAsia="Arial" w:hAnsi="Arial"/>
          <w:sz w:val="16"/>
          <w:szCs w:val="16"/>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211"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22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211" w:lineRule="exact"/>
        <w:rPr>
          <w:sz w:val="20"/>
          <w:szCs w:val="20"/>
          <w:color w:val="auto"/>
        </w:rPr>
      </w:pPr>
    </w:p>
    <w:p>
      <w:pPr>
        <w:ind w:firstLine="318"/>
        <w:spacing w:after="0" w:line="287" w:lineRule="auto"/>
        <w:rPr>
          <w:sz w:val="20"/>
          <w:szCs w:val="20"/>
          <w:color w:val="auto"/>
        </w:rPr>
      </w:pPr>
      <w:r>
        <w:rPr>
          <w:rFonts w:ascii="Arial" w:cs="Arial" w:eastAsia="Arial" w:hAnsi="Arial"/>
          <w:sz w:val="16"/>
          <w:szCs w:val="16"/>
          <w:color w:val="auto"/>
        </w:rPr>
        <w:t>As a public company with shares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 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173" w:lineRule="exact"/>
        <w:rPr>
          <w:sz w:val="20"/>
          <w:szCs w:val="20"/>
          <w:color w:val="auto"/>
        </w:rPr>
      </w:pPr>
    </w:p>
    <w:p>
      <w:pPr>
        <w:ind w:right="140" w:firstLine="318"/>
        <w:spacing w:after="0" w:line="263" w:lineRule="auto"/>
        <w:rPr>
          <w:sz w:val="20"/>
          <w:szCs w:val="20"/>
          <w:color w:val="auto"/>
        </w:rPr>
      </w:pPr>
      <w:r>
        <w:rPr>
          <w:rFonts w:ascii="Arial" w:cs="Arial" w:eastAsia="Arial" w:hAnsi="Arial"/>
          <w:sz w:val="18"/>
          <w:szCs w:val="18"/>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97" w:lineRule="exact"/>
        <w:rPr>
          <w:sz w:val="20"/>
          <w:szCs w:val="20"/>
          <w:color w:val="auto"/>
        </w:rPr>
      </w:pPr>
    </w:p>
    <w:p>
      <w:pPr>
        <w:ind w:right="20" w:firstLine="318"/>
        <w:spacing w:after="0" w:line="254" w:lineRule="auto"/>
        <w:rPr>
          <w:sz w:val="20"/>
          <w:szCs w:val="20"/>
          <w:color w:val="auto"/>
        </w:rPr>
      </w:pPr>
      <w:r>
        <w:rPr>
          <w:rFonts w:ascii="Arial" w:cs="Arial" w:eastAsia="Arial" w:hAnsi="Arial"/>
          <w:sz w:val="18"/>
          <w:szCs w:val="18"/>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distributions to NFE, in an amount sufficient to allow NFE to pay its taxes, and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 Following the Exchange Transactions, the only members of NFI are NFE and NFE Sub LLC (a wholly-owned subsidiary of NFE).</w:t>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shares.</w:t>
      </w:r>
    </w:p>
    <w:p>
      <w:pPr>
        <w:spacing w:after="0" w:line="211" w:lineRule="exact"/>
        <w:rPr>
          <w:sz w:val="20"/>
          <w:szCs w:val="20"/>
          <w:color w:val="auto"/>
        </w:rPr>
      </w:pPr>
    </w:p>
    <w:p>
      <w:pPr>
        <w:ind w:right="240" w:firstLine="251"/>
        <w:spacing w:after="0" w:line="311" w:lineRule="auto"/>
        <w:rPr>
          <w:sz w:val="20"/>
          <w:szCs w:val="20"/>
          <w:color w:val="auto"/>
        </w:rPr>
      </w:pPr>
      <w:r>
        <w:rPr>
          <w:rFonts w:ascii="Arial" w:cs="Arial" w:eastAsia="Arial" w:hAnsi="Arial"/>
          <w:sz w:val="16"/>
          <w:szCs w:val="16"/>
          <w:color w:val="auto"/>
        </w:rPr>
        <w:t>We expect the Exchange Transactions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shareholders, enhance our liquidity, improve our credit profile and potentially lower our cost of capital.</w:t>
      </w:r>
    </w:p>
    <w:p>
      <w:pPr>
        <w:spacing w:after="0" w:line="176" w:lineRule="exact"/>
        <w:rPr>
          <w:sz w:val="20"/>
          <w:szCs w:val="20"/>
          <w:color w:val="auto"/>
        </w:rPr>
      </w:pPr>
    </w:p>
    <w:p>
      <w:pPr>
        <w:ind w:right="220" w:firstLine="251"/>
        <w:spacing w:after="0" w:line="301" w:lineRule="auto"/>
        <w:rPr>
          <w:sz w:val="20"/>
          <w:szCs w:val="20"/>
          <w:color w:val="auto"/>
        </w:rPr>
      </w:pPr>
      <w:r>
        <w:rPr>
          <w:rFonts w:ascii="Arial" w:cs="Arial" w:eastAsia="Arial" w:hAnsi="Arial"/>
          <w:sz w:val="16"/>
          <w:szCs w:val="16"/>
          <w:color w:val="auto"/>
        </w:rPr>
        <w:t>We believe that the Conversion will, among other things, improve trading liquidity, expand our global investor base and drive greater value for all of our shareholders over time. However, the level of investor interest in our Class A shares may not meet our expectations. For example, benchmark stock indices may change their eligibility requirements in a manner that is adverse to us or otherwise determine not to include our Class A shares. Moreover, even if we succeed in having our shares included in key stock indices, this may not result in the increased demand for our stock that we anticipate.</w:t>
      </w:r>
    </w:p>
    <w:p>
      <w:pPr>
        <w:spacing w:after="0" w:line="184" w:lineRule="exact"/>
        <w:rPr>
          <w:sz w:val="20"/>
          <w:szCs w:val="20"/>
          <w:color w:val="auto"/>
        </w:rPr>
      </w:pPr>
    </w:p>
    <w:p>
      <w:pPr>
        <w:ind w:firstLine="251"/>
        <w:spacing w:after="0" w:line="259" w:lineRule="auto"/>
        <w:rPr>
          <w:sz w:val="20"/>
          <w:szCs w:val="20"/>
          <w:color w:val="auto"/>
        </w:rPr>
      </w:pPr>
      <w:r>
        <w:rPr>
          <w:rFonts w:ascii="Arial" w:cs="Arial" w:eastAsia="Arial" w:hAnsi="Arial"/>
          <w:sz w:val="18"/>
          <w:szCs w:val="18"/>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shares.</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Transaction</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June 10, 2020, the Company completed the Exchange Transactions and issued 144,342,572 Class A shares in exchange for an equal number of NFI Units, together with an equal number of Class B shares of NFE. Following the completion of the Exchange Transactions, the Company owns all of the NFI Units directly or indirectly and no Class B shares remain outstanding. As of June 30, 2020, NFE has 168,587,346 Class A shares outstanding.</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Exchange Transactions, the Company recognized the Exchanging Members’ economic interest in NFI as non-controlling interest in the Company’s condensed consolidated financial statements. Results of operations for the period prior to the date of the Exchange Transactions, June 10, 2020, was attributed to non-controlling interest based on the Exchanging Members’ interest in NFI; subsequent to the Exchange Transactions, results of operations, excluding results attributable to other investors in non-wholly owned subsidiaries, were recognized as net income or loss attributable to stockholders. Amounts that were attributable to these Exchanging Members' prior interest in NFI previously shown as non-controlling interest on the Company’s consolidated balance sheets have been reclassified to Class A shares.</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completion of the Exchange Transactions, the Company reclassified $206,587 from non-controlling interest to Class A shares. If the Exchange Transactions had been completed on February 4, 2019, the date of the Company’s initial public offering, $166.7 million and $77.4 million that was presented within net loss attributable to non-controlling interest in the Company’s consolidated statement of operations for the year ended December 31, 2019 and six months ended June 30, 2020, respectively, would have been presented as net loss attributable to stockholders. Net loss per share (basic and diluted) would have been $(1.29) and $(1.31) for the year ended December 31, 2019 and the six months ended June 30, 2020, respectively. The Company’s financial information described above has been prepared on a pro forma basis and does not purport to be indicative of the Company’s results of operations or financial position had the exchange transactions occurred on the dates assumed and does not project the Company’s results of operations or financial position for any future period or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to a Corporation</w:t>
      </w:r>
    </w:p>
    <w:p>
      <w:pPr>
        <w:spacing w:after="0" w:line="256" w:lineRule="exact"/>
        <w:rPr>
          <w:sz w:val="20"/>
          <w:szCs w:val="20"/>
          <w:color w:val="auto"/>
        </w:rPr>
      </w:pPr>
    </w:p>
    <w:p>
      <w:pPr>
        <w:ind w:right="40" w:firstLine="243"/>
        <w:spacing w:after="0" w:line="254" w:lineRule="auto"/>
        <w:rPr>
          <w:sz w:val="20"/>
          <w:szCs w:val="20"/>
          <w:color w:val="auto"/>
        </w:rPr>
      </w:pPr>
      <w:r>
        <w:rPr>
          <w:rFonts w:ascii="Arial" w:cs="Arial" w:eastAsia="Arial" w:hAnsi="Arial"/>
          <w:sz w:val="18"/>
          <w:szCs w:val="18"/>
          <w:color w:val="auto"/>
        </w:rPr>
        <w:t>On August 3, 2020, we announced our decision to complete the final step in simplifying our corporate structure by converting New Fortress Energy LLC from a Delaware limited liability company to a Delaware corporation named New Fortress Energy Inc. Since its IPO, NFE has been a corporation for U.S. federal tax purposes, so converting NFE from a limited liability company to a corporation has no effect on the U.S. federal tax treatment of the Company or its shareholders. We expect the Conversion to become effective at 12:01 a.m. Eastern Time on August 7, 2020 (such date and time at which the Conversion becomes effective, the "Effective Time"). The Conversion was approved by our board of directors, following receipt of special approval of the Conversion pursuant to our LLC Agreement. Under Section 10.3(d) of our LLC Agreement, no vote of the members is required or will be sought for the Conversion.</w:t>
      </w:r>
    </w:p>
    <w:p>
      <w:pPr>
        <w:spacing w:after="0" w:line="222"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We believe that the Conversion will further improve our trading liquidity and, as a result, make us more attractive to investors. Following the Conversion, we also anticipate that our common stock will be eligible for inclusion in benchmark stock indices currently utilized by more than $8 trillion of industry assets, which amount we expect will increase over time. We also believe that, as a corporation, we will enhance our access to capital markets and our common stock will be more attractive as a currency in future strategic transactions. There can be no assurance that we can realize all or some of the anticipated benefits in a timely manner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Steps</w:t>
      </w:r>
    </w:p>
    <w:p>
      <w:pPr>
        <w:spacing w:after="0" w:line="252" w:lineRule="exact"/>
        <w:rPr>
          <w:sz w:val="20"/>
          <w:szCs w:val="20"/>
          <w:color w:val="auto"/>
        </w:rPr>
      </w:pPr>
    </w:p>
    <w:p>
      <w:pPr>
        <w:ind w:right="80" w:firstLine="243"/>
        <w:spacing w:after="0" w:line="301" w:lineRule="auto"/>
        <w:rPr>
          <w:sz w:val="20"/>
          <w:szCs w:val="20"/>
          <w:color w:val="auto"/>
        </w:rPr>
      </w:pPr>
      <w:r>
        <w:rPr>
          <w:rFonts w:ascii="Arial" w:cs="Arial" w:eastAsia="Arial" w:hAnsi="Arial"/>
          <w:sz w:val="16"/>
          <w:szCs w:val="16"/>
          <w:color w:val="auto"/>
        </w:rPr>
        <w:t>On August 3, 2020, in order to implement the Conversion, we filed with the Secretary of State of the State of Delaware a Certificate of Conversion (the "Certificate of Conversion") and a Certificate of Incorporation (the "Certificate of Incorporation"). As a result, at the Effective Time, the Company will convert to a corporation pursuant to a plan of conversion (the "Plan of Conversion"), and the Certificate of Incorporation and the By-Laws of the Corporation (the "By-Laws") will become effective. Following the Conversion, the Corporation will be named “New Fortress Energy Inc.”</w:t>
      </w:r>
    </w:p>
    <w:p>
      <w:pPr>
        <w:spacing w:after="0" w:line="184" w:lineRule="exact"/>
        <w:rPr>
          <w:sz w:val="20"/>
          <w:szCs w:val="20"/>
          <w:color w:val="auto"/>
        </w:rPr>
      </w:pPr>
    </w:p>
    <w:p>
      <w:pPr>
        <w:ind w:right="120" w:firstLine="243"/>
        <w:spacing w:after="0" w:line="272" w:lineRule="auto"/>
        <w:rPr>
          <w:sz w:val="20"/>
          <w:szCs w:val="20"/>
          <w:color w:val="auto"/>
        </w:rPr>
      </w:pPr>
      <w:r>
        <w:rPr>
          <w:rFonts w:ascii="Arial" w:cs="Arial" w:eastAsia="Arial" w:hAnsi="Arial"/>
          <w:sz w:val="17"/>
          <w:szCs w:val="17"/>
          <w:color w:val="auto"/>
        </w:rPr>
        <w:t>On August 3, 2020, the Company notified NASDAQ Global Select Market ("NASDAQ") that the Certificate of Conversion had been filed with the Secretary of State of the State of Delaware. At the Effective Time, each Class A common share representing Class A limited liability company interests of the Company ("Class A Common Shares"), outstanding immediately prior to the Effective Time will be converted into one issued and outstanding, fully paid and nonassessable share of Class A common stock, $0.01 par value per share, of the Corporation ("Class A Common Stock"). The Company will request that, as of the open of trading on August 7, 2020, NASDAQ cease trading of the Class A Common Shares and commence trading of the Class A Common Stock on NASDAQ under the existing ticker symbol “NFE.” No action or approval by the current holders of Class A Common Shares is currently anticipated with respect to the Conversion and no new CUSIP numbers will be issued.</w:t>
      </w:r>
    </w:p>
    <w:p>
      <w:pPr>
        <w:spacing w:after="0" w:line="204" w:lineRule="exact"/>
        <w:rPr>
          <w:sz w:val="20"/>
          <w:szCs w:val="20"/>
          <w:color w:val="auto"/>
        </w:rPr>
      </w:pPr>
    </w:p>
    <w:p>
      <w:pPr>
        <w:ind w:right="340" w:firstLine="243"/>
        <w:spacing w:after="0" w:line="308" w:lineRule="auto"/>
        <w:rPr>
          <w:sz w:val="20"/>
          <w:szCs w:val="20"/>
          <w:color w:val="auto"/>
        </w:rPr>
      </w:pPr>
      <w:r>
        <w:rPr>
          <w:rFonts w:ascii="Arial" w:cs="Arial" w:eastAsia="Arial" w:hAnsi="Arial"/>
          <w:sz w:val="17"/>
          <w:szCs w:val="17"/>
          <w:color w:val="auto"/>
        </w:rPr>
        <w:t>The shares of Class A Common Stock issued upon effectiveness of the Conversion will carry all rights with respect to the Class A Common Shares, including the right to receive any distributions declared but not yet paid on the Class A Common Shares prior to the Conversion.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Stockholders</w:t>
      </w:r>
    </w:p>
    <w:p>
      <w:pPr>
        <w:spacing w:after="0" w:line="252" w:lineRule="exact"/>
        <w:rPr>
          <w:sz w:val="20"/>
          <w:szCs w:val="20"/>
          <w:color w:val="auto"/>
        </w:rPr>
      </w:pPr>
    </w:p>
    <w:p>
      <w:pPr>
        <w:ind w:right="100" w:firstLine="243"/>
        <w:spacing w:after="0" w:line="275" w:lineRule="auto"/>
        <w:rPr>
          <w:sz w:val="20"/>
          <w:szCs w:val="20"/>
          <w:color w:val="auto"/>
        </w:rPr>
      </w:pPr>
      <w:r>
        <w:rPr>
          <w:rFonts w:ascii="Arial" w:cs="Arial" w:eastAsia="Arial" w:hAnsi="Arial"/>
          <w:sz w:val="17"/>
          <w:szCs w:val="17"/>
          <w:color w:val="auto"/>
        </w:rPr>
        <w:t>The Certificate of Incorporation and By-Laws provide the Corporation’s stockholders following the Conversion with substantially the same rights and obligations that shareholders have pursuant to the LLC Agreement. Following the Conversion, except as otherwise expressly provided in the Certificate of Incorporation and By-Laws, the holders of Class A Common Stock will be entitled to vote on all matters on which stockholders of a corporation are generally entitled to vote on under the Delaware General Corporation Law, including the election of the board of directors of the Corporation. Holders of Class A Common Stock will be entitled to one vote per share of Class A Common Stock.</w:t>
      </w:r>
    </w:p>
    <w:p>
      <w:pPr>
        <w:sectPr>
          <w:pgSz w:w="11900" w:h="16838" w:orient="portrait"/>
          <w:cols w:equalWidth="0" w:num="1">
            <w:col w:w="11240"/>
          </w:cols>
          <w:pgMar w:left="320" w:top="121"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52" w:lineRule="exact"/>
        <w:rPr>
          <w:sz w:val="20"/>
          <w:szCs w:val="20"/>
          <w:color w:val="auto"/>
        </w:rPr>
      </w:pPr>
    </w:p>
    <w:p>
      <w:pPr>
        <w:ind w:right="120" w:firstLine="243"/>
        <w:spacing w:after="0" w:line="263" w:lineRule="auto"/>
        <w:rPr>
          <w:sz w:val="20"/>
          <w:szCs w:val="20"/>
          <w:color w:val="auto"/>
        </w:rPr>
      </w:pPr>
      <w:r>
        <w:rPr>
          <w:rFonts w:ascii="Arial" w:cs="Arial" w:eastAsia="Arial" w:hAnsi="Arial"/>
          <w:sz w:val="18"/>
          <w:szCs w:val="18"/>
          <w:color w:val="auto"/>
        </w:rPr>
        <w:t>The directors and executive officers of the Company immediately prior to the Effective Time will become the directors and executive officers of the Corporation at the Effective Time. In addition, the committees of the board, and the membership thereof, immediately prior to the Effective Time, will be replicated at the Corporation at the Effective Time.</w:t>
      </w:r>
    </w:p>
    <w:p>
      <w:pPr>
        <w:spacing w:after="0" w:line="21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foregoing descriptions are qualified by reference to the forms of the Plan of Conversion, Certificate of Conversion, Certificate of Incorporation and the Bylaws, which are filed as Exhibits 99.1, 99.2, 99.3 and 99.4, respectively,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2"/>
        </w:trPr>
        <w:tc>
          <w:tcPr>
            <w:tcW w:w="1140" w:type="dxa"/>
            <w:vAlign w:val="bottom"/>
            <w:gridSpan w:val="2"/>
          </w:tcPr>
          <w:p>
            <w:pPr>
              <w:jc w:val="center"/>
              <w:ind w:right="120"/>
              <w:spacing w:after="0"/>
              <w:rPr>
                <w:rFonts w:ascii="Arial" w:cs="Arial" w:eastAsia="Arial" w:hAnsi="Arial"/>
                <w:sz w:val="14"/>
                <w:szCs w:val="14"/>
                <w:i w:val="1"/>
                <w:iCs w:val="1"/>
                <w:u w:val="single" w:color="auto"/>
                <w:color w:val="0000EE"/>
                <w:w w:val="92"/>
              </w:rPr>
            </w:pPr>
            <w:hyperlink w:anchor="page2">
              <w:r>
                <w:rPr>
                  <w:rFonts w:ascii="Arial" w:cs="Arial" w:eastAsia="Arial" w:hAnsi="Arial"/>
                  <w:sz w:val="14"/>
                  <w:szCs w:val="14"/>
                  <w:i w:val="1"/>
                  <w:iCs w:val="1"/>
                  <w:u w:val="single" w:color="auto"/>
                  <w:color w:val="0000EE"/>
                  <w:w w:val="92"/>
                </w:rPr>
                <w:t>Table of Contents</w:t>
              </w:r>
            </w:hyperlink>
          </w:p>
        </w:tc>
        <w:tc>
          <w:tcPr>
            <w:tcW w:w="10100" w:type="dxa"/>
            <w:vAlign w:val="bottom"/>
          </w:tcPr>
          <w:p>
            <w:pPr>
              <w:spacing w:after="0"/>
              <w:rPr>
                <w:sz w:val="15"/>
                <w:szCs w:val="15"/>
                <w:color w:val="auto"/>
              </w:rPr>
            </w:pPr>
          </w:p>
        </w:tc>
      </w:tr>
      <w:tr>
        <w:trPr>
          <w:trHeight w:val="3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10100" w:type="dxa"/>
            <w:vAlign w:val="bottom"/>
          </w:tcPr>
          <w:p>
            <w:pPr>
              <w:spacing w:after="0"/>
              <w:rPr>
                <w:sz w:val="24"/>
                <w:szCs w:val="24"/>
                <w:color w:val="auto"/>
              </w:rPr>
            </w:pPr>
          </w:p>
        </w:tc>
      </w:tr>
      <w:tr>
        <w:trPr>
          <w:trHeight w:val="241"/>
        </w:trPr>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20" w:type="dxa"/>
            <w:vAlign w:val="bottom"/>
            <w:tcBorders>
              <w:top w:val="single" w:sz="8" w:color="auto"/>
            </w:tcBorders>
            <w:shd w:val="clear" w:color="auto" w:fill="CCEEFF"/>
          </w:tcPr>
          <w:p>
            <w:pPr>
              <w:spacing w:after="0" w:line="201" w:lineRule="exact"/>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3.1</w:t>
              </w:r>
            </w:hyperlink>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Certificate of Formation of New Fortress Energy LLC (incorporated by reference to Exhibit 3.1 to the Registrant’s Registration Statement</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on Form S-1 (File No. 333-228339), filed with the SEC on November 9, 2018)</w:t>
            </w:r>
          </w:p>
        </w:tc>
      </w:tr>
      <w:tr>
        <w:trPr>
          <w:trHeight w:val="202"/>
        </w:trPr>
        <w:tc>
          <w:tcPr>
            <w:tcW w:w="1020" w:type="dxa"/>
            <w:vAlign w:val="bottom"/>
          </w:tcPr>
          <w:p>
            <w:pPr>
              <w:spacing w:after="0" w:line="201" w:lineRule="exact"/>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3.2</w:t>
              </w:r>
            </w:hyperlink>
          </w:p>
        </w:tc>
        <w:tc>
          <w:tcPr>
            <w:tcW w:w="1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8"/>
              </w:rPr>
              <w:t>Certificate of Amendment to Certificate of Formation of New Fortress Energy LLC (incorporated by reference to Exhibit 3.2 to the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Registrant’s Registration Statement on Form S-1 (File No. 333-228339), filed with the SEC on November 9, 2018)</w:t>
            </w:r>
          </w:p>
        </w:tc>
      </w:tr>
      <w:tr>
        <w:trPr>
          <w:trHeight w:val="202"/>
        </w:trPr>
        <w:tc>
          <w:tcPr>
            <w:tcW w:w="1020" w:type="dxa"/>
            <w:vAlign w:val="bottom"/>
            <w:shd w:val="clear" w:color="auto" w:fill="CCEEFF"/>
          </w:tcPr>
          <w:p>
            <w:pPr>
              <w:spacing w:after="0" w:line="201" w:lineRule="exact"/>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3.3</w:t>
              </w:r>
            </w:hyperlink>
          </w:p>
        </w:tc>
        <w:tc>
          <w:tcPr>
            <w:tcW w:w="1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First Amended and Restated Limited Liability Company Agreement of New Fortress Energy LLC, dated February 4, 2019 (incorporated by</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reference to Exhibit 3.1 to the Registrant’s Form 8-K (File No. 001-38790), filed with the SEC on February 5, 2019)</w:t>
            </w:r>
          </w:p>
        </w:tc>
      </w:tr>
      <w:tr>
        <w:trPr>
          <w:trHeight w:val="202"/>
        </w:trPr>
        <w:tc>
          <w:tcPr>
            <w:tcW w:w="1020" w:type="dxa"/>
            <w:vAlign w:val="bottom"/>
          </w:tcPr>
          <w:p>
            <w:pPr>
              <w:spacing w:after="0" w:line="201" w:lineRule="exact"/>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10.1</w:t>
              </w:r>
            </w:hyperlink>
          </w:p>
        </w:tc>
        <w:tc>
          <w:tcPr>
            <w:tcW w:w="1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4"/>
              </w:rPr>
              <w:t>Mutual Agreement, dated June 3, 2020, by and among New Fortress Energy LLC, Fortress Equity Partners GP, LLC, WRE 2012 Trust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2"/>
              </w:rPr>
              <w:t>LLC, FEP HoldCo LLC, Wesley R Edens, Randal A Nardone, NFE SMRS Holdings LLC and NFE Sub LLC (incorporated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Exhibit 10.1 to the Registrant’s Form 8-K (File No. 001-38790), filed with the SEC on June 9, 2020)</w:t>
            </w:r>
          </w:p>
        </w:tc>
      </w:tr>
      <w:tr>
        <w:trPr>
          <w:trHeight w:val="202"/>
        </w:trPr>
        <w:tc>
          <w:tcPr>
            <w:tcW w:w="1020" w:type="dxa"/>
            <w:vAlign w:val="bottom"/>
            <w:shd w:val="clear" w:color="auto" w:fill="CCEEFF"/>
          </w:tcPr>
          <w:p>
            <w:pPr>
              <w:spacing w:after="0" w:line="201" w:lineRule="exact"/>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10.2</w:t>
              </w:r>
            </w:hyperlink>
          </w:p>
        </w:tc>
        <w:tc>
          <w:tcPr>
            <w:tcW w:w="1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Amended and Restated Limited Liability Company Agreement of New Fortress Intermediate LLC, dated February 4, 2019 (incorporated by</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reference to Exhibit 10.2 to the Registrant’s Form 8-K (File No. 001-38790), filed with the SEC on February 5, 2019)</w:t>
            </w:r>
          </w:p>
        </w:tc>
      </w:tr>
      <w:tr>
        <w:trPr>
          <w:trHeight w:val="202"/>
        </w:trPr>
        <w:tc>
          <w:tcPr>
            <w:tcW w:w="1140" w:type="dxa"/>
            <w:vAlign w:val="bottom"/>
            <w:gridSpan w:val="2"/>
          </w:tcPr>
          <w:p>
            <w:pPr>
              <w:spacing w:after="0" w:line="201"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10.3†</w:t>
              </w:r>
            </w:hyperlink>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8"/>
              </w:rPr>
              <w:t>New Fortress Energy LLC 2019 Omnibus Incentive Plan (incorporated by reference to Exhibit 4.4 to the Registrant’s Registration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Statement on Form S-8 (File No. 333-229507), filed with the SEC on February 4, 2019)</w:t>
            </w:r>
          </w:p>
        </w:tc>
      </w:tr>
      <w:tr>
        <w:trPr>
          <w:trHeight w:val="202"/>
        </w:trPr>
        <w:tc>
          <w:tcPr>
            <w:tcW w:w="114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10.4†</w:t>
              </w:r>
            </w:hyperlink>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Form of Director Restricted Share Unit Award Agreement (incorporated by reference to Exhibit 10.4 to the Registrant’s Registration</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Statement on Form S-1/A (File No. 333-228339), filed with the SEC on December 24, 2018)</w:t>
            </w:r>
          </w:p>
        </w:tc>
      </w:tr>
      <w:tr>
        <w:trPr>
          <w:trHeight w:val="202"/>
        </w:trPr>
        <w:tc>
          <w:tcPr>
            <w:tcW w:w="1140" w:type="dxa"/>
            <w:vAlign w:val="bottom"/>
            <w:gridSpan w:val="2"/>
          </w:tcPr>
          <w:p>
            <w:pPr>
              <w:spacing w:after="0" w:line="201" w:lineRule="exact"/>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10.5†</w:t>
              </w:r>
            </w:hyperlink>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2"/>
              </w:rPr>
              <w:t>Form of Employee Restricted Share Unit Award Agreement (incorporated by reference to Exhibit 10.5 to the Registrant’s Quarterly Report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on Form 10-Q (File No. 001- 38790), filed with the Commission on May 15, 2019)</w:t>
            </w:r>
          </w:p>
        </w:tc>
      </w:tr>
      <w:tr>
        <w:trPr>
          <w:trHeight w:val="202"/>
        </w:trPr>
        <w:tc>
          <w:tcPr>
            <w:tcW w:w="1020" w:type="dxa"/>
            <w:vAlign w:val="bottom"/>
            <w:shd w:val="clear" w:color="auto" w:fill="CCEEFF"/>
          </w:tcPr>
          <w:p>
            <w:pPr>
              <w:spacing w:after="0" w:line="201" w:lineRule="exact"/>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10.6</w:t>
              </w:r>
            </w:hyperlink>
          </w:p>
        </w:tc>
        <w:tc>
          <w:tcPr>
            <w:tcW w:w="1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Shareholders’ Agreement, dated February 4, 2019, by and among New Fortress Energy LLC, New Fortress Energy Holdings LLC, Wesley</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w w:val="93"/>
              </w:rPr>
              <w:t>R. Edens and Randal A. Nardone (incorporated by reference to Exhibit 4.1 to the Registrant’s Form 8-K (File No. 001-38790), filed with</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the SEC on February 5, 2019)</w:t>
            </w:r>
          </w:p>
        </w:tc>
      </w:tr>
      <w:tr>
        <w:trPr>
          <w:trHeight w:val="202"/>
        </w:trPr>
        <w:tc>
          <w:tcPr>
            <w:tcW w:w="1020" w:type="dxa"/>
            <w:vAlign w:val="bottom"/>
          </w:tcPr>
          <w:p>
            <w:pPr>
              <w:spacing w:after="0" w:line="201" w:lineRule="exact"/>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10.7</w:t>
              </w:r>
            </w:hyperlink>
          </w:p>
        </w:tc>
        <w:tc>
          <w:tcPr>
            <w:tcW w:w="1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2"/>
              </w:rPr>
              <w:t>Administrative Services Agreement, dated February 4, 2019, by and between New Fortress Intermediate LLC and FIG LLC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by reference to Exhibit 10.3 to the Registrant’s Form 8-K (File No. 001-38790), filed with the SEC on February 5, 2019)</w:t>
            </w:r>
          </w:p>
        </w:tc>
      </w:tr>
      <w:tr>
        <w:trPr>
          <w:trHeight w:val="202"/>
        </w:trPr>
        <w:tc>
          <w:tcPr>
            <w:tcW w:w="114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10.8†</w:t>
              </w:r>
            </w:hyperlink>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Indemnification Agreement (Edens) (incorporated by reference to Exhibit 10.4 to the Registrant’s Form 8-K (File No. 001-38790), filed</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tcPr>
          <w:p>
            <w:pPr>
              <w:spacing w:after="0" w:line="201" w:lineRule="exact"/>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10.9†</w:t>
              </w:r>
            </w:hyperlink>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4"/>
              </w:rPr>
              <w:t>Indemnification Agreement (Guinta) (incorporated by reference to Exhibit 10.5 to the Registrant’s Form 8-K (File No. 001-38790), filed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10.10†</w:t>
              </w:r>
            </w:hyperlink>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Indemnification Agreement (Catterall) (incorporated by reference to Exhibit 10.7 to the Registrant’s Form 8-K (File No. 001-38790), filed</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tcPr>
          <w:p>
            <w:pPr>
              <w:spacing w:after="0" w:line="201" w:lineRule="exact"/>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10.11†</w:t>
              </w:r>
            </w:hyperlink>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5"/>
              </w:rPr>
              <w:t>Indemnification Agreement (Grain) (incorporated by reference to Exhibit 10.8 to the Registrant’s Form 8-K (File No. 001-38790), filed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10.12†</w:t>
              </w:r>
            </w:hyperlink>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Indemnification Agreement (Griffin) (incorporated by reference to Exhibit 10.9 to the Registrant’s Form 8-K (File No. 001-38790), filed</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tcPr>
          <w:p>
            <w:pPr>
              <w:spacing w:after="0" w:line="201" w:lineRule="exact"/>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10.13†</w:t>
              </w:r>
            </w:hyperlink>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4"/>
              </w:rPr>
              <w:t>Indemnification Agreement (Mack) (incorporated by reference to Exhibit 10.10 to the Registrant’s Form 8-K (File No. 001-38790), filed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10.14†</w:t>
              </w:r>
            </w:hyperlink>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Indemnification Agreement (Nardone) (incorporated by reference to Exhibit 10.11 to the Registrant’s Form 8-K (File No. 001-38790), filed</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tcPr>
          <w:p>
            <w:pPr>
              <w:spacing w:after="0" w:line="201" w:lineRule="exact"/>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10.15†</w:t>
              </w:r>
            </w:hyperlink>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3"/>
              </w:rPr>
              <w:t>Indemnification Agreement (Wanner) (incorporated by reference to Exhibit 10.12 to the Registrant’s Form 8-K (File No. 001-38790), filed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 the SEC on February 5, 2019)</w:t>
            </w:r>
          </w:p>
        </w:tc>
      </w:tr>
      <w:tr>
        <w:trPr>
          <w:trHeight w:val="202"/>
        </w:trPr>
        <w:tc>
          <w:tcPr>
            <w:tcW w:w="1140" w:type="dxa"/>
            <w:vAlign w:val="bottom"/>
            <w:gridSpan w:val="2"/>
            <w:shd w:val="clear" w:color="auto" w:fill="CCEEFF"/>
          </w:tcPr>
          <w:p>
            <w:pPr>
              <w:spacing w:after="0" w:line="201" w:lineRule="exact"/>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10.16†</w:t>
              </w:r>
            </w:hyperlink>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Indemnification Agreement (Wilkinson) (incorporated by reference to Exhibit 10.13 to the Registrant’s Form 8-K (File No. 001-38790),</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filed with the SEC on February 5, 2019)</w:t>
            </w:r>
          </w:p>
        </w:tc>
      </w:tr>
      <w:tr>
        <w:trPr>
          <w:trHeight w:val="59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4420"/>
              <w:spacing w:after="0"/>
              <w:rPr>
                <w:sz w:val="20"/>
                <w:szCs w:val="20"/>
                <w:color w:val="auto"/>
              </w:rPr>
            </w:pPr>
            <w:r>
              <w:rPr>
                <w:rFonts w:ascii="Arial" w:cs="Arial" w:eastAsia="Arial" w:hAnsi="Arial"/>
                <w:sz w:val="14"/>
                <w:szCs w:val="14"/>
                <w:color w:val="auto"/>
              </w:rPr>
              <w:t>74</w:t>
            </w:r>
          </w:p>
        </w:tc>
      </w:tr>
      <w:tr>
        <w:trPr>
          <w:trHeight w:val="46"/>
        </w:trPr>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10.17</w:t>
              </w:r>
            </w:hyperlink>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Amendment Agreement dated as February 11, 2019 to Credit Agreement, dated as of August 15, 2018 and as amended and restated as of</w:t>
            </w:r>
          </w:p>
        </w:tc>
      </w:tr>
      <w:tr>
        <w:trPr>
          <w:trHeight w:val="216"/>
        </w:trPr>
        <w:tc>
          <w:tcPr>
            <w:tcW w:w="9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2018, among New Fortress Intermediate LLC, NFE Atlantic Holdings LLC, the subsidiary guarantors from time to time</w:t>
            </w:r>
          </w:p>
        </w:tc>
      </w:tr>
      <w:tr>
        <w:trPr>
          <w:trHeight w:val="216"/>
        </w:trPr>
        <w:tc>
          <w:tcPr>
            <w:tcW w:w="9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party thereto, lenders parties thereto and Morgan Stanley Senior Funding, Inc., as administrative agent (incorporated by reference to Exhibit</w:t>
            </w:r>
          </w:p>
        </w:tc>
      </w:tr>
      <w:tr>
        <w:trPr>
          <w:trHeight w:val="230"/>
        </w:trPr>
        <w:tc>
          <w:tcPr>
            <w:tcW w:w="9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10.25 to the Registrant’s Annual Report on Form 10-K, filed with the SEC on March 26, 2019)</w:t>
            </w:r>
          </w:p>
        </w:tc>
      </w:tr>
      <w:tr>
        <w:trPr>
          <w:trHeight w:val="202"/>
        </w:trPr>
        <w:tc>
          <w:tcPr>
            <w:tcW w:w="960" w:type="dxa"/>
            <w:vAlign w:val="bottom"/>
          </w:tcPr>
          <w:p>
            <w:pPr>
              <w:spacing w:after="0" w:line="201" w:lineRule="exact"/>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10.18</w:t>
              </w:r>
            </w:hyperlink>
          </w:p>
        </w:tc>
        <w:tc>
          <w:tcPr>
            <w:tcW w:w="10280" w:type="dxa"/>
            <w:vAlign w:val="bottom"/>
          </w:tcPr>
          <w:p>
            <w:pPr>
              <w:ind w:left="180"/>
              <w:spacing w:after="0" w:line="201" w:lineRule="exact"/>
              <w:rPr>
                <w:sz w:val="20"/>
                <w:szCs w:val="20"/>
                <w:color w:val="auto"/>
              </w:rPr>
            </w:pPr>
            <w:r>
              <w:rPr>
                <w:rFonts w:ascii="Arial" w:cs="Arial" w:eastAsia="Arial" w:hAnsi="Arial"/>
                <w:sz w:val="18"/>
                <w:szCs w:val="18"/>
                <w:color w:val="auto"/>
                <w:w w:val="92"/>
              </w:rPr>
              <w:t>Second Amendment Agreement, dated as of March 13, 2019 to the Credit Agreement, dated as of August 15, 2018 and as amended and</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restated as of December 31, 2018, and as amended as of February 11, 2019, among New Fortress Intermediate LLC, NFE Atlantic Holdings</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LLC, the subsidiary guarantors from time to time party thereto, lenders parties thereto and Morgan Stanley Senior Funding, Inc., as</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4"/>
              </w:rPr>
              <w:t>administrative agent (incorporated by reference to Exhibit 10.26 to the Registrant’s Annual Report on Form 10-K, filed with the SEC on</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March 26, 2019)</w:t>
            </w:r>
          </w:p>
        </w:tc>
      </w:tr>
      <w:tr>
        <w:trPr>
          <w:trHeight w:val="202"/>
        </w:trPr>
        <w:tc>
          <w:tcPr>
            <w:tcW w:w="960" w:type="dxa"/>
            <w:vAlign w:val="bottom"/>
            <w:shd w:val="clear" w:color="auto" w:fill="CCEEFF"/>
          </w:tcPr>
          <w:p>
            <w:pPr>
              <w:spacing w:after="0" w:line="201" w:lineRule="exact"/>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10.19</w:t>
              </w:r>
            </w:hyperlink>
          </w:p>
        </w:tc>
        <w:tc>
          <w:tcPr>
            <w:tcW w:w="10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Engineering, Procurement and Construction Agreement for the Marcellus LNG Production Facility I, dated January 8, 2019, by and</w:t>
            </w:r>
          </w:p>
        </w:tc>
      </w:tr>
      <w:tr>
        <w:trPr>
          <w:trHeight w:val="216"/>
        </w:trPr>
        <w:tc>
          <w:tcPr>
            <w:tcW w:w="9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between Bradford County Real Estate Partners LLC and Black &amp; Veatch Construction, Inc. (incorporated by reference to Exhibit 10.17 to</w:t>
            </w:r>
          </w:p>
        </w:tc>
      </w:tr>
      <w:tr>
        <w:trPr>
          <w:trHeight w:val="230"/>
        </w:trPr>
        <w:tc>
          <w:tcPr>
            <w:tcW w:w="9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Registrant’s Registration Statement on Form S-1/A (File No. 333-228339), filed with the SEC on January 25, 2019)</w:t>
            </w:r>
          </w:p>
        </w:tc>
      </w:tr>
      <w:tr>
        <w:trPr>
          <w:trHeight w:val="202"/>
        </w:trPr>
        <w:tc>
          <w:tcPr>
            <w:tcW w:w="960" w:type="dxa"/>
            <w:vAlign w:val="bottom"/>
          </w:tcPr>
          <w:p>
            <w:pPr>
              <w:spacing w:after="0" w:line="201" w:lineRule="exact"/>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10.20†</w:t>
              </w:r>
            </w:hyperlink>
          </w:p>
        </w:tc>
        <w:tc>
          <w:tcPr>
            <w:tcW w:w="10280" w:type="dxa"/>
            <w:vAlign w:val="bottom"/>
          </w:tcPr>
          <w:p>
            <w:pPr>
              <w:ind w:left="180"/>
              <w:spacing w:after="0" w:line="201" w:lineRule="exact"/>
              <w:rPr>
                <w:sz w:val="20"/>
                <w:szCs w:val="20"/>
                <w:color w:val="auto"/>
              </w:rPr>
            </w:pPr>
            <w:r>
              <w:rPr>
                <w:rFonts w:ascii="Arial" w:cs="Arial" w:eastAsia="Arial" w:hAnsi="Arial"/>
                <w:sz w:val="18"/>
                <w:szCs w:val="18"/>
                <w:color w:val="auto"/>
                <w:w w:val="92"/>
              </w:rPr>
              <w:t>Indemnification Agreement, dated as of March 17, 2019, by and between New Fortress Energy LLC and Yunyoung Shin (incorporated by</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reference to Exhibit 10.29 to the Registrant’s Annual Report on Form 10-K, filed with the SEC on March 26, 2019)</w:t>
            </w:r>
          </w:p>
        </w:tc>
      </w:tr>
      <w:tr>
        <w:trPr>
          <w:trHeight w:val="202"/>
        </w:trPr>
        <w:tc>
          <w:tcPr>
            <w:tcW w:w="960" w:type="dxa"/>
            <w:vAlign w:val="bottom"/>
            <w:shd w:val="clear" w:color="auto" w:fill="CCEEFF"/>
          </w:tcPr>
          <w:p>
            <w:pPr>
              <w:spacing w:after="0" w:line="201" w:lineRule="exact"/>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10.21</w:t>
              </w:r>
            </w:hyperlink>
          </w:p>
        </w:tc>
        <w:tc>
          <w:tcPr>
            <w:tcW w:w="10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Letter Agreement, dated as of December 3, 2019, by and between NFE Management LLC and Yunyoung Shin. (incorporated by reference</w:t>
            </w:r>
          </w:p>
        </w:tc>
      </w:tr>
      <w:tr>
        <w:trPr>
          <w:trHeight w:val="230"/>
        </w:trPr>
        <w:tc>
          <w:tcPr>
            <w:tcW w:w="9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Exhibit 10.3 to the Registrant’s Quarterly Report on Form 10-Q, filed with the SEC on May 5, 2020)</w:t>
            </w:r>
          </w:p>
        </w:tc>
      </w:tr>
      <w:tr>
        <w:trPr>
          <w:trHeight w:val="202"/>
        </w:trPr>
        <w:tc>
          <w:tcPr>
            <w:tcW w:w="960" w:type="dxa"/>
            <w:vAlign w:val="bottom"/>
          </w:tcPr>
          <w:p>
            <w:pPr>
              <w:spacing w:after="0" w:line="201"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31.1*</w:t>
              </w:r>
            </w:hyperlink>
          </w:p>
        </w:tc>
        <w:tc>
          <w:tcPr>
            <w:tcW w:w="10280" w:type="dxa"/>
            <w:vAlign w:val="bottom"/>
          </w:tcPr>
          <w:p>
            <w:pPr>
              <w:ind w:left="180"/>
              <w:spacing w:after="0" w:line="201" w:lineRule="exact"/>
              <w:rPr>
                <w:sz w:val="20"/>
                <w:szCs w:val="20"/>
                <w:color w:val="auto"/>
              </w:rPr>
            </w:pPr>
            <w:r>
              <w:rPr>
                <w:rFonts w:ascii="Arial" w:cs="Arial" w:eastAsia="Arial" w:hAnsi="Arial"/>
                <w:sz w:val="18"/>
                <w:szCs w:val="18"/>
                <w:color w:val="auto"/>
                <w:w w:val="95"/>
              </w:rPr>
              <w:t>Certification by Chief Executive Officer pursuant to Rule 13a-14(a) and 15d-14(a) of the Exchange Act Rules, as adopted pursuant to</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96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31.2*</w:t>
              </w:r>
            </w:hyperlink>
          </w:p>
        </w:tc>
        <w:tc>
          <w:tcPr>
            <w:tcW w:w="10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Certification by Chief Financial Officer pursuant to Rule 13a-14(a) and 15d-14(a) of the Exchange Act Rules, as adopted pursuant to</w:t>
            </w:r>
          </w:p>
        </w:tc>
      </w:tr>
      <w:tr>
        <w:trPr>
          <w:trHeight w:val="230"/>
        </w:trPr>
        <w:tc>
          <w:tcPr>
            <w:tcW w:w="9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960" w:type="dxa"/>
            <w:vAlign w:val="bottom"/>
          </w:tcPr>
          <w:p>
            <w:pPr>
              <w:spacing w:after="0" w:line="201"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32.1**</w:t>
              </w:r>
            </w:hyperlink>
          </w:p>
        </w:tc>
        <w:tc>
          <w:tcPr>
            <w:tcW w:w="10280" w:type="dxa"/>
            <w:vAlign w:val="bottom"/>
          </w:tcPr>
          <w:p>
            <w:pPr>
              <w:ind w:left="180"/>
              <w:spacing w:after="0" w:line="201" w:lineRule="exact"/>
              <w:rPr>
                <w:sz w:val="20"/>
                <w:szCs w:val="20"/>
                <w:color w:val="auto"/>
              </w:rPr>
            </w:pPr>
            <w:r>
              <w:rPr>
                <w:rFonts w:ascii="Arial" w:cs="Arial" w:eastAsia="Arial" w:hAnsi="Arial"/>
                <w:sz w:val="18"/>
                <w:szCs w:val="18"/>
                <w:color w:val="auto"/>
                <w:w w:val="92"/>
              </w:rPr>
              <w:t>Certifications by Chief Executive Officer pursuant to Title 18 U.S.C. Section 1350, as adopted pursuant to Section 906 of Sarbanes-Oxley</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Act of 2002.</w:t>
            </w:r>
          </w:p>
        </w:tc>
      </w:tr>
      <w:tr>
        <w:trPr>
          <w:trHeight w:val="202"/>
        </w:trPr>
        <w:tc>
          <w:tcPr>
            <w:tcW w:w="96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32.2**</w:t>
              </w:r>
            </w:hyperlink>
          </w:p>
        </w:tc>
        <w:tc>
          <w:tcPr>
            <w:tcW w:w="10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Certifications by Chief Financial Officer pursuant to Title 18 U.S.C. Section 1350, as adopted pursuant to Section 906 of Sarbanes-Oxley</w:t>
            </w:r>
          </w:p>
        </w:tc>
      </w:tr>
      <w:tr>
        <w:trPr>
          <w:trHeight w:val="230"/>
        </w:trPr>
        <w:tc>
          <w:tcPr>
            <w:tcW w:w="9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 of 2002.</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99.1*</w:t>
              </w:r>
            </w:hyperlink>
          </w:p>
        </w:tc>
        <w:tc>
          <w:tcPr>
            <w:tcW w:w="10280" w:type="dxa"/>
            <w:vAlign w:val="bottom"/>
          </w:tcPr>
          <w:p>
            <w:pPr>
              <w:ind w:left="180"/>
              <w:spacing w:after="0"/>
              <w:rPr>
                <w:sz w:val="20"/>
                <w:szCs w:val="20"/>
                <w:color w:val="auto"/>
              </w:rPr>
            </w:pPr>
            <w:r>
              <w:rPr>
                <w:rFonts w:ascii="Arial" w:cs="Arial" w:eastAsia="Arial" w:hAnsi="Arial"/>
                <w:sz w:val="18"/>
                <w:szCs w:val="18"/>
                <w:color w:val="auto"/>
              </w:rPr>
              <w:t>Plan of Conversion</w:t>
            </w: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99.2*</w:t>
              </w:r>
            </w:hyperlink>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 of Conversion to a Corporation of New Fortress Energy LLC.</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99.3*</w:t>
              </w:r>
            </w:hyperlink>
          </w:p>
        </w:tc>
        <w:tc>
          <w:tcPr>
            <w:tcW w:w="10280" w:type="dxa"/>
            <w:vAlign w:val="bottom"/>
          </w:tcPr>
          <w:p>
            <w:pPr>
              <w:ind w:left="180"/>
              <w:spacing w:after="0"/>
              <w:rPr>
                <w:sz w:val="20"/>
                <w:szCs w:val="20"/>
                <w:color w:val="auto"/>
              </w:rPr>
            </w:pPr>
            <w:r>
              <w:rPr>
                <w:rFonts w:ascii="Arial" w:cs="Arial" w:eastAsia="Arial" w:hAnsi="Arial"/>
                <w:sz w:val="18"/>
                <w:szCs w:val="18"/>
                <w:color w:val="auto"/>
              </w:rPr>
              <w:t>Certificate of Incorporation of New Fortress Energy Inc.</w:t>
            </w: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99.4*</w:t>
              </w:r>
            </w:hyperlink>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By-Laws of New Fortress Energy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Schema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Label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Date: August 3, 2020</w:t>
            </w:r>
          </w:p>
        </w:tc>
        <w:tc>
          <w:tcPr>
            <w:tcW w:w="4920" w:type="dxa"/>
            <w:vAlign w:val="bottom"/>
            <w:vMerge w:val="restart"/>
          </w:tcPr>
          <w:p>
            <w:pPr>
              <w:spacing w:after="0"/>
              <w:rPr>
                <w:sz w:val="20"/>
                <w:szCs w:val="20"/>
                <w:color w:val="auto"/>
              </w:rPr>
            </w:pPr>
            <w:r>
              <w:rPr>
                <w:rFonts w:ascii="Arial" w:cs="Arial" w:eastAsia="Arial" w:hAnsi="Arial"/>
                <w:sz w:val="18"/>
                <w:szCs w:val="18"/>
                <w:color w:val="auto"/>
              </w:rPr>
              <w:t>/s/ Wesley R. Edens</w:t>
            </w:r>
          </w:p>
        </w:tc>
        <w:tc>
          <w:tcPr>
            <w:tcW w:w="0" w:type="dxa"/>
            <w:vAlign w:val="bottom"/>
          </w:tcPr>
          <w:p>
            <w:pPr>
              <w:spacing w:after="0"/>
              <w:rPr>
                <w:sz w:val="1"/>
                <w:szCs w:val="1"/>
                <w:color w:val="auto"/>
              </w:rPr>
            </w:pPr>
          </w:p>
        </w:tc>
      </w:tr>
      <w:tr>
        <w:trPr>
          <w:trHeight w:val="229"/>
        </w:trPr>
        <w:tc>
          <w:tcPr>
            <w:tcW w:w="6320" w:type="dxa"/>
            <w:vAlign w:val="bottom"/>
          </w:tcPr>
          <w:p>
            <w:pPr>
              <w:ind w:left="56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201" w:lineRule="exact"/>
              <w:rPr>
                <w:sz w:val="20"/>
                <w:szCs w:val="20"/>
                <w:color w:val="auto"/>
              </w:rPr>
            </w:pPr>
            <w:r>
              <w:rPr>
                <w:rFonts w:ascii="Arial" w:cs="Arial" w:eastAsia="Arial" w:hAnsi="Arial"/>
                <w:sz w:val="18"/>
                <w:szCs w:val="18"/>
                <w:color w:val="auto"/>
              </w:rPr>
              <w:t>Wesley R. Edens</w:t>
            </w:r>
          </w:p>
        </w:tc>
        <w:tc>
          <w:tcPr>
            <w:tcW w:w="0" w:type="dxa"/>
            <w:vAlign w:val="bottom"/>
          </w:tcPr>
          <w:p>
            <w:pPr>
              <w:spacing w:after="0"/>
              <w:rPr>
                <w:sz w:val="1"/>
                <w:szCs w:val="1"/>
                <w:color w:val="auto"/>
              </w:rPr>
            </w:pPr>
          </w:p>
        </w:tc>
      </w:tr>
      <w:tr>
        <w:trPr>
          <w:trHeight w:val="216"/>
        </w:trPr>
        <w:tc>
          <w:tcPr>
            <w:tcW w:w="6320" w:type="dxa"/>
            <w:vAlign w:val="bottom"/>
          </w:tcPr>
          <w:p>
            <w:pPr>
              <w:ind w:left="56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1"/>
        </w:trPr>
        <w:tc>
          <w:tcPr>
            <w:tcW w:w="6320" w:type="dxa"/>
            <w:vAlign w:val="bottom"/>
          </w:tcPr>
          <w:p>
            <w:pPr>
              <w:spacing w:after="0"/>
              <w:rPr>
                <w:sz w:val="20"/>
                <w:szCs w:val="20"/>
                <w:color w:val="auto"/>
              </w:rPr>
            </w:pPr>
            <w:r>
              <w:rPr>
                <w:rFonts w:ascii="Arial" w:cs="Arial" w:eastAsia="Arial" w:hAnsi="Arial"/>
                <w:sz w:val="18"/>
                <w:szCs w:val="18"/>
                <w:color w:val="auto"/>
              </w:rPr>
              <w:t>Date: August 3, 2020</w:t>
            </w:r>
          </w:p>
        </w:tc>
        <w:tc>
          <w:tcPr>
            <w:tcW w:w="4920" w:type="dxa"/>
            <w:vAlign w:val="bottom"/>
            <w:vMerge w:val="restart"/>
          </w:tcPr>
          <w:p>
            <w:pPr>
              <w:spacing w:after="0"/>
              <w:rPr>
                <w:sz w:val="20"/>
                <w:szCs w:val="20"/>
                <w:color w:val="auto"/>
              </w:rPr>
            </w:pPr>
            <w:r>
              <w:rPr>
                <w:rFonts w:ascii="Arial" w:cs="Arial" w:eastAsia="Arial" w:hAnsi="Arial"/>
                <w:sz w:val="18"/>
                <w:szCs w:val="18"/>
                <w:color w:val="auto"/>
              </w:rPr>
              <w:t>/s/ Christopher S. Guinta</w:t>
            </w:r>
          </w:p>
        </w:tc>
        <w:tc>
          <w:tcPr>
            <w:tcW w:w="0" w:type="dxa"/>
            <w:vAlign w:val="bottom"/>
          </w:tcPr>
          <w:p>
            <w:pPr>
              <w:spacing w:after="0"/>
              <w:rPr>
                <w:sz w:val="1"/>
                <w:szCs w:val="1"/>
                <w:color w:val="auto"/>
              </w:rPr>
            </w:pPr>
          </w:p>
        </w:tc>
      </w:tr>
      <w:tr>
        <w:trPr>
          <w:trHeight w:val="229"/>
        </w:trPr>
        <w:tc>
          <w:tcPr>
            <w:tcW w:w="6320" w:type="dxa"/>
            <w:vAlign w:val="bottom"/>
          </w:tcPr>
          <w:p>
            <w:pPr>
              <w:ind w:left="56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c>
          <w:tcPr>
            <w:tcW w:w="0" w:type="dxa"/>
            <w:vAlign w:val="bottom"/>
          </w:tcPr>
          <w:p>
            <w:pPr>
              <w:spacing w:after="0"/>
              <w:rPr>
                <w:sz w:val="1"/>
                <w:szCs w:val="1"/>
                <w:color w:val="auto"/>
              </w:rPr>
            </w:pPr>
          </w:p>
        </w:tc>
      </w:tr>
      <w:tr>
        <w:trPr>
          <w:trHeight w:val="216"/>
        </w:trPr>
        <w:tc>
          <w:tcPr>
            <w:tcW w:w="6320" w:type="dxa"/>
            <w:vAlign w:val="bottom"/>
          </w:tcPr>
          <w:p>
            <w:pPr>
              <w:ind w:left="56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31"/>
        </w:trPr>
        <w:tc>
          <w:tcPr>
            <w:tcW w:w="6320" w:type="dxa"/>
            <w:vAlign w:val="bottom"/>
          </w:tcPr>
          <w:p>
            <w:pPr>
              <w:spacing w:after="0"/>
              <w:rPr>
                <w:sz w:val="20"/>
                <w:szCs w:val="20"/>
                <w:color w:val="auto"/>
              </w:rPr>
            </w:pPr>
            <w:r>
              <w:rPr>
                <w:rFonts w:ascii="Arial" w:cs="Arial" w:eastAsia="Arial" w:hAnsi="Arial"/>
                <w:sz w:val="18"/>
                <w:szCs w:val="18"/>
                <w:color w:val="auto"/>
              </w:rPr>
              <w:t>Date: August 3, 2020</w:t>
            </w:r>
          </w:p>
        </w:tc>
        <w:tc>
          <w:tcPr>
            <w:tcW w:w="4920" w:type="dxa"/>
            <w:vAlign w:val="bottom"/>
            <w:vMerge w:val="restart"/>
          </w:tcPr>
          <w:p>
            <w:pPr>
              <w:spacing w:after="0"/>
              <w:rPr>
                <w:sz w:val="20"/>
                <w:szCs w:val="20"/>
                <w:color w:val="auto"/>
              </w:rPr>
            </w:pPr>
            <w:r>
              <w:rPr>
                <w:rFonts w:ascii="Arial" w:cs="Arial" w:eastAsia="Arial" w:hAnsi="Arial"/>
                <w:sz w:val="18"/>
                <w:szCs w:val="18"/>
                <w:color w:val="auto"/>
              </w:rPr>
              <w:t>/s/ Yunyoung Shin</w:t>
            </w:r>
          </w:p>
        </w:tc>
        <w:tc>
          <w:tcPr>
            <w:tcW w:w="0" w:type="dxa"/>
            <w:vAlign w:val="bottom"/>
          </w:tcPr>
          <w:p>
            <w:pPr>
              <w:spacing w:after="0"/>
              <w:rPr>
                <w:sz w:val="1"/>
                <w:szCs w:val="1"/>
                <w:color w:val="auto"/>
              </w:rPr>
            </w:pPr>
          </w:p>
        </w:tc>
      </w:tr>
      <w:tr>
        <w:trPr>
          <w:trHeight w:val="229"/>
        </w:trPr>
        <w:tc>
          <w:tcPr>
            <w:tcW w:w="6320" w:type="dxa"/>
            <w:vAlign w:val="bottom"/>
          </w:tcPr>
          <w:p>
            <w:pPr>
              <w:ind w:left="56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201" w:lineRule="exact"/>
              <w:rPr>
                <w:sz w:val="20"/>
                <w:szCs w:val="20"/>
                <w:color w:val="auto"/>
              </w:rPr>
            </w:pPr>
            <w:r>
              <w:rPr>
                <w:rFonts w:ascii="Arial" w:cs="Arial" w:eastAsia="Arial" w:hAnsi="Arial"/>
                <w:sz w:val="18"/>
                <w:szCs w:val="18"/>
                <w:color w:val="auto"/>
              </w:rPr>
              <w:t>Yunyoung Shin</w:t>
            </w:r>
          </w:p>
        </w:tc>
        <w:tc>
          <w:tcPr>
            <w:tcW w:w="0" w:type="dxa"/>
            <w:vAlign w:val="bottom"/>
          </w:tcPr>
          <w:p>
            <w:pPr>
              <w:spacing w:after="0"/>
              <w:rPr>
                <w:sz w:val="1"/>
                <w:szCs w:val="1"/>
                <w:color w:val="auto"/>
              </w:rPr>
            </w:pPr>
          </w:p>
        </w:tc>
      </w:tr>
      <w:tr>
        <w:trPr>
          <w:trHeight w:val="216"/>
        </w:trPr>
        <w:tc>
          <w:tcPr>
            <w:tcW w:w="6320" w:type="dxa"/>
            <w:vAlign w:val="bottom"/>
          </w:tcPr>
          <w:p>
            <w:pPr>
              <w:ind w:left="56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13A-14(A) AND RULE 15D-14(A)</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Wesley R. Edens, certify that:</w:t>
      </w:r>
    </w:p>
    <w:p>
      <w:pPr>
        <w:spacing w:after="0" w:line="24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LLC (the “registrant”);</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23495</wp:posOffset>
            </wp:positionV>
            <wp:extent cx="91757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91757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23495</wp:posOffset>
            </wp:positionV>
            <wp:extent cx="16973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169735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13A-14(A) AND RULE 15D-14(A)</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Christopher S. Guinta, certify that:</w:t>
      </w:r>
    </w:p>
    <w:p>
      <w:pPr>
        <w:spacing w:after="0" w:line="24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LLC (the “registrant”);</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11398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113982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23495</wp:posOffset>
            </wp:positionV>
            <wp:extent cx="16370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EXECUTIVE OFFICER UNDER SECTION 906</w:t>
      </w:r>
    </w:p>
    <w:p>
      <w:pPr>
        <w:jc w:val="center"/>
        <w:spacing w:after="0"/>
        <w:rPr>
          <w:sz w:val="20"/>
          <w:szCs w:val="20"/>
          <w:color w:val="auto"/>
        </w:rPr>
      </w:pPr>
      <w:r>
        <w:rPr>
          <w:rFonts w:ascii="Arial" w:cs="Arial" w:eastAsia="Arial" w:hAnsi="Arial"/>
          <w:sz w:val="22"/>
          <w:szCs w:val="22"/>
          <w:b w:val="1"/>
          <w:bCs w:val="1"/>
          <w:color w:val="auto"/>
        </w:rPr>
        <w:t>OF THE SARBANES OXLEY ACT OF 2002, 18 U.S.C. § 1350</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 connection with the Quarterly Report on Form 10-Q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219"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20840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120840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23495</wp:posOffset>
            </wp:positionV>
            <wp:extent cx="17145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FINANCIAL OFFICER UNDER SECTION 906</w:t>
      </w:r>
    </w:p>
    <w:p>
      <w:pPr>
        <w:jc w:val="center"/>
        <w:spacing w:after="0"/>
        <w:rPr>
          <w:sz w:val="20"/>
          <w:szCs w:val="20"/>
          <w:color w:val="auto"/>
        </w:rPr>
      </w:pPr>
      <w:r>
        <w:rPr>
          <w:rFonts w:ascii="Arial" w:cs="Arial" w:eastAsia="Arial" w:hAnsi="Arial"/>
          <w:sz w:val="22"/>
          <w:szCs w:val="22"/>
          <w:b w:val="1"/>
          <w:bCs w:val="1"/>
          <w:color w:val="auto"/>
        </w:rPr>
        <w:t>OF THE SARBANES OXLEY ACT OF 2002, 18 U.S.C. § 1350</w:t>
      </w:r>
    </w:p>
    <w:p>
      <w:pPr>
        <w:spacing w:after="0" w:line="21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In connection with Quarterly Report on Form 10-Q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219"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20840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120840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23495</wp:posOffset>
            </wp:positionV>
            <wp:extent cx="171450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CONVERSION</w:t>
      </w:r>
    </w:p>
    <w:p>
      <w:pPr>
        <w:spacing w:after="0" w:line="233"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This PLAN OF CONVERSION (this “</w:t>
      </w:r>
      <w:r>
        <w:rPr>
          <w:rFonts w:ascii="Arial" w:cs="Arial" w:eastAsia="Arial" w:hAnsi="Arial"/>
          <w:sz w:val="19"/>
          <w:szCs w:val="19"/>
          <w:b w:val="1"/>
          <w:bCs w:val="1"/>
          <w:u w:val="single" w:color="auto"/>
          <w:color w:val="auto"/>
        </w:rPr>
        <w:t>Plan of Conversion</w:t>
      </w:r>
      <w:r>
        <w:rPr>
          <w:rFonts w:ascii="Arial" w:cs="Arial" w:eastAsia="Arial" w:hAnsi="Arial"/>
          <w:sz w:val="19"/>
          <w:szCs w:val="19"/>
          <w:b w:val="1"/>
          <w:bCs w:val="1"/>
          <w:color w:val="auto"/>
        </w:rPr>
        <w:t>”</w:t>
      </w:r>
      <w:r>
        <w:rPr>
          <w:rFonts w:ascii="Arial" w:cs="Arial" w:eastAsia="Arial" w:hAnsi="Arial"/>
          <w:sz w:val="19"/>
          <w:szCs w:val="19"/>
          <w:color w:val="auto"/>
        </w:rPr>
        <w:t>) sets forth the terms and conditions pursuant to which New Fortress Energy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shall effect a conversion into a Delaware corporation (the “</w:t>
      </w:r>
      <w:r>
        <w:rPr>
          <w:rFonts w:ascii="Arial" w:cs="Arial" w:eastAsia="Arial" w:hAnsi="Arial"/>
          <w:sz w:val="19"/>
          <w:szCs w:val="19"/>
          <w:u w:val="single" w:color="auto"/>
          <w:color w:val="auto"/>
        </w:rPr>
        <w:t>Conversion</w:t>
      </w:r>
      <w:r>
        <w:rPr>
          <w:rFonts w:ascii="Arial" w:cs="Arial" w:eastAsia="Arial" w:hAnsi="Arial"/>
          <w:sz w:val="19"/>
          <w:szCs w:val="19"/>
          <w:color w:val="auto"/>
        </w:rPr>
        <w:t>”) to be known as New Fortress Energy Inc., pursuant to Section 18-216 of the Delaware Limited Liability Company Act (the “</w:t>
      </w:r>
      <w:r>
        <w:rPr>
          <w:rFonts w:ascii="Arial" w:cs="Arial" w:eastAsia="Arial" w:hAnsi="Arial"/>
          <w:sz w:val="19"/>
          <w:szCs w:val="19"/>
          <w:u w:val="single" w:color="auto"/>
          <w:color w:val="auto"/>
        </w:rPr>
        <w:t>Act</w:t>
      </w:r>
      <w:r>
        <w:rPr>
          <w:rFonts w:ascii="Arial" w:cs="Arial" w:eastAsia="Arial" w:hAnsi="Arial"/>
          <w:sz w:val="19"/>
          <w:szCs w:val="19"/>
          <w:color w:val="auto"/>
        </w:rPr>
        <w:t>”) and Section 265 of the Delaware General Corporation Law (the “</w:t>
      </w:r>
      <w:r>
        <w:rPr>
          <w:rFonts w:ascii="Arial" w:cs="Arial" w:eastAsia="Arial" w:hAnsi="Arial"/>
          <w:sz w:val="19"/>
          <w:szCs w:val="19"/>
          <w:u w:val="single" w:color="auto"/>
          <w:color w:val="auto"/>
        </w:rPr>
        <w:t>DGCL</w:t>
      </w:r>
      <w:r>
        <w:rPr>
          <w:rFonts w:ascii="Arial" w:cs="Arial" w:eastAsia="Arial" w:hAnsi="Arial"/>
          <w:sz w:val="19"/>
          <w:szCs w:val="19"/>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a limited liability company duly formed and validly existing under the laws of the State of Delaware;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Section 10.3(d) of the Company’s First Amended and Restated Limited Liability Company Agreement (as amended, the “</w:t>
      </w:r>
      <w:r>
        <w:rPr>
          <w:rFonts w:ascii="Arial" w:cs="Arial" w:eastAsia="Arial" w:hAnsi="Arial"/>
          <w:sz w:val="17"/>
          <w:szCs w:val="17"/>
          <w:u w:val="single" w:color="auto"/>
          <w:color w:val="auto"/>
        </w:rPr>
        <w:t>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provides that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is permitted, without approval of the Company’s members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Members</w:t>
      </w:r>
      <w:r>
        <w:rPr>
          <w:rFonts w:ascii="Arial" w:cs="Arial" w:eastAsia="Arial" w:hAnsi="Arial"/>
          <w:sz w:val="17"/>
          <w:szCs w:val="17"/>
          <w:color w:val="auto"/>
        </w:rPr>
        <w:t>”), to convert the Company into a new limited liability entity if (i) the sole purpose of such conversion is to effect a mere change in the legal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form of the Company and (ii) the governing instruments of the new entity provide the Members and the Board with substantially the same rights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as contained in the LLC Agreement;</w:t>
      </w:r>
    </w:p>
    <w:p>
      <w:pPr>
        <w:spacing w:after="0" w:line="23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the provisions of Section 10.3(d) of the LLC Agreement, the Board has determined that it is advisable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best interests of the Company that the Company be converted into and thereafter become, and continue to exist as, a Delaware corporation pursuant to Section 18-216 of the Act and Section 265 of the DGCL;</w:t>
      </w:r>
    </w:p>
    <w:p>
      <w:pPr>
        <w:spacing w:after="0" w:line="203"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(and corresponding state and local) income tax purposes, (i) the Conversion is intended to qualify as a</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within the meaning of Section 368(a)(1)(F)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(ii) this Plan of Conversion constitutes a plan of reorganization within the meaning of U.S. Treasury Regulations Section 1.368-2(g), and (iii) the Company and New Fortress Energy Inc. will each be a party to such reorganization within the meaning of Section 368(b) of the Code;</w:t>
      </w:r>
    </w:p>
    <w:p>
      <w:pPr>
        <w:spacing w:after="0" w:line="207"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5.20 of the LLC Agreement permits a process pursuant to which Special Approval (as defined in the LLC Agreement)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obtained with respect to any transaction, activity, arrangement or circumstance that may involve a potential conflict of interest, if (i) it has been specifically approved by a majority of the members of the Conflicts Committee (as defined in the LLC Agreement), or (ii) it complies with any rules or guidelines established by the Conflicts Committee with respect to categories of transactions, activities, arrangements or circumstances that are deemed approved by the Conflicts Committee;</w:t>
      </w:r>
    </w:p>
    <w:p>
      <w:pPr>
        <w:spacing w:after="0" w:line="210"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Conflicts Committee, after due and careful consideration, (i) has unanimously determined that it is advisable and in the best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of the Company that the Company be converted into and thereafter become, and continue to exist as, a corporation in accordance with Section 18-216 of the Act and Section 265 of the DGCL, (ii) has provided its “Special Approval” of such Conversion pursuant to Section 5.20 of the LLC Agreement and (iii) has unanimously approved, and recommended that the Board approve,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7" w:name="page88"/>
    <w:bookmarkEnd w:id="87"/>
    <w:p>
      <w:pPr>
        <w:ind w:right="5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it is advisable and in the best interests of the Company that the Company be converted into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become, and continue to exist as, a corporation in accordance with Section 18-216 of the Act and Section 265 of the DGCL; and</w:t>
      </w:r>
    </w:p>
    <w:p>
      <w:pPr>
        <w:spacing w:after="0" w:line="14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18-404(d) of the Act, the Board has, at a meeting of the Board, duly approved, authorized, adopted, ratified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the Conversion pursuant to Section 18-216 of the Act and Section 265 of the DGCL, upon the terms and subject to the conditions set forth in this Plan of Conversion.</w:t>
      </w:r>
    </w:p>
    <w:p>
      <w:pPr>
        <w:spacing w:after="0" w:line="203" w:lineRule="exact"/>
        <w:rPr>
          <w:sz w:val="20"/>
          <w:szCs w:val="20"/>
          <w:color w:val="auto"/>
        </w:rPr>
      </w:pPr>
    </w:p>
    <w:p>
      <w:pPr>
        <w:ind w:right="46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and agreements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and intending to be legally bound hereby, the Company agrees as follows:</w:t>
      </w:r>
    </w:p>
    <w:p>
      <w:pPr>
        <w:spacing w:after="0" w:line="140" w:lineRule="exact"/>
        <w:rPr>
          <w:sz w:val="20"/>
          <w:szCs w:val="20"/>
          <w:color w:val="auto"/>
        </w:rPr>
      </w:pPr>
    </w:p>
    <w:p>
      <w:pPr>
        <w:ind w:right="240" w:firstLine="656"/>
        <w:spacing w:after="0" w:line="248" w:lineRule="auto"/>
        <w:tabs>
          <w:tab w:leader="none" w:pos="135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Conversion</w:t>
      </w:r>
      <w:r>
        <w:rPr>
          <w:rFonts w:ascii="Arial" w:cs="Arial" w:eastAsia="Arial" w:hAnsi="Arial"/>
          <w:sz w:val="21"/>
          <w:szCs w:val="21"/>
          <w:color w:val="auto"/>
        </w:rPr>
        <w:t>. At the Effective Time (as defined below), the Company will be converted into a Delaware corporation, pursuant to Section 18-216 of the Act and Section 265 of the DGCL, under the name “New Fortress Energy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and will, for all purposes of the laws of the State of Delaware, be deemed to be the same entity as the Company. The Company will not be required to wind up its affairs or pay its liabilities and distribute its assets, and the Conversion will not be deemed to constitute a dissolution of the Company and will constitute a continuation of the existence of the Company in the form of a Delaware corporation.</w:t>
      </w:r>
    </w:p>
    <w:p>
      <w:pPr>
        <w:spacing w:after="0" w:line="203" w:lineRule="exact"/>
        <w:rPr>
          <w:rFonts w:ascii="Arial" w:cs="Arial" w:eastAsia="Arial" w:hAnsi="Arial"/>
          <w:sz w:val="21"/>
          <w:szCs w:val="21"/>
          <w:color w:val="auto"/>
        </w:rPr>
      </w:pPr>
    </w:p>
    <w:p>
      <w:pPr>
        <w:ind w:right="80" w:firstLine="656"/>
        <w:spacing w:after="0" w:line="287" w:lineRule="auto"/>
        <w:tabs>
          <w:tab w:leader="none" w:pos="135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Effective Time</w:t>
      </w:r>
      <w:r>
        <w:rPr>
          <w:rFonts w:ascii="Arial" w:cs="Arial" w:eastAsia="Arial" w:hAnsi="Arial"/>
          <w:sz w:val="19"/>
          <w:szCs w:val="19"/>
          <w:color w:val="auto"/>
        </w:rPr>
        <w:t xml:space="preserve">. On August 3, 2020, the Company shall file the Certificate of Conversion,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Certificate of Incorporation,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Certificate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Incorporation</w:t>
      </w:r>
      <w:r>
        <w:rPr>
          <w:rFonts w:ascii="Arial" w:cs="Arial" w:eastAsia="Arial" w:hAnsi="Arial"/>
          <w:sz w:val="19"/>
          <w:szCs w:val="19"/>
          <w:color w:val="auto"/>
        </w:rPr>
        <w:t>”), with the Secretary of State of the State of Delaware pursuant to Section 265 of the DGCL. The Conversion shall become effective at 12:01 a.m. (Eastern time) on August 7, 2020 (such time of effectiveness, the “</w:t>
      </w:r>
      <w:r>
        <w:rPr>
          <w:rFonts w:ascii="Arial" w:cs="Arial" w:eastAsia="Arial" w:hAnsi="Arial"/>
          <w:sz w:val="19"/>
          <w:szCs w:val="19"/>
          <w:u w:val="single" w:color="auto"/>
          <w:color w:val="auto"/>
        </w:rPr>
        <w:t>Effective Time</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right="320" w:firstLine="656"/>
        <w:spacing w:after="0" w:line="236" w:lineRule="auto"/>
        <w:tabs>
          <w:tab w:leader="none" w:pos="135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Governing Documents</w:t>
      </w:r>
      <w:r>
        <w:rPr>
          <w:rFonts w:ascii="Arial" w:cs="Arial" w:eastAsia="Arial" w:hAnsi="Arial"/>
          <w:sz w:val="22"/>
          <w:szCs w:val="22"/>
          <w:color w:val="auto"/>
        </w:rPr>
        <w:t xml:space="preserve">. (i) At the Effective Time, the Certificate of Formation shall be cancelled and the LLC Agreement shall be terminated and be of no further force or effect and (ii) from and after the Effective Time, the Certificate of Incorporation, and the By-Laws of the Corporation,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By-Laws</w:t>
      </w:r>
      <w:r>
        <w:rPr>
          <w:rFonts w:ascii="Arial" w:cs="Arial" w:eastAsia="Arial" w:hAnsi="Arial"/>
          <w:sz w:val="22"/>
          <w:szCs w:val="22"/>
          <w:color w:val="auto"/>
        </w:rPr>
        <w:t>”), will govern the affairs of the Corporation and the conduct of its business, until thereafter amended in accordance with the DGCL and their respective terms.</w:t>
      </w:r>
    </w:p>
    <w:p>
      <w:pPr>
        <w:spacing w:after="0" w:line="214" w:lineRule="exact"/>
        <w:rPr>
          <w:rFonts w:ascii="Arial" w:cs="Arial" w:eastAsia="Arial" w:hAnsi="Arial"/>
          <w:sz w:val="22"/>
          <w:szCs w:val="22"/>
          <w:color w:val="auto"/>
        </w:rPr>
      </w:pPr>
    </w:p>
    <w:p>
      <w:pPr>
        <w:ind w:right="260" w:firstLine="656"/>
        <w:spacing w:after="0" w:line="238" w:lineRule="auto"/>
        <w:tabs>
          <w:tab w:leader="none" w:pos="135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Conversion of Shares</w:t>
      </w:r>
      <w:r>
        <w:rPr>
          <w:rFonts w:ascii="Arial" w:cs="Arial" w:eastAsia="Arial" w:hAnsi="Arial"/>
          <w:sz w:val="22"/>
          <w:szCs w:val="22"/>
          <w:color w:val="auto"/>
        </w:rPr>
        <w:t>. At the Effective Time, by virtue of the Conversion and without any action on the part of the Company, the Board or any Member, each Class A Share of the Company issued and outstanding immediately prior to the Effective Time shall be automatically converted into one share of Class A Common Stock, par value $0.01 per share, of the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20" w:right="60" w:firstLine="656"/>
        <w:spacing w:after="0" w:line="282" w:lineRule="auto"/>
        <w:tabs>
          <w:tab w:leader="none" w:pos="133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Board of Directors</w:t>
      </w:r>
      <w:r>
        <w:rPr>
          <w:rFonts w:ascii="Arial" w:cs="Arial" w:eastAsia="Arial" w:hAnsi="Arial"/>
          <w:sz w:val="19"/>
          <w:szCs w:val="19"/>
          <w:color w:val="auto"/>
        </w:rPr>
        <w:t>. Each member of the board of directors of the Company as of immediately prior to the Effective Time shall be a director of the Corporation from and after the Effective Time, each of whom shall serve as directors of the Corporation until such time as their respective successors have been duly elected and qualified, or until such director’s earlier removal, resignation, death or disability, in each case, in accordance with the DGCL, the Certificate of Incorporation and the By-Laws. Wesley R. Edens shall be Chairman of the board of directors of the Corporation immediately upon the Effective Time.</w:t>
      </w:r>
    </w:p>
    <w:p>
      <w:pPr>
        <w:spacing w:after="0" w:line="174" w:lineRule="exact"/>
        <w:rPr>
          <w:rFonts w:ascii="Arial" w:cs="Arial" w:eastAsia="Arial" w:hAnsi="Arial"/>
          <w:sz w:val="19"/>
          <w:szCs w:val="19"/>
          <w:color w:val="auto"/>
        </w:rPr>
      </w:pPr>
    </w:p>
    <w:p>
      <w:pPr>
        <w:ind w:left="-20" w:right="300" w:firstLine="656"/>
        <w:spacing w:after="0" w:line="282" w:lineRule="auto"/>
        <w:tabs>
          <w:tab w:leader="none" w:pos="133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Officers</w:t>
      </w:r>
      <w:r>
        <w:rPr>
          <w:rFonts w:ascii="Arial" w:cs="Arial" w:eastAsia="Arial" w:hAnsi="Arial"/>
          <w:sz w:val="19"/>
          <w:szCs w:val="19"/>
          <w:color w:val="auto"/>
        </w:rPr>
        <w:t>. Each officer of the Company as of immediately prior to the Effective Time shall be an officer of the Corporation from and after the Effective Time, and shall retain the same title with the Corporation from and after the Effective Time as he or she had with the Company immediately prior to the Effective Time, each of whom shall serve until such time as their respective successors have been designated by the Board, or until such officer’s earlier removal, resignation, death or disability, in each case, in accordance with the DGCL, the Certificate of Incorporation and the By-Laws.</w:t>
      </w:r>
    </w:p>
    <w:p>
      <w:pPr>
        <w:spacing w:after="0" w:line="174" w:lineRule="exact"/>
        <w:rPr>
          <w:rFonts w:ascii="Arial" w:cs="Arial" w:eastAsia="Arial" w:hAnsi="Arial"/>
          <w:sz w:val="19"/>
          <w:szCs w:val="19"/>
          <w:color w:val="auto"/>
        </w:rPr>
      </w:pPr>
    </w:p>
    <w:p>
      <w:pPr>
        <w:ind w:left="-20" w:firstLine="656"/>
        <w:spacing w:after="0" w:line="273" w:lineRule="auto"/>
        <w:tabs>
          <w:tab w:leader="none" w:pos="133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Effects of Conversion</w:t>
      </w:r>
      <w:r>
        <w:rPr>
          <w:rFonts w:ascii="Arial" w:cs="Arial" w:eastAsia="Arial" w:hAnsi="Arial"/>
          <w:sz w:val="19"/>
          <w:szCs w:val="19"/>
          <w:color w:val="auto"/>
        </w:rPr>
        <w:t>. Immediately upon the Effective Time, the Conversion shall have the effects set forth in 18-216(h) of the Act and Section 265(f) of the DGCL, including, without limitation, all of the rights, privileges and powers of the Company, and all property, real, personal and mixed, and all debts due to the Company, as well as all other things and causes of action belonging to the Company, will remain vested in the Corporation and will be the property of the Corporation and the title to any real property vested by deed or otherwise in the Company will not revert or be in any way impaired by reason of the Act or the DGCL. Following the Conversion, all rights of creditors and all liens upon any property of the Company will be preserved unimpaired, and all debts, liabilities and duties of the Company will remain attached to the Corporation, and may be enforced against the Corporation to the same extent as if said debts, liabilities and duties had originally been incurred or contracted by the Corporation. The rights, privileges, powers and interests in property of the Company, as well as the debts, liabilities and duties of the Company, will not be deemed, as a consequence of the Conversion, to have been transferred to the Corporation for any purpose of the laws of the State of Delaware.</w:t>
      </w:r>
    </w:p>
    <w:p>
      <w:pPr>
        <w:spacing w:after="0" w:line="182" w:lineRule="exact"/>
        <w:rPr>
          <w:rFonts w:ascii="Arial" w:cs="Arial" w:eastAsia="Arial" w:hAnsi="Arial"/>
          <w:sz w:val="19"/>
          <w:szCs w:val="19"/>
          <w:color w:val="auto"/>
        </w:rPr>
      </w:pPr>
    </w:p>
    <w:p>
      <w:pPr>
        <w:ind w:left="-20" w:right="140" w:firstLine="656"/>
        <w:spacing w:after="0" w:line="277" w:lineRule="auto"/>
        <w:tabs>
          <w:tab w:leader="none" w:pos="133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If at any time the Corporation, or its successors or assigns, shall consider or be advised that any further assignments or assurances in law or any other acts are necessary or desirable to carry out the purposes of this Plan of Conversion, the Company and its directors and authorized officers shall be deemed to have granted to the Corporation an irrevocable power of attorney to execute and deliver all such proper deeds, assignments and assurances in law and to do all acts necessary or proper to vest, perfect or confirm title to and possession of such rights, properties or assets in the Corporation and otherwise to carry out the purposes of this Plan of Conversion, and the directors and authorized officers of the Corporation are fully authorized in the name of the Company or otherwise to take any and all such action.</w:t>
      </w:r>
    </w:p>
    <w:p>
      <w:pPr>
        <w:spacing w:after="0" w:line="178" w:lineRule="exact"/>
        <w:rPr>
          <w:rFonts w:ascii="Arial" w:cs="Arial" w:eastAsia="Arial" w:hAnsi="Arial"/>
          <w:sz w:val="19"/>
          <w:szCs w:val="19"/>
          <w:color w:val="auto"/>
        </w:rPr>
      </w:pPr>
    </w:p>
    <w:p>
      <w:pPr>
        <w:ind w:left="-20" w:right="340" w:firstLine="656"/>
        <w:spacing w:after="0" w:line="297" w:lineRule="auto"/>
        <w:tabs>
          <w:tab w:leader="none" w:pos="133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Plan of Conversion shall be governed by and construed under the laws of the State of Delaware, without giving effect to any choice of law or conflict of law provisions or rule (whether of the State of Delaware or any other jurisdiction) that would cause the application of the laws of any other jurisdictions other than the State of Delaware.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89" w:name="page90"/>
    <w:bookmarkEnd w:id="89"/>
    <w:p>
      <w:pPr>
        <w:ind w:left="-540" w:firstLine="656"/>
        <w:spacing w:after="0" w:line="251" w:lineRule="auto"/>
        <w:tabs>
          <w:tab w:leader="none" w:pos="81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This Plan of Conversion may be amended or terminated at any time before the Effective Time by action of the Board.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860" w:top="118" w:right="87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Certificate of Conversion</w:t>
      </w:r>
    </w:p>
    <w:p>
      <w:pPr>
        <w:spacing w:after="0" w:line="27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Certificate of Incorporation</w:t>
      </w:r>
    </w:p>
    <w:p>
      <w:pPr>
        <w:spacing w:after="0" w:line="27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C</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By-Laws</w:t>
      </w:r>
    </w:p>
    <w:p>
      <w:pPr>
        <w:spacing w:after="0" w:line="23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384175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CONVERSION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LLC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Sections 103 and 265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Corporation law of the State of Delaware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3, 2020</w:t>
      </w:r>
    </w:p>
    <w:p>
      <w:pPr>
        <w:spacing w:after="0" w:line="227" w:lineRule="exact"/>
        <w:rPr>
          <w:sz w:val="20"/>
          <w:szCs w:val="20"/>
          <w:color w:val="auto"/>
        </w:rPr>
      </w:pPr>
    </w:p>
    <w:p>
      <w:pPr>
        <w:ind w:left="1360" w:hanging="704"/>
        <w:spacing w:after="0"/>
        <w:tabs>
          <w:tab w:leader="none" w:pos="13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date on which the limited liability company was first formed was the 6</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August, 2018.</w:t>
      </w:r>
    </w:p>
    <w:p>
      <w:pPr>
        <w:spacing w:after="0" w:line="89" w:lineRule="exact"/>
        <w:rPr>
          <w:rFonts w:ascii="Arial" w:cs="Arial" w:eastAsia="Arial" w:hAnsi="Arial"/>
          <w:sz w:val="22"/>
          <w:szCs w:val="22"/>
          <w:color w:val="auto"/>
        </w:rPr>
      </w:pPr>
    </w:p>
    <w:p>
      <w:pPr>
        <w:ind w:right="60" w:firstLine="656"/>
        <w:spacing w:after="0" w:line="250" w:lineRule="auto"/>
        <w:tabs>
          <w:tab w:leader="none" w:pos="134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name of the limited liability company immediately prior to the filing of this Certificate of Conversion is New Fortress Energy LLC.</w:t>
      </w:r>
    </w:p>
    <w:p>
      <w:pPr>
        <w:spacing w:after="0" w:line="201" w:lineRule="exact"/>
        <w:rPr>
          <w:rFonts w:ascii="Arial" w:cs="Arial" w:eastAsia="Arial" w:hAnsi="Arial"/>
          <w:sz w:val="22"/>
          <w:szCs w:val="22"/>
          <w:color w:val="auto"/>
        </w:rPr>
      </w:pPr>
    </w:p>
    <w:p>
      <w:pPr>
        <w:ind w:right="740" w:firstLine="656"/>
        <w:spacing w:after="0" w:line="250" w:lineRule="auto"/>
        <w:tabs>
          <w:tab w:leader="none" w:pos="134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name of the corporation into which the limited liability company shall be converted, as set forth in its Certificate of Incorporation, is New Fortress Energy Inc.</w:t>
      </w:r>
    </w:p>
    <w:p>
      <w:pPr>
        <w:spacing w:after="0" w:line="201" w:lineRule="exact"/>
        <w:rPr>
          <w:rFonts w:ascii="Arial" w:cs="Arial" w:eastAsia="Arial" w:hAnsi="Arial"/>
          <w:sz w:val="22"/>
          <w:szCs w:val="22"/>
          <w:color w:val="auto"/>
        </w:rPr>
      </w:pPr>
    </w:p>
    <w:p>
      <w:pPr>
        <w:ind w:left="1360" w:hanging="704"/>
        <w:spacing w:after="0"/>
        <w:tabs>
          <w:tab w:leader="none" w:pos="13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limited liability company is a limited liability company formed under the laws of the State of Delaware.</w:t>
      </w:r>
    </w:p>
    <w:p>
      <w:pPr>
        <w:spacing w:after="0" w:line="244" w:lineRule="exact"/>
        <w:rPr>
          <w:rFonts w:ascii="Arial" w:cs="Arial" w:eastAsia="Arial" w:hAnsi="Arial"/>
          <w:sz w:val="21"/>
          <w:szCs w:val="21"/>
          <w:color w:val="auto"/>
        </w:rPr>
      </w:pPr>
    </w:p>
    <w:p>
      <w:pPr>
        <w:ind w:left="1360" w:hanging="704"/>
        <w:spacing w:after="0"/>
        <w:tabs>
          <w:tab w:leader="none" w:pos="13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Certificate of Conversion shall be effective at 12:01 a.m. Eastern Time on August 7, 2020.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4" w:name="page95"/>
    <w:bookmarkEnd w:id="9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limited liability company has caused this Certificate of Conversion to be executed in its name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2802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Cameron D. MacDougall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INCORPORATION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FORTRESS ENERGY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3, 2020</w:t>
      </w:r>
    </w:p>
    <w:p>
      <w:pPr>
        <w:spacing w:after="0" w:line="24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is: New Fortress Energy Inc. (the “Corporation”). The Corporation’s business may be conducted in accordance with applicable law under any other name or names, as determined by the Board of Directors of the Corporation (the “Board of Directors”). The words “Inc.,” “corporation,” or similar words or letters shall be included in the Corporation’s name where necessary for the purpose of complying with the General Corporation Law of the State of Delaware as set forth in Title 8 of the Delaware Code (the “DGCL”). The Board of Directors may change the name of the Corporation at any time and from time to time in accordance with the DGCL and shall notify the Corporation’s stockholders of such change as required by the DGCL or other applicable law.</w:t>
      </w:r>
    </w:p>
    <w:p>
      <w:pPr>
        <w:spacing w:after="0" w:line="219" w:lineRule="exact"/>
        <w:rPr>
          <w:sz w:val="20"/>
          <w:szCs w:val="20"/>
          <w:color w:val="auto"/>
        </w:rPr>
      </w:pPr>
    </w:p>
    <w:p>
      <w:pPr>
        <w:ind w:right="140" w:firstLine="1296"/>
        <w:spacing w:after="0" w:line="255"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registered office of the Corporation in the State of Delaware shall be located at Corporation Trust Center, 1209 Orange Street, Wilmington, New Castle County, Delaware 19801, and the registered agent for service of process on the Corporation in the State of Delaware at such registered office shall be The Corporation Trust Company. The principal office of the Corporation shall be located at 111 W. 19th Street, 8th Floor, New York, New York 10011 or such other place as the Board of Directors may from time to time designate by notice to the stockholders. The Corporation may maintain offices at such other place or places within or outside the State of Delaware as the Board of Directors determines to be necessary or appropriate.</w:t>
      </w:r>
    </w:p>
    <w:p>
      <w:pPr>
        <w:spacing w:after="0" w:line="219" w:lineRule="exact"/>
        <w:rPr>
          <w:sz w:val="20"/>
          <w:szCs w:val="20"/>
          <w:color w:val="auto"/>
        </w:rPr>
      </w:pPr>
    </w:p>
    <w:p>
      <w:pPr>
        <w:ind w:right="80" w:firstLine="1296"/>
        <w:spacing w:after="0" w:line="273"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The purposes of the Corporation shall be to (a) promote, conduct or engage in, directly or indirectly, any lawful act or activity for which a corporation may be organized under the DGCL, (b) acquire, hold and dispose of interests in any corporation, partnership, joint venture, limited liability company or other entity, and, in connection therewith, to exercise all of the rights and powers conferred upon the Corporation with respect to its interests therein, and (c) conduct any and all activities related or incidental to the foregoing purposes. The Corporation shall be empowered to do any and all acts and things necessary and appropriate for the furtherance and accomplishment of the purposes described in this Article THIRD. The Corporation’s term shall be perpetual, unless and until it is dissolved in accordance with the provisions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6" w:name="page97"/>
    <w:bookmarkEnd w:id="96"/>
    <w:p>
      <w:pPr>
        <w:ind w:firstLine="1296"/>
        <w:spacing w:after="0" w:line="279"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The Corporation is authorized to issue up to 750 million Class A Shares, each having a par value of one cent ($0.01), 50 million Class B Shares, each having a par value of one cent ($0.01), and 200 million Preferred Shares, each having a par value of one cent ($0.01). All Shares issued pursuant to, and in accordance with the requirements of, this Article FOURTH shall be validly issued, fully paid and nonassessable Shares in the Corporation, except to the extent otherwise provided in the DGCL or this Certificate of Incorporation (including any Share Designation).</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The Corporation may issue Shares, and options, rights, warrants and appreciation rights relating to Shares, for any corporate purpose at any time and from time to time to such Persons for such consideration (which may be cash, property, services or any other lawful consideration) and on such terms and conditions as the Board of Directors or its delegees shall determine in accordance with the DGCL, all without the approval of any stockholders to the extent permitted by applicable law. Each Share shall have the rights and be governed by the provisions set forth in this Certificate of Incorporation (including any Share Designation). Except to the extent expressly provided in this Certificate of Incorporation (including any Share Designation), no Shares shall entitle any stockholder to any preemptive, preferential, or similar rights with respect to the issuance of Shares.</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As of the date of this Certificate of Incorporation, two classes of Shares have been designated: Class A Shares and Class B Shares. The Class A Shares and the Class B Shares shall entitle the Record Holders thereof to one vote per Share on any and all matters submitted for the consent or approval of stockholders generally. The Corporation and certain stockholders entered into the Shareholders Agreement, which sets forth certain agreements among them, including with respect to the selection of nominees for the Board of Directors, limitations on the transfer of the Class B Shares, and the registration of the Class A Shares issuable upon the redemption of the Class B Shares under the Securities Act.</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7" w:name="page98"/>
    <w:bookmarkEnd w:id="97"/>
    <w:p>
      <w:pPr>
        <w:ind w:right="80"/>
        <w:spacing w:after="0" w:line="269" w:lineRule="auto"/>
        <w:rPr>
          <w:sz w:val="20"/>
          <w:szCs w:val="20"/>
          <w:color w:val="auto"/>
        </w:rPr>
      </w:pPr>
      <w:r>
        <w:rPr>
          <w:rFonts w:ascii="Arial" w:cs="Arial" w:eastAsia="Arial" w:hAnsi="Arial"/>
          <w:sz w:val="19"/>
          <w:szCs w:val="19"/>
          <w:color w:val="auto"/>
        </w:rPr>
        <w:t>In addition to the Class A Shares and the Class B Shares outstanding on the date hereof, and without the consent or approval of any stockholders to the extent permitted by applicable law, additional Shares may be issued by the Corporation in one or more classes, with such designations, preferences, rights, powers and duties (which may be junior to, equivalent to, or senior or superior to, any existing classes of Shares), as shall be fixed by the Board of Directors and reflected in a written action or actions approved by the Board of Directors (each, a “Share Designation”), including (i) the right to share Corporation profits and losses or items thereof; (ii) the right to share in Corporation distributions, the dates distributions will be payable and whether distributions with respect to such series or class will be cumulative or non-cumulative; (iii) rights upon dissolution and liquidation of the Corporation; (iv) whether, and the terms and conditions upon which, the Corporation may redeem the Shares;</w:t>
      </w:r>
    </w:p>
    <w:p>
      <w:pPr>
        <w:spacing w:after="0" w:line="3" w:lineRule="exact"/>
        <w:rPr>
          <w:sz w:val="20"/>
          <w:szCs w:val="20"/>
          <w:color w:val="auto"/>
        </w:rPr>
      </w:pPr>
    </w:p>
    <w:p>
      <w:pPr>
        <w:ind w:firstLine="8"/>
        <w:spacing w:after="0" w:line="271" w:lineRule="auto"/>
        <w:tabs>
          <w:tab w:leader="none" w:pos="30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whether such Shares are issued with the privilege of conversion or exchange and, if so, the conversion or exchange price or prices or rate or rates, or any adjustments thereto, the date or dates on which, or the period or periods during which, the Shares will be convertible or exchangeable and all other terms and conditions upon which the conversion or exchange may be made; (vi) the terms and conditions upon which such Shares will be issued, evidenced by certificates and assigned or transferred; (vii) the terms and amounts of any sinking fund provided for the purchase or redemption of Shares of the class or series; (viii) whether there will be restrictions on the issuance of Shares of the same class or series or any other class or series; and (ix) the right, if any, of the holder of each such Share to vote on Corporation matters, including matters relating to the relative rights, preferences and privileges of such Shares. Unless otherwise provided in the applicable Share Designation, the Board of Directors may at any time increase or decrease the amount of Preferred Shares of any class or series then outstanding, but not (i) below the number of Preferred Shares of such class or series then outstanding or (ii) above the total number of authorized Preferred Shares (together with all other authorized Preferred Shares).</w:t>
      </w:r>
    </w:p>
    <w:p>
      <w:pPr>
        <w:spacing w:after="0" w:line="184"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To the extent permitted by the DGCL, the Board of Directors may, without the consent or approval of any stockholders, amend this Certificate of Incorporation and make any filings under the DGCL or otherwise to the extent the Board of Directors determines that it is necessary or desirable in order to reflect any Share Designation of Preferred Shares pursuant to this Article FOURTH.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ind w:firstLine="1296"/>
        <w:spacing w:after="0" w:line="267"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Subject to the prior rights and preferences, if any, applicable to Preferred Shares or any series thereof, the holders of Class A Shares shall be entitled to receive ratably in proportion to the number of Class A Shares held by them such dividends and distributions (payable in cash, stock or otherwise), if any, as may be declared thereon by the Board of Directors at any time and from time to time out of any funds of the Corporation legally available therefor. Dividends and other distributions shall not be declared or paid on the Class B Shares unless (i) the dividend consists of Class B Shares or of rights, options, warrants or other securities convertible or exercisable into or exchangeable for Class B Shares paid proportionally with respect to each outstanding Class B Share and (ii) a dividend consisting of Class A Shares or of rights, options, warrants or other securities convertible or exercisable into or exchangeable for Class A Shares on equivalent terms is simultaneously paid to the holders of Class A Shares. If dividends are declared on the Class A Shares or the Class B Shares that are payable in Common Shares, or securities convertible into, or exercisable or exchangeable for Common Shares, the dividends payable to the holders of Class A Shares shall be paid only in Class A Shares (or securities convertible into, or exercisable or exchangeable for Class A Shares), the dividends payable to the holders of Class B Shares shall be paid only in Class B Shares (or securities convertible into, or exercisable or exchangeable for Class B Shares), and such dividends shall be paid in the same number of Shares (or fraction thereof) on a per Share basis of the Class A Shares and Class B Shares, respectively (or securities convertible into, or exercisable or exchangeable for the same number of Shares (or fraction thereof) on a per Share basis of the Class A Shares and Class B Shares, respectively). In no event shall either Class A Shares or Class B Shares be split, divided, or combined unless the outstanding Shares of the other class shall be proportionately split, divided or combined. Each distribution in respect of a Class A Share shall be paid by the Corporation, directly or through the Transfer Agent or through any other Person or agent, only to the Record Holder of such Class A Share as of the Record Date set for such distribution. Such payment shall constitute full payment and satisfaction of the Corporation’s liability in respect of such payment, regardless of any claim of any Person who may have an interest in such payment by reason of an assignment or otherwise.</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The name and mailing address of the Sole Incorporator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Name</w:t>
            </w:r>
          </w:p>
        </w:tc>
        <w:tc>
          <w:tcPr>
            <w:tcW w:w="204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8"/>
        </w:trPr>
        <w:tc>
          <w:tcPr>
            <w:tcW w:w="5620" w:type="dxa"/>
            <w:vAlign w:val="bottom"/>
            <w:gridSpan w:val="3"/>
          </w:tcPr>
          <w:p>
            <w:pPr>
              <w:spacing w:after="0"/>
              <w:rPr>
                <w:sz w:val="20"/>
                <w:szCs w:val="20"/>
                <w:color w:val="auto"/>
              </w:rPr>
            </w:pPr>
            <w:r>
              <w:rPr>
                <w:rFonts w:ascii="Arial" w:cs="Arial" w:eastAsia="Arial" w:hAnsi="Arial"/>
                <w:sz w:val="18"/>
                <w:szCs w:val="18"/>
                <w:color w:val="auto"/>
              </w:rPr>
              <w:t>Cameron D. MacDougall</w:t>
            </w:r>
          </w:p>
        </w:tc>
        <w:tc>
          <w:tcPr>
            <w:tcW w:w="2040" w:type="dxa"/>
            <w:vAlign w:val="bottom"/>
            <w:gridSpan w:val="2"/>
          </w:tcPr>
          <w:p>
            <w:pPr>
              <w:spacing w:after="0"/>
              <w:rPr>
                <w:sz w:val="20"/>
                <w:szCs w:val="20"/>
                <w:color w:val="auto"/>
              </w:rPr>
            </w:pPr>
            <w:r>
              <w:rPr>
                <w:rFonts w:ascii="Arial" w:cs="Arial" w:eastAsia="Arial" w:hAnsi="Arial"/>
                <w:sz w:val="18"/>
                <w:szCs w:val="18"/>
                <w:color w:val="auto"/>
                <w:w w:val="86"/>
              </w:rPr>
              <w:t>111 W. 19</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Street, 8</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Floor</w:t>
            </w:r>
          </w:p>
        </w:tc>
      </w:tr>
      <w:tr>
        <w:trPr>
          <w:trHeight w:val="230"/>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New York, NY 10011</w:t>
            </w:r>
          </w:p>
        </w:tc>
      </w:tr>
    </w:tbl>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powers of the Sole Incorporator shall terminate upon the filing of this Certificate of Incorporation with the Secretary of State of the State of Delaware.</w:t>
      </w:r>
    </w:p>
    <w:p>
      <w:pPr>
        <w:spacing w:after="0" w:line="209"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90" w:lineRule="exact"/>
        <w:rPr>
          <w:sz w:val="20"/>
          <w:szCs w:val="20"/>
          <w:color w:val="auto"/>
        </w:rPr>
      </w:pPr>
    </w:p>
    <w:p>
      <w:pPr>
        <w:ind w:left="1440" w:hanging="784"/>
        <w:spacing w:after="0"/>
        <w:tabs>
          <w:tab w:leader="none" w:pos="1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business and affairs of the Corporation shall be managed by or under the direction of the Board of Directors.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9" w:name="page100"/>
    <w:bookmarkEnd w:id="99"/>
    <w:p>
      <w:pPr>
        <w:ind w:left="4" w:hanging="4"/>
        <w:spacing w:after="0" w:line="268" w:lineRule="auto"/>
        <w:tabs>
          <w:tab w:leader="none" w:pos="7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Board of Directors shall consist of not fewer than one nor more than fifteen members, the exact number of which shall initially be eight and thereafter the number of Directors which shall constitute the whole Board of Directors shall be determined from time to time by resolution adopted by a majority of the Board of Directors then in office, provided that, for so long as the Consenting Entities or their respective Affiliates shall have the right to designate nominees to the Board of Directors under the Shareholders Agreement, the number of Directors may not be increased without the consent of the Consenting Entities or their respective Affiliates, as applicable. The Directors shall be divided into three classes, designated Class I, Class II and Class III. Each class shall consist, as nearly as may be possible, of one-third of the total number of Directors constituting the whole Board of Directors. As of the date of this Certificate of Incorporation, the Class I Directors shall be John J. Mack, Katherine E. Wanner and Matthew Wilkinson, the Class II Directors shall be David J. Grain and C. William Griffin, and the Class III Directors shall be Desmond Iain Catterall, Wesley R. Edens and Randal A. Nardone. The mailing address for each of the Directors listed in the prior sentence is 111 W. 19th Street, 8th Floor, New York, New York 10011. As of the date of this Certificate of Incorporation, the Class I Directors shall have a term expiring at the 2023 annual meeting of stockholders, the Class II Directors shall have a term expiring at the 2021 annual meeting of stockholders, and the Class III Directors shall have a term expiring at the 2022 annual meeting of stockholders. Each Director shall hold office until his or her successor is elected or appointed and qualified, or until his or her earlier death, resignation or removal. At each succeeding annual meeting of Members beginning in 2021, successors to the class of Directors whose term expires at that annual meeting shall be elected for a three (3)-year term and until their successors are duly elected or appointed and qualified.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or from the death, resignation or removal from office of a Director or other cause shall hold office for a term that shall coincide with the remaining term of that class, but in no case will a decrease in the number of Directors shorten the term of any incumbent Director. Directors need not be stockholders. The Directors shall be elected at the annual meeting of stockholders, except as provided in clause (3) of this Article SEVENTH and each Director elected shall hold office until the third succeeding meeting next after such Director’s election and until such Director’s successor is duly elected and qualified, or until such Director’s death or until such Director resigns or is removed in the manner hereinafter provided. Directors shall be elected by a plurality of the votes of Outstanding Voting Shares present in person or represented by proxy and entitled to vote on the election of Directors at any annual or special meeting of stockholders. Any Director or the whole Board of Directors may be removed, with or without cause, at any time, by the affirmative vote of holders of a Share Majority, given at an annual meeting or at a special meeting of stockholders called for that purpose. The vacancy in the Board of Directors caused by any such removal shall be filled by the Board of Directors as provided in clause (3) of this Article SEVENTH.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18" w:right="399" w:bottom="1440" w:gutter="0" w:footer="0" w:header="0"/>
        </w:sectPr>
      </w:pPr>
    </w:p>
    <w:bookmarkStart w:id="100" w:name="page101"/>
    <w:bookmarkEnd w:id="100"/>
    <w:p>
      <w:pPr>
        <w:ind w:left="4" w:right="40" w:hanging="4"/>
        <w:spacing w:after="0" w:line="273" w:lineRule="auto"/>
        <w:tabs>
          <w:tab w:leader="none" w:pos="7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Unless otherwise required by law and subject to clause (2) of this Article SEVENTH and the Shareholders Agreement, any vacancy on the Board of Directors that results from newly created Directorships resulting from any increase in the authorized number of Directors may be filled by a majority of the Directors then in office, provided that a quorum is present, and any other vacancies may be filled by a majority of the Directors then in office, though less than a quorum, or by a sole remaining Director. Any Director of any class elected to fill a vacancy resulting from an increase in the number of Directors of such class shall hold office for a term that shall coincide with the remaining term of that class and until such Director’s successor is duly elected or appointed and qualified, or until his or her earlier death, resignation or removal. Any Director elected to fill a vacancy not resulting from an increase in the number of Directors shall have the same remaining term as that of such Director’s predecessor and until such Director’s successor is duly elected or appointed and qualified, or until his or her earlier death, resignation or removal. If there are no Directors in office, then an election of Directors may be held in the manner provided by the DGCL.</w:t>
      </w:r>
    </w:p>
    <w:p>
      <w:pPr>
        <w:spacing w:after="0" w:line="182" w:lineRule="exact"/>
        <w:rPr>
          <w:rFonts w:ascii="Arial" w:cs="Arial" w:eastAsia="Arial" w:hAnsi="Arial"/>
          <w:sz w:val="19"/>
          <w:szCs w:val="19"/>
          <w:color w:val="auto"/>
        </w:rPr>
      </w:pPr>
    </w:p>
    <w:p>
      <w:pPr>
        <w:ind w:left="4" w:hanging="4"/>
        <w:spacing w:after="0" w:line="277" w:lineRule="auto"/>
        <w:tabs>
          <w:tab w:leader="none" w:pos="7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Director shall be personally liable to the Corporation or any of its stockholders for monetary damages for breach of fiduciary duty as a Director, except to the extent such exemption from liability or limitation thereof is not permitted under the DGCL as the same exists or may hereafter be amended. If the DGCL is amended hereafter to authorize the further elimination or limitation of the liability of directors, then the liability of a Director of the Corporation shall be eliminated or limited to the fullest extent authorized by the DGCL, as so amended. Any repeal or modification of this Article SEVENTH shall not adversely affect any right or protection of a Director of the Corporation existing at the time of such repeal or modification with respect to acts or omissions occurring prior to such repeal or modification.</w:t>
      </w:r>
    </w:p>
    <w:p>
      <w:pPr>
        <w:spacing w:after="0" w:line="357"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01" w:name="page102"/>
    <w:bookmarkEnd w:id="101"/>
    <w:p>
      <w:pPr>
        <w:ind w:left="660" w:hanging="4"/>
        <w:spacing w:after="0" w:line="235" w:lineRule="auto"/>
        <w:tabs>
          <w:tab w:leader="none" w:pos="1452"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any By-Laws of the Corporation (the “</w:t>
      </w:r>
      <w:r>
        <w:rPr>
          <w:rFonts w:ascii="Arial" w:cs="Arial" w:eastAsia="Arial" w:hAnsi="Arial"/>
          <w:sz w:val="22"/>
          <w:szCs w:val="22"/>
          <w:u w:val="single" w:color="auto"/>
          <w:color w:val="auto"/>
        </w:rPr>
        <w:t>By-Laws</w:t>
      </w:r>
      <w:r>
        <w:rPr>
          <w:rFonts w:ascii="Arial" w:cs="Arial" w:eastAsia="Arial" w:hAnsi="Arial"/>
          <w:sz w:val="22"/>
          <w:szCs w:val="22"/>
          <w:color w:val="auto"/>
        </w:rPr>
        <w:t>”) adopted by the stockholders; provided, however, that no By-Laws hereafter adopted by the stockholders shall invalidate any prior act of the Directors which would have been valid if such By-Laws had not been adopted.</w:t>
      </w:r>
    </w:p>
    <w:p>
      <w:pPr>
        <w:spacing w:after="0" w:line="222"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211"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u w:val="single" w:color="auto"/>
          <w:color w:val="auto"/>
        </w:rPr>
        <w:t>NINTH</w:t>
      </w:r>
      <w:r>
        <w:rPr>
          <w:rFonts w:ascii="Arial" w:cs="Arial" w:eastAsia="Arial" w:hAnsi="Arial"/>
          <w:sz w:val="17"/>
          <w:szCs w:val="17"/>
          <w:color w:val="auto"/>
        </w:rPr>
        <w:t>: The Corporation shall indemnify any Indemnified Person who (1) is or was a director or officer of the Corporation or its predecessor, is or was serving at the request of the Corporation or its predecessor as an officer, director, member, manager, partner, fiduciary or trustee of another Person (including any Subsidiary) (provided that a Person shall not be an Indemnified Person by reason of providing, on a fee-for-services basis, trustee, fiduciary or custodial services), (2) is or was FEP, Fortress Investment Group LLC or their respective Affiliates, (3) is or was a Consenting Entity or their respective Affiliates or (4) is or was any Person the Board of Directors designates as an “Indemnified Person” for purposes of this Certificate of Incorporation, in each case of clauses (1), (2), (3) and (4), to the fullest extent authorized or permitted by applicable law, as now or hereafter in effect, and such right to indemnification shall continue as to a Person who has ceased to be an Indemnified Person and shall inure to the benefit of his or her heirs, executors and personal and legal representatives; provided, however, that, except for proceedings to enforce rights to indemnification, the Corporation shall not be obligated to indemnify any Indemnified Person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NINTH shall include the right to be paid by the Corporation the expenses incurred in defending or otherwise participating in any proceeding in advance of its final disposition upon receipt by the Corporation of an undertaking by or on behalf of the Indemnified Person receiving advancement to repay the amount advanced if it shall ultimately be determined that such Indemnified Person is not entitled to be indemnified by the Corporation under this Article NINTH.</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ind w:right="60"/>
        <w:spacing w:after="0"/>
        <w:rPr>
          <w:sz w:val="20"/>
          <w:szCs w:val="20"/>
          <w:color w:val="auto"/>
        </w:rPr>
      </w:pPr>
      <w:r>
        <w:rPr>
          <w:rFonts w:ascii="Arial" w:cs="Arial" w:eastAsia="Arial" w:hAnsi="Arial"/>
          <w:sz w:val="22"/>
          <w:szCs w:val="22"/>
          <w:color w:val="auto"/>
        </w:rPr>
        <w:t>The Corporation may, to the extent authorized from time to time by the Board of Directors, provide rights to indemnification and to the advancement of expenses to employees and agents of the Corporation similar to those conferred in this Article NINTH to Indemnified Persons.</w:t>
      </w:r>
    </w:p>
    <w:p>
      <w:pPr>
        <w:spacing w:after="0" w:line="214"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rights to indemnification and to the advancement of expenses conferred in this Article NINTH shall not be exclusive of any other right which any Person may have or hereafter acquire under this Certificate of Incorporation, the By-Laws, any statute, agreement, vote of stockholders or disinterested directors or otherwise.</w:t>
      </w:r>
    </w:p>
    <w:p>
      <w:pPr>
        <w:spacing w:after="0" w:line="213"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Any repeal or modification of this Article NINTH by the stockholders of the Corporation shall not adversely affect any rights to indemnification and to the advancement of expenses of an Indemnified Person existing at the time of such repeal or modification with respect to any acts or omissions occurring prior to such repeal or modification.</w:t>
      </w:r>
    </w:p>
    <w:p>
      <w:pPr>
        <w:spacing w:after="0" w:line="220"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u w:val="single" w:color="auto"/>
          <w:color w:val="auto"/>
        </w:rPr>
        <w:t>TENTH</w:t>
      </w:r>
      <w:r>
        <w:rPr>
          <w:rFonts w:ascii="Arial" w:cs="Arial" w:eastAsia="Arial" w:hAnsi="Arial"/>
          <w:sz w:val="16"/>
          <w:szCs w:val="16"/>
          <w:color w:val="auto"/>
        </w:rPr>
        <w:t>: The Corporation hereby renounces, to the fullest extent permitted by Section 122 (17) of the DGCL, any interest or expectancy of the Corporation in, or in being offered, an opportunity to participate in, any Business Opportunity. A “</w:t>
      </w:r>
      <w:r>
        <w:rPr>
          <w:rFonts w:ascii="Arial" w:cs="Arial" w:eastAsia="Arial" w:hAnsi="Arial"/>
          <w:sz w:val="16"/>
          <w:szCs w:val="16"/>
          <w:u w:val="single" w:color="auto"/>
          <w:color w:val="auto"/>
        </w:rPr>
        <w:t>Business Opportunity</w:t>
      </w:r>
      <w:r>
        <w:rPr>
          <w:rFonts w:ascii="Arial" w:cs="Arial" w:eastAsia="Arial" w:hAnsi="Arial"/>
          <w:sz w:val="16"/>
          <w:szCs w:val="16"/>
          <w:color w:val="auto"/>
        </w:rPr>
        <w:t>” is any matter, transaction or interest that is presented to, or acquired, created or developed by, or which otherwise comes into the possession of, any Director of the Corporation who is not an employee of the Corporation or any of its Subsidiaries (collectively, “</w:t>
      </w:r>
      <w:r>
        <w:rPr>
          <w:rFonts w:ascii="Arial" w:cs="Arial" w:eastAsia="Arial" w:hAnsi="Arial"/>
          <w:sz w:val="16"/>
          <w:szCs w:val="16"/>
          <w:u w:val="single" w:color="auto"/>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solely in such Covered Person’s capacity as a Director of the Corporation. To the fullest extent permitted by law, the Corporation hereby waives any claim against a Covered Person, and agrees to indemnify all Covered Persons against any claim, that is based on fiduciary duties, the corporate opportunity doctrine or any other legal theory which could limit any Covered Person from pursuing or engaging in any Business Opportunity. Directors shall have no obligation hereunder or as a result of any duty expressed or implied by law to present Business Opportunities to the Corporation that may become available to affiliates of such Director. None of any Group Member, any stockholder or any other Person shall have any rights by virtue of a Director’s duties as a director, this Certificate of Incorporation or any Group Member Agreement in any business ventures of any Director.</w:t>
      </w:r>
    </w:p>
    <w:p>
      <w:pPr>
        <w:spacing w:after="0" w:line="199"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u w:val="single" w:color="auto"/>
          <w:color w:val="auto"/>
        </w:rPr>
        <w:t>ELEVENTH</w:t>
      </w:r>
      <w:r>
        <w:rPr>
          <w:rFonts w:ascii="Arial" w:cs="Arial" w:eastAsia="Arial" w:hAnsi="Arial"/>
          <w:sz w:val="16"/>
          <w:szCs w:val="16"/>
          <w:color w:val="auto"/>
        </w:rPr>
        <w:t>: So long as the Consenting Entities or their Affiliates collectively directly or indirectly own at least 30% of the outstanding Shares, the Corporation shall not take and shall take all necessary action to cause its Subsidiaries not to take, directly or indirectly (whether by amendment, merger, consolidation, reorganization or otherwise) any of the following actions without the prior consent of each of the Consenting Entities (so long as such Consenting Entity or its Affiliates owns at least one Share), which consent may be withheld for any reason or no reason, in addition to the Board of Directors’ approval (or, as applicable, the approval of the requisite governing body of any Subsidiary of the Corporation or any requisite statutory vote):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3" w:name="page104"/>
    <w:bookmarkEnd w:id="103"/>
    <w:p>
      <w:pPr>
        <w:ind w:left="660" w:right="160" w:hanging="4"/>
        <w:spacing w:after="0" w:line="251" w:lineRule="auto"/>
        <w:tabs>
          <w:tab w:leader="none" w:pos="14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material change, through any acquisition, disposition of assets or otherwise, in the nature of the business or operations of the Corporation and its Subsidiaries as of February 4, 2019;</w:t>
      </w:r>
    </w:p>
    <w:p>
      <w:pPr>
        <w:spacing w:after="0" w:line="200" w:lineRule="exact"/>
        <w:rPr>
          <w:rFonts w:ascii="Arial" w:cs="Arial" w:eastAsia="Arial" w:hAnsi="Arial"/>
          <w:sz w:val="22"/>
          <w:szCs w:val="22"/>
          <w:color w:val="auto"/>
        </w:rPr>
      </w:pPr>
    </w:p>
    <w:p>
      <w:pPr>
        <w:ind w:left="1440" w:hanging="784"/>
        <w:spacing w:after="0"/>
        <w:tabs>
          <w:tab w:leader="none" w:pos="14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terminating Wesley Edens as the chief executive officer of the Corporation and hiring his successor;</w:t>
      </w:r>
    </w:p>
    <w:p>
      <w:pPr>
        <w:spacing w:after="0" w:line="233" w:lineRule="exact"/>
        <w:rPr>
          <w:rFonts w:ascii="Arial" w:cs="Arial" w:eastAsia="Arial" w:hAnsi="Arial"/>
          <w:sz w:val="22"/>
          <w:szCs w:val="22"/>
          <w:color w:val="auto"/>
        </w:rPr>
      </w:pPr>
    </w:p>
    <w:p>
      <w:pPr>
        <w:ind w:left="1500" w:hanging="844"/>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removing Wesley Edens as the Chairman of the Board (the “</w:t>
      </w:r>
      <w:r>
        <w:rPr>
          <w:rFonts w:ascii="Arial" w:cs="Arial" w:eastAsia="Arial" w:hAnsi="Arial"/>
          <w:sz w:val="22"/>
          <w:szCs w:val="22"/>
          <w:u w:val="single" w:color="auto"/>
          <w:color w:val="auto"/>
        </w:rPr>
        <w:t>Chairman of the Board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560" w:hanging="4"/>
        <w:spacing w:after="0"/>
        <w:tabs>
          <w:tab w:leader="none" w:pos="150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transaction that, if consummated, would constitute a Change of Control or entering into any definitive agreement or series of related agreements that govern any transaction or series of related transactions that, if consummated, would result in a Change of Control;</w:t>
      </w:r>
    </w:p>
    <w:p>
      <w:pPr>
        <w:spacing w:after="0" w:line="213" w:lineRule="exact"/>
        <w:rPr>
          <w:rFonts w:ascii="Arial" w:cs="Arial" w:eastAsia="Arial" w:hAnsi="Arial"/>
          <w:sz w:val="22"/>
          <w:szCs w:val="22"/>
          <w:color w:val="auto"/>
        </w:rPr>
      </w:pPr>
    </w:p>
    <w:p>
      <w:pPr>
        <w:ind w:left="660" w:right="300" w:hanging="4"/>
        <w:spacing w:after="0" w:line="250" w:lineRule="auto"/>
        <w:tabs>
          <w:tab w:leader="none" w:pos="14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increase or decrease in the size of the Board of Directors, committees of the Board of Directors and board and committees of subsidiaries of the Corporation;</w:t>
      </w:r>
    </w:p>
    <w:p>
      <w:pPr>
        <w:spacing w:after="0" w:line="201" w:lineRule="exact"/>
        <w:rPr>
          <w:rFonts w:ascii="Arial" w:cs="Arial" w:eastAsia="Arial" w:hAnsi="Arial"/>
          <w:sz w:val="22"/>
          <w:szCs w:val="22"/>
          <w:color w:val="auto"/>
        </w:rPr>
      </w:pPr>
    </w:p>
    <w:p>
      <w:pPr>
        <w:ind w:left="660" w:right="640" w:hanging="4"/>
        <w:spacing w:after="0" w:line="328" w:lineRule="auto"/>
        <w:tabs>
          <w:tab w:leader="none" w:pos="150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voluntary election by the Corporation or any Subsidiary of the Corporation to liquidate or dissolve or commence bankruptcy or insolvency proceedings or the adoption of a plan with respect to any of the foregoing;</w:t>
      </w:r>
    </w:p>
    <w:p>
      <w:pPr>
        <w:spacing w:after="0" w:line="131" w:lineRule="exact"/>
        <w:rPr>
          <w:rFonts w:ascii="Arial" w:cs="Arial" w:eastAsia="Arial" w:hAnsi="Arial"/>
          <w:sz w:val="19"/>
          <w:szCs w:val="19"/>
          <w:color w:val="auto"/>
        </w:rPr>
      </w:pPr>
    </w:p>
    <w:p>
      <w:pPr>
        <w:ind w:left="1500" w:hanging="844"/>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amendment, modification or waiver of this Article ELEVENTH; and</w:t>
      </w:r>
    </w:p>
    <w:p>
      <w:pPr>
        <w:spacing w:after="0" w:line="233" w:lineRule="exact"/>
        <w:rPr>
          <w:rFonts w:ascii="Arial" w:cs="Arial" w:eastAsia="Arial" w:hAnsi="Arial"/>
          <w:sz w:val="22"/>
          <w:szCs w:val="22"/>
          <w:color w:val="auto"/>
        </w:rPr>
      </w:pPr>
    </w:p>
    <w:p>
      <w:pPr>
        <w:ind w:left="660" w:hanging="4"/>
        <w:spacing w:after="0"/>
        <w:tabs>
          <w:tab w:leader="none" w:pos="150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amendment, modification or waiver of this Certificate of Incorporation, the By-Laws or any other governing documents of the Corporation following the date of this Certificate of Incorporation that materially and adversely affects any Consenting Entity or any of their Affiliates.</w:t>
      </w:r>
    </w:p>
    <w:p>
      <w:pPr>
        <w:spacing w:after="0" w:line="21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For the avoidance of doubt, the Consenting Entities may determine to grant or withhold consent to any of the foregoing in their sole and absolute discretion, and nothing in this Article ELEVENTH, or the exercise of the rights contemplated hereby (including any grant or withholding of consent, as the case may be), shall be deemed to create or otherwise result in any duty, obligation or liability on the part of any Consenting Entity or any of their Affiliates, express or implied, in equity or otherwise.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right="60" w:firstLine="1296"/>
        <w:spacing w:after="0" w:line="275" w:lineRule="auto"/>
        <w:rPr>
          <w:sz w:val="20"/>
          <w:szCs w:val="20"/>
          <w:color w:val="auto"/>
        </w:rPr>
      </w:pPr>
      <w:r>
        <w:rPr>
          <w:rFonts w:ascii="Arial" w:cs="Arial" w:eastAsia="Arial" w:hAnsi="Arial"/>
          <w:sz w:val="17"/>
          <w:szCs w:val="17"/>
          <w:u w:val="single" w:color="auto"/>
          <w:color w:val="auto"/>
        </w:rPr>
        <w:t>TWELFTH</w:t>
      </w:r>
      <w:r>
        <w:rPr>
          <w:rFonts w:ascii="Arial" w:cs="Arial" w:eastAsia="Arial" w:hAnsi="Arial"/>
          <w:sz w:val="17"/>
          <w:szCs w:val="17"/>
          <w:color w:val="auto"/>
        </w:rPr>
        <w:t>: Unless otherwise required by law,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No stockholders or group of stockholders, acting in its or their capacity as stockholders, shall have the right to call a special meeting of the stockholders, except that if any Consenting Entities or their Affiliates collectively own Outstanding Voting Shares that represent a Share Majority, such Consenting Entities may call a special meeting of the stockholders.</w:t>
      </w:r>
    </w:p>
    <w:p>
      <w:pPr>
        <w:spacing w:after="0" w:line="203"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u w:val="single" w:color="auto"/>
          <w:color w:val="auto"/>
        </w:rPr>
        <w:t>THIRTEENTH</w:t>
      </w:r>
      <w:r>
        <w:rPr>
          <w:rFonts w:ascii="Arial" w:cs="Arial" w:eastAsia="Arial" w:hAnsi="Arial"/>
          <w:sz w:val="16"/>
          <w:szCs w:val="16"/>
          <w:color w:val="auto"/>
        </w:rPr>
        <w:t>: Notwithstanding anything to the contrary in Article V of the By-Laws, no Class B Shares may be transferred unless a corresponding number of units in New Fortress Intermediate are transferred therewith in accordance with this Certificate of Incorporation and the By-Laws.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FOURTEENTH</w:t>
      </w:r>
      <w:r>
        <w:rPr>
          <w:rFonts w:ascii="Arial" w:cs="Arial" w:eastAsia="Arial" w:hAnsi="Arial"/>
          <w:sz w:val="18"/>
          <w:szCs w:val="18"/>
          <w:color w:val="auto"/>
        </w:rPr>
        <w:t>:</w:t>
      </w:r>
    </w:p>
    <w:p>
      <w:pPr>
        <w:spacing w:after="0" w:line="245" w:lineRule="exact"/>
        <w:rPr>
          <w:sz w:val="20"/>
          <w:szCs w:val="20"/>
          <w:color w:val="auto"/>
        </w:rPr>
      </w:pPr>
    </w:p>
    <w:p>
      <w:pPr>
        <w:ind w:left="1440" w:hanging="784"/>
        <w:spacing w:after="0"/>
        <w:tabs>
          <w:tab w:leader="none" w:pos="14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Corporation hereby expressly elects not to be governed by Section 203 of the DGCL.</w:t>
      </w:r>
    </w:p>
    <w:p>
      <w:pPr>
        <w:spacing w:after="0" w:line="233" w:lineRule="exact"/>
        <w:rPr>
          <w:rFonts w:ascii="Arial" w:cs="Arial" w:eastAsia="Arial" w:hAnsi="Arial"/>
          <w:sz w:val="22"/>
          <w:szCs w:val="22"/>
          <w:color w:val="auto"/>
        </w:rPr>
      </w:pPr>
    </w:p>
    <w:p>
      <w:pPr>
        <w:ind w:left="660" w:hanging="4"/>
        <w:spacing w:after="0" w:line="272" w:lineRule="auto"/>
        <w:tabs>
          <w:tab w:leader="none" w:pos="1452"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Notwithstanding the foregoing, the Corporation shall not engage in any business combination with any interested stockholder for a period of three (3) years following the time that such stockholder became an interested stockholder, unless: (i) prior to such time, the Board of Directors approved either the business combination or the transaction which resulted in the stockholder becoming an interested stockholder; or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(x) by persons who are directors and also officers and (y)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ind w:left="784" w:hanging="784"/>
        <w:spacing w:after="0"/>
        <w:tabs>
          <w:tab w:leader="none" w:pos="78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restrictions contained in clause (2) of this Article FOURTEENTH shall not apply if:</w:t>
      </w:r>
    </w:p>
    <w:p>
      <w:pPr>
        <w:spacing w:after="0" w:line="233" w:lineRule="exact"/>
        <w:rPr>
          <w:rFonts w:ascii="Arial" w:cs="Arial" w:eastAsia="Arial" w:hAnsi="Arial"/>
          <w:sz w:val="22"/>
          <w:szCs w:val="22"/>
          <w:color w:val="auto"/>
        </w:rPr>
      </w:pPr>
    </w:p>
    <w:p>
      <w:pPr>
        <w:ind w:left="4" w:right="40" w:firstLine="644"/>
        <w:spacing w:after="0" w:line="297" w:lineRule="auto"/>
        <w:tabs>
          <w:tab w:leader="none" w:pos="946"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Corporation does not have a class of voting stock that is: (i) listed on a national securities exchange; or (ii) held of record by more than 2,000 stockholders, unless any of the foregoing results from action taken, directly or indirectly, by an interested stockholder or from a transaction in which a person becomes an interested stockholder; or</w:t>
      </w:r>
    </w:p>
    <w:p>
      <w:pPr>
        <w:spacing w:after="0" w:line="160" w:lineRule="exact"/>
        <w:rPr>
          <w:rFonts w:ascii="Arial" w:cs="Arial" w:eastAsia="Arial" w:hAnsi="Arial"/>
          <w:sz w:val="19"/>
          <w:szCs w:val="19"/>
          <w:color w:val="auto"/>
        </w:rPr>
      </w:pPr>
    </w:p>
    <w:p>
      <w:pPr>
        <w:jc w:val="both"/>
        <w:ind w:left="4" w:right="240" w:firstLine="644"/>
        <w:spacing w:after="0" w:line="287" w:lineRule="auto"/>
        <w:tabs>
          <w:tab w:leader="none" w:pos="958" w:val="left"/>
        </w:tabs>
        <w:numPr>
          <w:ilvl w:val="1"/>
          <w:numId w:val="64"/>
        </w:numPr>
        <w:rPr>
          <w:rFonts w:ascii="Arial" w:cs="Arial" w:eastAsia="Arial" w:hAnsi="Arial"/>
          <w:sz w:val="19"/>
          <w:szCs w:val="19"/>
          <w:color w:val="auto"/>
        </w:rPr>
      </w:pPr>
      <w:r>
        <w:rPr>
          <w:rFonts w:ascii="Arial" w:cs="Arial" w:eastAsia="Arial" w:hAnsi="Arial"/>
          <w:sz w:val="19"/>
          <w:szCs w:val="19"/>
          <w:color w:val="auto"/>
        </w:rPr>
        <w:t>a stockholder becomes an interested stockholder inadvertently and (i) as soon as practicable divests itself of ownership of sufficient shares so that the stockholder ceases to be an interested stockholder; and (ii) would not, at any time within the three (3) year period immediately prior to a business combination between the Corporation and such stockholder, have been an interested stockholder but for the inadvertent acquisition of ownership.</w:t>
      </w:r>
    </w:p>
    <w:p>
      <w:pPr>
        <w:spacing w:after="0" w:line="169" w:lineRule="exact"/>
        <w:rPr>
          <w:rFonts w:ascii="Arial" w:cs="Arial" w:eastAsia="Arial" w:hAnsi="Arial"/>
          <w:sz w:val="19"/>
          <w:szCs w:val="19"/>
          <w:color w:val="auto"/>
        </w:rPr>
      </w:pPr>
    </w:p>
    <w:p>
      <w:pPr>
        <w:ind w:left="784" w:hanging="784"/>
        <w:spacing w:after="0"/>
        <w:tabs>
          <w:tab w:leader="none" w:pos="784" w:val="left"/>
        </w:tabs>
        <w:numPr>
          <w:ilvl w:val="0"/>
          <w:numId w:val="64"/>
        </w:numPr>
        <w:rPr>
          <w:rFonts w:ascii="Arial" w:cs="Arial" w:eastAsia="Arial" w:hAnsi="Arial"/>
          <w:sz w:val="22"/>
          <w:szCs w:val="22"/>
          <w:color w:val="auto"/>
        </w:rPr>
      </w:pPr>
      <w:r>
        <w:rPr>
          <w:rFonts w:ascii="Arial" w:cs="Arial" w:eastAsia="Arial" w:hAnsi="Arial"/>
          <w:sz w:val="22"/>
          <w:szCs w:val="22"/>
          <w:color w:val="auto"/>
        </w:rPr>
        <w:t>Solely for purposes of this Article FOURTEENTH, references to:</w:t>
      </w:r>
    </w:p>
    <w:p>
      <w:pPr>
        <w:spacing w:after="0" w:line="233" w:lineRule="exact"/>
        <w:rPr>
          <w:sz w:val="20"/>
          <w:szCs w:val="20"/>
          <w:color w:val="auto"/>
        </w:rPr>
      </w:pPr>
    </w:p>
    <w:p>
      <w:pPr>
        <w:ind w:left="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w:t>
      </w:r>
      <w:r>
        <w:rPr>
          <w:rFonts w:ascii="Arial" w:cs="Arial" w:eastAsia="Arial" w:hAnsi="Arial"/>
          <w:sz w:val="19"/>
          <w:szCs w:val="19"/>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35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18" w:right="419" w:bottom="1440" w:gutter="0" w:footer="0" w:header="0"/>
        </w:sectPr>
      </w:pPr>
    </w:p>
    <w:bookmarkStart w:id="106" w:name="page107"/>
    <w:bookmarkEnd w:id="106"/>
    <w:p>
      <w:pPr>
        <w:ind w:left="4"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when used in reference to the Corporation and any interested stockholder of the Corporation,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clause (2) of this Article FOURTEENTH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 (iii)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w:t>
      </w:r>
    </w:p>
    <w:p>
      <w:pPr>
        <w:spacing w:after="0" w:line="17" w:lineRule="exact"/>
        <w:rPr>
          <w:sz w:val="20"/>
          <w:szCs w:val="20"/>
          <w:color w:val="auto"/>
        </w:rPr>
      </w:pPr>
    </w:p>
    <w:p>
      <w:pPr>
        <w:ind w:left="4" w:hanging="4"/>
        <w:spacing w:after="0" w:line="271" w:lineRule="auto"/>
        <w:tabs>
          <w:tab w:leader="none" w:pos="382"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(v) 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07" w:name="page108"/>
    <w:bookmarkEnd w:id="107"/>
    <w:p>
      <w:pPr>
        <w:ind w:right="28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 Transferee</w:t>
      </w:r>
      <w:r>
        <w:rPr>
          <w:rFonts w:ascii="Arial" w:cs="Arial" w:eastAsia="Arial" w:hAnsi="Arial"/>
          <w:sz w:val="21"/>
          <w:szCs w:val="21"/>
          <w:color w:val="auto"/>
        </w:rPr>
        <w:t>” means any person that acquires (other than in a registered public offering) directly from the Consenting Entities or SMRS Holdings or any of their respective Affiliates, associates or successors or any “group”, or any member of any such group, of which such persons are a party under Rule 13d-5 of the Exchange Act beneficial ownership of 15% or more of the then outstanding voting stock of the Corporation.</w:t>
      </w:r>
    </w:p>
    <w:p>
      <w:pPr>
        <w:spacing w:after="0" w:line="201"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Indirect Transferee</w:t>
      </w:r>
      <w:r>
        <w:rPr>
          <w:rFonts w:ascii="Arial" w:cs="Arial" w:eastAsia="Arial" w:hAnsi="Arial"/>
          <w:sz w:val="22"/>
          <w:szCs w:val="22"/>
          <w:color w:val="auto"/>
        </w:rPr>
        <w:t>” means any person that acquires (other than in a registered public offering) directly from any Direct Transferee or any other Indirect Transferee beneficial ownership of 15% or more of the then outstanding voting stock of the Corporation.</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interested stockholder</w:t>
      </w:r>
      <w:r>
        <w:rPr>
          <w:rFonts w:ascii="Arial" w:cs="Arial" w:eastAsia="Arial" w:hAnsi="Arial"/>
          <w:sz w:val="19"/>
          <w:szCs w:val="19"/>
          <w:color w:val="auto"/>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the Consenting Entities, SMRS Holdings, any Direct Transferee, any Indirect Transferee or any of their respective Affiliates, associates,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solely with respect to clause (b) and not with respect to clause (a),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108" w:name="page109"/>
    <w:bookmarkEnd w:id="108"/>
    <w:p>
      <w:pPr>
        <w:ind w:left="4" w:right="1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w:t>
      </w:r>
      <w:r>
        <w:rPr>
          <w:rFonts w:ascii="Arial" w:cs="Arial" w:eastAsia="Arial" w:hAnsi="Arial"/>
          <w:sz w:val="19"/>
          <w:szCs w:val="19"/>
          <w:color w:val="auto"/>
        </w:rPr>
        <w:t xml:space="preserve"> ,” including the terms “own” and “owned,” when used with respect to any stock, means a person that individually or with or through any of its Affiliates or associates: (i) beneficially owns such stock, directly or indirectly; or (ii)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 (iii) 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unincorporated association or other entity.</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SMRS Holdings</w:t>
      </w:r>
      <w:r>
        <w:rPr>
          <w:rFonts w:ascii="Arial" w:cs="Arial" w:eastAsia="Arial" w:hAnsi="Arial"/>
          <w:sz w:val="22"/>
          <w:szCs w:val="22"/>
          <w:color w:val="auto"/>
        </w:rPr>
        <w:t>” means NFE SMRS Holdings LLC.</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w:t>
      </w:r>
      <w:r>
        <w:rPr>
          <w:rFonts w:ascii="Arial" w:cs="Arial" w:eastAsia="Arial" w:hAnsi="Arial"/>
          <w:sz w:val="19"/>
          <w:szCs w:val="19"/>
          <w:color w:val="auto"/>
        </w:rPr>
        <w:t>” means, with respect to any corporation, capital stock and, with respect to any other entity, any equity interest.</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means stock of any class or series entitled to vote generally in the election of directors.</w:t>
      </w:r>
    </w:p>
    <w:p>
      <w:pPr>
        <w:spacing w:after="0" w:line="240"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FIFTEENTH</w:t>
      </w:r>
      <w:r>
        <w:rPr>
          <w:rFonts w:ascii="Arial" w:cs="Arial" w:eastAsia="Arial" w:hAnsi="Arial"/>
          <w:sz w:val="18"/>
          <w:szCs w:val="18"/>
          <w:color w:val="auto"/>
        </w:rPr>
        <w:t>:</w:t>
      </w:r>
    </w:p>
    <w:p>
      <w:pPr>
        <w:spacing w:after="0" w:line="245" w:lineRule="exact"/>
        <w:rPr>
          <w:sz w:val="20"/>
          <w:szCs w:val="20"/>
          <w:color w:val="auto"/>
        </w:rPr>
      </w:pPr>
    </w:p>
    <w:p>
      <w:pPr>
        <w:ind w:left="4" w:hanging="4"/>
        <w:spacing w:after="0" w:line="271" w:lineRule="auto"/>
        <w:tabs>
          <w:tab w:leader="none" w:pos="7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Except as provided in clauses (2) and (3) of this Article FIFTEENTH, the Board of Directors may amend any of the terms of this Certificate of Incorporation or the By-Laws but only in compliance with the terms, conditions and procedures set forth in this clause (1). If the Board of Directors desires to amend any provision of this Certificate of Incorporation or the By-Laws other than, with respect to the By-Laws, pursuant to Section 3 of Article X of the By-Laws, then it shall first adopt a resolution setting forth the amendment proposed, declaring its advisability, and then, to the extent required by the DGCL, (i) call a special meeting of the stockholders entitled to vote in respect thereof for the consideration of such amendment, (ii) direct that the amendment proposed be considered at the next annual meeting of the stockholders or (iii) seek the written consent of the stockholders. Amendments to this Certificate of Incorporation may be proposed only by or with the consent of the Board of Directors. Such special or annual meeting shall be called and held upon notice in accordance with the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this Certificate of Incorporation, the By-Laws, applicable law or the rules and regulations of any securities exchange or quotation system on which the Corporation’s securities are listed or quoted for trading.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09" w:name="page110"/>
    <w:bookmarkEnd w:id="109"/>
    <w:p>
      <w:pPr>
        <w:ind w:left="4" w:right="80" w:hanging="4"/>
        <w:spacing w:after="0" w:line="238" w:lineRule="auto"/>
        <w:tabs>
          <w:tab w:leader="none" w:pos="796"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Notwithstanding clause (1) of this Article FIFTEENTH, the affirmative vote of the holders of Outstanding Voting Shares representing at least two-thirds of the total votes that may be cast by all Outstanding Voting Shares in the election of Directors, voting together as a single class, shall be required to alter or amend any provision of this clause (2) or clause (3)(b) of this Article FIFTEENTH.</w:t>
      </w:r>
    </w:p>
    <w:p>
      <w:pPr>
        <w:spacing w:after="0" w:line="212" w:lineRule="exact"/>
        <w:rPr>
          <w:rFonts w:ascii="Arial" w:cs="Arial" w:eastAsia="Arial" w:hAnsi="Arial"/>
          <w:sz w:val="22"/>
          <w:szCs w:val="22"/>
          <w:color w:val="auto"/>
        </w:rPr>
      </w:pPr>
    </w:p>
    <w:p>
      <w:pPr>
        <w:ind w:left="4" w:hanging="4"/>
        <w:spacing w:after="0" w:line="282" w:lineRule="auto"/>
        <w:tabs>
          <w:tab w:leader="none" w:pos="796" w:val="left"/>
        </w:tabs>
        <w:numPr>
          <w:ilvl w:val="0"/>
          <w:numId w:val="67"/>
        </w:numPr>
        <w:rPr>
          <w:rFonts w:ascii="Arial" w:cs="Arial" w:eastAsia="Arial" w:hAnsi="Arial"/>
          <w:sz w:val="19"/>
          <w:szCs w:val="19"/>
          <w:color w:val="auto"/>
        </w:rPr>
      </w:pPr>
      <w:r>
        <w:rPr>
          <w:rFonts w:ascii="Arial" w:cs="Arial" w:eastAsia="Arial" w:hAnsi="Arial"/>
          <w:sz w:val="19"/>
          <w:szCs w:val="19"/>
          <w:color w:val="auto"/>
        </w:rPr>
        <w:t>(a) Notwithstanding the provisions of clause (1) of this Article FIFTEENTH, no provision of this Certificate of Incorporation or the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of holders of Outstanding Voting Shares whose aggregate Outstanding Voting Shares constitute not less than the voting requirement sought to be reduced.</w:t>
      </w:r>
    </w:p>
    <w:p>
      <w:pPr>
        <w:spacing w:after="0" w:line="174" w:lineRule="exact"/>
        <w:rPr>
          <w:rFonts w:ascii="Arial" w:cs="Arial" w:eastAsia="Arial" w:hAnsi="Arial"/>
          <w:sz w:val="19"/>
          <w:szCs w:val="19"/>
          <w:color w:val="auto"/>
        </w:rPr>
      </w:pPr>
    </w:p>
    <w:p>
      <w:pPr>
        <w:ind w:left="4" w:right="20" w:firstLine="644"/>
        <w:spacing w:after="0" w:line="287" w:lineRule="auto"/>
        <w:tabs>
          <w:tab w:leader="none" w:pos="958"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Notwithstanding the provisions of clause (1) of this Article FIFTEENTH, but subject to the provisions of clause (2) of this Article FIFTEENTH, no amendment to this Certificate of Incorporation or the By-Laws may (i) enlarge the obligations of any stockholder without its consent, unless such shall occur as a result of an amendment approved pursuant to clause (3)(c) of this Article FIFTEENTH or (ii) change the term of the Corporation.</w:t>
      </w:r>
    </w:p>
    <w:p>
      <w:pPr>
        <w:spacing w:after="0" w:line="169" w:lineRule="exact"/>
        <w:rPr>
          <w:rFonts w:ascii="Arial" w:cs="Arial" w:eastAsia="Arial" w:hAnsi="Arial"/>
          <w:sz w:val="19"/>
          <w:szCs w:val="19"/>
          <w:color w:val="auto"/>
        </w:rPr>
      </w:pPr>
    </w:p>
    <w:p>
      <w:pPr>
        <w:ind w:left="4" w:right="160" w:firstLine="644"/>
        <w:spacing w:after="0" w:line="282" w:lineRule="auto"/>
        <w:tabs>
          <w:tab w:leader="none" w:pos="946" w:val="left"/>
        </w:tabs>
        <w:numPr>
          <w:ilvl w:val="1"/>
          <w:numId w:val="67"/>
        </w:numPr>
        <w:rPr>
          <w:rFonts w:ascii="Arial" w:cs="Arial" w:eastAsia="Arial" w:hAnsi="Arial"/>
          <w:sz w:val="19"/>
          <w:szCs w:val="19"/>
          <w:color w:val="auto"/>
        </w:rPr>
      </w:pPr>
      <w:r>
        <w:rPr>
          <w:rFonts w:ascii="Arial" w:cs="Arial" w:eastAsia="Arial" w:hAnsi="Arial"/>
          <w:sz w:val="19"/>
          <w:szCs w:val="19"/>
          <w:color w:val="auto"/>
        </w:rPr>
        <w:t>Without limitation of the Board of Directors’ authority to adopt amendments to this Certificate of Incorporation or the By-Laws without the approval of any stockholders as contemplated in clause (1) of this Article FIFTEENTH, and notwithstanding the provisions of clause (1) of this Article FIFTEENTH, any amendment that would have a material adverse effect on the rights or preferences of any class or series of Shares in relation to other classes or series of Shares must be approved by the holders of a majority of the Outstanding Shares of the class or series affected.</w:t>
      </w:r>
    </w:p>
    <w:p>
      <w:pPr>
        <w:spacing w:after="0" w:line="35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18" w:right="419" w:bottom="1440" w:gutter="0" w:footer="0" w:header="0"/>
        </w:sectPr>
      </w:pPr>
    </w:p>
    <w:bookmarkStart w:id="110" w:name="page111"/>
    <w:bookmarkEnd w:id="110"/>
    <w:p>
      <w:pPr>
        <w:ind w:left="660" w:firstLine="644"/>
        <w:spacing w:after="0" w:line="252" w:lineRule="auto"/>
        <w:tabs>
          <w:tab w:leader="none" w:pos="1614"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Notwithstanding the provisions of clause (1) of this Article FIFTEENTH, so long as the Consenting Entities or their Affiliates collectively directly or indirectly own at least 30% of the outstanding Shares, no amendment to Article ELEVENTH of this Certificate of Incorporation may be made without the prior consent of each of the Consenting Entities (so long as such Consenting Entity or its Affiliates owns at least one Share).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SIXTEENTH</w:t>
      </w:r>
      <w:r>
        <w:rPr>
          <w:rFonts w:ascii="Arial" w:cs="Arial" w:eastAsia="Arial" w:hAnsi="Arial"/>
          <w:sz w:val="18"/>
          <w:szCs w:val="18"/>
          <w:color w:val="auto"/>
        </w:rPr>
        <w:t>: For purposes of this Certificate of Incorporation:</w:t>
      </w:r>
    </w:p>
    <w:p>
      <w:pPr>
        <w:spacing w:after="0" w:line="24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 or indirect, of the power to direct or cause the direction of the management and policies of a Person, whether through ownership of voting securities, by contract or otherwise.</w:t>
      </w:r>
    </w:p>
    <w:p>
      <w:pPr>
        <w:spacing w:after="0" w:line="212"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Monday through Friday of each week, except that a legal holiday recognized as such by the government of the United States of America or the State of New York shall not be regarded as a Business Day.</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first to occur of the following events: (i) the sale of all or substantially all of the assets of the Corporation to any Person (or group of Persons acting in concert), other than to (x) the Consenting Entities or their Affiliates or</w:t>
      </w:r>
    </w:p>
    <w:p>
      <w:pPr>
        <w:spacing w:after="0" w:line="1" w:lineRule="exact"/>
        <w:rPr>
          <w:sz w:val="20"/>
          <w:szCs w:val="20"/>
          <w:color w:val="auto"/>
        </w:rPr>
      </w:pPr>
    </w:p>
    <w:p>
      <w:pPr>
        <w:ind w:right="40" w:firstLine="8"/>
        <w:spacing w:after="0" w:line="272" w:lineRule="auto"/>
        <w:tabs>
          <w:tab w:leader="none" w:pos="30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employee benefit plan (or trust forming a part thereof) maintained by the Corporation or its Affiliates or other Person of which a majority of its voting power or other equity securities is owned, directly or indirectly, by the Corporation (any Person described in the foregoing clauses (x) or (y), an “</w:t>
      </w:r>
      <w:r>
        <w:rPr>
          <w:rFonts w:ascii="Arial" w:cs="Arial" w:eastAsia="Arial" w:hAnsi="Arial"/>
          <w:sz w:val="19"/>
          <w:szCs w:val="19"/>
          <w:u w:val="single" w:color="auto"/>
          <w:color w:val="auto"/>
        </w:rPr>
        <w:t>Affiliated Person</w:t>
      </w:r>
      <w:r>
        <w:rPr>
          <w:rFonts w:ascii="Arial" w:cs="Arial" w:eastAsia="Arial" w:hAnsi="Arial"/>
          <w:sz w:val="19"/>
          <w:szCs w:val="19"/>
          <w:color w:val="auto"/>
        </w:rPr>
        <w:t>”); (ii) a sale of Shares by either (x) the Corporation or (y) the Consenting Entities or its Affiliates to a Person (or group of Persons acting in concert), or a merger, consolidation or similar transaction involving the Corporation, in any case, that results in more than 50% of the Shares of the Corporation (or any resulting company after a merger) being held by a Person (or group of Persons acting in concert) that does not include an Affiliated Person; or (iii) any event that results in the Consenting Entities and their respective Affiliates or such employee benefit plan ceasing to hold the ability to elect a majority of the members of the Board of Directors.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Share</w:t>
      </w:r>
      <w:r>
        <w:rPr>
          <w:rFonts w:ascii="Arial" w:cs="Arial" w:eastAsia="Arial" w:hAnsi="Arial"/>
          <w:sz w:val="22"/>
          <w:szCs w:val="22"/>
          <w:color w:val="auto"/>
        </w:rPr>
        <w:t>” means a Share in the Corporation designated as a “Class A Share.”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Share</w:t>
      </w:r>
      <w:r>
        <w:rPr>
          <w:rFonts w:ascii="Arial" w:cs="Arial" w:eastAsia="Arial" w:hAnsi="Arial"/>
          <w:sz w:val="22"/>
          <w:szCs w:val="22"/>
          <w:color w:val="auto"/>
        </w:rPr>
        <w:t>” means a Share in the Corporation designated as a “Class B Share.”</w:t>
      </w:r>
    </w:p>
    <w:p>
      <w:pPr>
        <w:spacing w:after="0" w:line="23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Shares</w:t>
      </w:r>
      <w:r>
        <w:rPr>
          <w:rFonts w:ascii="Arial" w:cs="Arial" w:eastAsia="Arial" w:hAnsi="Arial"/>
          <w:sz w:val="22"/>
          <w:szCs w:val="22"/>
          <w:color w:val="auto"/>
        </w:rPr>
        <w:t>” means any Shares that are not Preferred Shares, and for the avoidance of doubt includes Class A Shares and Class B Shares.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Corporation and each Subsidiary of the Corporation.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Consenting Entities</w:t>
      </w:r>
      <w:r>
        <w:rPr>
          <w:rFonts w:ascii="Arial" w:cs="Arial" w:eastAsia="Arial" w:hAnsi="Arial"/>
          <w:sz w:val="22"/>
          <w:szCs w:val="22"/>
          <w:color w:val="auto"/>
        </w:rPr>
        <w:t>” means NFE WE LLC and NFE RN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 of Directors of the Corporation.</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 and the rules and regulations promulgated thereunder.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FEP</w:t>
      </w:r>
      <w:r>
        <w:rPr>
          <w:rFonts w:ascii="Arial" w:cs="Arial" w:eastAsia="Arial" w:hAnsi="Arial"/>
          <w:sz w:val="22"/>
          <w:szCs w:val="22"/>
          <w:color w:val="auto"/>
        </w:rPr>
        <w:t>” means Fortress Equity Partners (A) LP.</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court, administrative agency, regulatory body, commission or other governmental authority, board, bureau or instrumentality, domestic or foreign and any subdivision thereof.</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Member</w:t>
      </w:r>
      <w:r>
        <w:rPr>
          <w:rFonts w:ascii="Arial" w:cs="Arial" w:eastAsia="Arial" w:hAnsi="Arial"/>
          <w:sz w:val="22"/>
          <w:szCs w:val="22"/>
          <w:color w:val="auto"/>
        </w:rPr>
        <w:t>” means a member of the Company Group.</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 Member Agreement</w:t>
      </w:r>
      <w:r>
        <w:rPr>
          <w:rFonts w:ascii="Arial" w:cs="Arial" w:eastAsia="Arial" w:hAnsi="Arial"/>
          <w:sz w:val="19"/>
          <w:szCs w:val="19"/>
          <w:color w:val="auto"/>
        </w:rPr>
        <w:t>” means the partnership agreement of any Group Member that is a limited or general partnership, the limited liability company agreement of any Group Member, other than the Corporation,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spacing w:after="0" w:line="177" w:lineRule="exact"/>
        <w:rPr>
          <w:sz w:val="20"/>
          <w:szCs w:val="20"/>
          <w:color w:val="auto"/>
        </w:rPr>
      </w:pPr>
    </w:p>
    <w:p>
      <w:pPr>
        <w:ind w:right="34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Person</w:t>
      </w:r>
      <w:r>
        <w:rPr>
          <w:rFonts w:ascii="Arial" w:cs="Arial" w:eastAsia="Arial" w:hAnsi="Arial"/>
          <w:sz w:val="19"/>
          <w:szCs w:val="19"/>
          <w:color w:val="auto"/>
        </w:rPr>
        <w:t>” 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provided, that a Person shall not be an Indemnified Person by reason of providing, on a fee-for-services basis, trustee, fiduciary or custodial services, (c) FEP and Fortress Investment Group LLC and their respective Affiliates, (d) the Consenting Entities and their respective Affiliates and (e) any Person the Board of Directors designates as an “Indemnified Person” for purposes of this Certificate of Incorporation.</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Fortress Holdings</w:t>
      </w:r>
      <w:r>
        <w:rPr>
          <w:rFonts w:ascii="Arial" w:cs="Arial" w:eastAsia="Arial" w:hAnsi="Arial"/>
          <w:sz w:val="22"/>
          <w:szCs w:val="22"/>
          <w:color w:val="auto"/>
        </w:rPr>
        <w:t>” means New Fortress Energy Holdings LLC, a Delaware limited liability company.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Fortress Intermediate</w:t>
      </w:r>
      <w:r>
        <w:rPr>
          <w:rFonts w:ascii="Arial" w:cs="Arial" w:eastAsia="Arial" w:hAnsi="Arial"/>
          <w:sz w:val="22"/>
          <w:szCs w:val="22"/>
          <w:color w:val="auto"/>
        </w:rPr>
        <w:t>” means New Fortress Intermediate LLC, a Delaware limited liability company.</w:t>
      </w:r>
    </w:p>
    <w:p>
      <w:pPr>
        <w:spacing w:after="0" w:line="233"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w:t>
      </w:r>
      <w:r>
        <w:rPr>
          <w:rFonts w:ascii="Arial" w:cs="Arial" w:eastAsia="Arial" w:hAnsi="Arial"/>
          <w:sz w:val="22"/>
          <w:szCs w:val="22"/>
          <w:color w:val="auto"/>
        </w:rPr>
        <w:t>” means, with respect to Shares, all Shares that are issued by the Corporation and reflected as outstanding on the Corporation’s books and records as of the date of determination.</w:t>
      </w:r>
    </w:p>
    <w:p>
      <w:pPr>
        <w:spacing w:after="0" w:line="202"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Shares</w:t>
      </w:r>
      <w:r>
        <w:rPr>
          <w:rFonts w:ascii="Arial" w:cs="Arial" w:eastAsia="Arial" w:hAnsi="Arial"/>
          <w:sz w:val="22"/>
          <w:szCs w:val="22"/>
          <w:color w:val="auto"/>
        </w:rPr>
        <w:t>” means a class of Shares that entitles the Record Holders thereof to a preference or priority over the Record Holders of any other class of Shares in (i) the right to share profits or losses or items thereof, (ii) the right to share in Corporation distributions, or (iii) rights upon dissolution or liquidation of the Corporation.</w:t>
      </w:r>
    </w:p>
    <w:p>
      <w:pPr>
        <w:spacing w:after="0" w:line="213"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 Date</w:t>
      </w:r>
      <w:r>
        <w:rPr>
          <w:rFonts w:ascii="Arial" w:cs="Arial" w:eastAsia="Arial" w:hAnsi="Arial"/>
          <w:sz w:val="19"/>
          <w:szCs w:val="19"/>
          <w:color w:val="auto"/>
        </w:rPr>
        <w:t>” means the date established by the Board of Directors for determining (a) the identity of the Record Holders entitled to notice of, or to vote at, any meeting of stockholders or entitled to exercise rights in respect of any lawful action of stockholders or (b) the identity of Record Holders entitled to receive any report or distribution or to participate in any offer.</w:t>
      </w:r>
    </w:p>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Holder</w:t>
      </w:r>
      <w:r>
        <w:rPr>
          <w:rFonts w:ascii="Arial" w:cs="Arial" w:eastAsia="Arial" w:hAnsi="Arial"/>
          <w:sz w:val="22"/>
          <w:szCs w:val="22"/>
          <w:color w:val="auto"/>
        </w:rPr>
        <w:t>” or “</w:t>
      </w:r>
      <w:r>
        <w:rPr>
          <w:rFonts w:ascii="Arial" w:cs="Arial" w:eastAsia="Arial" w:hAnsi="Arial"/>
          <w:sz w:val="22"/>
          <w:szCs w:val="22"/>
          <w:u w:val="single" w:color="auto"/>
          <w:color w:val="auto"/>
        </w:rPr>
        <w:t>holder</w:t>
      </w:r>
      <w:r>
        <w:rPr>
          <w:rFonts w:ascii="Arial" w:cs="Arial" w:eastAsia="Arial" w:hAnsi="Arial"/>
          <w:sz w:val="22"/>
          <w:szCs w:val="22"/>
          <w:color w:val="auto"/>
        </w:rPr>
        <w:t>”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supplemented or restated from time to time and any successor to such statute, and the rules and regulations promulgated thereunder.</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3" w:name="page114"/>
    <w:bookmarkEnd w:id="113"/>
    <w:p>
      <w:pPr>
        <w:ind w:right="1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issued by the Corporation that evidences a stockholder’s rights, powers and duties with respect to the Corporation pursuant to this Agreement and the DGCL. Shares may be Common Shares or Preferred Shares, and may be issued in different classes or series.</w:t>
      </w:r>
    </w:p>
    <w:p>
      <w:pPr>
        <w:spacing w:after="0" w:line="166"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Majority</w:t>
      </w:r>
      <w:r>
        <w:rPr>
          <w:rFonts w:ascii="Arial" w:cs="Arial" w:eastAsia="Arial" w:hAnsi="Arial"/>
          <w:sz w:val="22"/>
          <w:szCs w:val="22"/>
          <w:color w:val="auto"/>
        </w:rPr>
        <w:t>” means a majority of the total votes that may be cast in the election of Directors by holders of all Outstanding Voting Shares.</w:t>
      </w:r>
    </w:p>
    <w:p>
      <w:pPr>
        <w:spacing w:after="0" w:line="202"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Shareholders Agreement</w:t>
      </w:r>
      <w:r>
        <w:rPr>
          <w:rFonts w:ascii="Arial" w:cs="Arial" w:eastAsia="Arial" w:hAnsi="Arial"/>
          <w:sz w:val="22"/>
          <w:szCs w:val="22"/>
          <w:color w:val="auto"/>
        </w:rPr>
        <w:t>” means the Shareholders’ Agreement, dated as of February 4, 2019, by and among the Corporation, New Fortress Holdings, Wesley R. Edens and Randal A. Nardone, as it may be amended.</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as of any date of determination, any other Person as to which such Person owns or otherwise controls, directly or indirectly, more than 50% of the voting shares or other similar interests or a sole general partner interest or managing member or similar interest of such Person. For the avoidance of doubt, New Fortress Intermediate and its Subsidiaries shall be deemed to be Subsidiaries of the Corporation.</w:t>
      </w:r>
    </w:p>
    <w:p>
      <w:pPr>
        <w:spacing w:after="0" w:line="200" w:lineRule="exact"/>
        <w:rPr>
          <w:sz w:val="20"/>
          <w:szCs w:val="20"/>
          <w:color w:val="auto"/>
        </w:rPr>
      </w:pPr>
    </w:p>
    <w:p>
      <w:pPr>
        <w:spacing w:after="0" w:line="244"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spacing w:after="0" w:line="161"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xml:space="preserve">” 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no Transfer Agent is specifically designated for such class of Shares, the Corporation shall act in such capacity.</w:t>
      </w:r>
    </w:p>
    <w:p>
      <w:pPr>
        <w:spacing w:after="0" w:line="212"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Shares</w:t>
      </w:r>
      <w:r>
        <w:rPr>
          <w:rFonts w:ascii="Arial" w:cs="Arial" w:eastAsia="Arial" w:hAnsi="Arial"/>
          <w:sz w:val="22"/>
          <w:szCs w:val="22"/>
          <w:color w:val="auto"/>
        </w:rPr>
        <w:t>” means the Class A Shares, the Class B Shares and any other class of Shares issued after the date of this Certificate of Incorporation that entitles the Record Holder thereof to vote on any matter submitted for consent or approval of stockholders.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This Certificate of Incorporation shall become effective at 12:01 a.m. Eastern Time on August 7, 2020.</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rest of this page is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4" w:name="page115"/>
    <w:bookmarkEnd w:id="114"/>
    <w:p>
      <w:pPr>
        <w:ind w:firstLine="1296"/>
        <w:spacing w:after="0" w:line="258" w:lineRule="auto"/>
        <w:rPr>
          <w:sz w:val="20"/>
          <w:szCs w:val="20"/>
          <w:color w:val="auto"/>
        </w:rPr>
      </w:pPr>
      <w:r>
        <w:rPr>
          <w:rFonts w:ascii="Arial" w:cs="Arial" w:eastAsia="Arial" w:hAnsi="Arial"/>
          <w:sz w:val="21"/>
          <w:szCs w:val="21"/>
          <w:color w:val="auto"/>
        </w:rPr>
        <w:t>I, THE UNDERSIGNED, being the Sole Incorporator hereinbefore named, for the purpose of forming a corporation pursuant to the DGCL, do make this Certificate, hereby declaring and certifying that this is my act and deed and the facts herein stated are true, and accordingly have hereunto set my hand as of the date first written above.</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Cameron D. MacDougall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Sole Incorporator</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BYLAWS</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OF</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NEW FORTRESS ENERGY INC.</w:t>
      </w:r>
    </w:p>
    <w:p>
      <w:pPr>
        <w:spacing w:after="0" w:line="26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 Delaware Corporation</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Effective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81"/>
        </w:trPr>
        <w:tc>
          <w:tcPr>
            <w:tcW w:w="980" w:type="dxa"/>
            <w:vAlign w:val="bottom"/>
          </w:tcPr>
          <w:p>
            <w:pPr>
              <w:spacing w:after="0"/>
              <w:rPr>
                <w:sz w:val="24"/>
                <w:szCs w:val="24"/>
                <w:color w:val="auto"/>
              </w:rPr>
            </w:pPr>
          </w:p>
        </w:tc>
        <w:tc>
          <w:tcPr>
            <w:tcW w:w="7920" w:type="dxa"/>
            <w:vAlign w:val="bottom"/>
          </w:tcPr>
          <w:p>
            <w:pPr>
              <w:jc w:val="center"/>
              <w:ind w:left="1270"/>
              <w:spacing w:after="0"/>
              <w:rPr>
                <w:sz w:val="20"/>
                <w:szCs w:val="20"/>
                <w:color w:val="auto"/>
              </w:rPr>
            </w:pPr>
            <w:r>
              <w:rPr>
                <w:rFonts w:ascii="Arial" w:cs="Arial" w:eastAsia="Arial" w:hAnsi="Arial"/>
                <w:sz w:val="22"/>
                <w:szCs w:val="22"/>
                <w:b w:val="1"/>
                <w:bCs w:val="1"/>
                <w:color w:val="auto"/>
                <w:w w:val="97"/>
              </w:rPr>
              <w:t>TABLE OF CONTENTS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360" w:type="dxa"/>
            <w:vAlign w:val="bottom"/>
            <w:gridSpan w:val="3"/>
          </w:tcPr>
          <w:p>
            <w:pPr>
              <w:ind w:left="19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38"/>
        </w:trPr>
        <w:tc>
          <w:tcPr>
            <w:tcW w:w="980" w:type="dxa"/>
            <w:vAlign w:val="bottom"/>
          </w:tcPr>
          <w:p>
            <w:pPr>
              <w:spacing w:after="0"/>
              <w:rPr>
                <w:sz w:val="24"/>
                <w:szCs w:val="24"/>
                <w:color w:val="auto"/>
              </w:rPr>
            </w:pPr>
          </w:p>
        </w:tc>
        <w:tc>
          <w:tcPr>
            <w:tcW w:w="7920" w:type="dxa"/>
            <w:vAlign w:val="bottom"/>
          </w:tcPr>
          <w:p>
            <w:pPr>
              <w:jc w:val="center"/>
              <w:ind w:left="1290"/>
              <w:spacing w:after="0"/>
              <w:rPr>
                <w:sz w:val="20"/>
                <w:szCs w:val="20"/>
                <w:color w:val="auto"/>
              </w:rPr>
            </w:pPr>
            <w:r>
              <w:rPr>
                <w:rFonts w:ascii="Arial" w:cs="Arial" w:eastAsia="Arial" w:hAnsi="Arial"/>
                <w:sz w:val="18"/>
                <w:szCs w:val="18"/>
                <w:color w:val="auto"/>
                <w:w w:val="99"/>
              </w:rPr>
              <w:t>ARTICLE I</w:t>
            </w:r>
          </w:p>
        </w:tc>
        <w:tc>
          <w:tcPr>
            <w:tcW w:w="1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color w:val="auto"/>
                <w:w w:val="92"/>
              </w:rPr>
              <w:t>OFFICES</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Registered Office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92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920" w:type="dxa"/>
            <w:vAlign w:val="bottom"/>
          </w:tcPr>
          <w:p>
            <w:pPr>
              <w:jc w:val="center"/>
              <w:ind w:left="1270"/>
              <w:spacing w:after="0"/>
              <w:rPr>
                <w:sz w:val="20"/>
                <w:szCs w:val="20"/>
                <w:color w:val="auto"/>
              </w:rPr>
            </w:pPr>
            <w:r>
              <w:rPr>
                <w:rFonts w:ascii="Arial" w:cs="Arial" w:eastAsia="Arial" w:hAnsi="Arial"/>
                <w:sz w:val="18"/>
                <w:szCs w:val="18"/>
                <w:color w:val="auto"/>
              </w:rPr>
              <w:t>ARTICLE II</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92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4"/>
              </w:rPr>
              <w:t>MEETINGS OF STOCKHOLDERS</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Place of Meetings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920" w:type="dxa"/>
            <w:vAlign w:val="bottom"/>
          </w:tcPr>
          <w:p>
            <w:pPr>
              <w:ind w:left="160"/>
              <w:spacing w:after="0"/>
              <w:rPr>
                <w:sz w:val="20"/>
                <w:szCs w:val="20"/>
                <w:color w:val="auto"/>
              </w:rPr>
            </w:pPr>
            <w:r>
              <w:rPr>
                <w:rFonts w:ascii="Arial" w:cs="Arial" w:eastAsia="Arial" w:hAnsi="Arial"/>
                <w:sz w:val="18"/>
                <w:szCs w:val="18"/>
                <w:color w:val="auto"/>
              </w:rPr>
              <w:t>Annual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Special Meetings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7920" w:type="dxa"/>
            <w:vAlign w:val="bottom"/>
          </w:tcPr>
          <w:p>
            <w:pPr>
              <w:ind w:left="160"/>
              <w:spacing w:after="0"/>
              <w:rPr>
                <w:sz w:val="20"/>
                <w:szCs w:val="20"/>
                <w:color w:val="auto"/>
              </w:rPr>
            </w:pPr>
            <w:r>
              <w:rPr>
                <w:rFonts w:ascii="Arial" w:cs="Arial" w:eastAsia="Arial" w:hAnsi="Arial"/>
                <w:sz w:val="18"/>
                <w:szCs w:val="18"/>
                <w:color w:val="auto"/>
              </w:rPr>
              <w:t>Notice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Adjournments and Postponements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7920" w:type="dxa"/>
            <w:vAlign w:val="bottom"/>
          </w:tcPr>
          <w:p>
            <w:pPr>
              <w:ind w:left="160"/>
              <w:spacing w:after="0"/>
              <w:rPr>
                <w:sz w:val="20"/>
                <w:szCs w:val="20"/>
                <w:color w:val="auto"/>
              </w:rPr>
            </w:pPr>
            <w:r>
              <w:rPr>
                <w:rFonts w:ascii="Arial" w:cs="Arial" w:eastAsia="Arial" w:hAnsi="Arial"/>
                <w:sz w:val="18"/>
                <w:szCs w:val="18"/>
                <w:color w:val="auto"/>
              </w:rPr>
              <w:t>Quorum</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Voting and Other Rights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7920" w:type="dxa"/>
            <w:vAlign w:val="bottom"/>
          </w:tcPr>
          <w:p>
            <w:pPr>
              <w:ind w:left="160"/>
              <w:spacing w:after="0"/>
              <w:rPr>
                <w:sz w:val="20"/>
                <w:szCs w:val="20"/>
                <w:color w:val="auto"/>
              </w:rPr>
            </w:pPr>
            <w:r>
              <w:rPr>
                <w:rFonts w:ascii="Arial" w:cs="Arial" w:eastAsia="Arial" w:hAnsi="Arial"/>
                <w:sz w:val="18"/>
                <w:szCs w:val="18"/>
                <w:color w:val="auto"/>
              </w:rPr>
              <w:t>Proxies and Voting</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Consent of Stockholders in Lieu of Meeting</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7920" w:type="dxa"/>
            <w:vAlign w:val="bottom"/>
          </w:tcPr>
          <w:p>
            <w:pPr>
              <w:ind w:left="160"/>
              <w:spacing w:after="0"/>
              <w:rPr>
                <w:sz w:val="20"/>
                <w:szCs w:val="20"/>
                <w:color w:val="auto"/>
              </w:rPr>
            </w:pPr>
            <w:r>
              <w:rPr>
                <w:rFonts w:ascii="Arial" w:cs="Arial" w:eastAsia="Arial" w:hAnsi="Arial"/>
                <w:sz w:val="18"/>
                <w:szCs w:val="18"/>
                <w:color w:val="auto"/>
              </w:rPr>
              <w:t>List of Stockholders Entitled to Vote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Record Date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12.</w:t>
            </w:r>
          </w:p>
        </w:tc>
        <w:tc>
          <w:tcPr>
            <w:tcW w:w="7920" w:type="dxa"/>
            <w:vAlign w:val="bottom"/>
          </w:tcPr>
          <w:p>
            <w:pPr>
              <w:ind w:left="160"/>
              <w:spacing w:after="0"/>
              <w:rPr>
                <w:sz w:val="20"/>
                <w:szCs w:val="20"/>
                <w:color w:val="auto"/>
              </w:rPr>
            </w:pPr>
            <w:r>
              <w:rPr>
                <w:rFonts w:ascii="Arial" w:cs="Arial" w:eastAsia="Arial" w:hAnsi="Arial"/>
                <w:sz w:val="18"/>
                <w:szCs w:val="18"/>
                <w:color w:val="auto"/>
              </w:rPr>
              <w:t>Stock Ledger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Conduct of Meetings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14.</w:t>
            </w:r>
          </w:p>
        </w:tc>
        <w:tc>
          <w:tcPr>
            <w:tcW w:w="7920" w:type="dxa"/>
            <w:vAlign w:val="bottom"/>
          </w:tcPr>
          <w:p>
            <w:pPr>
              <w:ind w:left="160"/>
              <w:spacing w:after="0"/>
              <w:rPr>
                <w:sz w:val="20"/>
                <w:szCs w:val="20"/>
                <w:color w:val="auto"/>
              </w:rPr>
            </w:pPr>
            <w:r>
              <w:rPr>
                <w:rFonts w:ascii="Arial" w:cs="Arial" w:eastAsia="Arial" w:hAnsi="Arial"/>
                <w:sz w:val="18"/>
                <w:szCs w:val="18"/>
                <w:color w:val="auto"/>
              </w:rPr>
              <w:t>Inspectors of Election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15.</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Nomination of Directors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16.</w:t>
            </w:r>
          </w:p>
        </w:tc>
        <w:tc>
          <w:tcPr>
            <w:tcW w:w="7920" w:type="dxa"/>
            <w:vAlign w:val="bottom"/>
          </w:tcPr>
          <w:p>
            <w:pPr>
              <w:ind w:left="160"/>
              <w:spacing w:after="0"/>
              <w:rPr>
                <w:sz w:val="20"/>
                <w:szCs w:val="20"/>
                <w:color w:val="auto"/>
              </w:rPr>
            </w:pPr>
            <w:r>
              <w:rPr>
                <w:rFonts w:ascii="Arial" w:cs="Arial" w:eastAsia="Arial" w:hAnsi="Arial"/>
                <w:sz w:val="18"/>
                <w:szCs w:val="18"/>
                <w:color w:val="auto"/>
              </w:rPr>
              <w:t>Notice of Stockholder Business and Nominations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920" w:type="dxa"/>
            <w:vAlign w:val="bottom"/>
          </w:tcPr>
          <w:p>
            <w:pPr>
              <w:jc w:val="center"/>
              <w:ind w:left="1290"/>
              <w:spacing w:after="0"/>
              <w:rPr>
                <w:sz w:val="20"/>
                <w:szCs w:val="20"/>
                <w:color w:val="auto"/>
              </w:rPr>
            </w:pPr>
            <w:r>
              <w:rPr>
                <w:rFonts w:ascii="Arial" w:cs="Arial" w:eastAsia="Arial" w:hAnsi="Arial"/>
                <w:sz w:val="18"/>
                <w:szCs w:val="18"/>
                <w:color w:val="auto"/>
              </w:rPr>
              <w:t>ARTICLE III</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92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4"/>
              </w:rPr>
              <w:t>DIRECTORS</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Duties and Powers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920" w:type="dxa"/>
            <w:vAlign w:val="bottom"/>
          </w:tcPr>
          <w:p>
            <w:pPr>
              <w:ind w:left="160"/>
              <w:spacing w:after="0"/>
              <w:rPr>
                <w:sz w:val="20"/>
                <w:szCs w:val="20"/>
                <w:color w:val="auto"/>
              </w:rPr>
            </w:pPr>
            <w:r>
              <w:rPr>
                <w:rFonts w:ascii="Arial" w:cs="Arial" w:eastAsia="Arial" w:hAnsi="Arial"/>
                <w:sz w:val="18"/>
                <w:szCs w:val="18"/>
                <w:color w:val="auto"/>
              </w:rPr>
              <w:t>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Organization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7920" w:type="dxa"/>
            <w:vAlign w:val="bottom"/>
          </w:tcPr>
          <w:p>
            <w:pPr>
              <w:ind w:left="160"/>
              <w:spacing w:after="0"/>
              <w:rPr>
                <w:sz w:val="20"/>
                <w:szCs w:val="20"/>
                <w:color w:val="auto"/>
              </w:rPr>
            </w:pPr>
            <w:r>
              <w:rPr>
                <w:rFonts w:ascii="Arial" w:cs="Arial" w:eastAsia="Arial" w:hAnsi="Arial"/>
                <w:sz w:val="18"/>
                <w:szCs w:val="18"/>
                <w:color w:val="auto"/>
              </w:rPr>
              <w:t>Resignations and Removals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Quorum</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7920" w:type="dxa"/>
            <w:vAlign w:val="bottom"/>
          </w:tcPr>
          <w:p>
            <w:pPr>
              <w:ind w:left="160"/>
              <w:spacing w:after="0"/>
              <w:rPr>
                <w:sz w:val="20"/>
                <w:szCs w:val="20"/>
                <w:color w:val="auto"/>
              </w:rPr>
            </w:pPr>
            <w:r>
              <w:rPr>
                <w:rFonts w:ascii="Arial" w:cs="Arial" w:eastAsia="Arial" w:hAnsi="Arial"/>
                <w:sz w:val="18"/>
                <w:szCs w:val="18"/>
                <w:color w:val="auto"/>
              </w:rPr>
              <w:t>Actions of the Board by Written Consent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Meetings by Means of Conference Telephone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792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Remuneration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7920" w:type="dxa"/>
            <w:vAlign w:val="bottom"/>
          </w:tcPr>
          <w:p>
            <w:pPr>
              <w:ind w:left="160"/>
              <w:spacing w:after="0"/>
              <w:rPr>
                <w:sz w:val="20"/>
                <w:szCs w:val="20"/>
                <w:color w:val="auto"/>
              </w:rPr>
            </w:pPr>
            <w:r>
              <w:rPr>
                <w:rFonts w:ascii="Arial" w:cs="Arial" w:eastAsia="Arial" w:hAnsi="Arial"/>
                <w:sz w:val="18"/>
                <w:szCs w:val="18"/>
                <w:color w:val="auto"/>
              </w:rPr>
              <w:t>Interested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Fortress Intermediate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 w:type="dxa"/>
            <w:vAlign w:val="bottom"/>
            <w:shd w:val="clear" w:color="auto" w:fill="CCEEFF"/>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7840" w:type="dxa"/>
            <w:vAlign w:val="bottom"/>
          </w:tcPr>
          <w:p>
            <w:pPr>
              <w:ind w:left="160"/>
              <w:spacing w:after="0"/>
              <w:rPr>
                <w:sz w:val="20"/>
                <w:szCs w:val="20"/>
                <w:color w:val="auto"/>
              </w:rPr>
            </w:pPr>
            <w:r>
              <w:rPr>
                <w:rFonts w:ascii="Arial" w:cs="Arial" w:eastAsia="Arial" w:hAnsi="Arial"/>
                <w:sz w:val="18"/>
                <w:szCs w:val="18"/>
                <w:color w:val="auto"/>
              </w:rPr>
              <w:t>General</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2.</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Resignation and Removal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7840" w:type="dxa"/>
            <w:vAlign w:val="bottom"/>
          </w:tcPr>
          <w:p>
            <w:pPr>
              <w:ind w:left="160"/>
              <w:spacing w:after="0"/>
              <w:rPr>
                <w:sz w:val="20"/>
                <w:szCs w:val="20"/>
                <w:color w:val="auto"/>
              </w:rPr>
            </w:pPr>
            <w:r>
              <w:rPr>
                <w:rFonts w:ascii="Arial" w:cs="Arial" w:eastAsia="Arial" w:hAnsi="Arial"/>
                <w:sz w:val="18"/>
                <w:szCs w:val="18"/>
                <w:color w:val="auto"/>
              </w:rPr>
              <w:t>Voting Securities Owned by the Corporation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of the Board of Directors and Chief Executive Officer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7840" w:type="dxa"/>
            <w:vAlign w:val="bottom"/>
          </w:tcPr>
          <w:p>
            <w:pPr>
              <w:ind w:left="160"/>
              <w:spacing w:after="0"/>
              <w:rPr>
                <w:sz w:val="20"/>
                <w:szCs w:val="20"/>
                <w:color w:val="auto"/>
              </w:rPr>
            </w:pPr>
            <w:r>
              <w:rPr>
                <w:rFonts w:ascii="Arial" w:cs="Arial" w:eastAsia="Arial" w:hAnsi="Arial"/>
                <w:sz w:val="18"/>
                <w:szCs w:val="18"/>
                <w:color w:val="auto"/>
              </w:rPr>
              <w:t>Senior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6.</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Treasurer and Assistant Treasurer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7840" w:type="dxa"/>
            <w:vAlign w:val="bottom"/>
          </w:tcPr>
          <w:p>
            <w:pPr>
              <w:ind w:left="160"/>
              <w:spacing w:after="0"/>
              <w:rPr>
                <w:sz w:val="20"/>
                <w:szCs w:val="20"/>
                <w:color w:val="auto"/>
              </w:rPr>
            </w:pPr>
            <w:r>
              <w:rPr>
                <w:rFonts w:ascii="Arial" w:cs="Arial" w:eastAsia="Arial" w:hAnsi="Arial"/>
                <w:sz w:val="18"/>
                <w:szCs w:val="18"/>
                <w:color w:val="auto"/>
              </w:rPr>
              <w:t>Secretary and Assistant Secretary</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Officers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8"/>
              </w:rPr>
              <w:t>ARTICLE V</w:t>
            </w: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40" w:type="dxa"/>
            <w:vAlign w:val="bottom"/>
          </w:tcPr>
          <w:p>
            <w:pPr>
              <w:jc w:val="center"/>
              <w:ind w:left="1370"/>
              <w:spacing w:after="0"/>
              <w:rPr>
                <w:sz w:val="20"/>
                <w:szCs w:val="20"/>
                <w:color w:val="auto"/>
              </w:rPr>
            </w:pPr>
            <w:r>
              <w:rPr>
                <w:rFonts w:ascii="Arial" w:cs="Arial" w:eastAsia="Arial" w:hAnsi="Arial"/>
                <w:sz w:val="18"/>
                <w:szCs w:val="18"/>
                <w:color w:val="auto"/>
                <w:w w:val="93"/>
              </w:rPr>
              <w:t>STOCK</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7840" w:type="dxa"/>
            <w:vAlign w:val="bottom"/>
          </w:tcPr>
          <w:p>
            <w:pPr>
              <w:ind w:left="160"/>
              <w:spacing w:after="0"/>
              <w:rPr>
                <w:sz w:val="20"/>
                <w:szCs w:val="20"/>
                <w:color w:val="auto"/>
              </w:rPr>
            </w:pPr>
            <w:r>
              <w:rPr>
                <w:rFonts w:ascii="Arial" w:cs="Arial" w:eastAsia="Arial" w:hAnsi="Arial"/>
                <w:sz w:val="18"/>
                <w:szCs w:val="18"/>
                <w:color w:val="auto"/>
              </w:rPr>
              <w:t>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2.</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Signatures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7840" w:type="dxa"/>
            <w:vAlign w:val="bottom"/>
          </w:tcPr>
          <w:p>
            <w:pPr>
              <w:ind w:left="160"/>
              <w:spacing w:after="0"/>
              <w:rPr>
                <w:sz w:val="20"/>
                <w:szCs w:val="20"/>
                <w:color w:val="auto"/>
              </w:rPr>
            </w:pPr>
            <w:r>
              <w:rPr>
                <w:rFonts w:ascii="Arial" w:cs="Arial" w:eastAsia="Arial" w:hAnsi="Arial"/>
                <w:sz w:val="18"/>
                <w:szCs w:val="18"/>
                <w:color w:val="auto"/>
              </w:rPr>
              <w:t>Lost or Mutilated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of Shares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7840" w:type="dxa"/>
            <w:vAlign w:val="bottom"/>
          </w:tcPr>
          <w:p>
            <w:pPr>
              <w:ind w:left="160"/>
              <w:spacing w:after="0"/>
              <w:rPr>
                <w:sz w:val="20"/>
                <w:szCs w:val="20"/>
                <w:color w:val="auto"/>
              </w:rPr>
            </w:pPr>
            <w:r>
              <w:rPr>
                <w:rFonts w:ascii="Arial" w:cs="Arial" w:eastAsia="Arial" w:hAnsi="Arial"/>
                <w:sz w:val="18"/>
                <w:szCs w:val="18"/>
                <w:color w:val="auto"/>
              </w:rPr>
              <w:t>Settlement of Transactions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6.</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Record Date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7840" w:type="dxa"/>
            <w:vAlign w:val="bottom"/>
          </w:tcPr>
          <w:p>
            <w:pPr>
              <w:ind w:left="160"/>
              <w:spacing w:after="0"/>
              <w:rPr>
                <w:sz w:val="20"/>
                <w:szCs w:val="20"/>
                <w:color w:val="auto"/>
              </w:rPr>
            </w:pPr>
            <w:r>
              <w:rPr>
                <w:rFonts w:ascii="Arial" w:cs="Arial" w:eastAsia="Arial" w:hAnsi="Arial"/>
                <w:sz w:val="18"/>
                <w:szCs w:val="18"/>
                <w:color w:val="auto"/>
              </w:rPr>
              <w:t>Record Owners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Splits and Combinations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w:t>
            </w:r>
          </w:p>
        </w:tc>
        <w:tc>
          <w:tcPr>
            <w:tcW w:w="7840" w:type="dxa"/>
            <w:vAlign w:val="bottom"/>
          </w:tcPr>
          <w:p>
            <w:pPr>
              <w:ind w:left="160"/>
              <w:spacing w:after="0"/>
              <w:rPr>
                <w:sz w:val="20"/>
                <w:szCs w:val="20"/>
                <w:color w:val="auto"/>
              </w:rPr>
            </w:pPr>
            <w:r>
              <w:rPr>
                <w:rFonts w:ascii="Arial" w:cs="Arial" w:eastAsia="Arial" w:hAnsi="Arial"/>
                <w:sz w:val="18"/>
                <w:szCs w:val="18"/>
                <w:color w:val="auto"/>
              </w:rPr>
              <w:t>Class B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40" w:type="dxa"/>
            <w:vAlign w:val="bottom"/>
          </w:tcPr>
          <w:p>
            <w:pPr>
              <w:jc w:val="center"/>
              <w:ind w:left="1370"/>
              <w:spacing w:after="0"/>
              <w:rPr>
                <w:sz w:val="20"/>
                <w:szCs w:val="20"/>
                <w:color w:val="auto"/>
              </w:rPr>
            </w:pPr>
            <w:r>
              <w:rPr>
                <w:rFonts w:ascii="Arial" w:cs="Arial" w:eastAsia="Arial" w:hAnsi="Arial"/>
                <w:sz w:val="18"/>
                <w:szCs w:val="18"/>
                <w:color w:val="auto"/>
                <w:w w:val="99"/>
              </w:rPr>
              <w:t>ARTICLE VI</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4"/>
              </w:rPr>
              <w:t>NOTICES</w:t>
            </w: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Notices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840" w:type="dxa"/>
            <w:vAlign w:val="bottom"/>
          </w:tcPr>
          <w:p>
            <w:pPr>
              <w:ind w:left="160"/>
              <w:spacing w:after="0"/>
              <w:rPr>
                <w:sz w:val="20"/>
                <w:szCs w:val="20"/>
                <w:color w:val="auto"/>
              </w:rPr>
            </w:pPr>
            <w:r>
              <w:rPr>
                <w:rFonts w:ascii="Arial" w:cs="Arial" w:eastAsia="Arial" w:hAnsi="Arial"/>
                <w:sz w:val="18"/>
                <w:szCs w:val="18"/>
                <w:color w:val="auto"/>
              </w:rPr>
              <w:t>Waivers of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40" w:type="dxa"/>
            <w:vAlign w:val="bottom"/>
          </w:tcPr>
          <w:p>
            <w:pPr>
              <w:jc w:val="center"/>
              <w:ind w:left="1350"/>
              <w:spacing w:after="0"/>
              <w:rPr>
                <w:sz w:val="20"/>
                <w:szCs w:val="20"/>
                <w:color w:val="auto"/>
              </w:rPr>
            </w:pPr>
            <w:r>
              <w:rPr>
                <w:rFonts w:ascii="Arial" w:cs="Arial" w:eastAsia="Arial" w:hAnsi="Arial"/>
                <w:sz w:val="18"/>
                <w:szCs w:val="18"/>
                <w:color w:val="auto"/>
              </w:rPr>
              <w:t>ARTICLE VII</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5"/>
              </w:rPr>
              <w:t>GENERAL PROVISIONS</w:t>
            </w: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Disbursements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w:t>
            </w:r>
          </w:p>
        </w:tc>
        <w:tc>
          <w:tcPr>
            <w:tcW w:w="784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Seal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w:t>
            </w:r>
          </w:p>
        </w:tc>
        <w:tc>
          <w:tcPr>
            <w:tcW w:w="7840" w:type="dxa"/>
            <w:vAlign w:val="bottom"/>
          </w:tcPr>
          <w:p>
            <w:pPr>
              <w:ind w:left="160"/>
              <w:spacing w:after="0"/>
              <w:rPr>
                <w:sz w:val="20"/>
                <w:szCs w:val="20"/>
                <w:color w:val="auto"/>
              </w:rPr>
            </w:pPr>
            <w:r>
              <w:rPr>
                <w:rFonts w:ascii="Arial" w:cs="Arial" w:eastAsia="Arial" w:hAnsi="Arial"/>
                <w:sz w:val="18"/>
                <w:szCs w:val="18"/>
                <w:color w:val="auto"/>
              </w:rPr>
              <w:t>Title to Corporation Assets</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w:t>
            </w:r>
          </w:p>
        </w:tc>
        <w:tc>
          <w:tcPr>
            <w:tcW w:w="7840" w:type="dxa"/>
            <w:vAlign w:val="bottom"/>
          </w:tcPr>
          <w:p>
            <w:pPr>
              <w:ind w:left="160"/>
              <w:spacing w:after="0"/>
              <w:rPr>
                <w:sz w:val="20"/>
                <w:szCs w:val="20"/>
                <w:color w:val="auto"/>
              </w:rPr>
            </w:pPr>
            <w:r>
              <w:rPr>
                <w:rFonts w:ascii="Arial" w:cs="Arial" w:eastAsia="Arial" w:hAnsi="Arial"/>
                <w:sz w:val="18"/>
                <w:szCs w:val="18"/>
                <w:color w:val="auto"/>
              </w:rPr>
              <w:t>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Records and Accounting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w:t>
            </w:r>
          </w:p>
        </w:tc>
        <w:tc>
          <w:tcPr>
            <w:tcW w:w="7840" w:type="dxa"/>
            <w:vAlign w:val="bottom"/>
          </w:tcPr>
          <w:p>
            <w:pPr>
              <w:ind w:left="160"/>
              <w:spacing w:after="0"/>
              <w:rPr>
                <w:sz w:val="20"/>
                <w:szCs w:val="20"/>
                <w:color w:val="auto"/>
              </w:rPr>
            </w:pPr>
            <w:r>
              <w:rPr>
                <w:rFonts w:ascii="Arial" w:cs="Arial" w:eastAsia="Arial" w:hAnsi="Arial"/>
                <w:sz w:val="18"/>
                <w:szCs w:val="18"/>
                <w:color w:val="auto"/>
              </w:rPr>
              <w:t>Reports</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Invalidity of Provisions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78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 w:type="dxa"/>
            <w:vAlign w:val="bottom"/>
            <w:shd w:val="clear" w:color="auto" w:fill="CCEEFF"/>
          </w:tcPr>
          <w:p>
            <w:pPr>
              <w:spacing w:after="0"/>
              <w:rPr>
                <w:sz w:val="17"/>
                <w:szCs w:val="17"/>
                <w:color w:val="auto"/>
              </w:rPr>
            </w:pPr>
          </w:p>
        </w:tc>
        <w:tc>
          <w:tcPr>
            <w:tcW w:w="9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9000" w:type="dxa"/>
            <w:vAlign w:val="bottom"/>
          </w:tcPr>
          <w:p>
            <w:pPr>
              <w:ind w:left="16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2.</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9000" w:type="dxa"/>
            <w:vAlign w:val="bottom"/>
          </w:tcPr>
          <w:p>
            <w:pPr>
              <w:ind w:left="160"/>
              <w:spacing w:after="0"/>
              <w:rPr>
                <w:sz w:val="20"/>
                <w:szCs w:val="20"/>
                <w:color w:val="auto"/>
              </w:rPr>
            </w:pPr>
            <w:r>
              <w:rPr>
                <w:rFonts w:ascii="Arial" w:cs="Arial" w:eastAsia="Arial" w:hAnsi="Arial"/>
                <w:sz w:val="18"/>
                <w:szCs w:val="18"/>
                <w:color w:val="auto"/>
              </w:rPr>
              <w:t>Authorization of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 Faith Defined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w:t>
            </w:r>
          </w:p>
        </w:tc>
        <w:tc>
          <w:tcPr>
            <w:tcW w:w="9000" w:type="dxa"/>
            <w:vAlign w:val="bottom"/>
          </w:tcPr>
          <w:p>
            <w:pPr>
              <w:ind w:left="160"/>
              <w:spacing w:after="0"/>
              <w:rPr>
                <w:sz w:val="20"/>
                <w:szCs w:val="20"/>
                <w:color w:val="auto"/>
              </w:rPr>
            </w:pPr>
            <w:r>
              <w:rPr>
                <w:rFonts w:ascii="Arial" w:cs="Arial" w:eastAsia="Arial" w:hAnsi="Arial"/>
                <w:sz w:val="18"/>
                <w:szCs w:val="18"/>
                <w:color w:val="auto"/>
              </w:rPr>
              <w:t>Indemnification by a Court</w:t>
            </w: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6.</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Payable in Advance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w:t>
            </w:r>
          </w:p>
        </w:tc>
        <w:tc>
          <w:tcPr>
            <w:tcW w:w="9000" w:type="dxa"/>
            <w:vAlign w:val="bottom"/>
          </w:tcPr>
          <w:p>
            <w:pPr>
              <w:ind w:left="160"/>
              <w:spacing w:after="0"/>
              <w:rPr>
                <w:sz w:val="20"/>
                <w:szCs w:val="20"/>
                <w:color w:val="auto"/>
              </w:rPr>
            </w:pPr>
            <w:r>
              <w:rPr>
                <w:rFonts w:ascii="Arial" w:cs="Arial" w:eastAsia="Arial" w:hAnsi="Arial"/>
                <w:sz w:val="18"/>
                <w:szCs w:val="18"/>
                <w:color w:val="auto"/>
              </w:rPr>
              <w:t>Nonexclusivity of Indemnification and Advancement of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w:t>
            </w:r>
          </w:p>
        </w:tc>
        <w:tc>
          <w:tcPr>
            <w:tcW w:w="900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10.</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Survival of Indemnification and Advancement of 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9000" w:type="dxa"/>
            <w:vAlign w:val="bottom"/>
          </w:tcPr>
          <w:p>
            <w:pPr>
              <w:ind w:left="160"/>
              <w:spacing w:after="0"/>
              <w:rPr>
                <w:sz w:val="20"/>
                <w:szCs w:val="20"/>
                <w:color w:val="auto"/>
              </w:rPr>
            </w:pPr>
            <w:r>
              <w:rPr>
                <w:rFonts w:ascii="Arial" w:cs="Arial" w:eastAsia="Arial" w:hAnsi="Arial"/>
                <w:sz w:val="18"/>
                <w:szCs w:val="18"/>
                <w:color w:val="auto"/>
              </w:rPr>
              <w:t>Limitation on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12.</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Indemnification of Employees and Agents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13.</w:t>
            </w:r>
          </w:p>
        </w:tc>
        <w:tc>
          <w:tcPr>
            <w:tcW w:w="9000" w:type="dxa"/>
            <w:vAlign w:val="bottom"/>
          </w:tcPr>
          <w:p>
            <w:pPr>
              <w:ind w:left="160"/>
              <w:spacing w:after="0"/>
              <w:rPr>
                <w:sz w:val="20"/>
                <w:szCs w:val="20"/>
                <w:color w:val="auto"/>
              </w:rPr>
            </w:pPr>
            <w:r>
              <w:rPr>
                <w:rFonts w:ascii="Arial" w:cs="Arial" w:eastAsia="Arial" w:hAnsi="Arial"/>
                <w:sz w:val="18"/>
                <w:szCs w:val="18"/>
                <w:color w:val="auto"/>
              </w:rPr>
              <w:t>Indemnification with Respect to Employee Benefit Plans</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000" w:type="dxa"/>
            <w:vAlign w:val="bottom"/>
          </w:tcPr>
          <w:p>
            <w:pPr>
              <w:jc w:val="center"/>
              <w:ind w:left="210"/>
              <w:spacing w:after="0"/>
              <w:rPr>
                <w:sz w:val="20"/>
                <w:szCs w:val="20"/>
                <w:color w:val="auto"/>
              </w:rPr>
            </w:pPr>
            <w:r>
              <w:rPr>
                <w:rFonts w:ascii="Arial" w:cs="Arial" w:eastAsia="Arial" w:hAnsi="Arial"/>
                <w:sz w:val="18"/>
                <w:szCs w:val="18"/>
                <w:color w:val="auto"/>
                <w:w w:val="99"/>
              </w:rPr>
              <w:t>ARTICLE IX</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90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5"/>
              </w:rPr>
              <w:t>FORUM FOR ADJUDICATION OF CERTAIN DISPUTES</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Forum for Adjudication of Certain Disputes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90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8"/>
              </w:rPr>
              <w:t>ARTICLE X</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000" w:type="dxa"/>
            <w:vAlign w:val="bottom"/>
          </w:tcPr>
          <w:p>
            <w:pPr>
              <w:jc w:val="center"/>
              <w:ind w:left="190"/>
              <w:spacing w:after="0"/>
              <w:rPr>
                <w:sz w:val="20"/>
                <w:szCs w:val="20"/>
                <w:color w:val="auto"/>
              </w:rPr>
            </w:pPr>
            <w:r>
              <w:rPr>
                <w:rFonts w:ascii="Arial" w:cs="Arial" w:eastAsia="Arial" w:hAnsi="Arial"/>
                <w:sz w:val="18"/>
                <w:szCs w:val="18"/>
                <w:color w:val="auto"/>
                <w:w w:val="99"/>
              </w:rPr>
              <w:t>AMENDMENTS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1.</w:t>
            </w:r>
          </w:p>
        </w:tc>
        <w:tc>
          <w:tcPr>
            <w:tcW w:w="9000" w:type="dxa"/>
            <w:vAlign w:val="bottom"/>
          </w:tcPr>
          <w:p>
            <w:pPr>
              <w:ind w:left="160"/>
              <w:spacing w:after="0"/>
              <w:rPr>
                <w:sz w:val="20"/>
                <w:szCs w:val="20"/>
                <w:color w:val="auto"/>
              </w:rPr>
            </w:pPr>
            <w:r>
              <w:rPr>
                <w:rFonts w:ascii="Arial" w:cs="Arial" w:eastAsia="Arial" w:hAnsi="Arial"/>
                <w:sz w:val="18"/>
                <w:szCs w:val="18"/>
                <w:color w:val="auto"/>
              </w:rPr>
              <w:t>General</w:t>
            </w: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2.</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Super-Majority Amendments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w:t>
            </w:r>
          </w:p>
        </w:tc>
        <w:tc>
          <w:tcPr>
            <w:tcW w:w="9000" w:type="dxa"/>
            <w:vAlign w:val="bottom"/>
          </w:tcPr>
          <w:p>
            <w:pPr>
              <w:ind w:left="160"/>
              <w:spacing w:after="0"/>
              <w:rPr>
                <w:sz w:val="20"/>
                <w:szCs w:val="20"/>
                <w:color w:val="auto"/>
              </w:rPr>
            </w:pPr>
            <w:r>
              <w:rPr>
                <w:rFonts w:ascii="Arial" w:cs="Arial" w:eastAsia="Arial" w:hAnsi="Arial"/>
                <w:sz w:val="18"/>
                <w:szCs w:val="18"/>
                <w:color w:val="auto"/>
              </w:rPr>
              <w:t>Amendments to be Adopted Solely by the Board of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Amendment Requirements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22"/>
          <w:szCs w:val="22"/>
          <w:color w:val="auto"/>
        </w:rPr>
        <w:t>BYLAWS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OF</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NEW FORTRESS ENERGY INC.</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(hereinafter called the “Corporation”)</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OFFICES</w:t>
      </w:r>
    </w:p>
    <w:p>
      <w:pPr>
        <w:spacing w:after="0" w:line="233" w:lineRule="exact"/>
        <w:rPr>
          <w:sz w:val="20"/>
          <w:szCs w:val="20"/>
          <w:color w:val="auto"/>
        </w:rPr>
      </w:pPr>
    </w:p>
    <w:p>
      <w:pPr>
        <w:ind w:firstLine="972"/>
        <w:spacing w:after="0" w:line="28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Registered Office</w:t>
      </w:r>
      <w:r>
        <w:rPr>
          <w:rFonts w:ascii="Arial" w:cs="Arial" w:eastAsia="Arial" w:hAnsi="Arial"/>
          <w:sz w:val="19"/>
          <w:szCs w:val="19"/>
          <w:color w:val="auto"/>
        </w:rPr>
        <w:t>. The registered office of the Corporation in the State of Delaware shall be located at Corporation Trust Center, 1209 Orange Street, Wilmington, Delaware 19801, and the registered agent for service of process on the Corporation in the State of Delaware at such registered office shall be The Corporation Trust Company. The principal office of the Corporation shall be located at 111 W. 19th Street, 8th Floor, New York, New York 10011 or such other place as the Board of Directors of the Corporation (the “Board of Directors”) may from time to time designate by notice to the stockholders.</w:t>
      </w:r>
    </w:p>
    <w:p>
      <w:pPr>
        <w:spacing w:after="0" w:line="174" w:lineRule="exact"/>
        <w:rPr>
          <w:sz w:val="20"/>
          <w:szCs w:val="20"/>
          <w:color w:val="auto"/>
        </w:rPr>
      </w:pPr>
    </w:p>
    <w:p>
      <w:pPr>
        <w:ind w:right="140" w:firstLine="972"/>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Corporation may maintain offices at such other place or places within or outside the State of Delaware as the Board of Directors determines to be necessary or appropriate.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MEETINGS OF STOCKHOLDERS</w:t>
      </w:r>
    </w:p>
    <w:p>
      <w:pPr>
        <w:spacing w:after="0" w:line="233" w:lineRule="exact"/>
        <w:rPr>
          <w:sz w:val="20"/>
          <w:szCs w:val="20"/>
          <w:color w:val="auto"/>
        </w:rPr>
      </w:pPr>
    </w:p>
    <w:p>
      <w:pPr>
        <w:ind w:right="460" w:firstLine="972"/>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Place of Meetings</w:t>
      </w:r>
      <w:r>
        <w:rPr>
          <w:rFonts w:ascii="Arial" w:cs="Arial" w:eastAsia="Arial" w:hAnsi="Arial"/>
          <w:sz w:val="22"/>
          <w:szCs w:val="22"/>
          <w:color w:val="auto"/>
        </w:rPr>
        <w:t>. The Board of Directors shall designate the place of meeting for any annual meeting or for any special meeting of the stockholders. If no designation is made, the place of meeting shall be the principal office of the Corporation.</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0" w:name="page121"/>
    <w:bookmarkEnd w:id="120"/>
    <w:p>
      <w:pPr>
        <w:ind w:firstLine="972"/>
        <w:spacing w:after="0" w:line="27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Annual Meetings</w:t>
      </w:r>
      <w:r>
        <w:rPr>
          <w:rFonts w:ascii="Arial" w:cs="Arial" w:eastAsia="Arial" w:hAnsi="Arial"/>
          <w:sz w:val="19"/>
          <w:szCs w:val="19"/>
          <w:color w:val="auto"/>
        </w:rPr>
        <w:t>. All acts of stockholders to be taken hereunder, or under the Certificate of Incorporation of the Corporation, as amended from time to time (the “Certificate of Incorporation”), the General Corporation Law of the State of Delaware (the “DGCL”) or otherwise, shall be taken in the manner provided in this Article II. An annual meeting of the stockholders for the election of Directors and for the transaction of such other business as may properly come before the meeting shall be held at such time and place as the Board of Directors shall specify. Subject to the provisions of the DGCL or if otherwise authorized by the Board of Directors, and subject to such guidelines and procedures as the Board of Directors may adopt in accordance with the DGCL, stockholders and proxyholders not physically present at a meeting of stockholders may by means of remote communication participate in such meeting and be deemed present in person and vote at such meeting, provided that the Corporation shall implement reasonable measures to verify that each Person deemed present and permitted to vote at the meeting by means of remote communication is a stockholder or proxyholder, to provide such stockholders or proxyholders a reasonable opportunity to participate in the meeting and to record the votes or other action made by such stockholders or proxyholders. A failure to hold the annual meeting of the stockholders at the designated time or to elect a sufficient number of Directors to conduct the business of the Corporation shall not affect otherwise valid acts of the Corporation or work a forfeiture or dissolution of the Corporation. If the annual meeting for election of Directors is not held on the date designated therefor, the Directors shall cause the meeting to be held as soon as is convenient. If there is a failure to hold the annual meeting for a period of 30 days after the date designated for the annual meeting, or if no date has been designated, for a period of 18 months after the last annual meeting, the Delaware Court of Chancery may summarily order a meeting to be held upon the application of any stockholder or Director. The Delaware Court of Chancery may issue such orders as may be appropriate, including orders designating the time and place of such meeting, the record date for determination of stockholders entitled to vote, and the form of notice of such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1" w:name="page122"/>
    <w:bookmarkEnd w:id="121"/>
    <w:p>
      <w:pPr>
        <w:ind w:right="200" w:firstLine="972"/>
        <w:spacing w:after="0" w:line="234"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Special Meetings</w:t>
      </w:r>
      <w:r>
        <w:rPr>
          <w:rFonts w:ascii="Arial" w:cs="Arial" w:eastAsia="Arial" w:hAnsi="Arial"/>
          <w:sz w:val="22"/>
          <w:szCs w:val="22"/>
          <w:color w:val="auto"/>
        </w:rPr>
        <w:t>. Unless otherwise required by law or by the Certificate of Incorporation,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No stockholders or group of stockholders, acting in its or their capacity as stockholders, shall have the right to call a special meeting of the stockholders, except that if any Consenting Entities or their Affiliates collectively own Outstanding Voting Shares that represent a Share Majority, such Consenting Entities may call a special meeting of the stockholders.</w:t>
      </w:r>
    </w:p>
    <w:p>
      <w:pPr>
        <w:spacing w:after="0" w:line="218" w:lineRule="exact"/>
        <w:rPr>
          <w:sz w:val="20"/>
          <w:szCs w:val="20"/>
          <w:color w:val="auto"/>
        </w:rPr>
      </w:pPr>
    </w:p>
    <w:p>
      <w:pPr>
        <w:ind w:firstLine="972"/>
        <w:spacing w:after="0" w:line="27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Notice</w:t>
      </w:r>
      <w:r>
        <w:rPr>
          <w:rFonts w:ascii="Arial" w:cs="Arial" w:eastAsia="Arial" w:hAnsi="Arial"/>
          <w:sz w:val="19"/>
          <w:szCs w:val="19"/>
          <w:color w:val="auto"/>
        </w:rPr>
        <w:t>. Notice, stating the place, day and hour of any annual or special meeting of the stockholders, as determined by the Board of Directors, and (i) in the case of a special meeting of the stockholders, the purpose or purposes for which the meeting is called, as determined by the Board of Directors if applicable, or (ii) in the case of an annual meeting, those matters that the Board of Directors, at the time of giving the notice, intends to present for action by the stockholders, shall be delivered by the Corporation not less than 10 calendar days nor more than 60 calendar days before the date of the meeting, in a manner and otherwise in accordance with Article VI Section 1 to each Record Holder, as of the applicable Record Date for such meeting, of Shares entitled to vote at such meeting. Such further notice shall be given as may be required by Delaware law. The notice of any meeting of the stockholders at which Directors are to be elected shall include the name of any nominee or nominees who, at the time of the notice, the Board of Directors intends to present for election. Only such business shall be conducted at a special meeting of stockholders as shall have been brought before the meeting pursuant to the Corporation’s notice of meeting. Any previously scheduled meeting of the stockholders may be postponed, and any special meeting of the stockholders may be canceled, by resolution of the Board of Directors upon public notice given prior to the date previously scheduled for such meeting of the stockholders.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2" w:name="page123"/>
    <w:bookmarkEnd w:id="122"/>
    <w:p>
      <w:pPr>
        <w:ind w:right="20" w:firstLine="972"/>
        <w:spacing w:after="0" w:line="275"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Adjournments and Postponements</w:t>
      </w:r>
      <w:r>
        <w:rPr>
          <w:rFonts w:ascii="Arial" w:cs="Arial" w:eastAsia="Arial" w:hAnsi="Arial"/>
          <w:sz w:val="19"/>
          <w:szCs w:val="19"/>
          <w:color w:val="auto"/>
        </w:rPr>
        <w:t>. Any meeting of the stockholders may be adjourned by the chairman of the meeting from time to time to reconvene at the same or some other place and at such time and date as announced at such meeting.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30 days or if a new Record Date and notice is required under applicable law or these By-Laws. At the adjourned meeting, the Corporation may transact any business which might have been transacted at the original meeting. If the adjournment is for more than 30 days or if a new Record Date is fixed for the adjourned meeting, a notice of the adjourned meeting shall be given in accordance with this Article II.</w:t>
      </w:r>
    </w:p>
    <w:p>
      <w:pPr>
        <w:spacing w:after="0" w:line="185" w:lineRule="exact"/>
        <w:rPr>
          <w:sz w:val="20"/>
          <w:szCs w:val="20"/>
          <w:color w:val="auto"/>
        </w:rPr>
      </w:pPr>
    </w:p>
    <w:p>
      <w:pPr>
        <w:ind w:firstLine="972"/>
        <w:spacing w:after="0" w:line="27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Quorum</w:t>
      </w:r>
      <w:r>
        <w:rPr>
          <w:rFonts w:ascii="Arial" w:cs="Arial" w:eastAsia="Arial" w:hAnsi="Arial"/>
          <w:sz w:val="19"/>
          <w:szCs w:val="19"/>
          <w:color w:val="auto"/>
        </w:rPr>
        <w:t xml:space="preserve">. Unless otherwise required by the DGCL or other applicable law or the Certificate of Incorporation, at any meeting of the stockholders, the holders of a majority of the Outstanding Voting Shares of the class or classes or series for which a meeting has been called represented in person or by proxy shall constitute a quorum of such class or classes or series unless any such action by the stockholders requires approval by holders of a greater percentage of Outstanding Voting Shares, in which case the quorum shall be such greater percentage. The submission of matters to stockholders for approval and the election of Directors shall occur only at a meeting of the stockholders duly called and held in accordance with the Certificate of Incorporation and these By-Laws at which a quorum is present;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stockholders present at a duly called or held meeting at which a quorum is present may continue to transact business until adjournment, notwithstanding the withdrawal of enough stockholders to leave less than a quorum, if any action taken (other than adjournment) is approved by the required percentage of Outstanding Voting Shares required under applicable law, the Certificate of Incorporation or these By-Laws. Any meeting of stockholders may be adjourned from time to time by the chairman of the meeting to another place or time, without regard to the presence of a quorum.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ind w:firstLine="972"/>
        <w:spacing w:after="0" w:line="26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Voting and Other Rights</w:t>
      </w:r>
      <w:r>
        <w:rPr>
          <w:rFonts w:ascii="Arial" w:cs="Arial" w:eastAsia="Arial" w:hAnsi="Arial"/>
          <w:sz w:val="19"/>
          <w:szCs w:val="19"/>
          <w:color w:val="auto"/>
        </w:rPr>
        <w:t>. Unless otherwise provided in the Certificate of Incorporation, each Outstanding Class A Share and each Outstanding Class B Share shall be entitled to one vote per Share on all matters submitted to stockholders for approval and in the election of Directors. All matters (other than the election of Directors) submitted to stockholders for approval shall be determined by a majority of the votes cast affirmatively or negatively by stockholders holding Outstanding Voting Shares unless a greater percentage is required with respect to such matter under the DGCL, under the rules of any National Securities Exchange on which the Shares are listed for trading, or under the provisions of the Certificate of Incorporation or these By-Laws, in which case the approval of stockholders holding Outstanding Voting Shares that in the aggregate represent at least such greater percentage shall be required. Directors will be elected by a plurality of the votes cast for a particular position. All elections of Directors will be by written ballots; if authorized by the Board of Directors, such requirement of a written ballot shall be satisfied by a ballot submitted by electronic transmission, provided that any such electronic transmission must either set forth or be submitted with information from which it can be reasonably determined that the electronic transmission was authorized by the stockholder or proxyholder. Only those Record Holders of Outstanding Voting Shares on the Record Date set pursuant to Section 11 of this Article II shall be entitled to notice of, and to vote at, a meeting of stockholders or to act with respect to matters as to which the holders of the Outstanding Voting Shares have the right to vote or to act. All references in these By-Laws to votes of, or other acts that may be taken by, the Outstanding Voting Shares shall be deemed to be references to the votes or acts of the Record Holders of such Outstanding Voting Shares on such Record Date. With respect to Outstanding Voting Shares that are held for a Person’s account by another Person (such as a broker, dealer, bank, trust company or clearing corporation, or an agent of any of the foregoing), in whose name such Outstanding Voting Shares are registered, such other Person shall, in exercising the voting rights in respect of such Outstanding Voting Shares on any matter, and unless the arrangement between such Persons provides otherwise, vote such Outstanding Voting Shares in favor of, and at the direction of, the Person who is the beneficial owner, and the Corporation shall be entitled to assume it is so acting without further inquiry.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4" w:name="page125"/>
    <w:bookmarkEnd w:id="124"/>
    <w:p>
      <w:pPr>
        <w:ind w:firstLine="972"/>
        <w:spacing w:after="0" w:line="245"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Proxies and Voting</w:t>
      </w:r>
      <w:r>
        <w:rPr>
          <w:rFonts w:ascii="Arial" w:cs="Arial" w:eastAsia="Arial" w:hAnsi="Arial"/>
          <w:sz w:val="21"/>
          <w:szCs w:val="21"/>
          <w:color w:val="auto"/>
        </w:rPr>
        <w:t>. On any matter that is to be voted on by stockholders, the stockholders may vote in person or by proxy, and such proxy may be granted in writing, by means of electronic transmission or as otherwise permitted by applicable law. Any such proxy shall be filed in accordance with the procedure established for the meeting. For purposes of these By-Laws, the term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25" w:name="page126"/>
    <w:bookmarkEnd w:id="125"/>
    <w:p>
      <w:pPr>
        <w:ind w:firstLine="972"/>
        <w:spacing w:after="0" w:line="23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Consent of Stockholders in Lieu of Meeting</w:t>
      </w:r>
      <w:r>
        <w:rPr>
          <w:rFonts w:ascii="Arial" w:cs="Arial" w:eastAsia="Arial" w:hAnsi="Arial"/>
          <w:sz w:val="22"/>
          <w:szCs w:val="22"/>
          <w:color w:val="auto"/>
        </w:rPr>
        <w:t>. On any matter that is to be voted on, consented to or approved by stockholders, the stockholders may take such action without a meeting, without prior notice and without a vote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215" w:lineRule="exact"/>
        <w:rPr>
          <w:sz w:val="20"/>
          <w:szCs w:val="20"/>
          <w:color w:val="auto"/>
        </w:rPr>
      </w:pPr>
    </w:p>
    <w:p>
      <w:pPr>
        <w:ind w:right="40" w:firstLine="972"/>
        <w:spacing w:after="0" w:line="27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 A complete list of stockholders entitled to vote at any meeting of stockholders, arranged in alphabetical order for each class or series of Shares and showing the address of each such stockholder and the number of Outstanding Voting Shares registered in the name of such stockholder, shall be open to the examination of any stockholder, for any purpose germane to the meeting for a period of at least 10 days before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stockholder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6" w:name="page127"/>
    <w:bookmarkEnd w:id="126"/>
    <w:p>
      <w:pPr>
        <w:ind w:left="920"/>
        <w:spacing w:after="0"/>
        <w:tabs>
          <w:tab w:leader="none" w:pos="23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Record Date</w:t>
      </w:r>
      <w:r>
        <w:rPr>
          <w:rFonts w:ascii="Arial" w:cs="Arial" w:eastAsia="Arial" w:hAnsi="Arial"/>
          <w:sz w:val="19"/>
          <w:szCs w:val="19"/>
          <w:color w:val="auto"/>
        </w:rPr>
        <w:t>.</w:t>
      </w:r>
    </w:p>
    <w:p>
      <w:pPr>
        <w:spacing w:after="0" w:line="234" w:lineRule="exact"/>
        <w:rPr>
          <w:sz w:val="20"/>
          <w:szCs w:val="20"/>
          <w:color w:val="auto"/>
        </w:rPr>
      </w:pPr>
    </w:p>
    <w:p>
      <w:pPr>
        <w:ind w:left="-60" w:firstLine="980"/>
        <w:spacing w:after="0" w:line="246" w:lineRule="auto"/>
        <w:tabs>
          <w:tab w:leader="none" w:pos="1692"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For purposes of determining the stockholders entitled to notice of or to vote at a meeting of the stockholders, the Board of Directors may set a Record Date, which shall not be less than 10 nor more than 60 days before the date of the meeting (subject to compliance with any rule, regulation, guideline or requirement of any National Securities Exchange on which the Shares are listed for trading). If no Record Date is fixed by the Board of Directors, the Record Date for determining stockholders entitled to notice of or to vote at a meeting of stockholders shall be at the close of business on the day next preceding the day on which notice is given. A determination of Record Holders entitled to notice of or to vote at a meeting of stockholders shall apply to any adjournment or postponement of the meeting;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Board of Directors may fix a new Record Date for the adjourned or postponed meeting.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8" w:right="379" w:bottom="1440" w:gutter="0" w:footer="0" w:header="0"/>
        </w:sectPr>
      </w:pPr>
    </w:p>
    <w:bookmarkStart w:id="127" w:name="page128"/>
    <w:bookmarkEnd w:id="127"/>
    <w:p>
      <w:pPr>
        <w:ind w:firstLine="980"/>
        <w:spacing w:after="0" w:line="272" w:lineRule="auto"/>
        <w:tabs>
          <w:tab w:leader="none" w:pos="1764"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3" w:lineRule="exact"/>
        <w:rPr>
          <w:sz w:val="20"/>
          <w:szCs w:val="20"/>
          <w:color w:val="auto"/>
        </w:rPr>
      </w:pPr>
    </w:p>
    <w:p>
      <w:pPr>
        <w:ind w:right="20" w:firstLine="972"/>
        <w:spacing w:after="0" w:line="279"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Stock Ledger</w:t>
      </w:r>
      <w:r>
        <w:rPr>
          <w:rFonts w:ascii="Arial" w:cs="Arial" w:eastAsia="Arial" w:hAnsi="Arial"/>
          <w:sz w:val="19"/>
          <w:szCs w:val="19"/>
          <w:color w:val="auto"/>
        </w:rPr>
        <w:t>. The stock ledger of the Corporation shall be the only evidence as to who are the stockholders entitled to examine the list of stockholders required by Section 10 of this Article II or the books and records of the Corporation, or to vote in person or by proxy at any meeting of stockholders. As used herein, the stock ledger of the Corporation shall refer to one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8" w:name="page129"/>
    <w:bookmarkEnd w:id="128"/>
    <w:p>
      <w:pPr>
        <w:ind w:firstLine="972"/>
        <w:spacing w:after="0" w:line="273"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Conduct of Meetings</w:t>
      </w:r>
      <w:r>
        <w:rPr>
          <w:rFonts w:ascii="Arial" w:cs="Arial" w:eastAsia="Arial" w:hAnsi="Arial"/>
          <w:sz w:val="19"/>
          <w:szCs w:val="19"/>
          <w:color w:val="auto"/>
        </w:rPr>
        <w:t>. To the extent permitted by applicable law, the Board of Directors shall have full power and authority concerning the manner of conducting any meeting of the stockholders, including the determination of Persons entitled to vote, the existence of a quorum, the satisfaction of the requirements of this Article II, the conduct of voting, the validity and effect of any proxies and the determination of any controversies, votes or challenges arising in connection with or during the meeting or voting. The Board of Directors shall designate a Person to serve as chairman of any meeting and shall further designate a Person to take the minutes of any meeting. All minutes shall be kept with the records of the Corporation maintained by the Board of Directors. The Board of Directors may make such other regulations consistent with applicable law, the Certificate of Incorporation and these By-Laws as it may deem advisable concerning the conduct of any meeting of the stockholders, including regulations in regard to the appointment of proxies, the appointment and duties of inspectors of votes, the submission and examination of proxies and other evidence of the right to vote.</w:t>
      </w:r>
    </w:p>
    <w:p>
      <w:pPr>
        <w:spacing w:after="0" w:line="188" w:lineRule="exact"/>
        <w:rPr>
          <w:sz w:val="20"/>
          <w:szCs w:val="20"/>
          <w:color w:val="auto"/>
        </w:rPr>
      </w:pPr>
    </w:p>
    <w:p>
      <w:pPr>
        <w:ind w:right="60" w:firstLine="972"/>
        <w:spacing w:after="0" w:line="277"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Inspectors of Election</w:t>
      </w:r>
      <w:r>
        <w:rPr>
          <w:rFonts w:ascii="Arial" w:cs="Arial" w:eastAsia="Arial" w:hAnsi="Arial"/>
          <w:sz w:val="19"/>
          <w:szCs w:val="19"/>
          <w:color w:val="auto"/>
        </w:rPr>
        <w:t>. 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179" w:lineRule="exact"/>
        <w:rPr>
          <w:sz w:val="20"/>
          <w:szCs w:val="20"/>
          <w:color w:val="auto"/>
        </w:rPr>
      </w:pPr>
    </w:p>
    <w:p>
      <w:pPr>
        <w:ind w:right="20" w:firstLine="972"/>
        <w:spacing w:after="0" w:line="248"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Nomination of Directors</w:t>
      </w:r>
      <w:r>
        <w:rPr>
          <w:rFonts w:ascii="Arial" w:cs="Arial" w:eastAsia="Arial" w:hAnsi="Arial"/>
          <w:sz w:val="21"/>
          <w:szCs w:val="21"/>
          <w:color w:val="auto"/>
        </w:rPr>
        <w:t>. Except to the extent otherwise provided in clause (3) of Article SEVENTH of the Certificate of Incorporation with respect to vacancies and subject to the rights of certain stockholders to nominate Persons for election to the Board of Directors pursuant to the Shareholders Agreement, only persons who are nominated in accordance with the procedures set forth in Article II Section 16(b) of these By-Laws shall be eligible for election as Directors of the Corporation, except as may be otherwise provided in any share designation with respect to the right of stockholders of any class of Shares to nominate and elect a specified number of Directors in certain circumstances.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9" w:name="page130"/>
    <w:bookmarkEnd w:id="129"/>
    <w:p>
      <w:pPr>
        <w:ind w:left="980"/>
        <w:spacing w:after="0"/>
        <w:tabs>
          <w:tab w:leader="none" w:pos="24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Notice of Stockholder Business and Nominations</w:t>
      </w:r>
    </w:p>
    <w:p>
      <w:pPr>
        <w:spacing w:after="0" w:line="238"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firstLine="980"/>
        <w:spacing w:after="0" w:line="270" w:lineRule="auto"/>
        <w:tabs>
          <w:tab w:leader="none" w:pos="1752"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to clause (3) of Article SEVENTH of the Certificate of Incorporation, Article III of these By-Laws and the rights of certain stockholders to nominate Persons for election to the Board of Directors pursuant to the Shareholders Agreement, nominations of Persons for election to the Board of Directors of the Corporation and the proposal of business to be considered by the stockholders may be made at an annual meeting of stockholders (i) pursuant to the Corporation’s notice of meeting delivered pursuant to Article II Section 4 of these By-Laws, (ii) by or at the direction of the Board of Directors, (iii) for nominations to the Board of Directors only, by any holder of Outstanding Voting Shares who is entitled to vote at the meeting, who complied with the notice procedures set forth in paragraph (b) or (d) of this Section 16 and who was a Record Holder of a sufficient number of Outstanding Voting Shares as of the Record Date for such meeting to elect one or more members to the Board of Directors assuming that such holder cast all of the votes it is entitled to cast in such election in favor of a single candidate and such candidate received no other votes from any other holder of Outstanding Voting Shares, or (iv) by any holder of Outstanding Voting Shares who is entitled to vote at the meeting, who complied with the notice procedures set forth in paragraphs (c) or (d) of this Section 16 and who is a Record Holder of Outstanding Voting Shares at the time such notice is delivered to the Secretary of the Corporation.</w:t>
      </w: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130" w:name="page131"/>
    <w:bookmarkEnd w:id="130"/>
    <w:p>
      <w:pPr>
        <w:ind w:left="-20" w:firstLine="980"/>
        <w:spacing w:after="0" w:line="270" w:lineRule="auto"/>
        <w:tabs>
          <w:tab w:leader="none" w:pos="174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For nominations to be properly brought before an annual meeting by a stockholder pursuant to Article II Section 16(a)(iii), the stockholder must have given timely notice thereof in writing to the Secretary of the Corporation. To be timely, a stockholder’s notice shall be delivered to the Secretary at the principal executive offices of the Corporation not less than ninety (90) days nor more than one hundred twenty (120) days prior to the anniversary of the date on which the Corporation first made publicly available (whether by mailing, by filing with the Commission or by posting on an internet web site) its proxy materials for the immediately preceding annual meeting of stockholders;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annual meeting is called for a date that is more than thirty (30) days before or after the anniversary of the previous year’s annual meeting, notice by the stockholder in order to be timely must be so received not later than the close of business on the tenth (10th) day following the day on which public disclosure of the date of the annual meeting is first made (which may be the date on which proxy materials for such meeting are first mailed). In no event shall the adjournment or postponement of an annual meeting commence a new time period (or extend any time period) for the giving of a stockholder’s notice as described in this Section 16(b).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(B) as to the stockholder giving the notice and the beneficial owner, if any, on whose behalf the nomination or proposal is made, the name and address of such stockholder, as they appear on the Corporation’s books, and of such beneficial owner, and the class or series and number of Shares of the Corporation which are owned beneficially and of record by such stockholder and such beneficial owner.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31" w:name="page132"/>
    <w:bookmarkEnd w:id="131"/>
    <w:p>
      <w:pPr>
        <w:spacing w:after="0" w:line="52" w:lineRule="exact"/>
        <w:rPr>
          <w:sz w:val="20"/>
          <w:szCs w:val="20"/>
          <w:color w:val="auto"/>
        </w:rPr>
      </w:pPr>
    </w:p>
    <w:p>
      <w:pPr>
        <w:ind w:left="-8" w:right="20" w:firstLine="980"/>
        <w:spacing w:after="0" w:line="268" w:lineRule="auto"/>
        <w:tabs>
          <w:tab w:leader="none" w:pos="1744"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For nominations or other business to be properly brought before an annual meeting by a stockholder pursuant to Article II Section 16(a)(iv), (i) the stockholder must have given timely notice thereof in writing to the Secretary of the Corporation, (ii) such business must be a proper matter for stockholder action under the Certificate of Incorporation, these By-Laws and the DGCL, (iii) if the stockholder, or the beneficial owner on whose behalf any such proposal or nomination is made, has provided the Corporation with a Solicitation Notice, such stockholder or beneficial owner must, in the case of a proposal, have delivered a proxy statement and form of proxy to holders of at least the percentage of the Corporation’s Outstanding Shares required under the Certificate of Incorporation, these By-Laws or Delaware law to carry any such proposal, or, in the case of a nomination or nominations, have delivered a proxy statement and form of proxy to holders of a percentage of the Corporation’s Outstanding Voting Shares reasonably believed by such stockholder or beneficial holder to be sufficient to elect the nominee or nominees proposed to be nominated by such stockholder and (iv) if no Solicitation Notice relating thereto has been timely provided pursuant to this Section 16, the stockholder or beneficial owner proposing such business or nomination must not have solicited a number of proxies sufficient to have required the delivery of such a Solicitation Notice. To be timely, a stockholder’s notice shall be delivered to the Secretary at the principal executive offices of the Corporation not less than ninety (90) days nor more than one hundred twenty (120) days prior to the anniversary of the date on which the Corporation first made publicly available (whether by mailing, by filing with the Commission or by posting on an internet web site) its proxy materials for the immediately preceding annual meeting of stockholders;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annual meeting is called for a date that is more than thirty (30) days before or after the anniversary of the previous year’s annual meeting, notice by the stockholders in order to be timely must be so received not later than the close of business on the tenth (10th) day following the day on which public disclosure of the date of the annual meeting is first made (which may be the date on which proxy materials for such meeting are first made publicly available, whether by mailing, by filing with the Commission or by posting on an internet web site). In no event shall the adjournment or postponement of an annual meeting commence a new time period (or extend any time period) for the giving of a stockholder’s notice as described in this Section 16(c). Such stockholder’s notice shall set forth: (A) as to each Person whom the stockholder proposes to nominate for election or reelection as a Director (1) the name, age, business address and residence address of such Person, (2) the principal occupation or employment of such Person, (3) the class or series and number of all Shares of the Corporation which are owned beneficially or of record by such Person and any affiliates or associates of such Person, (4) the name of each nominee holder of Shares of the Corporation owned beneficially but not of record by such Person or any affiliates or associates of such Person, and the number of such Shares of the Corporation held by each such nominee holder, (5) whether and the extent to which any derivative instrument, swap, option, warrant, short interest, hedge or profit interest or other transaction has been entered into by or on behalf of such Person or any affiliates or associates of such Person, with respect to Shares of the Corporation, (6) whether and the extent to which any other transaction, arrangement or understanding (including any short position or any borrowing or lending of Shares of the Corporation) has been made by or on behalf of such Person or any affiliates or associates of such Person, the effect or intent of any of the foregoing being to mitigate loss to or manage risk or benefit of the price changes of Shares of the Corporation for such Person or any affiliates or associates of such Person, or to increase or decrease the voting power or pecuniary or economic interest of such Person or any affiliates or associates of such Person with respect to Shares of the Corporation, (7) such Person’s written representation and agreement that such Person (I) is not and will not become a party to any agreement, arrangement or understanding with, and has not given any commitment or assurance to, any Person as to how such Person, if elected as a Director, will act or vote on any issue or question,</w:t>
      </w:r>
    </w:p>
    <w:p>
      <w:pPr>
        <w:spacing w:after="0" w:line="226" w:lineRule="exact"/>
        <w:rPr>
          <w:rFonts w:ascii="Arial" w:cs="Arial" w:eastAsia="Arial" w:hAnsi="Arial"/>
          <w:sz w:val="19"/>
          <w:szCs w:val="19"/>
          <w:color w:val="auto"/>
        </w:rPr>
      </w:pPr>
    </w:p>
    <w:p>
      <w:pPr>
        <w:ind w:left="-8" w:firstLine="8"/>
        <w:spacing w:after="0" w:line="268" w:lineRule="auto"/>
        <w:tabs>
          <w:tab w:leader="none" w:pos="334" w:val="left"/>
        </w:tabs>
        <w:numPr>
          <w:ilvl w:val="0"/>
          <w:numId w:val="75"/>
        </w:numPr>
        <w:rPr>
          <w:rFonts w:ascii="Arial" w:cs="Arial" w:eastAsia="Arial" w:hAnsi="Arial"/>
          <w:sz w:val="19"/>
          <w:szCs w:val="19"/>
          <w:color w:val="auto"/>
        </w:rPr>
      </w:pPr>
      <w:r>
        <w:rPr>
          <w:rFonts w:ascii="Arial" w:cs="Arial" w:eastAsia="Arial" w:hAnsi="Arial"/>
          <w:sz w:val="19"/>
          <w:szCs w:val="19"/>
          <w:color w:val="auto"/>
        </w:rPr>
        <w:t>is not and will not become party to any agreement, arrangement or understanding with any Person other than the Corporation with respect to any direct or indirect compensation, reimbursement or indemnification in connection with service or action as a Director that has not been disclosed to the Corporation in such representation and agreement and (III) in such Person’s individual capacity, would be in compliance, if elected as a Director, with all applicable publicly disclosed confidentiality, corporate governance, conflict of interest, Regulation FD, code of conduct and ethics and Share ownership and trading policies and guidelines of the Corporation and (8) any other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a written questionnaire delivered to the Secretary of the Corporation with respect to the background and qualification of such Person to serve as a Director and the background of any other Person on whose behalf the nomination is being made,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(1) the name and address of such stockholder, as they appear on the Corporation’s books, and of such beneficial owner, (2) the class or series and number of Shares of the Corporation which are owned beneficially and of record by such stockholder and such beneficial owner, (3) the name of each nominee holder of Shares of the Corporation owned beneficially but not of record by such stockholder or any affiliates or associates of such stockholder, and the number of such Shares of the Corporation held by each such nominee holder, (4) whether and the extent to which any derivative instrument, swap, option, warrant, short interest, hedge or profit interest or other transaction has been entered into by or on behalf of such stockholder or any affiliates or associates of such stockholder, with respect to Shares of the Corporation, (5) whether and the extent to which any other transaction, arrangement or understanding (including any short position or any borrowing or lending of Shares of the Corporation) has been made by or on behalf of such stockholder or any affiliates or associates of such stockholder, the effect or intent of any of the foregoing being to mitigate loss to or manage risk or benefit of the price changes of Shares of the Corporation for such stockholder or any affiliates or associates of such stockholder, or to increase or decrease the voting power or pecuniary or economic interest of such stockholder or any affiliates or associates of such stockholder with respect to Shares of the Corporation, (6) a description of (I) in the case of any nomination, all agreements, arrangements or understandings (whether written or oral) between such stockholder or any affiliates or associates of such stockholder, and any proposed nominee for election as a Director, or any affiliates or associates of such proposed nominee, (II) all agreements, arrangements or understandings (whether written or oral) between such stockholder or any affiliates or associates of such stockholder, and any other Person or Persons (including their names) pursuant to which the nomination(s) or other business proposal(s) are being made by such stockholder, or otherwise relating to the Corporation or their</w:t>
      </w:r>
    </w:p>
    <w:p>
      <w:pPr>
        <w:sectPr>
          <w:pgSz w:w="11900" w:h="16891" w:orient="portrait"/>
          <w:cols w:equalWidth="0" w:num="1">
            <w:col w:w="11232"/>
          </w:cols>
          <w:pgMar w:left="328" w:top="118" w:right="339" w:bottom="0" w:gutter="0" w:footer="0" w:header="0"/>
        </w:sectPr>
      </w:pPr>
    </w:p>
    <w:bookmarkStart w:id="132" w:name="page133"/>
    <w:bookmarkEnd w:id="132"/>
    <w:p>
      <w:pPr>
        <w:spacing w:after="0" w:line="244" w:lineRule="auto"/>
        <w:rPr>
          <w:sz w:val="20"/>
          <w:szCs w:val="20"/>
          <w:color w:val="auto"/>
        </w:rPr>
      </w:pPr>
      <w:r>
        <w:rPr>
          <w:rFonts w:ascii="Arial" w:cs="Arial" w:eastAsia="Arial" w:hAnsi="Arial"/>
          <w:sz w:val="21"/>
          <w:szCs w:val="21"/>
          <w:color w:val="auto"/>
        </w:rPr>
        <w:t>ownership of Shares of the Corporation and (III) any material interest of such stockholder or any affiliates or associates of such stockholder, in such nomination or other business proposal, including any anticipated benefit therefrom to such stockholder or any affiliates or associates of such stockholder, (7) a representation that the stockholder giving notice intends to appear in person or by proxy at the annual meeting to nominate the Person named or propose the business described in its notice, (8) any other information relating to such stockholder that is required to be disclosed in solicitations of proxies for election of Directors, or is otherwise required, in each case, pursuant to Regulation 14A under the Exchange Act and (9) whether either such stockholder or beneficial owner intends to deliver a proxy statement and form of proxy to holders of, in the case of a proposal, at least the percentage of the Corporation’s Outstanding Voting Shares required under the Certificate of Incorporation, these By-Laws or Delaware law to carry the proposal or, in the case of a nomination or nominations, a sufficient number of holders of the Corporation’s Outstanding Shares to elect such nominee or nominees (an affirmative statement of such intent, a “</w:t>
      </w:r>
      <w:r>
        <w:rPr>
          <w:rFonts w:ascii="Arial" w:cs="Arial" w:eastAsia="Arial" w:hAnsi="Arial"/>
          <w:sz w:val="21"/>
          <w:szCs w:val="21"/>
          <w:u w:val="single" w:color="auto"/>
          <w:color w:val="auto"/>
        </w:rPr>
        <w:t>Solicitation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33" w:name="page134"/>
    <w:bookmarkEnd w:id="133"/>
    <w:p>
      <w:pPr>
        <w:ind w:left="-40" w:firstLine="980"/>
        <w:spacing w:after="0" w:line="274" w:lineRule="auto"/>
        <w:tabs>
          <w:tab w:leader="none" w:pos="1724" w:val="left"/>
        </w:tabs>
        <w:numPr>
          <w:ilvl w:val="1"/>
          <w:numId w:val="76"/>
        </w:numPr>
        <w:rPr>
          <w:rFonts w:ascii="Arial" w:cs="Arial" w:eastAsia="Arial" w:hAnsi="Arial"/>
          <w:sz w:val="19"/>
          <w:szCs w:val="19"/>
          <w:color w:val="auto"/>
        </w:rPr>
      </w:pPr>
      <w:r>
        <w:rPr>
          <w:rFonts w:ascii="Arial" w:cs="Arial" w:eastAsia="Arial" w:hAnsi="Arial"/>
          <w:sz w:val="19"/>
          <w:szCs w:val="19"/>
          <w:color w:val="auto"/>
        </w:rPr>
        <w:t>Notwithstanding anything in the second sentence of Article II Section 16(b) or the second sentence of Article II Section 16(c) to the contrary, if the number of Directors to be elected to the Board of Directors is increased and there is no public announcement naming all of the nominees for Director or specifying the size of the increased Board of Directors made by the Corporation at least ninety (90) days prior to the anniversary of the date on which the Corporation first made publicly available (whether by mailing, by filing with the Commission or by posting on an internet web site) its proxy materials for the immediately preceding annual meeting of stockholders, then a stockholder’s notice required by this Section 16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134" w:name="page135"/>
    <w:bookmarkEnd w:id="134"/>
    <w:p>
      <w:pPr>
        <w:ind w:left="-20" w:firstLine="980"/>
        <w:spacing w:after="0" w:line="270" w:lineRule="auto"/>
        <w:tabs>
          <w:tab w:leader="none" w:pos="1732" w:val="left"/>
        </w:tabs>
        <w:numPr>
          <w:ilvl w:val="0"/>
          <w:numId w:val="77"/>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shall have been brought before the meeting pursuant to the Corporation’s notice of meeting pursuant to Section 4 of this Article II. Subject to clause (3) of Article SEVENTH of the Certificate of Incorporation and the rights of certain stockholders to nominate Persons for election to the Board of Directors pursuant to the Shareholders Agreement, nominations of Persons for election to the Board of Directors may be made at a special meeting of stockholders at which Directors are to be elected pursuant to the Corporation’s notice of meeting (i) by or at the direction of the Board of Directors, (ii) by any holder of Outstanding Voting Shares who is entitled to vote at the meeting, who complied with the notice procedures set forth in paragraph (b) or (d) of this Section 16 and who was a Record Holder of a sufficient number of Outstanding Voting Shares as of the Record Date for such meeting to elect one or more members to the Board of Directors assuming that such holder cast all of the votes it is entitled to cast in such election in favor of a single candidate and such candidate received no other votes from any other holder of Outstanding Voting Shares, or (iii) by any holder of Outstanding Voting Shares who is entitled to vote at the meeting, who complies with the notice procedures set forth in paragraph (c) or (d) of this Section 16 and who is a Record Holder of Outstanding Voting Shares at the time such notice is delivered to the Secretary of the Corporation. Nominations by stockholders of Persons for election to the Board of Directors may be made at such a special meeting of stockholders if the stockholder’s notice as required by Article II Section 16(b) or Article II Section 16(c) for an annual meeting shall be delivered to the Secretary of the Corporation not earlier than the ninetieth (90th) day prior to such special meeting and not later than the close of business on the later of the seventieth (70th) day prior to such special meeting or the tenth (10th) day following the day on which public announcement is first made of the date of the special meeting and of the nominees proposed by the Board of Directors to be elected at such meeting.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35" w:name="page136"/>
    <w:bookmarkEnd w:id="135"/>
    <w:p>
      <w:pPr>
        <w:ind w:left="-40" w:firstLine="980"/>
        <w:spacing w:after="0" w:line="274" w:lineRule="auto"/>
        <w:tabs>
          <w:tab w:leader="none" w:pos="1688" w:val="left"/>
        </w:tabs>
        <w:numPr>
          <w:ilvl w:val="0"/>
          <w:numId w:val="78"/>
        </w:numPr>
        <w:rPr>
          <w:rFonts w:ascii="Arial" w:cs="Arial" w:eastAsia="Arial" w:hAnsi="Arial"/>
          <w:sz w:val="19"/>
          <w:szCs w:val="19"/>
          <w:color w:val="auto"/>
        </w:rPr>
      </w:pPr>
      <w:r>
        <w:rPr>
          <w:rFonts w:ascii="Arial" w:cs="Arial" w:eastAsia="Arial" w:hAnsi="Arial"/>
          <w:sz w:val="19"/>
          <w:szCs w:val="19"/>
          <w:color w:val="auto"/>
        </w:rPr>
        <w:t>Except to the extent otherwise provided in clause (3) of Article SEVENTH of the Certificate of Incorporation with respect to vacancies and subject to the rights of certain stockholders to nominate Persons for election to the Board of Directors pursuant to the Shareholders Agreement, only Persons who are nominated in accordance with the procedures set forth in this Section 16 shall be eligible to serve as Directors and only such business shall be conducted at a meeting of stockholders as shall have been brought before the meeting in accordance with the procedures set forth in this Section 16. Except as otherwise provided herein or required by law, the chairman of the meeting shall have the power and duty to determine whether a nomination or any business proposed to be brought before the meeting was made in accordance with the procedures set forth in this Section 16 and, if any proposed nomination or business is not in compliance with this Section 16, to declare that such defective proposal or nomination shall be disregarded.</w:t>
      </w:r>
    </w:p>
    <w:p>
      <w:pPr>
        <w:spacing w:after="0" w:line="185" w:lineRule="exact"/>
        <w:rPr>
          <w:rFonts w:ascii="Arial" w:cs="Arial" w:eastAsia="Arial" w:hAnsi="Arial"/>
          <w:sz w:val="19"/>
          <w:szCs w:val="19"/>
          <w:color w:val="auto"/>
        </w:rPr>
      </w:pPr>
    </w:p>
    <w:p>
      <w:pPr>
        <w:ind w:left="-40" w:firstLine="980"/>
        <w:spacing w:after="0" w:line="252" w:lineRule="auto"/>
        <w:tabs>
          <w:tab w:leader="none" w:pos="1724" w:val="left"/>
        </w:tabs>
        <w:numPr>
          <w:ilvl w:val="0"/>
          <w:numId w:val="78"/>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16, a stockholder shall also comply with all applicable requirements of the Exchange Act and the rules and regulations thereunder with respect to the matters set forth in this Section 16. Nothing in this Section 16 shall be deemed to affect any rights of stockholders to request inclusion of proposals in the Corporation’s proxy statement pursuant to Rule 14a-8 under the Exchange 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36" w:name="page137"/>
    <w:bookmarkEnd w:id="136"/>
    <w:p>
      <w:pPr>
        <w:ind w:right="180" w:firstLine="980"/>
        <w:spacing w:after="0" w:line="282" w:lineRule="auto"/>
        <w:tabs>
          <w:tab w:leader="none" w:pos="1752"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stockholder providing notice of nomination or any other business proposed to be brought before any meeting of stockholders shall further update and supplement such notice, if necessary, so that the information provided or required to be provided in such notice pursuant to Article II Section 16(b) or Article II Section 16(c), as applicable, shall be true and correct as of the Record Date for such meeting and such update and supplement shall be delivered to or be mailed and received by the Secretary of the Corporation not later than five (5) business days after the Record Date for such meeting.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DIRECTORS</w:t>
      </w:r>
    </w:p>
    <w:p>
      <w:pPr>
        <w:spacing w:after="0" w:line="233" w:lineRule="exact"/>
        <w:rPr>
          <w:sz w:val="20"/>
          <w:szCs w:val="20"/>
          <w:color w:val="auto"/>
        </w:rPr>
      </w:pPr>
    </w:p>
    <w:p>
      <w:pPr>
        <w:ind w:firstLine="972"/>
        <w:spacing w:after="0" w:line="27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Duties and Powers</w:t>
      </w:r>
      <w:r>
        <w:rPr>
          <w:rFonts w:ascii="Arial" w:cs="Arial" w:eastAsia="Arial" w:hAnsi="Arial"/>
          <w:sz w:val="19"/>
          <w:szCs w:val="19"/>
          <w:color w:val="auto"/>
        </w:rPr>
        <w:t>. Except as otherwise expressly provided in these By-Laws, the business and affairs of the Corporation shall be managed by or under the direction of the Board of Directors. As provided in Article IV of these By-Laws, the Board of Directors shall have the power and authority to appoint Officers of the Corporation. No stockholder, by virtue of its status as such, shall have any management power over the business and affairs of the Corporation or actual or apparent authority to enter into, execute or deliver contracts on behalf of, or to otherwise bind, the Corporation. Except as otherwise expressly provided in these By-Laws and subject to Article ELEVENTH of the Certificate of Incorporation, in addition to the powers that now or hereafter can be granted to directors under the DGCL and to all other powers granted under any other provision of these By-Laws, the Board of Directors shall have full power and authority to do, and to direct the Officers to do, all things and on such terms as it determines to be necessary or appropriate to conduct the business of the Corporation, to exercise all powers set forth in Article THIRD of the Certificate of Incorporation and to effectuate the purposes set forth in Article THIRD of the Certificate of Incorporation, including the following: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40" w:right="40" w:firstLine="980"/>
        <w:spacing w:after="0"/>
        <w:tabs>
          <w:tab w:leader="none" w:pos="1712"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making of any expenditures, the lending or borrowing of money, the assumption or guarantee of, or other contracting for, indebtedness and other liabilities, the issuance of evidences of indebtedness, including indebtedness that is convertible into Shares, and the incurring of any other obligations;</w:t>
      </w:r>
    </w:p>
    <w:p>
      <w:pPr>
        <w:spacing w:after="0" w:line="213" w:lineRule="exact"/>
        <w:rPr>
          <w:rFonts w:ascii="Arial" w:cs="Arial" w:eastAsia="Arial" w:hAnsi="Arial"/>
          <w:sz w:val="22"/>
          <w:szCs w:val="22"/>
          <w:color w:val="auto"/>
        </w:rPr>
      </w:pPr>
    </w:p>
    <w:p>
      <w:pPr>
        <w:ind w:left="-40" w:right="200" w:firstLine="980"/>
        <w:spacing w:after="0" w:line="250" w:lineRule="auto"/>
        <w:tabs>
          <w:tab w:leader="none" w:pos="1724"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making of tax, regulatory and other filings, or rendering of periodic or other reports to governmental or other agencies having jurisdiction over the business or assets of the Corporation;</w:t>
      </w:r>
    </w:p>
    <w:p>
      <w:pPr>
        <w:spacing w:after="0" w:line="201" w:lineRule="exact"/>
        <w:rPr>
          <w:rFonts w:ascii="Arial" w:cs="Arial" w:eastAsia="Arial" w:hAnsi="Arial"/>
          <w:sz w:val="22"/>
          <w:szCs w:val="22"/>
          <w:color w:val="auto"/>
        </w:rPr>
      </w:pPr>
    </w:p>
    <w:p>
      <w:pPr>
        <w:ind w:left="-40" w:right="40" w:firstLine="980"/>
        <w:spacing w:after="0" w:line="238" w:lineRule="auto"/>
        <w:tabs>
          <w:tab w:leader="none" w:pos="1712"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acquisition, disposition, mortgage, pledge, encumbrance, hypothecation or exchange of any or all of the assets of the Corporation or the merger or other combination of the Corporation with or into another Person (subject, however, to any prior approval of stockholders that may be required by the Certificate of Incorporation, these By-Laws or pursuant to applicable law);</w:t>
      </w:r>
    </w:p>
    <w:p>
      <w:pPr>
        <w:spacing w:after="0" w:line="211" w:lineRule="exact"/>
        <w:rPr>
          <w:rFonts w:ascii="Arial" w:cs="Arial" w:eastAsia="Arial" w:hAnsi="Arial"/>
          <w:sz w:val="22"/>
          <w:szCs w:val="22"/>
          <w:color w:val="auto"/>
        </w:rPr>
      </w:pPr>
    </w:p>
    <w:p>
      <w:pPr>
        <w:jc w:val="both"/>
        <w:ind w:left="-40" w:firstLine="980"/>
        <w:spacing w:after="0" w:line="236" w:lineRule="auto"/>
        <w:tabs>
          <w:tab w:leader="none" w:pos="1724"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use of the assets of the Corporation (including cash on hand) for any purpose consistent with the terms of the Certificate of Incorporation or these By-Laws, including the financing of the conduct of the operations of the Corporation and its Subsidiaries; the lending of funds to other Persons (including other Group Members); the repayment of obligations of the Corporation and its Subsidiaries; and the making of capital contributions to any stockholder of the Corporation or any of its Subsidiaries;</w:t>
      </w:r>
    </w:p>
    <w:p>
      <w:pPr>
        <w:spacing w:after="0" w:line="214" w:lineRule="exact"/>
        <w:rPr>
          <w:rFonts w:ascii="Arial" w:cs="Arial" w:eastAsia="Arial" w:hAnsi="Arial"/>
          <w:sz w:val="22"/>
          <w:szCs w:val="22"/>
          <w:color w:val="auto"/>
        </w:rPr>
      </w:pPr>
    </w:p>
    <w:p>
      <w:pPr>
        <w:ind w:left="-40" w:right="320" w:firstLine="980"/>
        <w:spacing w:after="0"/>
        <w:tabs>
          <w:tab w:leader="none" w:pos="1712"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negotiation, execution and performance of any contracts, conveyances or other instruments (including instruments that limit the liability of the Corporation under contractual arrangements to all or particular assets of the Corporation);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38" w:name="page139"/>
    <w:bookmarkEnd w:id="138"/>
    <w:p>
      <w:pPr>
        <w:ind w:left="1640" w:hanging="760"/>
        <w:spacing w:after="0"/>
        <w:tabs>
          <w:tab w:leader="none" w:pos="1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declaration and payment of distributions of cash or other assets to stockholders;</w:t>
      </w:r>
    </w:p>
    <w:p>
      <w:pPr>
        <w:spacing w:after="0" w:line="233" w:lineRule="exact"/>
        <w:rPr>
          <w:rFonts w:ascii="Arial" w:cs="Arial" w:eastAsia="Arial" w:hAnsi="Arial"/>
          <w:sz w:val="22"/>
          <w:szCs w:val="22"/>
          <w:color w:val="auto"/>
        </w:rPr>
      </w:pPr>
    </w:p>
    <w:p>
      <w:pPr>
        <w:ind w:left="-100" w:firstLine="980"/>
        <w:spacing w:after="0"/>
        <w:tabs>
          <w:tab w:leader="none" w:pos="166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selection and dismissal of officers, employees, agents, outside attorneys, accountants, consultants and contractors and the determination of their compensation and other terms of employment or hiring, and the creation and operation of employee benefit plans, employee programs and employee practices;</w:t>
      </w:r>
    </w:p>
    <w:p>
      <w:pPr>
        <w:spacing w:after="0" w:line="213" w:lineRule="exact"/>
        <w:rPr>
          <w:rFonts w:ascii="Arial" w:cs="Arial" w:eastAsia="Arial" w:hAnsi="Arial"/>
          <w:sz w:val="22"/>
          <w:szCs w:val="22"/>
          <w:color w:val="auto"/>
        </w:rPr>
      </w:pPr>
    </w:p>
    <w:p>
      <w:pPr>
        <w:ind w:left="1680" w:hanging="800"/>
        <w:spacing w:after="0"/>
        <w:tabs>
          <w:tab w:leader="none" w:pos="16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maintenance of insurance for the benefit of the Company Group and the Indemnified Persons;</w:t>
      </w:r>
    </w:p>
    <w:p>
      <w:pPr>
        <w:spacing w:after="0" w:line="244" w:lineRule="exact"/>
        <w:rPr>
          <w:rFonts w:ascii="Arial" w:cs="Arial" w:eastAsia="Arial" w:hAnsi="Arial"/>
          <w:sz w:val="21"/>
          <w:szCs w:val="21"/>
          <w:color w:val="auto"/>
        </w:rPr>
      </w:pPr>
    </w:p>
    <w:p>
      <w:pPr>
        <w:ind w:left="-100" w:right="380" w:firstLine="980"/>
        <w:spacing w:after="0"/>
        <w:tabs>
          <w:tab w:leader="none" w:pos="161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formation of, or acquisition or disposition of an interest in, and the contribution of property and the making of loans to, any limited or general partnership, joint venture, corporation, limited liability company or other entity or arrangement;</w:t>
      </w:r>
    </w:p>
    <w:p>
      <w:pPr>
        <w:spacing w:after="0" w:line="213" w:lineRule="exact"/>
        <w:rPr>
          <w:rFonts w:ascii="Arial" w:cs="Arial" w:eastAsia="Arial" w:hAnsi="Arial"/>
          <w:sz w:val="22"/>
          <w:szCs w:val="22"/>
          <w:color w:val="auto"/>
        </w:rPr>
      </w:pPr>
    </w:p>
    <w:p>
      <w:pPr>
        <w:ind w:left="-100" w:right="100" w:firstLine="980"/>
        <w:spacing w:after="0"/>
        <w:tabs>
          <w:tab w:leader="none" w:pos="161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control of any matters affecting the rights and obligations of the Corporation, including the bringing and defending of actions at law or in equity and otherwise engaging in the conduct of litigation, arbitration or remediation, and the incurring of legal expense and the settlement of claims and litigation;</w:t>
      </w:r>
    </w:p>
    <w:p>
      <w:pPr>
        <w:spacing w:after="0" w:line="213" w:lineRule="exact"/>
        <w:rPr>
          <w:rFonts w:ascii="Arial" w:cs="Arial" w:eastAsia="Arial" w:hAnsi="Arial"/>
          <w:sz w:val="22"/>
          <w:szCs w:val="22"/>
          <w:color w:val="auto"/>
        </w:rPr>
      </w:pPr>
    </w:p>
    <w:p>
      <w:pPr>
        <w:ind w:left="1680" w:hanging="800"/>
        <w:spacing w:after="0"/>
        <w:tabs>
          <w:tab w:leader="none" w:pos="16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indemnification of any Person against liabilities and contingencies to the extent permitted by law;</w:t>
      </w:r>
    </w:p>
    <w:p>
      <w:pPr>
        <w:spacing w:after="0" w:line="244" w:lineRule="exact"/>
        <w:rPr>
          <w:rFonts w:ascii="Arial" w:cs="Arial" w:eastAsia="Arial" w:hAnsi="Arial"/>
          <w:sz w:val="21"/>
          <w:szCs w:val="21"/>
          <w:color w:val="auto"/>
        </w:rPr>
      </w:pPr>
    </w:p>
    <w:p>
      <w:pPr>
        <w:ind w:left="-100" w:firstLine="980"/>
        <w:spacing w:after="0" w:line="250" w:lineRule="auto"/>
        <w:tabs>
          <w:tab w:leader="none" w:pos="161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entering into of listing agreements with any National Securities Exchange and the delisting of some or all of the Shares from, or requesting that trading be suspended on, any such exchange;</w:t>
      </w:r>
    </w:p>
    <w:p>
      <w:pPr>
        <w:spacing w:after="0" w:line="201" w:lineRule="exact"/>
        <w:rPr>
          <w:rFonts w:ascii="Arial" w:cs="Arial" w:eastAsia="Arial" w:hAnsi="Arial"/>
          <w:sz w:val="22"/>
          <w:szCs w:val="22"/>
          <w:color w:val="auto"/>
        </w:rPr>
      </w:pPr>
    </w:p>
    <w:p>
      <w:pPr>
        <w:ind w:left="-100" w:right="300" w:firstLine="980"/>
        <w:spacing w:after="0" w:line="250" w:lineRule="auto"/>
        <w:tabs>
          <w:tab w:leader="none" w:pos="172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issuance, sale or other disposition, and the purchase or other acquisition, of Shares or options, rights, warrants or appreciation rights relating to Shares;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8" w:right="439" w:bottom="1440" w:gutter="0" w:footer="0" w:header="0"/>
        </w:sectPr>
      </w:pPr>
    </w:p>
    <w:bookmarkStart w:id="139" w:name="page140"/>
    <w:bookmarkEnd w:id="139"/>
    <w:p>
      <w:pPr>
        <w:ind w:left="1780" w:hanging="800"/>
        <w:spacing w:after="0"/>
        <w:tabs>
          <w:tab w:leader="none" w:pos="17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undertaking of any action in connection with the Corporation’s interest or participation in any Group</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Member;</w:t>
      </w:r>
    </w:p>
    <w:p>
      <w:pPr>
        <w:spacing w:after="0" w:line="215" w:lineRule="exact"/>
        <w:rPr>
          <w:sz w:val="20"/>
          <w:szCs w:val="20"/>
          <w:color w:val="auto"/>
        </w:rPr>
      </w:pPr>
    </w:p>
    <w:p>
      <w:pPr>
        <w:ind w:right="40" w:firstLine="980"/>
        <w:spacing w:after="0"/>
        <w:tabs>
          <w:tab w:leader="none" w:pos="176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registration of any offer, issuance, sale or resale of Shares or other securities issued or to be issued by the Corporation under the Securities Act and any other applicable securities laws (including any resale of Shares or other securities by stockholders or other securityholders); and</w:t>
      </w:r>
    </w:p>
    <w:p>
      <w:pPr>
        <w:spacing w:after="0" w:line="213" w:lineRule="exact"/>
        <w:rPr>
          <w:rFonts w:ascii="Arial" w:cs="Arial" w:eastAsia="Arial" w:hAnsi="Arial"/>
          <w:sz w:val="22"/>
          <w:szCs w:val="22"/>
          <w:color w:val="auto"/>
        </w:rPr>
      </w:pPr>
    </w:p>
    <w:p>
      <w:pPr>
        <w:ind w:left="1780" w:hanging="800"/>
        <w:spacing w:after="0"/>
        <w:tabs>
          <w:tab w:leader="none" w:pos="17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execution and delivery of agreements with Affiliates of the Corporation to render services to a Group</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Member.</w:t>
      </w:r>
    </w:p>
    <w:p>
      <w:pPr>
        <w:spacing w:after="0" w:line="215" w:lineRule="exact"/>
        <w:rPr>
          <w:sz w:val="20"/>
          <w:szCs w:val="20"/>
          <w:color w:val="auto"/>
        </w:rPr>
      </w:pPr>
    </w:p>
    <w:p>
      <w:pPr>
        <w:ind w:firstLine="972"/>
        <w:spacing w:after="0" w:line="27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Meetings</w:t>
      </w:r>
      <w:r>
        <w:rPr>
          <w:rFonts w:ascii="Arial" w:cs="Arial" w:eastAsia="Arial" w:hAnsi="Arial"/>
          <w:sz w:val="19"/>
          <w:szCs w:val="19"/>
          <w:color w:val="auto"/>
        </w:rPr>
        <w:t>. The Board of Directors and any committee thereof may hold meetings, both regular and special, either within or without the State of Delaware. The Board of Directors may, by resolution, provide the time and place (if any) for the holding of regular meetings without any other notice than such resolution. Unless otherwise determined by the Board of Directors, the Secretary of the Corporation shall act as Secretary at all regular meetings of the Board of Directors and in the Secretary’s absence a temporary Secretary shall be appointed by the chairman of the meeting. Special meetings of the Board of Directors may be called by the Chairman or any Co-Chairman of the Board, the Chief Executive Officer, or, upon a resolution adopted by the Board of Directors, by the Secretary on twenty-four (24) hours’ notice to each Director, either personally or by telephone or by mail, telegraph, telex, cable, wireless or other form of recorded or electronic communication, or on such shorter notice as the person or persons calling such meeting may deem necessary or appropriate in the circumstances.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0" w:name="page141"/>
    <w:bookmarkEnd w:id="140"/>
    <w:p>
      <w:pPr>
        <w:ind w:right="20" w:firstLine="972"/>
        <w:spacing w:after="0" w:line="246"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Organization</w:t>
      </w:r>
      <w:r>
        <w:rPr>
          <w:rFonts w:ascii="Arial" w:cs="Arial" w:eastAsia="Arial" w:hAnsi="Arial"/>
          <w:sz w:val="21"/>
          <w:szCs w:val="21"/>
          <w:color w:val="auto"/>
        </w:rPr>
        <w:t>. The Board of Directors may elect one of its members as Chairman of the Board (the “</w:t>
      </w:r>
      <w:r>
        <w:rPr>
          <w:rFonts w:ascii="Arial" w:cs="Arial" w:eastAsia="Arial" w:hAnsi="Arial"/>
          <w:sz w:val="21"/>
          <w:szCs w:val="21"/>
          <w:u w:val="single" w:color="auto"/>
          <w:color w:val="auto"/>
        </w:rPr>
        <w:t>Chairman of the Board</w:t>
      </w:r>
      <w:r>
        <w:rPr>
          <w:rFonts w:ascii="Arial" w:cs="Arial" w:eastAsia="Arial" w:hAnsi="Arial"/>
          <w:sz w:val="21"/>
          <w:szCs w:val="21"/>
          <w:color w:val="auto"/>
        </w:rPr>
        <w:t>”), or two or more of its members as Co-Chairmen of the Board (each, a “</w:t>
      </w:r>
      <w:r>
        <w:rPr>
          <w:rFonts w:ascii="Arial" w:cs="Arial" w:eastAsia="Arial" w:hAnsi="Arial"/>
          <w:sz w:val="21"/>
          <w:szCs w:val="21"/>
          <w:u w:val="single" w:color="auto"/>
          <w:color w:val="auto"/>
        </w:rPr>
        <w:t>Co-Chairman of the Board</w:t>
      </w:r>
      <w:r>
        <w:rPr>
          <w:rFonts w:ascii="Arial" w:cs="Arial" w:eastAsia="Arial" w:hAnsi="Arial"/>
          <w:sz w:val="21"/>
          <w:szCs w:val="21"/>
          <w:color w:val="auto"/>
        </w:rPr>
        <w:t>”). At each meeting of the Board of Directors, the Chairman or any Co-Chairman of the Board or, in the absence of a Chairman or Co-Chairman of the Board, a Director chosen by a majority of the Directors present, shall act as chairman of the meeting. The Secretary of the Corporation shall act as secretary at each meeting of the Board of Directors. In case the Secretary shall be absent from any meeting of the Board of Directors, an Assistant Secretary shall perform the duties of secretary at such meeting; and in the absence from any such meeting of the Secretary and all the Assistant Secretaries, the chairman of the meeting may appoint any person to act as secretary of the meeting.</w:t>
      </w:r>
    </w:p>
    <w:p>
      <w:pPr>
        <w:spacing w:after="0" w:line="207" w:lineRule="exact"/>
        <w:rPr>
          <w:sz w:val="20"/>
          <w:szCs w:val="20"/>
          <w:color w:val="auto"/>
        </w:rPr>
      </w:pPr>
    </w:p>
    <w:p>
      <w:pPr>
        <w:ind w:firstLine="972"/>
        <w:spacing w:after="0" w:line="27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Resignations and Removals of Directors</w:t>
      </w:r>
      <w:r>
        <w:rPr>
          <w:rFonts w:ascii="Arial" w:cs="Arial" w:eastAsia="Arial" w:hAnsi="Arial"/>
          <w:sz w:val="19"/>
          <w:szCs w:val="19"/>
          <w:color w:val="auto"/>
        </w:rPr>
        <w:t>. Any Director may resign at any time by giving notice of such Director’s resignation in writing or by electronic transmission to the Chairman or any Co-Chairman of the Board, if there be one, the Chief Executive Officer or the Secretary of the Corporation. Any such resignation shall take effect at the time specified therein, or if the time when it shall become effective shall not be specified therein, then it shall take effect immediately upon its receipt by the Corporation. Unless otherwise specified therein, the acceptance of such resignation shall not be necessary to make it effective. The vacancy in the Board of Directors caused by any such resignation shall be filled by the Board of Directors as provided in clause (3) of Article SEVENTH of the Certificate of Incorporation.</w:t>
      </w:r>
    </w:p>
    <w:p>
      <w:pPr>
        <w:spacing w:after="0" w:line="179" w:lineRule="exact"/>
        <w:rPr>
          <w:sz w:val="20"/>
          <w:szCs w:val="20"/>
          <w:color w:val="auto"/>
        </w:rPr>
      </w:pPr>
    </w:p>
    <w:p>
      <w:pPr>
        <w:ind w:firstLine="972"/>
        <w:spacing w:after="0" w:line="27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Quorum</w:t>
      </w:r>
      <w:r>
        <w:rPr>
          <w:rFonts w:ascii="Arial" w:cs="Arial" w:eastAsia="Arial" w:hAnsi="Arial"/>
          <w:sz w:val="19"/>
          <w:szCs w:val="19"/>
          <w:color w:val="auto"/>
        </w:rPr>
        <w:t>. Except as otherwise required by law, or the Certificate of Incorporation or the rules and regulations of any securities exchange or quotation system on which the securities of the Corporation are listed or quoted for trading, (a) at all meetings of the Board of Directors, a majority of the then total number of Directors in office shall constitute a quorum for the transaction of business, (b) at all meetings of any committee of the Board of Directors, the presence of a majority of the total number of members of such committee (assuming no vacancies) shall constitute a quorum and (c) the act of a majority of the Directors or committee members present at any meeting at which there is a quorum shall be the act of the Board of Directors or such committee, as the case may be.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1" w:name="page142"/>
    <w:bookmarkEnd w:id="141"/>
    <w:p>
      <w:pPr>
        <w:ind w:firstLine="972"/>
        <w:spacing w:after="0" w:line="247"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Actions of the Board by Written Consent</w:t>
      </w:r>
      <w:r>
        <w:rPr>
          <w:rFonts w:ascii="Arial" w:cs="Arial" w:eastAsia="Arial" w:hAnsi="Arial"/>
          <w:sz w:val="21"/>
          <w:szCs w:val="21"/>
          <w:color w:val="auto"/>
        </w:rPr>
        <w:t>. Unless otherwise provided in the Certificate of Incorporation or these By-Laws, any action required or permitted to be taken at any meeting by the Board of Directors or any committee thereof, as the case may be, may be taken without a meeting if a consent thereto is signed or transmitted electronically, as the case may be, by all members of the Board of Directors or of such committee, as the case may be, and the writing or writings or electronic transmission or transmissions are filed with the minutes of proceedings of the Board of Directors or such committee. Such filing shall be in paper form if the minutes are maintained in paper form and shall be in electronic form if the minutes are maintained in electronic form.</w:t>
      </w:r>
    </w:p>
    <w:p>
      <w:pPr>
        <w:spacing w:after="0" w:line="205" w:lineRule="exact"/>
        <w:rPr>
          <w:sz w:val="20"/>
          <w:szCs w:val="20"/>
          <w:color w:val="auto"/>
        </w:rPr>
      </w:pPr>
    </w:p>
    <w:p>
      <w:pPr>
        <w:ind w:right="80" w:firstLine="972"/>
        <w:spacing w:after="0" w:line="252"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Meetings by Means of Conference Telephone</w:t>
      </w:r>
      <w:r>
        <w:rPr>
          <w:rFonts w:ascii="Arial" w:cs="Arial" w:eastAsia="Arial" w:hAnsi="Arial"/>
          <w:sz w:val="21"/>
          <w:szCs w:val="21"/>
          <w:color w:val="auto"/>
        </w:rPr>
        <w:t>.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2" w:name="page143"/>
    <w:bookmarkEnd w:id="142"/>
    <w:p>
      <w:pPr>
        <w:ind w:firstLine="972"/>
        <w:spacing w:after="0" w:line="26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by resolution or resolutions passed by a majority of the then total number of members of the Board of Directors, designate one or more other committees consisting of one or more Directors of the Corporation, which, to the extent permitted by law and provided in such resolution or resolutions, shall have and may exercise, subject to the provisions of these By-Laws, the DGCL and the Certificate of Incorporation, the powers and authority of the Board of Directors granted hereunder; but no such committee shall have the power to fill vacancies in the Board of Directors or any committee or in their respective membership, to approve or adopt, or recommend to the stockholders, any action or matter, other than the election or removal of Directors, expressly required by these By-Laws, the DGCL or the Certificate of Incorporation to be submitted to stockholders for their approval, or to authorize the issuance of Shares, except that such a committee may, to the extent provided in such resolutions, (a) grant and authorize options and other rights with respect to the Shares pursuant to and in accordance with any plan or authorizing resolutions approved by the Board of Directors and (b) function as the pricing committee with respect to any offering of Shares authorized by the Board of Directors. Each member of a committee must meet the requirements for membership, if any, imposed by applicable law and the rules and regulations of any securities exchange or quotation system on which the securities of the Corporation are listed or quoted for trading. Such committee or committees shall have such name or names as may be determined from time to time by resolution adopted by the Board of Directors. A majority of all the members of any such committee may determine its action and fix the time and place, if any, of its meetings and specify what notice thereof, if any, shall be given, unless the Board of Directors shall otherwise provide. The Board of Directors shall have power to change the members of any such committee at any time to fill vacancies, and to discharge any such committee, either with or without cause, at any time. The Secretary of the Corporation shall act as Secretary of any committee, unless otherwise provided by the Board of Directors or the committee. The Board of Directors may designate one or more Directors as alternate members of any committee, who may replace any absent or disqualified member at any meeting of the committee, or if none be so appointed the member or members thereof present at any meeting and not disqualified from voting, whether or not such member or members or they constitute a quorum, may unanimously appoint another member of the Board of Directors to act at the meeting in the place of any such absent or disqualified member. Each committee shall keep regular minutes of its meetings and proceedings and report the same to the Board of Directors at the next meeting thereof.</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43" w:name="page144"/>
    <w:bookmarkEnd w:id="143"/>
    <w:p>
      <w:pPr>
        <w:ind w:firstLine="972"/>
        <w:spacing w:after="0" w:line="23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Remuneration</w:t>
      </w:r>
      <w:r>
        <w:rPr>
          <w:rFonts w:ascii="Arial" w:cs="Arial" w:eastAsia="Arial" w:hAnsi="Arial"/>
          <w:sz w:val="22"/>
          <w:szCs w:val="22"/>
          <w:color w:val="auto"/>
        </w:rPr>
        <w:t>. Each Director shall receive remuneration for such Director’s services as determined by the Board of Directors at any time and from time to time by resolution. The Board of Directors may also likewise provide that the Corporation shall reimburse each Director for any expenses paid by such Director on account of such Director’s attendance at any meeting. Nothing in this Section 9 shall be construed to preclude any Director from serving the Corporation in any other capacity and receiving remuneration therefor.</w:t>
      </w:r>
    </w:p>
    <w:p>
      <w:pPr>
        <w:spacing w:after="0" w:line="215" w:lineRule="exact"/>
        <w:rPr>
          <w:sz w:val="20"/>
          <w:szCs w:val="20"/>
          <w:color w:val="auto"/>
        </w:rPr>
      </w:pPr>
    </w:p>
    <w:p>
      <w:pPr>
        <w:ind w:firstLine="972"/>
        <w:spacing w:after="0" w:line="271"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Interested Directors</w:t>
      </w:r>
      <w:r>
        <w:rPr>
          <w:rFonts w:ascii="Arial" w:cs="Arial" w:eastAsia="Arial" w:hAnsi="Arial"/>
          <w:sz w:val="19"/>
          <w:szCs w:val="19"/>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4" w:name="page145"/>
    <w:bookmarkEnd w:id="144"/>
    <w:p>
      <w:pPr>
        <w:ind w:right="80" w:firstLine="972"/>
        <w:spacing w:after="0" w:line="23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New Fortress Intermediate</w:t>
      </w:r>
      <w:r>
        <w:rPr>
          <w:rFonts w:ascii="Arial" w:cs="Arial" w:eastAsia="Arial" w:hAnsi="Arial"/>
          <w:sz w:val="22"/>
          <w:szCs w:val="22"/>
          <w:color w:val="auto"/>
        </w:rPr>
        <w:t>. To the extent permitted by law, the Board of Directors, in its capacity as the managing member of New Fortress Intermediate, shall have the right to approve amendments to the New Fortress Intermediate operating agreement relating to the mechanics of a redemption of New Fortress Intermediate units (together with Class B Shares) for Class A Shares without any duty to the Corporation.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OFFICERS</w:t>
      </w:r>
    </w:p>
    <w:p>
      <w:pPr>
        <w:spacing w:after="0" w:line="233" w:lineRule="exact"/>
        <w:rPr>
          <w:sz w:val="20"/>
          <w:szCs w:val="20"/>
          <w:color w:val="auto"/>
        </w:rPr>
      </w:pPr>
    </w:p>
    <w:p>
      <w:pPr>
        <w:ind w:firstLine="972"/>
        <w:spacing w:after="0" w:line="244"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General</w:t>
      </w:r>
      <w:r>
        <w:rPr>
          <w:rFonts w:ascii="Arial" w:cs="Arial" w:eastAsia="Arial" w:hAnsi="Arial"/>
          <w:sz w:val="21"/>
          <w:szCs w:val="21"/>
          <w:color w:val="auto"/>
        </w:rPr>
        <w:t>. The Board of Directors shall have the power and authority to appoint such officers with such titles, authority and duties as determined by the Board of Directors. Such Persons so designated by the Board of Directors shall be referred to as “</w:t>
      </w:r>
      <w:r>
        <w:rPr>
          <w:rFonts w:ascii="Arial" w:cs="Arial" w:eastAsia="Arial" w:hAnsi="Arial"/>
          <w:sz w:val="21"/>
          <w:szCs w:val="21"/>
          <w:u w:val="single" w:color="auto"/>
          <w:color w:val="auto"/>
        </w:rPr>
        <w:t>Officers</w:t>
      </w:r>
      <w:r>
        <w:rPr>
          <w:rFonts w:ascii="Arial" w:cs="Arial" w:eastAsia="Arial" w:hAnsi="Arial"/>
          <w:sz w:val="21"/>
          <w:szCs w:val="21"/>
          <w:color w:val="auto"/>
        </w:rPr>
        <w:t>.” Unless provided otherwise by resolution of the Board of Directors, the Officers shall have the titles, power, authority and duties described below in this Article IV. The Officers of the Corporation may include a Chairman of the Board, one or more Co-Chairmen of the Board, a Vice Chairman, a Chief Executive Officer, a Chief Operating Officer, a Chief Financial Officer, one or more Presidents or Co-Presidents, one or more Vice Presidents (who may be further classified by such descriptions as “executive,” “senior,” “assistant” or otherwise, as the Board of Directors shall determine), a Secretary, one or more Assistant Secretaries, a Treasurer and one or more Assistant Treasurers. Officers shall be elected by the Board of Directors, which shall consider that subject at its first meeting after every annual meeting of stockholders and as necessary to fill vacancies. Each Officer shall hold office until his or her successor is elected and qualified or until his or her earlier death, resignation or removal. Any number of offices may be held by the same Person. The compensation of Officers elected by the Board of Directors shall be fixed from time to time by the Board of Directors or by such Officers as may be designated by resolution of the Board of Directors.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firstLine="972"/>
        <w:spacing w:after="0" w:line="24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Resignation and Removal</w:t>
      </w:r>
      <w:r>
        <w:rPr>
          <w:rFonts w:ascii="Arial" w:cs="Arial" w:eastAsia="Arial" w:hAnsi="Arial"/>
          <w:sz w:val="21"/>
          <w:szCs w:val="21"/>
          <w:color w:val="auto"/>
        </w:rPr>
        <w:t>. Any Officer may resign at any time upon written notice to the Corporation. Any Officer, agent or employee of the Corporation may be removed by either the Chairman of the Board or the Board of Directors with or without cause at any time. The Board of Directors hereby also delegates the power of removal as to Officers, agents and employees who have not been appointed by the Board of Directors to the Chairman of the Board. Such removal shall be without prejudice to a Person’s contract rights, if any, but the appointment of any Person as an Officer, agent or employee of the Corporation shall not of itself create contract rights.</w:t>
      </w:r>
    </w:p>
    <w:p>
      <w:pPr>
        <w:spacing w:after="0" w:line="204" w:lineRule="exact"/>
        <w:rPr>
          <w:sz w:val="20"/>
          <w:szCs w:val="20"/>
          <w:color w:val="auto"/>
        </w:rPr>
      </w:pPr>
    </w:p>
    <w:p>
      <w:pPr>
        <w:ind w:right="80" w:firstLine="972"/>
        <w:spacing w:after="0" w:line="248"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Voting Securities Owned by the Corporation</w:t>
      </w:r>
      <w:r>
        <w:rPr>
          <w:rFonts w:ascii="Arial" w:cs="Arial" w:eastAsia="Arial" w:hAnsi="Arial"/>
          <w:sz w:val="21"/>
          <w:szCs w:val="21"/>
          <w:color w:val="auto"/>
        </w:rPr>
        <w:t>. Unless otherwise directed by the Board of Directors, the Chief Executive Officer, any President or Co-President, the Chief Operating Officer or any other Officer of the Corporation authorized by the Chief Executive Officer shall have power to vote and otherwise act on behalf of the Corporation, in person or by proxy, at any meeting of members of or with respect to any action of equity holders of any other entity in which the Corporation may hold securities and otherwise to exercise any and all rights and powers which the Corporation may possess by reason of its ownership of securities in such other entities.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46" w:name="page147"/>
    <w:bookmarkEnd w:id="146"/>
    <w:p>
      <w:pPr>
        <w:ind w:firstLine="972"/>
        <w:spacing w:after="0" w:line="27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Chairman of the Board of Directors and Chief Executive Officer</w:t>
      </w:r>
      <w:r>
        <w:rPr>
          <w:rFonts w:ascii="Arial" w:cs="Arial" w:eastAsia="Arial" w:hAnsi="Arial"/>
          <w:sz w:val="19"/>
          <w:szCs w:val="19"/>
          <w:color w:val="auto"/>
        </w:rPr>
        <w:t>. Subject to Article ELEVENTH of the Certificate of Incorporation, the Chairman of the Board shall be the Chief Executive Officer of the Corporation unless the Board of Directors elects another Person as Chief Executive Officer. Subject to the control of the Board of Directors, the Chief Executive Officer shall have general executive charge, management and control of the properties, business and operations of the Corporation with all such powers as may be reasonably incident to such responsibilities; he or she may employ and discharge employees and agents of the Corporation except such as shall be appointed by the Board of Directors, and he or she may delegate these powers; he or she may agree upon and execute all leases, contracts, evidences of indebtedness and other obligations in the name of the Corporation, and shall have such other powers and duties as designated in accordance with the Certificate of Incorporation and these By-Laws and as from time to time may be assigned to him or her by the Board of Directors. If elected, the Chairman of the Board or any Co-Chairman of the Board shall preside at all meetings of the stockholders and of the Board of Directors; and shall have such other powers and duties as designated in the Certificate of Incorporation and these By-Laws and as from time to time may be assigned to him, her or them by the Board of Directors.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7" w:name="page148"/>
    <w:bookmarkEnd w:id="147"/>
    <w:p>
      <w:pPr>
        <w:ind w:firstLine="972"/>
        <w:spacing w:after="0" w:line="271"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Senior Officers</w:t>
      </w:r>
      <w:r>
        <w:rPr>
          <w:rFonts w:ascii="Arial" w:cs="Arial" w:eastAsia="Arial" w:hAnsi="Arial"/>
          <w:sz w:val="19"/>
          <w:szCs w:val="19"/>
          <w:color w:val="auto"/>
        </w:rPr>
        <w:t>. Unless the Board of Directors otherwise determines, the Chief Operating Officer and every President and Co-President shall have the authority to agree upon and execute all leases, contracts, evidences of indebtedness and other obligations in the name of the Corporation. Unless the Board of Directors otherwise determines, in the absence of the Chairman of the Board or any Co-Chairman of the Board or if there be no Chairman of the Board or Co-Chairman of the Board, the Board of Directors may designate the Chief Operating Officer or a President or Co-President to preside at all meetings of the stockholders and (should he or she be a Director) of the Board of Directors. The Chief Operating Officer and each President and Co-President shall have such other powers and duties as designated in accordance with the Certificate of Incorporation and these By-Laws and as from time to time may be assigned to him or her by the Board of Directors. In the absence of a Chief Operating Officer, President or Co-President or in the event of an inability or refusal of the Chief Operating Officer and all Presidents and Co-Presidents to act, a Vice President designated by the Board of Directors shall perform the duties of a President, and when so acting shall have all the powers of and be subject to all the restrictions upon a President. In the absence of a designation by the Board of Directors of a Vice President to perform the duties of a President, or in the event of his absence or inability or refusal to act, the Vice President who is present and who is senior in terms of uninterrupted time as a Vice President of the Corporation shall so act. A Vice President shall perform such other duties and have such other powers as the Board of Directors may from time to time prescribe. Unless otherwise provided by the Board of Directors, each Vice President will have authority to act within his or her respective areas and to sign contracts relating thereto.</w:t>
      </w:r>
    </w:p>
    <w:p>
      <w:pPr>
        <w:spacing w:after="0" w:line="184" w:lineRule="exact"/>
        <w:rPr>
          <w:sz w:val="20"/>
          <w:szCs w:val="20"/>
          <w:color w:val="auto"/>
        </w:rPr>
      </w:pPr>
    </w:p>
    <w:p>
      <w:pPr>
        <w:ind w:right="20" w:firstLine="972"/>
        <w:spacing w:after="0" w:line="274"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Treasurer and Assistant Treasurer</w:t>
      </w:r>
      <w:r>
        <w:rPr>
          <w:rFonts w:ascii="Arial" w:cs="Arial" w:eastAsia="Arial" w:hAnsi="Arial"/>
          <w:sz w:val="19"/>
          <w:szCs w:val="19"/>
          <w:color w:val="auto"/>
        </w:rPr>
        <w:t>. The Treasurer shall have responsibility for the custody and control of all the funds and securities of the Corporation and shall have such other powers and duties as designated in the Certificate of Incorporation and these By-Laws and as from time to time may be assigned to the Treasurer by the Board of Directors. The Treasurer shall perform all acts incident to the position of Treasurer, subject to the control of the Chief Executive Officer and the Board of Directors. Each Assistant Treasurer shall have the usual powers and duties pertaining to his or her office, together with such other powers and duties as designated in the Certificate of Incorporation and these By-Laws and as from time to time may be assigned to him or her by the Chief Executive Officer or the Board of Directors. The Assistant Treasurers shall exercise the powers of the Treasurer during that Officer’s absence or inability or refusal to act. An Assistant Treasurer shall also perform such other duties as the Treasurer or the Board of Directors may assign to him or her.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8" w:name="page149"/>
    <w:bookmarkEnd w:id="148"/>
    <w:p>
      <w:pPr>
        <w:ind w:firstLine="972"/>
        <w:spacing w:after="0" w:line="234"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Secretary and Assistant Secretary</w:t>
      </w:r>
      <w:r>
        <w:rPr>
          <w:rFonts w:ascii="Arial" w:cs="Arial" w:eastAsia="Arial" w:hAnsi="Arial"/>
          <w:sz w:val="22"/>
          <w:szCs w:val="22"/>
          <w:color w:val="auto"/>
        </w:rPr>
        <w:t>. The Secretary shall issue all authorized notices for, and shall keep minutes of, all meetings of the stockholders and the Board of Directors. The Secretary shall have charge of the corporate books and shall perform such other duties as the Board of Directors may from time to time prescribe.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or the Board of Directors may assign to him or her.</w:t>
      </w:r>
    </w:p>
    <w:p>
      <w:pPr>
        <w:spacing w:after="0" w:line="218" w:lineRule="exact"/>
        <w:rPr>
          <w:sz w:val="20"/>
          <w:szCs w:val="20"/>
          <w:color w:val="auto"/>
        </w:rPr>
      </w:pPr>
    </w:p>
    <w:p>
      <w:pPr>
        <w:ind w:right="260" w:firstLine="972"/>
        <w:spacing w:after="0" w:line="25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Other Officers</w:t>
      </w:r>
      <w:r>
        <w:rPr>
          <w:rFonts w:ascii="Arial" w:cs="Arial" w:eastAsia="Arial" w:hAnsi="Arial"/>
          <w:sz w:val="22"/>
          <w:szCs w:val="22"/>
          <w:color w:val="auto"/>
        </w:rPr>
        <w:t>. The Board of Directors may from time to time delegate the powers or duties of any Officer to any other Officers or agents, notwithstanding any provision hereof.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22"/>
          <w:szCs w:val="22"/>
          <w:color w:val="auto"/>
        </w:rPr>
        <w:t>ARTICLE V</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STOCK</w:t>
      </w:r>
    </w:p>
    <w:p>
      <w:pPr>
        <w:spacing w:after="0" w:line="233" w:lineRule="exact"/>
        <w:rPr>
          <w:sz w:val="20"/>
          <w:szCs w:val="20"/>
          <w:color w:val="auto"/>
        </w:rPr>
      </w:pPr>
    </w:p>
    <w:p>
      <w:pPr>
        <w:ind w:firstLine="972"/>
        <w:spacing w:after="0" w:line="27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Certificates</w:t>
      </w:r>
      <w:r>
        <w:rPr>
          <w:rFonts w:ascii="Arial" w:cs="Arial" w:eastAsia="Arial" w:hAnsi="Arial"/>
          <w:sz w:val="19"/>
          <w:szCs w:val="19"/>
          <w:color w:val="auto"/>
        </w:rPr>
        <w:t xml:space="preserve">. Notwithstanding anything to the contrary herein, unless the Board of Directors shall determine otherwise in respect of some or all of any or all classes of Shares, Shares shall not be evidenced by certificates. Certificates that are issued shall be executed on behalf of the Corporation by the Chairman of the Board, President, Chief Executive Officer or any Executive Vice President or Vice President and the Chief Financial Officer or the Secretary or any Assistant Secretary of the Corporation. No Certificate for a class of Shares shall be valid for any purpose until it has been countersigned by the Transfer Agent for such class of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Board of Directors elects to cause the Corporation to issue Shares of such class in global form, the Certificate shall be valid upon receipt of a certificate from the Transfer Agent certifying that the Shares have been duly registered in accordance with the directions of the Corporation. The Shares of the Corporation shall be entered in the books of the Corporation as they are issued and shall exhibit the holder’s name and number of Shares. The Shares of the Corporation shall be transferred on the books of the Corporation, which may be maintained by a third-party registrar or the Transfer Agent, by the holder thereof in person or by his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or upon receipt of proper transfer instructions from the registered holder of uncertificated Shares and upon compliance with appropriate procedures for transferring Shares in uncertificated form, at which time the Corporation shall issue a new certificate to the person entitled thereto (if the Shares are then represented by certificates), cancel the old certificate and record the transaction upon its books.</w:t>
      </w:r>
    </w:p>
    <w:p>
      <w:pPr>
        <w:spacing w:after="0" w:line="200" w:lineRule="exact"/>
        <w:rPr>
          <w:sz w:val="20"/>
          <w:szCs w:val="20"/>
          <w:color w:val="auto"/>
        </w:rPr>
      </w:pPr>
    </w:p>
    <w:p>
      <w:pPr>
        <w:spacing w:after="0" w:line="241" w:lineRule="exact"/>
        <w:rPr>
          <w:sz w:val="20"/>
          <w:szCs w:val="20"/>
          <w:color w:val="auto"/>
        </w:rPr>
      </w:pPr>
    </w:p>
    <w:p>
      <w:pPr>
        <w:ind w:right="40" w:firstLine="972"/>
        <w:spacing w:after="0" w:line="24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Signatures</w:t>
      </w:r>
      <w:r>
        <w:rPr>
          <w:rFonts w:ascii="Arial" w:cs="Arial" w:eastAsia="Arial" w:hAnsi="Arial"/>
          <w:sz w:val="21"/>
          <w:szCs w:val="21"/>
          <w:color w:val="auto"/>
        </w:rPr>
        <w:t>. Each certificated Share shall be signed, countersigned and registered in the manner required by law. In case any officer, the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The use of facsimile signatures affixed in the name and on behalf of the transfer agent and registrar of the Corporation on certificates representing Shares is expressly permitted by these By-Laws.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0" w:name="page151"/>
    <w:bookmarkEnd w:id="150"/>
    <w:p>
      <w:pPr>
        <w:ind w:firstLine="972"/>
        <w:spacing w:after="0" w:line="270"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Lost or Mutilated Certificates</w:t>
      </w:r>
      <w:r>
        <w:rPr>
          <w:rFonts w:ascii="Arial" w:cs="Arial" w:eastAsia="Arial" w:hAnsi="Arial"/>
          <w:sz w:val="19"/>
          <w:szCs w:val="19"/>
          <w:color w:val="auto"/>
        </w:rPr>
        <w:t>. If any mutilated Certificate is surrendered to the Transfer Agent, the appropriate Officers on behalf of the Corporation shall execute, and the Transfer Agent shall countersign and deliver in exchange therefor, a new Certificate evidencing the same number and class or series of Shares as the Certificate so surrendered. The appropriate Officers on behalf of the Corporation shall execute, and the Transfer Agent shall countersign and deliver, a new Certificate in place of any Certificate previously issued if the Record Holder of the Certificate: (i) makes proof by affidavit, in form and substance satisfactory to the Corporation, that a previously issued Certificate has been lost, destroyed or stolen; (ii) requests the issuance of a new Certificate before the Corporation has notice that the Certificate has been acquired by a purchaser for value in good faith and without notice of an adverse claim; (iii) if requested by the Corporation, delivers to the Corporation a bond, in form and substance satisfactory to the Corporation, with surety or sureties and with fixed or open penalty as the Corporation may direct to indemnify the Corporation and the Transfer Agent against any claim that may be made on account of the alleged loss, destruction or theft of the Certificate; and (iv) satisfies any other reasonable requirements imposed by the Corporation. If a stockholder fails to notify the Corporation within a reasonable time after he has notice of the loss, destruction or theft of a Certificate, and a transfer of the Shares represented by the Certificate is registered before the Corporation or the Transfer Agent receives such notification, the stockholder shall be precluded from making any claim against the Corporation or the Transfer Agent for such transfer or for a new Certificate. As a condition to the issuance of any new Certificate under this Section 3, the Corporation may require the payment of a sum sufficient to cover any tax or other governmental charge that may be imposed in relation thereto and any other expenses (including the fees and expenses of the Transfer Agent) reasonably connected therewith.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1" w:name="page152"/>
    <w:bookmarkEnd w:id="151"/>
    <w:p>
      <w:pPr>
        <w:ind w:right="260" w:firstLine="972"/>
        <w:spacing w:after="0" w:line="23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Transfer of Shares</w:t>
      </w:r>
      <w:r>
        <w:rPr>
          <w:rFonts w:ascii="Arial" w:cs="Arial" w:eastAsia="Arial" w:hAnsi="Arial"/>
          <w:sz w:val="22"/>
          <w:szCs w:val="22"/>
          <w:color w:val="auto"/>
        </w:rPr>
        <w:t>. The Board shall have the power and authority to make all such rules and regulations concerning the issue, transfer and registration or the replacement of certificates for Shares of the Corporation to the extent permitted by applicable law. The Corporation may enter into additional agreements with stockholders to restrict the transfer of Shares of the Corporation in any manner not prohibited by the DGCL.</w:t>
      </w:r>
    </w:p>
    <w:p>
      <w:pPr>
        <w:spacing w:after="0" w:line="212" w:lineRule="exact"/>
        <w:rPr>
          <w:sz w:val="20"/>
          <w:szCs w:val="20"/>
          <w:color w:val="auto"/>
        </w:rPr>
      </w:pPr>
    </w:p>
    <w:p>
      <w:pPr>
        <w:ind w:right="100" w:firstLine="972"/>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Settlement of Transactions</w:t>
      </w:r>
      <w:r>
        <w:rPr>
          <w:rFonts w:ascii="Arial" w:cs="Arial" w:eastAsia="Arial" w:hAnsi="Arial"/>
          <w:sz w:val="22"/>
          <w:szCs w:val="22"/>
          <w:color w:val="auto"/>
        </w:rPr>
        <w:t>. Nothing contained in these By-Laws shall preclude the settlement of any transactions involving Shares entered into through the facilities of any National Securities Exchange on which such Shares are listed for trading.</w:t>
      </w:r>
    </w:p>
    <w:p>
      <w:pPr>
        <w:spacing w:after="0" w:line="213" w:lineRule="exact"/>
        <w:rPr>
          <w:sz w:val="20"/>
          <w:szCs w:val="20"/>
          <w:color w:val="auto"/>
        </w:rPr>
      </w:pPr>
    </w:p>
    <w:p>
      <w:pPr>
        <w:ind w:firstLine="972"/>
        <w:spacing w:after="0" w:line="234"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Dividend Record Date</w:t>
      </w:r>
      <w:r>
        <w:rPr>
          <w:rFonts w:ascii="Arial" w:cs="Arial" w:eastAsia="Arial" w:hAnsi="Arial"/>
          <w:sz w:val="22"/>
          <w:szCs w:val="22"/>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ind w:firstLine="972"/>
        <w:spacing w:after="0" w:line="27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Record Owners</w:t>
      </w:r>
      <w:r>
        <w:rPr>
          <w:rFonts w:ascii="Arial" w:cs="Arial" w:eastAsia="Arial" w:hAnsi="Arial"/>
          <w:sz w:val="19"/>
          <w:szCs w:val="19"/>
          <w:color w:val="auto"/>
        </w:rPr>
        <w:t>. The Corporation shall be entitled to recognize the Record Holder as the owner of a Share and, accordingly, shall not be bound to recognize any equitable or other claim to or interest in such Share on the part of any other Person, regardless of whether the Corporation shall have actual or other notice thereof, except as otherwise provided by law or any applicable rule, regulation, guideline or requirement of any National Securities Exchange on which such Shares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Shares, as between the Corporation on the one hand, and such other Persons on the other, such representative Person shall be the Record Holder of such Shares.</w:t>
      </w:r>
    </w:p>
    <w:p>
      <w:pPr>
        <w:spacing w:after="0" w:line="185" w:lineRule="exact"/>
        <w:rPr>
          <w:sz w:val="20"/>
          <w:szCs w:val="20"/>
          <w:color w:val="auto"/>
        </w:rPr>
      </w:pPr>
    </w:p>
    <w:p>
      <w:pPr>
        <w:ind w:left="980"/>
        <w:spacing w:after="0"/>
        <w:tabs>
          <w:tab w:leader="none" w:pos="23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Splits and Combinations</w:t>
      </w:r>
      <w:r>
        <w:rPr>
          <w:rFonts w:ascii="Arial" w:cs="Arial" w:eastAsia="Arial" w:hAnsi="Arial"/>
          <w:sz w:val="19"/>
          <w:szCs w:val="19"/>
          <w:color w:val="auto"/>
        </w:rPr>
        <w:t>.</w:t>
      </w:r>
    </w:p>
    <w:p>
      <w:pPr>
        <w:spacing w:after="0" w:line="233" w:lineRule="exact"/>
        <w:rPr>
          <w:sz w:val="20"/>
          <w:szCs w:val="20"/>
          <w:color w:val="auto"/>
        </w:rPr>
      </w:pPr>
    </w:p>
    <w:p>
      <w:pPr>
        <w:ind w:right="20" w:firstLine="980"/>
        <w:spacing w:after="0" w:line="282" w:lineRule="auto"/>
        <w:tabs>
          <w:tab w:leader="none" w:pos="1752" w:val="left"/>
        </w:tabs>
        <w:numPr>
          <w:ilvl w:val="0"/>
          <w:numId w:val="84"/>
        </w:numPr>
        <w:rPr>
          <w:rFonts w:ascii="Arial" w:cs="Arial" w:eastAsia="Arial" w:hAnsi="Arial"/>
          <w:sz w:val="19"/>
          <w:szCs w:val="19"/>
          <w:color w:val="auto"/>
        </w:rPr>
      </w:pPr>
      <w:r>
        <w:rPr>
          <w:rFonts w:ascii="Arial" w:cs="Arial" w:eastAsia="Arial" w:hAnsi="Arial"/>
          <w:sz w:val="19"/>
          <w:szCs w:val="19"/>
          <w:color w:val="auto"/>
        </w:rPr>
        <w:t>Subject to the provisions of the DGCL, the Corporation may make a pro rata distribution of Shares of any class or series to all Record Holders of such class or series of Shares, or may effect a subdivision or combination of Shares of any class or series so long as, after any such event and subject to the effect of Section 8(d) of this Article V, each stockholder shall have the same proportionate ownership of such class or series of Shares of capital stock of the Corporation as before such event, and any amounts calculated on a per Share basis or stated as a number of Shares are proportionately adjusted.</w:t>
      </w:r>
    </w:p>
    <w:p>
      <w:pPr>
        <w:spacing w:after="0" w:line="174" w:lineRule="exact"/>
        <w:rPr>
          <w:rFonts w:ascii="Arial" w:cs="Arial" w:eastAsia="Arial" w:hAnsi="Arial"/>
          <w:sz w:val="19"/>
          <w:szCs w:val="19"/>
          <w:color w:val="auto"/>
        </w:rPr>
      </w:pPr>
    </w:p>
    <w:p>
      <w:pPr>
        <w:ind w:right="60" w:firstLine="980"/>
        <w:spacing w:after="0" w:line="297" w:lineRule="auto"/>
        <w:tabs>
          <w:tab w:leader="none" w:pos="17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Whenever such a distribution, subdivision or combination of Shares is declared, the Board of Directors shall select a Record Date as of which the distribution, subdivision or combination shall be effective and shall send notice thereof at least 20 days prior to such Record Date to each Record Holder as of a date not more than 10 days prior to the date of such notice.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3" w:name="page154"/>
    <w:bookmarkEnd w:id="153"/>
    <w:p>
      <w:pPr>
        <w:ind w:firstLine="980"/>
        <w:spacing w:after="0" w:line="235" w:lineRule="auto"/>
        <w:tabs>
          <w:tab w:leader="none" w:pos="1752" w:val="left"/>
        </w:tabs>
        <w:numPr>
          <w:ilvl w:val="0"/>
          <w:numId w:val="85"/>
        </w:numPr>
        <w:rPr>
          <w:rFonts w:ascii="Arial" w:cs="Arial" w:eastAsia="Arial" w:hAnsi="Arial"/>
          <w:sz w:val="22"/>
          <w:szCs w:val="22"/>
          <w:color w:val="auto"/>
        </w:rPr>
      </w:pPr>
      <w:r>
        <w:rPr>
          <w:rFonts w:ascii="Arial" w:cs="Arial" w:eastAsia="Arial" w:hAnsi="Arial"/>
          <w:sz w:val="22"/>
          <w:szCs w:val="22"/>
          <w:color w:val="auto"/>
        </w:rPr>
        <w:t>Promptly following any such distribution, subdivision or combination, the Corporation may issue Certificates to the Record Holders of Shares as of the applicable Record Date representing the new number of Shares held by such Record Holders, or the Board of Directors may adopt such other procedures that it determines to be necessary or appropriate to reflect such changes. If any such combination results in a smaller total number of Shares Outstanding, the Corporation shall require, as a condition to the delivery to a Record Holder of such new Certificate, the surrender of any Certificate held by such Record Holder immediately prior to such Record Date.</w:t>
      </w:r>
    </w:p>
    <w:p>
      <w:pPr>
        <w:spacing w:after="0" w:line="215" w:lineRule="exact"/>
        <w:rPr>
          <w:rFonts w:ascii="Arial" w:cs="Arial" w:eastAsia="Arial" w:hAnsi="Arial"/>
          <w:sz w:val="22"/>
          <w:szCs w:val="22"/>
          <w:color w:val="auto"/>
        </w:rPr>
      </w:pPr>
    </w:p>
    <w:p>
      <w:pPr>
        <w:ind w:left="1760" w:hanging="780"/>
        <w:spacing w:after="0"/>
        <w:tabs>
          <w:tab w:leader="none" w:pos="17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Corporation shall not issue fractional Shares upon any distribution, subdivision or combination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Shares.</w:t>
      </w:r>
    </w:p>
    <w:p>
      <w:pPr>
        <w:spacing w:after="0" w:line="215" w:lineRule="exact"/>
        <w:rPr>
          <w:sz w:val="20"/>
          <w:szCs w:val="20"/>
          <w:color w:val="auto"/>
        </w:rPr>
      </w:pPr>
    </w:p>
    <w:p>
      <w:pPr>
        <w:ind w:right="80" w:firstLine="972"/>
        <w:spacing w:after="0" w:line="27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Class B Shares</w:t>
      </w:r>
      <w:r>
        <w:rPr>
          <w:rFonts w:ascii="Arial" w:cs="Arial" w:eastAsia="Arial" w:hAnsi="Arial"/>
          <w:sz w:val="19"/>
          <w:szCs w:val="19"/>
          <w:color w:val="auto"/>
        </w:rPr>
        <w:t xml:space="preserve">. Class B Shares shall be exchangeable for Class A Shares on the terms and subject to the conditions set forth in the Amended and Restated Limited Liability Agreement of New Fortress Intermediate, as it may be amended, restated, supplemented and otherwise modified from time to time (the “LLC Agreement”). The Corporation will at all times reserve and keep available out of its authorized but unissued Class A Shares, solely for the purpose of issuance upon redemption of the outstanding Class B Shares for Class A Shares pursuant to the LLC Agreement, such number of Class A Shares that shall be issuable upon any such redemption pursuant to the LLC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contained herein shall be construed to preclude New Fortress Intermediate or the Corporation from satisfying its rights or obligations in respect of any such redemption of Class B Shares pursuant to the LLC Agreement by delivering to the holder of Class B Shares upon such redemption, cash in lieu of Class A Shares in the amount permitted by and provided in the LLC Agreement or Class A Shares which are held in the treasury of the Corporation. All Class A Shares that shall be issued upon any such redemption will, upon issuance in accordance with the LLC Agreement, be validly issued, fully paid and non-assessable.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4" w:name="page155"/>
    <w:bookmarkEnd w:id="154"/>
    <w:p>
      <w:pPr>
        <w:jc w:val="center"/>
        <w:ind w:right="-79"/>
        <w:spacing w:after="0"/>
        <w:rPr>
          <w:sz w:val="20"/>
          <w:szCs w:val="20"/>
          <w:color w:val="auto"/>
        </w:rPr>
      </w:pPr>
      <w:r>
        <w:rPr>
          <w:rFonts w:ascii="Arial" w:cs="Arial" w:eastAsia="Arial" w:hAnsi="Arial"/>
          <w:sz w:val="22"/>
          <w:szCs w:val="22"/>
          <w:color w:val="auto"/>
        </w:rPr>
        <w:t>ARTICLE VI</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NOTICES</w:t>
      </w:r>
    </w:p>
    <w:p>
      <w:pPr>
        <w:spacing w:after="0" w:line="233" w:lineRule="exact"/>
        <w:rPr>
          <w:sz w:val="20"/>
          <w:szCs w:val="20"/>
          <w:color w:val="auto"/>
        </w:rPr>
      </w:pPr>
    </w:p>
    <w:p>
      <w:pPr>
        <w:ind w:firstLine="972"/>
        <w:spacing w:after="0" w:line="26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Notices</w:t>
      </w:r>
      <w:r>
        <w:rPr>
          <w:rFonts w:ascii="Arial" w:cs="Arial" w:eastAsia="Arial" w:hAnsi="Arial"/>
          <w:sz w:val="19"/>
          <w:szCs w:val="19"/>
          <w:color w:val="auto"/>
        </w:rPr>
        <w:t>. Any notice, demand, request, report or proxy materials required or permitted to be given or made to a stockholder under these By-Laws shall be in writing and shall be deemed given or made when delivered in person or when sent by first class United States mail or by other means of written communication to the stockholder at the address described below. Any notice, payment or report to be given or made to a stockholder hereunder shall be deemed conclusively to have been given or made, and the obligation to give such notice or report or to make such payment shall be deemed conclusively to have been fully satisfied, upon sending of such notice, payment or report to the Record Holder of such Shares at his address as shown on the records of the Transfer Agent or as otherwise shown on the records of the Corporation, regardless of any claim of any Person who may have an interest in such Shares by reason of any assignment or otherwise. Notwithstanding the foregoing, if</w:t>
      </w:r>
    </w:p>
    <w:p>
      <w:pPr>
        <w:spacing w:after="0" w:line="3" w:lineRule="exact"/>
        <w:rPr>
          <w:sz w:val="20"/>
          <w:szCs w:val="20"/>
          <w:color w:val="auto"/>
        </w:rPr>
      </w:pPr>
    </w:p>
    <w:p>
      <w:pPr>
        <w:ind w:firstLine="8"/>
        <w:spacing w:after="0" w:line="269" w:lineRule="auto"/>
        <w:tabs>
          <w:tab w:leader="none" w:pos="258"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stockholder shall consent to receiving notices, demands, requests, reports or proxy materials via electronic mail or by the Internet or (ii) the rules of the Commission shall permit any report or proxy materials to be delivered electronically or made available via the Internet, any such notice, demand, request, report or proxy materials shall be deemed given or made when delivered or made available via such mode of delivery. An affidavit or certificate of making of any notice, payment or report in accordance with the provisions of this Section 1 executed by the Corporation, the Transfer Agent or the mailing organization shall be prima facie evidence of the giving or making of such notice, payment or report. If any notice, payment or report given or made in accordance with the provisions of this Section 1 is returned marked to indicate that such notice, payment or report was unable to be delivered, such notice, payment or report and, in the case of notices, payments or reports returned by the United States Postal Service (or other physical mail delivery service outside the United States of America) and any subsequent notices, payments and reports shall be deemed to have been duly given or made without further mailing (until such time as such Record Holder or another Person notifies the Transfer Agent or the Corporation of a change in his address) or other delivery if they are available for the stockholder at the principal office of the Corporation for a period of one year from the date of the giving or making of such notice, payment or report to the other stockholders. Any notice to the Corporation shall be deemed given if received by the Secretary at the principal office of the Corporation designated pursuant to Article I of these By-Laws. The Board of Directors and the Officers may rely and shall be protected in relying on any notice or other document from a stockholder or other Person if believed by it to be genuine. The terms “in writing,” “written communications,” “written notice” and words of similar import shall be deemed satisfied under these By-Laws by use of e-mail and other forms of electronic communication.</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55" w:name="page156"/>
    <w:bookmarkEnd w:id="155"/>
    <w:p>
      <w:pPr>
        <w:ind w:firstLine="972"/>
        <w:spacing w:after="0" w:line="27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Waivers of Notice</w:t>
      </w:r>
      <w:r>
        <w:rPr>
          <w:rFonts w:ascii="Arial" w:cs="Arial" w:eastAsia="Arial" w:hAnsi="Arial"/>
          <w:sz w:val="19"/>
          <w:szCs w:val="19"/>
          <w:color w:val="auto"/>
        </w:rPr>
        <w:t>. Whenever notice to the stockholders is required to be given under applicable law, the Certificate of Incorporation or these By-Laws, a written waiver, signed by the Person entitled to notice, whether before or after the time stated therein, shall be deemed equivalent to notice. Attendance of a Person at any such meeting of the stockholders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law, the Certificate of Incorporation or these By-Laws. All waivers and approvals shall be filed with the Corporation records or made part of the minutes of the meeting.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22"/>
          <w:szCs w:val="22"/>
          <w:color w:val="auto"/>
        </w:rPr>
        <w:t>ARTICLE VII</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GENERAL PROVISIONS</w:t>
      </w:r>
    </w:p>
    <w:p>
      <w:pPr>
        <w:spacing w:after="0" w:line="233" w:lineRule="exact"/>
        <w:rPr>
          <w:sz w:val="20"/>
          <w:szCs w:val="20"/>
          <w:color w:val="auto"/>
        </w:rPr>
      </w:pPr>
    </w:p>
    <w:p>
      <w:pPr>
        <w:ind w:right="320" w:firstLine="972"/>
        <w:spacing w:after="0" w:line="328"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Disbursements</w:t>
      </w:r>
      <w:r>
        <w:rPr>
          <w:rFonts w:ascii="Arial" w:cs="Arial" w:eastAsia="Arial" w:hAnsi="Arial"/>
          <w:sz w:val="19"/>
          <w:szCs w:val="19"/>
          <w:color w:val="auto"/>
        </w:rPr>
        <w:t>. All checks or demands for money and notes of the Corporation shall be signed by such Officer or Officers or such other Person or Persons as the Board of Directors may from time to time designate.</w:t>
      </w:r>
    </w:p>
    <w:p>
      <w:pPr>
        <w:spacing w:after="0" w:line="132" w:lineRule="exact"/>
        <w:rPr>
          <w:sz w:val="20"/>
          <w:szCs w:val="20"/>
          <w:color w:val="auto"/>
        </w:rPr>
      </w:pPr>
    </w:p>
    <w:p>
      <w:pPr>
        <w:ind w:right="180" w:firstLine="972"/>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be a calendar year ending December 31, unless otherwise determined by the Board of Directors.</w:t>
      </w:r>
    </w:p>
    <w:p>
      <w:pPr>
        <w:spacing w:after="0" w:line="202" w:lineRule="exact"/>
        <w:rPr>
          <w:sz w:val="20"/>
          <w:szCs w:val="20"/>
          <w:color w:val="auto"/>
        </w:rPr>
      </w:pPr>
    </w:p>
    <w:p>
      <w:pPr>
        <w:ind w:right="20" w:firstLine="972"/>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Corporate Seal</w:t>
      </w:r>
      <w:r>
        <w:rPr>
          <w:rFonts w:ascii="Arial" w:cs="Arial" w:eastAsia="Arial" w:hAnsi="Arial"/>
          <w:sz w:val="22"/>
          <w:szCs w:val="22"/>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13" w:lineRule="exact"/>
        <w:rPr>
          <w:sz w:val="20"/>
          <w:szCs w:val="20"/>
          <w:color w:val="auto"/>
        </w:rPr>
      </w:pPr>
    </w:p>
    <w:p>
      <w:pPr>
        <w:ind w:firstLine="972"/>
        <w:spacing w:after="0" w:line="248"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Title to Corporation Assets</w:t>
      </w:r>
      <w:r>
        <w:rPr>
          <w:rFonts w:ascii="Arial" w:cs="Arial" w:eastAsia="Arial" w:hAnsi="Arial"/>
          <w:sz w:val="21"/>
          <w:szCs w:val="21"/>
          <w:color w:val="auto"/>
        </w:rPr>
        <w:t>. Title to Corporation assets, whether real, personal or mixed and whether tangible or intangible, shall be deemed to be owned by the Corporation as an entity, and no stockholder, Director or Officer, individually or collectively, shall have any ownership interest in such Corporation assets or any portion thereof. Title to any or all of the Corporation assets may be held in the name of the Corporation or one or more nominees, as the Board of Directors may determine. All Corporation assets shall be recorded as the property of the Corporation in its books and records, irrespective of the name in which record title to such Corporation assets is held.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7" w:name="page158"/>
    <w:bookmarkEnd w:id="157"/>
    <w:p>
      <w:pPr>
        <w:ind w:right="200" w:firstLine="972"/>
        <w:spacing w:after="0" w:line="23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Construction</w:t>
      </w:r>
      <w:r>
        <w:rPr>
          <w:rFonts w:ascii="Arial" w:cs="Arial" w:eastAsia="Arial" w:hAnsi="Arial"/>
          <w:sz w:val="22"/>
          <w:szCs w:val="22"/>
          <w:color w:val="auto"/>
        </w:rPr>
        <w:t>. Unless the context requires otherwise: (a) any pronoun used in these By-Laws shall include the corresponding masculine, feminine or neuter forms; (b) references to Articles and Sections refer to Articles and Sections of these By-Laws; and (c) the term “include” or “includes” means includes, without limitation, and “including” means including, without limitation.</w:t>
      </w:r>
    </w:p>
    <w:p>
      <w:pPr>
        <w:spacing w:after="0" w:line="212" w:lineRule="exact"/>
        <w:rPr>
          <w:sz w:val="20"/>
          <w:szCs w:val="20"/>
          <w:color w:val="auto"/>
        </w:rPr>
      </w:pPr>
    </w:p>
    <w:p>
      <w:pPr>
        <w:ind w:firstLine="972"/>
        <w:spacing w:after="0" w:line="249"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Formation</w:t>
      </w:r>
      <w:r>
        <w:rPr>
          <w:rFonts w:ascii="Arial" w:cs="Arial" w:eastAsia="Arial" w:hAnsi="Arial"/>
          <w:sz w:val="21"/>
          <w:szCs w:val="21"/>
          <w:color w:val="auto"/>
        </w:rPr>
        <w:t>. The Corporation has been converted to, and incorporated as, a corporation pursuant to the provisions of the DGCL. Except as expressly provided to the contrary in the Certificate of Incorporation or these By-Laws, the rights, duties, liabilities and obligations of the stockholders and the administration, dissolution and termination of the Corporation shall be governed by the DGCL. All Shares shall constitute personal property of the owner thereof for all purposes and a stockholder has no interest in specific Corporation property.</w:t>
      </w:r>
    </w:p>
    <w:p>
      <w:pPr>
        <w:spacing w:after="0" w:line="205" w:lineRule="exact"/>
        <w:rPr>
          <w:sz w:val="20"/>
          <w:szCs w:val="20"/>
          <w:color w:val="auto"/>
        </w:rPr>
      </w:pPr>
    </w:p>
    <w:p>
      <w:pPr>
        <w:ind w:right="20" w:firstLine="972"/>
        <w:spacing w:after="0" w:line="245"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Records and Accounting</w:t>
      </w:r>
      <w:r>
        <w:rPr>
          <w:rFonts w:ascii="Arial" w:cs="Arial" w:eastAsia="Arial" w:hAnsi="Arial"/>
          <w:sz w:val="21"/>
          <w:szCs w:val="21"/>
          <w:color w:val="auto"/>
        </w:rPr>
        <w:t xml:space="preserve">. The Board of Directors shall keep or cause to be kept at the principal office of the Corporation appropriate books and records with respect to the Corporation’s business, including all books and records necessary to provide to the stockholders any information required to be provided pursuant to these By-Laws or under applicable law. Any books and records maintained by or on behalf of the Corporation in the regular course of its business, including the record of the stockholders, books of account and records of Corporation proceedings, may be kept on, or be in the form of, computer disks, hard drives, punch cards, magnetic tape, photographs, micrographics or any other information storage device;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that </w:t>
      </w:r>
      <w:r>
        <w:rPr>
          <w:rFonts w:ascii="Arial" w:cs="Arial" w:eastAsia="Arial" w:hAnsi="Arial"/>
          <w:sz w:val="21"/>
          <w:szCs w:val="21"/>
          <w:color w:val="auto"/>
        </w:rPr>
        <w:t>the books and records so maintained are convertible into clearly legible written form within a reasonable period of</w:t>
      </w:r>
      <w:r>
        <w:rPr>
          <w:rFonts w:ascii="Arial" w:cs="Arial" w:eastAsia="Arial" w:hAnsi="Arial"/>
          <w:sz w:val="21"/>
          <w:szCs w:val="21"/>
          <w:i w:val="1"/>
          <w:iCs w:val="1"/>
          <w:color w:val="auto"/>
        </w:rPr>
        <w:t xml:space="preserve"> </w:t>
      </w:r>
      <w:r>
        <w:rPr>
          <w:rFonts w:ascii="Arial" w:cs="Arial" w:eastAsia="Arial" w:hAnsi="Arial"/>
          <w:sz w:val="21"/>
          <w:szCs w:val="21"/>
          <w:color w:val="auto"/>
        </w:rPr>
        <w:t>time. The books of the Corporation shall be maintained, for tax and financial reporting purposes, on an accrual basis in accordance with U.S. generally accepted accounting principles.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8" w:name="page159"/>
    <w:bookmarkEnd w:id="158"/>
    <w:p>
      <w:pPr>
        <w:ind w:left="960"/>
        <w:spacing w:after="0"/>
        <w:tabs>
          <w:tab w:leader="none" w:pos="23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34" w:lineRule="exact"/>
        <w:rPr>
          <w:sz w:val="20"/>
          <w:szCs w:val="20"/>
          <w:color w:val="auto"/>
        </w:rPr>
      </w:pPr>
    </w:p>
    <w:p>
      <w:pPr>
        <w:ind w:left="-20" w:right="100" w:firstLine="980"/>
        <w:spacing w:after="0" w:line="248" w:lineRule="auto"/>
        <w:tabs>
          <w:tab w:leader="none" w:pos="172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As soon as practicable, but in no event later than 120 days after the close of each fiscal year of the Corporation, the Board of Directors shall use commercially reasonable efforts to cause to be mailed or made available to each Record Holder of a Share, as of a date selected by the Board of Directors, an annual report containing financial statements of the Corporation for such fiscal year of the Corporation, presented in accordance with U.S. generally accepted accounting principles, including a balance sheet and statements of operations, equity and cash flows, such statements to be audited by a registered public accounting firm selected by the Board of Directors.</w:t>
      </w:r>
    </w:p>
    <w:p>
      <w:pPr>
        <w:spacing w:after="0" w:line="203" w:lineRule="exact"/>
        <w:rPr>
          <w:rFonts w:ascii="Arial" w:cs="Arial" w:eastAsia="Arial" w:hAnsi="Arial"/>
          <w:sz w:val="21"/>
          <w:szCs w:val="21"/>
          <w:color w:val="auto"/>
        </w:rPr>
      </w:pPr>
    </w:p>
    <w:p>
      <w:pPr>
        <w:ind w:left="-20" w:firstLine="980"/>
        <w:spacing w:after="0" w:line="235" w:lineRule="auto"/>
        <w:tabs>
          <w:tab w:leader="none" w:pos="1732" w:val="left"/>
        </w:tabs>
        <w:numPr>
          <w:ilvl w:val="0"/>
          <w:numId w:val="87"/>
        </w:numPr>
        <w:rPr>
          <w:rFonts w:ascii="Arial" w:cs="Arial" w:eastAsia="Arial" w:hAnsi="Arial"/>
          <w:sz w:val="22"/>
          <w:szCs w:val="22"/>
          <w:color w:val="auto"/>
        </w:rPr>
      </w:pPr>
      <w:r>
        <w:rPr>
          <w:rFonts w:ascii="Arial" w:cs="Arial" w:eastAsia="Arial" w:hAnsi="Arial"/>
          <w:sz w:val="22"/>
          <w:szCs w:val="22"/>
          <w:color w:val="auto"/>
        </w:rPr>
        <w:t>As soon as practicable, but in no event later than 90 days after the close of each Quarter except the last Quarter of each fiscal year, the Board of Directors shall use commercially reasonable efforts to cause to be mailed or made available to each Record Holder of a Share, as of a date selected by the Board of Directors, a report containing unaudited financial statements of the Corporation and such other information as may be required by applicable law, regulation or rule of any National Securities Exchange on which the Shares are listed for trading, or as the Board of Directors determines to be necessary or appropriate.</w:t>
      </w:r>
    </w:p>
    <w:p>
      <w:pPr>
        <w:spacing w:after="0" w:line="214" w:lineRule="exact"/>
        <w:rPr>
          <w:rFonts w:ascii="Arial" w:cs="Arial" w:eastAsia="Arial" w:hAnsi="Arial"/>
          <w:sz w:val="22"/>
          <w:szCs w:val="22"/>
          <w:color w:val="auto"/>
        </w:rPr>
      </w:pPr>
    </w:p>
    <w:p>
      <w:pPr>
        <w:ind w:left="-20" w:right="180" w:firstLine="980"/>
        <w:spacing w:after="0" w:line="238" w:lineRule="auto"/>
        <w:tabs>
          <w:tab w:leader="none" w:pos="172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Corporation shall be deemed to have made a report available to each Record Holder as required by this Section 8 if it has either (i) filed such report with the Commission via its Electronic Data Gathering, Analysis and Retrieval system and such report is publicly available on such system or (ii) made such report available on any publicly available website maintained by the Corporation.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59" w:name="page160"/>
    <w:bookmarkEnd w:id="159"/>
    <w:p>
      <w:pPr>
        <w:ind w:right="160" w:firstLine="972"/>
        <w:spacing w:after="0" w:line="249"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Invalidity of Provisions</w:t>
      </w:r>
      <w:r>
        <w:rPr>
          <w:rFonts w:ascii="Arial" w:cs="Arial" w:eastAsia="Arial" w:hAnsi="Arial"/>
          <w:sz w:val="21"/>
          <w:szCs w:val="21"/>
          <w:color w:val="auto"/>
        </w:rPr>
        <w:t>. If any provision of these By-Laws is or becomes invalid, illegal or unenforceable in any respect, the validity, legality and enforceability of the remaining provisions contained herein shall not be affected thereby and these By-Laws shall, to the fullest extent permitted by law, be reformed and construed as if such invalid, illegal or unenforceable provision, or part of a provision, had never been contained herein, and such provisions or part reformed so that it would be valid, legal and enforceable to the maximum extent possible.</w:t>
      </w:r>
    </w:p>
    <w:p>
      <w:pPr>
        <w:spacing w:after="0" w:line="206" w:lineRule="exact"/>
        <w:rPr>
          <w:sz w:val="20"/>
          <w:szCs w:val="20"/>
          <w:color w:val="auto"/>
        </w:rPr>
      </w:pPr>
    </w:p>
    <w:p>
      <w:pPr>
        <w:ind w:right="20" w:firstLine="972"/>
        <w:spacing w:after="0" w:line="25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these By-Laws.</w:t>
      </w:r>
    </w:p>
    <w:p>
      <w:pPr>
        <w:spacing w:after="0" w:line="202" w:lineRule="exact"/>
        <w:rPr>
          <w:sz w:val="20"/>
          <w:szCs w:val="20"/>
          <w:color w:val="auto"/>
        </w:rPr>
      </w:pPr>
    </w:p>
    <w:p>
      <w:pPr>
        <w:ind w:firstLine="980"/>
        <w:spacing w:after="0" w:line="252" w:lineRule="auto"/>
        <w:tabs>
          <w:tab w:leader="none" w:pos="1752" w:val="left"/>
        </w:tabs>
        <w:numPr>
          <w:ilvl w:val="0"/>
          <w:numId w:val="88"/>
        </w:numPr>
        <w:rPr>
          <w:rFonts w:ascii="Arial" w:cs="Arial" w:eastAsia="Arial" w:hAnsi="Arial"/>
          <w:sz w:val="21"/>
          <w:szCs w:val="21"/>
          <w:color w:val="auto"/>
        </w:rPr>
      </w:pPr>
      <w:r>
        <w:rPr>
          <w:rFonts w:ascii="Arial" w:cs="Arial" w:eastAsia="Arial" w:hAnsi="Arial"/>
          <w:sz w:val="21"/>
          <w:szCs w:val="21"/>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200" w:lineRule="exact"/>
        <w:rPr>
          <w:rFonts w:ascii="Arial" w:cs="Arial" w:eastAsia="Arial" w:hAnsi="Arial"/>
          <w:sz w:val="21"/>
          <w:szCs w:val="21"/>
          <w:color w:val="auto"/>
        </w:rPr>
      </w:pPr>
    </w:p>
    <w:p>
      <w:pPr>
        <w:ind w:right="100" w:firstLine="980"/>
        <w:spacing w:after="0" w:line="328" w:lineRule="auto"/>
        <w:tabs>
          <w:tab w:leader="none" w:pos="1764" w:val="left"/>
        </w:tabs>
        <w:numPr>
          <w:ilvl w:val="0"/>
          <w:numId w:val="88"/>
        </w:numPr>
        <w:rPr>
          <w:rFonts w:ascii="Arial" w:cs="Arial" w:eastAsia="Arial" w:hAnsi="Arial"/>
          <w:sz w:val="19"/>
          <w:szCs w:val="19"/>
          <w:color w:val="auto"/>
        </w:rPr>
      </w:pPr>
      <w:r>
        <w:rPr>
          <w:rFonts w:ascii="Arial" w:cs="Arial" w:eastAsia="Arial" w:hAnsi="Arial"/>
          <w:sz w:val="19"/>
          <w:szCs w:val="19"/>
          <w:color w:val="auto"/>
        </w:rPr>
        <w:t>“Business Day” means Monday through Friday of each week, except that a legal holiday recognized as such by the government of the United States of America or the State of New York shall not be regarded as a Business Day.</w:t>
      </w:r>
    </w:p>
    <w:p>
      <w:pPr>
        <w:spacing w:after="0" w:line="131" w:lineRule="exact"/>
        <w:rPr>
          <w:rFonts w:ascii="Arial" w:cs="Arial" w:eastAsia="Arial" w:hAnsi="Arial"/>
          <w:sz w:val="19"/>
          <w:szCs w:val="19"/>
          <w:color w:val="auto"/>
        </w:rPr>
      </w:pPr>
    </w:p>
    <w:p>
      <w:pPr>
        <w:ind w:right="380" w:firstLine="980"/>
        <w:spacing w:after="0" w:line="250" w:lineRule="auto"/>
        <w:tabs>
          <w:tab w:leader="none" w:pos="1752" w:val="left"/>
        </w:tabs>
        <w:numPr>
          <w:ilvl w:val="0"/>
          <w:numId w:val="88"/>
        </w:numPr>
        <w:rPr>
          <w:rFonts w:ascii="Arial" w:cs="Arial" w:eastAsia="Arial" w:hAnsi="Arial"/>
          <w:sz w:val="22"/>
          <w:szCs w:val="22"/>
          <w:color w:val="auto"/>
        </w:rPr>
      </w:pPr>
      <w:r>
        <w:rPr>
          <w:rFonts w:ascii="Arial" w:cs="Arial" w:eastAsia="Arial" w:hAnsi="Arial"/>
          <w:sz w:val="22"/>
          <w:szCs w:val="22"/>
          <w:color w:val="auto"/>
        </w:rPr>
        <w:t>“Certificate” means a certificate in such form as may be adopted by the Board of Directors, issued by the Corporation evidencing ownership of one or more Shares.</w:t>
      </w:r>
    </w:p>
    <w:p>
      <w:pPr>
        <w:spacing w:after="0" w:line="201" w:lineRule="exact"/>
        <w:rPr>
          <w:rFonts w:ascii="Arial" w:cs="Arial" w:eastAsia="Arial" w:hAnsi="Arial"/>
          <w:sz w:val="22"/>
          <w:szCs w:val="22"/>
          <w:color w:val="auto"/>
        </w:rPr>
      </w:pPr>
    </w:p>
    <w:p>
      <w:pPr>
        <w:ind w:left="1780" w:hanging="800"/>
        <w:spacing w:after="0"/>
        <w:tabs>
          <w:tab w:leader="none" w:pos="17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“Class A Share” means a Share in the Corporation designated as a “Class A Share.”</w:t>
      </w:r>
    </w:p>
    <w:p>
      <w:pPr>
        <w:spacing w:after="0" w:line="233" w:lineRule="exact"/>
        <w:rPr>
          <w:rFonts w:ascii="Arial" w:cs="Arial" w:eastAsia="Arial" w:hAnsi="Arial"/>
          <w:sz w:val="22"/>
          <w:szCs w:val="22"/>
          <w:color w:val="auto"/>
        </w:rPr>
      </w:pPr>
    </w:p>
    <w:p>
      <w:pPr>
        <w:ind w:left="1760" w:hanging="780"/>
        <w:spacing w:after="0"/>
        <w:tabs>
          <w:tab w:leader="none" w:pos="1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“Class B Share” means a Share in the Corporation designated as a “Class B Share.”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0" w:name="page161"/>
    <w:bookmarkEnd w:id="160"/>
    <w:p>
      <w:pPr>
        <w:ind w:left="1580" w:hanging="760"/>
        <w:spacing w:after="0"/>
        <w:tabs>
          <w:tab w:leader="none" w:pos="15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“Commission” means the United States Securities and Exchange Commission.</w:t>
      </w:r>
    </w:p>
    <w:p>
      <w:pPr>
        <w:spacing w:after="0" w:line="233" w:lineRule="exact"/>
        <w:rPr>
          <w:rFonts w:ascii="Arial" w:cs="Arial" w:eastAsia="Arial" w:hAnsi="Arial"/>
          <w:sz w:val="22"/>
          <w:szCs w:val="22"/>
          <w:color w:val="auto"/>
        </w:rPr>
      </w:pPr>
    </w:p>
    <w:p>
      <w:pPr>
        <w:ind w:left="-160" w:right="60" w:firstLine="980"/>
        <w:spacing w:after="0" w:line="250" w:lineRule="auto"/>
        <w:tabs>
          <w:tab w:leader="none" w:pos="1604"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“Common Shares” means any Shares that are not Preferred Shares, and for the avoidance of doubt includes Class A Shares and Class B Shares.</w:t>
      </w:r>
    </w:p>
    <w:p>
      <w:pPr>
        <w:spacing w:after="0" w:line="201" w:lineRule="exact"/>
        <w:rPr>
          <w:rFonts w:ascii="Arial" w:cs="Arial" w:eastAsia="Arial" w:hAnsi="Arial"/>
          <w:sz w:val="22"/>
          <w:szCs w:val="22"/>
          <w:color w:val="auto"/>
        </w:rPr>
      </w:pPr>
    </w:p>
    <w:p>
      <w:pPr>
        <w:ind w:left="1620" w:hanging="800"/>
        <w:spacing w:after="0"/>
        <w:tabs>
          <w:tab w:leader="none" w:pos="16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“Company Group” means the Corporation and each Subsidiary of the Corporation.</w:t>
      </w:r>
    </w:p>
    <w:p>
      <w:pPr>
        <w:spacing w:after="0" w:line="233" w:lineRule="exact"/>
        <w:rPr>
          <w:rFonts w:ascii="Arial" w:cs="Arial" w:eastAsia="Arial" w:hAnsi="Arial"/>
          <w:sz w:val="22"/>
          <w:szCs w:val="22"/>
          <w:color w:val="auto"/>
        </w:rPr>
      </w:pPr>
    </w:p>
    <w:p>
      <w:pPr>
        <w:ind w:left="1560" w:hanging="740"/>
        <w:spacing w:after="0"/>
        <w:tabs>
          <w:tab w:leader="none" w:pos="15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“Consenting Entities” means NFE WE LLC and NFE RN LLC.</w:t>
      </w:r>
    </w:p>
    <w:p>
      <w:pPr>
        <w:spacing w:after="0" w:line="233" w:lineRule="exact"/>
        <w:rPr>
          <w:rFonts w:ascii="Arial" w:cs="Arial" w:eastAsia="Arial" w:hAnsi="Arial"/>
          <w:sz w:val="22"/>
          <w:szCs w:val="22"/>
          <w:color w:val="auto"/>
        </w:rPr>
      </w:pPr>
    </w:p>
    <w:p>
      <w:pPr>
        <w:ind w:left="1560" w:hanging="740"/>
        <w:spacing w:after="0"/>
        <w:tabs>
          <w:tab w:leader="none" w:pos="15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“Director” means a member of the Board of Directors of the Corporation.</w:t>
      </w:r>
    </w:p>
    <w:p>
      <w:pPr>
        <w:spacing w:after="0" w:line="233" w:lineRule="exact"/>
        <w:rPr>
          <w:rFonts w:ascii="Arial" w:cs="Arial" w:eastAsia="Arial" w:hAnsi="Arial"/>
          <w:sz w:val="22"/>
          <w:szCs w:val="22"/>
          <w:color w:val="auto"/>
        </w:rPr>
      </w:pPr>
    </w:p>
    <w:p>
      <w:pPr>
        <w:ind w:left="-160" w:right="240" w:firstLine="980"/>
        <w:spacing w:after="0" w:line="274" w:lineRule="auto"/>
        <w:tabs>
          <w:tab w:leader="none" w:pos="1604" w:val="left"/>
        </w:tabs>
        <w:numPr>
          <w:ilvl w:val="0"/>
          <w:numId w:val="89"/>
        </w:numPr>
        <w:rPr>
          <w:rFonts w:ascii="Arial" w:cs="Arial" w:eastAsia="Arial" w:hAnsi="Arial"/>
          <w:sz w:val="21"/>
          <w:szCs w:val="21"/>
          <w:color w:val="auto"/>
        </w:rPr>
      </w:pPr>
      <w:r>
        <w:rPr>
          <w:rFonts w:ascii="Arial" w:cs="Arial" w:eastAsia="Arial" w:hAnsi="Arial"/>
          <w:sz w:val="21"/>
          <w:szCs w:val="21"/>
          <w:color w:val="auto"/>
        </w:rPr>
        <w:t>“Exchange Act” means the Securities Exchange Act of 1934, as amended, supplemented or restated from time to time and any successor to such statute, and the rules and regulations promulgated thereunder.</w:t>
      </w:r>
    </w:p>
    <w:p>
      <w:pPr>
        <w:spacing w:after="0" w:line="177" w:lineRule="exact"/>
        <w:rPr>
          <w:rFonts w:ascii="Arial" w:cs="Arial" w:eastAsia="Arial" w:hAnsi="Arial"/>
          <w:sz w:val="21"/>
          <w:szCs w:val="21"/>
          <w:color w:val="auto"/>
        </w:rPr>
      </w:pPr>
    </w:p>
    <w:p>
      <w:pPr>
        <w:ind w:left="1560" w:hanging="740"/>
        <w:spacing w:after="0"/>
        <w:tabs>
          <w:tab w:leader="none" w:pos="15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“FEP” means Fortress Equity Partners (A) LP.</w:t>
      </w:r>
    </w:p>
    <w:p>
      <w:pPr>
        <w:spacing w:after="0" w:line="233" w:lineRule="exact"/>
        <w:rPr>
          <w:rFonts w:ascii="Arial" w:cs="Arial" w:eastAsia="Arial" w:hAnsi="Arial"/>
          <w:sz w:val="22"/>
          <w:szCs w:val="22"/>
          <w:color w:val="auto"/>
        </w:rPr>
      </w:pPr>
    </w:p>
    <w:p>
      <w:pPr>
        <w:ind w:left="-160" w:right="440" w:firstLine="980"/>
        <w:spacing w:after="0" w:line="274" w:lineRule="auto"/>
        <w:tabs>
          <w:tab w:leader="none" w:pos="1664" w:val="left"/>
        </w:tabs>
        <w:numPr>
          <w:ilvl w:val="0"/>
          <w:numId w:val="89"/>
        </w:numPr>
        <w:rPr>
          <w:rFonts w:ascii="Arial" w:cs="Arial" w:eastAsia="Arial" w:hAnsi="Arial"/>
          <w:sz w:val="21"/>
          <w:szCs w:val="21"/>
          <w:color w:val="auto"/>
        </w:rPr>
      </w:pPr>
      <w:r>
        <w:rPr>
          <w:rFonts w:ascii="Arial" w:cs="Arial" w:eastAsia="Arial" w:hAnsi="Arial"/>
          <w:sz w:val="21"/>
          <w:szCs w:val="21"/>
          <w:color w:val="auto"/>
        </w:rPr>
        <w:t>“Governmental Entity” means any court, administrative agency, regulatory body, commission or other governmental authority, board, bureau or instrumentality, domestic or foreign and any subdivision thereof.</w:t>
      </w:r>
    </w:p>
    <w:p>
      <w:pPr>
        <w:spacing w:after="0" w:line="177" w:lineRule="exact"/>
        <w:rPr>
          <w:rFonts w:ascii="Arial" w:cs="Arial" w:eastAsia="Arial" w:hAnsi="Arial"/>
          <w:sz w:val="21"/>
          <w:szCs w:val="21"/>
          <w:color w:val="auto"/>
        </w:rPr>
      </w:pPr>
    </w:p>
    <w:p>
      <w:pPr>
        <w:ind w:left="1620" w:hanging="800"/>
        <w:spacing w:after="0"/>
        <w:tabs>
          <w:tab w:leader="none" w:pos="16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“Group Member” means a member of the Company Group.</w:t>
      </w:r>
    </w:p>
    <w:p>
      <w:pPr>
        <w:spacing w:after="0" w:line="233" w:lineRule="exact"/>
        <w:rPr>
          <w:rFonts w:ascii="Arial" w:cs="Arial" w:eastAsia="Arial" w:hAnsi="Arial"/>
          <w:sz w:val="22"/>
          <w:szCs w:val="22"/>
          <w:color w:val="auto"/>
        </w:rPr>
      </w:pPr>
    </w:p>
    <w:p>
      <w:pPr>
        <w:ind w:left="-160" w:firstLine="980"/>
        <w:spacing w:after="0" w:line="279" w:lineRule="auto"/>
        <w:tabs>
          <w:tab w:leader="none" w:pos="1604"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“Indemnified Person” 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Arial" w:cs="Arial" w:eastAsia="Arial" w:hAnsi="Arial"/>
          <w:sz w:val="19"/>
          <w:szCs w:val="19"/>
          <w:i w:val="1"/>
          <w:iCs w:val="1"/>
          <w:color w:val="auto"/>
        </w:rPr>
        <w:t>provided</w:t>
      </w:r>
      <w:r>
        <w:rPr>
          <w:rFonts w:ascii="Arial" w:cs="Arial" w:eastAsia="Arial" w:hAnsi="Arial"/>
          <w:sz w:val="19"/>
          <w:szCs w:val="19"/>
          <w:color w:val="auto"/>
        </w:rPr>
        <w:t>, that a Person shall not be an Indemnified Person by reason of providing, on a fee-for-services basis, trustee, fiduciary or custodial services, (c) FEP and Fortress Investment Group LLC and their respective Affiliates, (d) the Consenting Entities and their respective Affiliates and (e) any Person the Board of Directors designates as an “Indemnified Person” for purposes of these By-Laws.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118" w:right="479" w:bottom="1440" w:gutter="0" w:footer="0" w:header="0"/>
        </w:sectPr>
      </w:pPr>
    </w:p>
    <w:bookmarkStart w:id="161" w:name="page162"/>
    <w:bookmarkEnd w:id="161"/>
    <w:p>
      <w:pPr>
        <w:ind w:left="1780" w:hanging="800"/>
        <w:spacing w:after="0"/>
        <w:tabs>
          <w:tab w:leader="none" w:pos="17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“National Securities Exchange” means an exchange registered with the Commission under Section 6(a) of</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Exchange Act.</w:t>
      </w:r>
    </w:p>
    <w:p>
      <w:pPr>
        <w:spacing w:after="0" w:line="215" w:lineRule="exact"/>
        <w:rPr>
          <w:rFonts w:ascii="Arial" w:cs="Arial" w:eastAsia="Arial" w:hAnsi="Arial"/>
          <w:sz w:val="19"/>
          <w:szCs w:val="19"/>
          <w:color w:val="auto"/>
        </w:rPr>
      </w:pPr>
    </w:p>
    <w:p>
      <w:pPr>
        <w:ind w:left="1780" w:hanging="800"/>
        <w:spacing w:after="0"/>
        <w:tabs>
          <w:tab w:leader="none" w:pos="17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“New Fortress Holdings” means New Fortress Energy Holdings LLC, a Delaware limited liability company.</w:t>
      </w:r>
    </w:p>
    <w:p>
      <w:pPr>
        <w:spacing w:after="0" w:line="267" w:lineRule="exact"/>
        <w:rPr>
          <w:rFonts w:ascii="Arial" w:cs="Arial" w:eastAsia="Arial" w:hAnsi="Arial"/>
          <w:sz w:val="19"/>
          <w:szCs w:val="19"/>
          <w:color w:val="auto"/>
        </w:rPr>
      </w:pPr>
    </w:p>
    <w:p>
      <w:pPr>
        <w:ind w:left="1740" w:hanging="760"/>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“New Fortress Intermediate” means New Fortress Intermediate LLC, a Delaware limited liability company.</w:t>
      </w:r>
    </w:p>
    <w:p>
      <w:pPr>
        <w:spacing w:after="0" w:line="267" w:lineRule="exact"/>
        <w:rPr>
          <w:rFonts w:ascii="Arial" w:cs="Arial" w:eastAsia="Arial" w:hAnsi="Arial"/>
          <w:sz w:val="19"/>
          <w:szCs w:val="19"/>
          <w:color w:val="auto"/>
        </w:rPr>
      </w:pPr>
    </w:p>
    <w:p>
      <w:pPr>
        <w:ind w:right="260" w:firstLine="980"/>
        <w:spacing w:after="0" w:line="250" w:lineRule="auto"/>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“Outstanding” means, with respect to Shares, all Shares that are issued by the Corporation and reflected as outstanding on the Corporation’s books and records as of the date of determination.</w:t>
      </w:r>
    </w:p>
    <w:p>
      <w:pPr>
        <w:spacing w:after="0" w:line="201" w:lineRule="exact"/>
        <w:rPr>
          <w:rFonts w:ascii="Arial" w:cs="Arial" w:eastAsia="Arial" w:hAnsi="Arial"/>
          <w:sz w:val="22"/>
          <w:szCs w:val="22"/>
          <w:color w:val="auto"/>
        </w:rPr>
      </w:pPr>
    </w:p>
    <w:p>
      <w:pPr>
        <w:ind w:right="20" w:firstLine="980"/>
        <w:spacing w:after="0" w:line="250" w:lineRule="auto"/>
        <w:tabs>
          <w:tab w:leader="none" w:pos="1716" w:val="left"/>
        </w:tabs>
        <w:numPr>
          <w:ilvl w:val="0"/>
          <w:numId w:val="90"/>
        </w:numPr>
        <w:rPr>
          <w:rFonts w:ascii="Arial" w:cs="Arial" w:eastAsia="Arial" w:hAnsi="Arial"/>
          <w:sz w:val="22"/>
          <w:szCs w:val="22"/>
          <w:color w:val="auto"/>
        </w:rPr>
      </w:pPr>
      <w:r>
        <w:rPr>
          <w:rFonts w:ascii="Arial" w:cs="Arial" w:eastAsia="Arial" w:hAnsi="Arial"/>
          <w:sz w:val="22"/>
          <w:szCs w:val="22"/>
          <w:color w:val="auto"/>
        </w:rPr>
        <w:t>“Person” means any individual, corporation, firm, partnership, joint venture, limited liability company, estate, trust, business association, organization, Governmental Entity or other entity.</w:t>
      </w:r>
    </w:p>
    <w:p>
      <w:pPr>
        <w:spacing w:after="0" w:line="201" w:lineRule="exact"/>
        <w:rPr>
          <w:rFonts w:ascii="Arial" w:cs="Arial" w:eastAsia="Arial" w:hAnsi="Arial"/>
          <w:sz w:val="22"/>
          <w:szCs w:val="22"/>
          <w:color w:val="auto"/>
        </w:rPr>
      </w:pPr>
    </w:p>
    <w:p>
      <w:pPr>
        <w:ind w:firstLine="980"/>
        <w:spacing w:after="0" w:line="257" w:lineRule="auto"/>
        <w:tabs>
          <w:tab w:leader="none" w:pos="1764" w:val="left"/>
        </w:tabs>
        <w:numPr>
          <w:ilvl w:val="0"/>
          <w:numId w:val="90"/>
        </w:numPr>
        <w:rPr>
          <w:rFonts w:ascii="Arial" w:cs="Arial" w:eastAsia="Arial" w:hAnsi="Arial"/>
          <w:sz w:val="21"/>
          <w:szCs w:val="21"/>
          <w:color w:val="auto"/>
        </w:rPr>
      </w:pPr>
      <w:r>
        <w:rPr>
          <w:rFonts w:ascii="Arial" w:cs="Arial" w:eastAsia="Arial" w:hAnsi="Arial"/>
          <w:sz w:val="21"/>
          <w:szCs w:val="21"/>
          <w:color w:val="auto"/>
        </w:rPr>
        <w:t>“Preferred Shares” means a class of Shares that entitles the Record Holders thereof to a preference or priority over the Record Holders of any other class of Shares in (i) the right to share profits or losses or items thereof, (ii) the right to share in Corporation distributions, or (iii) rights upon dissolution or liquidation of the Corporation.</w:t>
      </w:r>
    </w:p>
    <w:p>
      <w:pPr>
        <w:spacing w:after="0" w:line="196" w:lineRule="exact"/>
        <w:rPr>
          <w:rFonts w:ascii="Arial" w:cs="Arial" w:eastAsia="Arial" w:hAnsi="Arial"/>
          <w:sz w:val="21"/>
          <w:szCs w:val="21"/>
          <w:color w:val="auto"/>
        </w:rPr>
      </w:pPr>
    </w:p>
    <w:p>
      <w:pPr>
        <w:ind w:left="1780" w:hanging="800"/>
        <w:spacing w:after="0"/>
        <w:tabs>
          <w:tab w:leader="none" w:pos="17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“Quarter” means, unless the context requires otherwise, a fiscal quarter of the Corporation.</w:t>
      </w:r>
    </w:p>
    <w:p>
      <w:pPr>
        <w:spacing w:after="0" w:line="233" w:lineRule="exact"/>
        <w:rPr>
          <w:rFonts w:ascii="Arial" w:cs="Arial" w:eastAsia="Arial" w:hAnsi="Arial"/>
          <w:sz w:val="22"/>
          <w:szCs w:val="22"/>
          <w:color w:val="auto"/>
        </w:rPr>
      </w:pPr>
    </w:p>
    <w:p>
      <w:pPr>
        <w:ind w:firstLine="980"/>
        <w:spacing w:after="0" w:line="238" w:lineRule="auto"/>
        <w:tabs>
          <w:tab w:leader="none" w:pos="1812"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“Record Date” means the date established by the Board of Directors for determining (i) the identity of the Record Holders entitled to notice of, or to vote at, any meeting of stockholders or entitled to exercise rights in respect of any lawful action of stockholders or (ii) the identity of Record Holders entitled to receive any report or distribution or to participate in any offer.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2" w:name="page163"/>
    <w:bookmarkEnd w:id="162"/>
    <w:p>
      <w:pPr>
        <w:ind w:left="-20" w:right="100" w:firstLine="980"/>
        <w:spacing w:after="0" w:line="287" w:lineRule="auto"/>
        <w:tabs>
          <w:tab w:leader="none" w:pos="17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“Record Holder” or “holder”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spacing w:after="0" w:line="170" w:lineRule="exact"/>
        <w:rPr>
          <w:rFonts w:ascii="Arial" w:cs="Arial" w:eastAsia="Arial" w:hAnsi="Arial"/>
          <w:sz w:val="19"/>
          <w:szCs w:val="19"/>
          <w:color w:val="auto"/>
        </w:rPr>
      </w:pPr>
    </w:p>
    <w:p>
      <w:pPr>
        <w:ind w:left="-20" w:right="160" w:firstLine="980"/>
        <w:spacing w:after="0" w:line="250" w:lineRule="auto"/>
        <w:tabs>
          <w:tab w:leader="none" w:pos="17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“Securities Act” means the Securities Act of 1933, as amended, supplemented or restated from time to time and any successor to such statute, and the rules and regulations promulgated thereunder.</w:t>
      </w:r>
    </w:p>
    <w:p>
      <w:pPr>
        <w:spacing w:after="0" w:line="201" w:lineRule="exact"/>
        <w:rPr>
          <w:rFonts w:ascii="Arial" w:cs="Arial" w:eastAsia="Arial" w:hAnsi="Arial"/>
          <w:sz w:val="22"/>
          <w:szCs w:val="22"/>
          <w:color w:val="auto"/>
        </w:rPr>
      </w:pPr>
    </w:p>
    <w:p>
      <w:pPr>
        <w:ind w:left="-20" w:right="200" w:firstLine="980"/>
        <w:spacing w:after="0"/>
        <w:tabs>
          <w:tab w:leader="none" w:pos="1732" w:val="left"/>
        </w:tabs>
        <w:numPr>
          <w:ilvl w:val="0"/>
          <w:numId w:val="91"/>
        </w:numPr>
        <w:rPr>
          <w:rFonts w:ascii="Arial" w:cs="Arial" w:eastAsia="Arial" w:hAnsi="Arial"/>
          <w:sz w:val="22"/>
          <w:szCs w:val="22"/>
          <w:color w:val="auto"/>
        </w:rPr>
      </w:pPr>
      <w:r>
        <w:rPr>
          <w:rFonts w:ascii="Arial" w:cs="Arial" w:eastAsia="Arial" w:hAnsi="Arial"/>
          <w:sz w:val="22"/>
          <w:szCs w:val="22"/>
          <w:color w:val="auto"/>
        </w:rPr>
        <w:t>“Share” means a share issued by the Corporation that evidences a stockholder’s rights, powers and duties with respect to the Corporation pursuant to these By-Laws and the DGCL. Shares may be Common Shares or Preferred Shares, and may be issued in different classes or series.</w:t>
      </w:r>
    </w:p>
    <w:p>
      <w:pPr>
        <w:spacing w:after="0" w:line="213" w:lineRule="exact"/>
        <w:rPr>
          <w:sz w:val="20"/>
          <w:szCs w:val="20"/>
          <w:color w:val="auto"/>
        </w:rPr>
      </w:pPr>
    </w:p>
    <w:p>
      <w:pPr>
        <w:ind w:left="-20" w:right="40" w:firstLine="980"/>
        <w:spacing w:after="0" w:line="250" w:lineRule="auto"/>
        <w:tabs>
          <w:tab w:leader="none" w:pos="1828" w:val="left"/>
        </w:tabs>
        <w:numPr>
          <w:ilvl w:val="0"/>
          <w:numId w:val="92"/>
        </w:numPr>
        <w:rPr>
          <w:rFonts w:ascii="Arial" w:cs="Arial" w:eastAsia="Arial" w:hAnsi="Arial"/>
          <w:sz w:val="22"/>
          <w:szCs w:val="22"/>
          <w:color w:val="auto"/>
        </w:rPr>
      </w:pPr>
      <w:r>
        <w:rPr>
          <w:rFonts w:ascii="Arial" w:cs="Arial" w:eastAsia="Arial" w:hAnsi="Arial"/>
          <w:sz w:val="22"/>
          <w:szCs w:val="22"/>
          <w:color w:val="auto"/>
        </w:rPr>
        <w:t>“Share Majority” means a majority of the total votes that may be cast in the election of Directors by holders of all Outstanding Voting Shares.</w:t>
      </w:r>
    </w:p>
    <w:p>
      <w:pPr>
        <w:spacing w:after="0" w:line="201" w:lineRule="exact"/>
        <w:rPr>
          <w:rFonts w:ascii="Arial" w:cs="Arial" w:eastAsia="Arial" w:hAnsi="Arial"/>
          <w:sz w:val="22"/>
          <w:szCs w:val="22"/>
          <w:color w:val="auto"/>
        </w:rPr>
      </w:pPr>
    </w:p>
    <w:p>
      <w:pPr>
        <w:ind w:left="-20" w:right="540" w:firstLine="980"/>
        <w:spacing w:after="0" w:line="328" w:lineRule="auto"/>
        <w:tabs>
          <w:tab w:leader="none" w:pos="1852" w:val="left"/>
        </w:tabs>
        <w:numPr>
          <w:ilvl w:val="0"/>
          <w:numId w:val="92"/>
        </w:numPr>
        <w:rPr>
          <w:rFonts w:ascii="Arial" w:cs="Arial" w:eastAsia="Arial" w:hAnsi="Arial"/>
          <w:sz w:val="19"/>
          <w:szCs w:val="19"/>
          <w:color w:val="auto"/>
        </w:rPr>
      </w:pPr>
      <w:r>
        <w:rPr>
          <w:rFonts w:ascii="Arial" w:cs="Arial" w:eastAsia="Arial" w:hAnsi="Arial"/>
          <w:sz w:val="19"/>
          <w:szCs w:val="19"/>
          <w:color w:val="auto"/>
        </w:rPr>
        <w:t>“Shareholders Agreement” means the Shareholders’ Agreement, dated as of February 4, 2019, by and among the Corporation, New Fortress Holdings, Wesley R. Edens and Randal A. Nardone, as it may be amended.</w:t>
      </w:r>
    </w:p>
    <w:p>
      <w:pPr>
        <w:spacing w:after="0" w:line="131" w:lineRule="exact"/>
        <w:rPr>
          <w:rFonts w:ascii="Arial" w:cs="Arial" w:eastAsia="Arial" w:hAnsi="Arial"/>
          <w:sz w:val="19"/>
          <w:szCs w:val="19"/>
          <w:color w:val="auto"/>
        </w:rPr>
      </w:pPr>
    </w:p>
    <w:p>
      <w:pPr>
        <w:ind w:left="-20" w:firstLine="980"/>
        <w:spacing w:after="0" w:line="287" w:lineRule="auto"/>
        <w:tabs>
          <w:tab w:leader="none" w:pos="1828" w:val="left"/>
        </w:tabs>
        <w:numPr>
          <w:ilvl w:val="0"/>
          <w:numId w:val="92"/>
        </w:numPr>
        <w:rPr>
          <w:rFonts w:ascii="Arial" w:cs="Arial" w:eastAsia="Arial" w:hAnsi="Arial"/>
          <w:sz w:val="19"/>
          <w:szCs w:val="19"/>
          <w:color w:val="auto"/>
        </w:rPr>
      </w:pPr>
      <w:r>
        <w:rPr>
          <w:rFonts w:ascii="Arial" w:cs="Arial" w:eastAsia="Arial" w:hAnsi="Arial"/>
          <w:sz w:val="19"/>
          <w:szCs w:val="19"/>
          <w:color w:val="auto"/>
        </w:rPr>
        <w:t>“Subsidiary” means, with respect to any Person, as of any date of determination, any other Person as to which such Person owns or otherwise controls, directly or indirectly, more than 50% of the voting shares or other similar interests or a sole general partner interest or managing member or similar interest of such Person. For the avoidance of doubt, New Fortress Intermediate and its Subsidiaries shall be deemed to be Subsidiaries of the Corporation.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63" w:name="page164"/>
    <w:bookmarkEnd w:id="163"/>
    <w:p>
      <w:pPr>
        <w:jc w:val="both"/>
        <w:ind w:left="-60" w:firstLine="980"/>
        <w:spacing w:after="0" w:line="298" w:lineRule="auto"/>
        <w:tabs>
          <w:tab w:leader="none" w:pos="1812" w:val="left"/>
        </w:tabs>
        <w:numPr>
          <w:ilvl w:val="0"/>
          <w:numId w:val="93"/>
        </w:numPr>
        <w:rPr>
          <w:rFonts w:ascii="Arial" w:cs="Arial" w:eastAsia="Arial" w:hAnsi="Arial"/>
          <w:sz w:val="19"/>
          <w:szCs w:val="19"/>
          <w:color w:val="auto"/>
        </w:rPr>
      </w:pPr>
      <w:r>
        <w:rPr>
          <w:rFonts w:ascii="Arial" w:cs="Arial" w:eastAsia="Arial" w:hAnsi="Arial"/>
          <w:sz w:val="19"/>
          <w:szCs w:val="19"/>
          <w:color w:val="auto"/>
        </w:rPr>
        <w:t>“transfer” 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spacing w:after="0" w:line="158" w:lineRule="exact"/>
        <w:rPr>
          <w:rFonts w:ascii="Arial" w:cs="Arial" w:eastAsia="Arial" w:hAnsi="Arial"/>
          <w:sz w:val="19"/>
          <w:szCs w:val="19"/>
          <w:color w:val="auto"/>
        </w:rPr>
      </w:pPr>
    </w:p>
    <w:p>
      <w:pPr>
        <w:ind w:left="-60" w:right="100" w:firstLine="980"/>
        <w:spacing w:after="0" w:line="238" w:lineRule="auto"/>
        <w:tabs>
          <w:tab w:leader="none" w:pos="1788"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“Transfer Agent” 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no Transfer Agent is specifically designated for such class of Shares, the Corporation shall act in such capacity.</w:t>
      </w:r>
    </w:p>
    <w:p>
      <w:pPr>
        <w:spacing w:after="0" w:line="211" w:lineRule="exact"/>
        <w:rPr>
          <w:rFonts w:ascii="Arial" w:cs="Arial" w:eastAsia="Arial" w:hAnsi="Arial"/>
          <w:sz w:val="22"/>
          <w:szCs w:val="22"/>
          <w:color w:val="auto"/>
        </w:rPr>
      </w:pPr>
    </w:p>
    <w:p>
      <w:pPr>
        <w:ind w:left="-60" w:right="40" w:firstLine="980"/>
        <w:spacing w:after="0"/>
        <w:tabs>
          <w:tab w:leader="none" w:pos="1736" w:val="left"/>
        </w:tabs>
        <w:numPr>
          <w:ilvl w:val="0"/>
          <w:numId w:val="93"/>
        </w:numPr>
        <w:rPr>
          <w:rFonts w:ascii="Arial" w:cs="Arial" w:eastAsia="Arial" w:hAnsi="Arial"/>
          <w:sz w:val="22"/>
          <w:szCs w:val="22"/>
          <w:color w:val="auto"/>
        </w:rPr>
      </w:pPr>
      <w:r>
        <w:rPr>
          <w:rFonts w:ascii="Arial" w:cs="Arial" w:eastAsia="Arial" w:hAnsi="Arial"/>
          <w:sz w:val="22"/>
          <w:szCs w:val="22"/>
          <w:color w:val="auto"/>
        </w:rPr>
        <w:t>“Voting Shares” means the Class A Shares, the Class B Shares and any other class of Shares issued after the date of this Certificate of Incorporation that entitles the Record Holder thereof to vote on any matter submitted for consent or approval of stockholders.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2"/>
          <w:szCs w:val="22"/>
          <w:color w:val="auto"/>
        </w:rPr>
        <w:t>ARTICLE VIII</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w:t>
      </w:r>
    </w:p>
    <w:p>
      <w:pPr>
        <w:spacing w:after="0" w:line="233" w:lineRule="exact"/>
        <w:rPr>
          <w:sz w:val="20"/>
          <w:szCs w:val="20"/>
          <w:color w:val="auto"/>
        </w:rPr>
      </w:pPr>
    </w:p>
    <w:p>
      <w:pPr>
        <w:ind w:firstLine="972"/>
        <w:spacing w:after="0" w:line="27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Power to Indemnify in Actions, Suits or Proceedings other than Those by or in the Right of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Corporation</w:t>
      </w:r>
      <w:r>
        <w:rPr>
          <w:rFonts w:ascii="Arial" w:cs="Arial" w:eastAsia="Arial" w:hAnsi="Arial"/>
          <w:sz w:val="19"/>
          <w:szCs w:val="19"/>
          <w:color w:val="auto"/>
        </w:rPr>
        <w:t>. Subject to Section 3 of this Article VIII, the Corporation shall indemnify any Indemnified Person who was or is a party or is threatened to be made a party to any threatened, pending or completed action, suit or proceeding, whether civil, criminal, administrative or investigative (other than an action by or in the right of the Corporation), by reason of the fact that such Indemnified Person (a) is or was a Director or Officer of the Corporation or its predecessor, is or was serving at the request of the Corporation or its predecessor as an officer, director, member, manager, partner, fiduciary or trustee of another Person (including any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Person shall not be an Indemnified Person by reason of providing, on a fee-for-services basis, trustee, fiduciary or custodial services), (b) is or was FEP, Fortress Investment Group LLC or their respective Affiliates, (c) is or was a Consenting Entity or their respective Affiliates or (d) is or was any Person the Board of Directors designates as an “Indemnified Person” for purposes of these By-Laws, in each case of clauses (a), (b), (c) and (d), against expenses (including attorneys’ fees), judgments, fines and amounts paid in settlement actually and reasonably incurred by such Indemnified Person in connection with such action, suit or proceeding if such Indemnified Person acted in good faith and in a manner such Indemnified Person reasonably believed to be in or not opposed to the best interests of the Corporation, and, with respect to any criminal action or proceeding, had no reasonable cause to believe such Indemnified Person’s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such Indemnified Person reasonably believed to be in or not opposed to the best interests of the Corporation, and, with respect to any criminal action or proceeding, had reasonable cause to believe that such Indemnified Person’s conduct was unlawful.</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5" w:name="page166"/>
    <w:bookmarkEnd w:id="165"/>
    <w:p>
      <w:pPr>
        <w:ind w:firstLine="972"/>
        <w:spacing w:after="0" w:line="27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Power to Indemnify in Actions, Suits or Proceedings by or in the Right of the Corporation</w:t>
      </w:r>
      <w:r>
        <w:rPr>
          <w:rFonts w:ascii="Arial" w:cs="Arial" w:eastAsia="Arial" w:hAnsi="Arial"/>
          <w:sz w:val="19"/>
          <w:szCs w:val="19"/>
          <w:color w:val="auto"/>
        </w:rPr>
        <w:t>. Subject to Section 3 of this Article VIII, the Corporation shall indemnify any Indemnified Person who was or is a party or is threatened to be made a party to any threatened, pending or completed action or suit by or in the right of the Corporation to procure a judgment in its favor by reason of the fact that such Indemnified Person is or was a Director or Officer of the Corporation or its predecessor, is or was serving at the request of the Corporation or its predecessor as an officer, director, member, manager, partner, fiduciary or trustee of another Person (including any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Person shall not be an Indemnified Person by reason of providing, on a fee-for-services basis, trustee, fiduciary or custodial services), is or was FEP, Fortress Investment Group LLC or their respective Affiliates, is or was a Consenting Entity or their respective Affiliates or is or was any Person the Board of Directors designates as an “Indemnified Person” for purposes of these By-Laws, against expenses (including attorneys’ fees) actually and reasonably incurred by such Indemnified Person in connection with the defense or settlement of such action or suit if such Indemnified Person acted in good faith and in a manner such Indemnified Person reasonably believed to be in or not opposed to the best interests of the Corporation; except that no indemnification shall be made in respect of any claim, issue or matter as to which such Indemnified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Indemnified Person is fairly and reasonably entitled to indemnity for such expenses which the Court of Chancery or such other court shall deem proper.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6" w:name="page167"/>
    <w:bookmarkEnd w:id="166"/>
    <w:p>
      <w:pPr>
        <w:ind w:firstLine="972"/>
        <w:spacing w:after="0" w:line="27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Authorization of Indemnification</w:t>
      </w:r>
      <w:r>
        <w:rPr>
          <w:rFonts w:ascii="Arial" w:cs="Arial" w:eastAsia="Arial" w:hAnsi="Arial"/>
          <w:sz w:val="19"/>
          <w:szCs w:val="19"/>
          <w:color w:val="auto"/>
        </w:rPr>
        <w:t>. Any indemnification under this Article VIII (unless ordered by a court) shall be made by the Corporation only as authorized in the specific case upon a determination that indemnification of the Indemnified Person is proper in the circumstances because such Indemnified Person has met the applicable standard of conduct set forth in Section 1 or Section 2 of this Article VIII, as the case may be. Such determination shall be made, with respect to an Indemnified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any other Indemnified Person, by any person or persons having the authority to act on the matter on behalf of the Corporation.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w:t>
      </w:r>
    </w:p>
    <w:p>
      <w:pPr>
        <w:spacing w:after="0" w:line="184" w:lineRule="exact"/>
        <w:rPr>
          <w:sz w:val="20"/>
          <w:szCs w:val="20"/>
          <w:color w:val="auto"/>
        </w:rPr>
      </w:pPr>
    </w:p>
    <w:p>
      <w:pPr>
        <w:ind w:right="40" w:firstLine="972"/>
        <w:spacing w:after="0" w:line="273"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Good Faith Defined</w:t>
      </w:r>
      <w:r>
        <w:rPr>
          <w:rFonts w:ascii="Arial" w:cs="Arial" w:eastAsia="Arial" w:hAnsi="Arial"/>
          <w:sz w:val="19"/>
          <w:szCs w:val="19"/>
          <w:color w:val="auto"/>
        </w:rPr>
        <w:t>. For purposes of any determination under Section 3 of this Article VIII, an Indemnified Person shall be deemed to have acted in good faith and in a manner such Indemnified Person reasonably believed to be in or not opposed to the best interests of the Corporation, or, with respect to any criminal action or proceeding, to have had no reasonable cause to believe such Indemnified Person’s conduct was unlawful, if such Indemnified Person’s action is based on the records or books of account of the Corporation or another enterprise, or on information supplied to such Indemnified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an Indemnified Person may be deemed to have met the applicable standard of conduct set forth in Section 1 or Section 2 of this Article VIII, as the case may be.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ind w:firstLine="972"/>
        <w:spacing w:after="0" w:line="24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Indemnification by a Court</w:t>
      </w:r>
      <w:r>
        <w:rPr>
          <w:rFonts w:ascii="Arial" w:cs="Arial" w:eastAsia="Arial" w:hAnsi="Arial"/>
          <w:sz w:val="21"/>
          <w:szCs w:val="21"/>
          <w:color w:val="auto"/>
        </w:rPr>
        <w:t>. Notwithstanding any contrary determination in the specific case under Section 3 of this Article VIII, and notwithstanding the absence of any determination thereunder, any Indemnified Person may apply to the Court of Chancery of the State of Delaware or any other court of competent jurisdiction in the State of Delaware for indemnification to the extent otherwise permissible under Section 1 or Section 2 of this Article VIII. The basis of such indemnification by a court shall be a determination by such court that indemnification of the Indemnified Person is proper in the circumstances because such Indemnified Person has met the applicable standard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Indemnified Person seeking indemnification has not met any applicable standard of conduct. Notice of any application for indemnification pursuant to this Section 5 shall be given to the Corporation promptly upon the filing of such application. If successful, in whole or in part, the Indemnified Person seeking indemnification shall also be entitled to be paid the expense of prosecuting such application.</w:t>
      </w:r>
    </w:p>
    <w:p>
      <w:pPr>
        <w:spacing w:after="0" w:line="214" w:lineRule="exact"/>
        <w:rPr>
          <w:sz w:val="20"/>
          <w:szCs w:val="20"/>
          <w:color w:val="auto"/>
        </w:rPr>
      </w:pPr>
    </w:p>
    <w:p>
      <w:pPr>
        <w:ind w:right="40" w:firstLine="972"/>
        <w:spacing w:after="0" w:line="246"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Expenses Payable in Advance</w:t>
      </w:r>
      <w:r>
        <w:rPr>
          <w:rFonts w:ascii="Arial" w:cs="Arial" w:eastAsia="Arial" w:hAnsi="Arial"/>
          <w:sz w:val="21"/>
          <w:szCs w:val="21"/>
          <w:color w:val="auto"/>
        </w:rPr>
        <w:t>. Expenses (including attorneys’ fees) incurred by an Indemnified Person in defending any civil, criminal, administrative or investigative action, suit or proceeding shall be paid by the Corporation in advance of the final disposition of such action, suit or proceeding upon receipt of an undertaking by or on behalf of such Indemnified Person to repay such amount if it shall ultimately be determined that such Indemnified Person is not entitled to be indemnified by the Corporation as authorized in this Article VIII. Such expenses (including attorneys’ fees) incurred by Indemnified Persons that are former Directors or Officers or other employees and agents may be so paid upon such terms and conditions, if any, as the Corporation deems appropriate.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8" w:name="page169"/>
    <w:bookmarkEnd w:id="168"/>
    <w:p>
      <w:pPr>
        <w:ind w:right="100" w:firstLine="972"/>
        <w:spacing w:after="0" w:line="245"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Nonexclusivity of Indemnification and Advancement of Expenses</w:t>
      </w:r>
      <w:r>
        <w:rPr>
          <w:rFonts w:ascii="Arial" w:cs="Arial" w:eastAsia="Arial" w:hAnsi="Arial"/>
          <w:sz w:val="21"/>
          <w:szCs w:val="21"/>
          <w:color w:val="auto"/>
        </w:rPr>
        <w:t>. The indemnification and advancement of expenses provided by, or granted pursuant to, this Article VIII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Indemnified Person’s official capacity and as to action in another capacity while holding such office, it being the policy of the Corporation that indemnification of the Persons specified in Section 1 and Section 2 of this Article VIII shall be made to the fullest extent permitted by law. The provisions of this Article VIII shall not be deemed to preclude the indemnification of any Person who is not specified in Section 1 or Section 2 of this Article VIII but whom the Corporation has the power or obligation to indemnify under the provisions of the DGCL, or otherwise.</w:t>
      </w:r>
    </w:p>
    <w:p>
      <w:pPr>
        <w:spacing w:after="0" w:line="212" w:lineRule="exact"/>
        <w:rPr>
          <w:sz w:val="20"/>
          <w:szCs w:val="20"/>
          <w:color w:val="auto"/>
        </w:rPr>
      </w:pPr>
    </w:p>
    <w:p>
      <w:pPr>
        <w:ind w:firstLine="972"/>
        <w:spacing w:after="0" w:line="252"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may purchase and maintain insurance on behalf of any Indemnified Person against any liability asserted against such Indemnified Person and incurred by such Indemnified Person in any capacity as an Indemnified Person, or arising out of such Person’s status as such, whether or not the Corporation would have the power or the obligation to indemnify such Person against such liability under the provisions of this Article VIII.</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9" w:name="page170"/>
    <w:bookmarkEnd w:id="169"/>
    <w:p>
      <w:pPr>
        <w:ind w:firstLine="972"/>
        <w:spacing w:after="0" w:line="271"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The term “another enterprise” as used in this Article VIII shall mean any other corporation or any partnership, joint venture, trust, employee benefit plan or other enterprise of which such Person is or was serving at the request of the Corporation as a director, officer, employee or agent. For purposes of this Article VIII,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0" w:name="page171"/>
    <w:bookmarkEnd w:id="170"/>
    <w:p>
      <w:pPr>
        <w:ind w:right="140" w:firstLine="972"/>
        <w:spacing w:after="0" w:line="238"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Survival of Indemnification and Advancement of Expenses</w:t>
      </w:r>
      <w:r>
        <w:rPr>
          <w:rFonts w:ascii="Arial" w:cs="Arial" w:eastAsia="Arial" w:hAnsi="Arial"/>
          <w:sz w:val="22"/>
          <w:szCs w:val="22"/>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212" w:lineRule="exact"/>
        <w:rPr>
          <w:sz w:val="20"/>
          <w:szCs w:val="20"/>
          <w:color w:val="auto"/>
        </w:rPr>
      </w:pPr>
    </w:p>
    <w:p>
      <w:pPr>
        <w:ind w:right="100" w:firstLine="972"/>
        <w:spacing w:after="0" w:line="282"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Limitation on Indemnification</w:t>
      </w:r>
      <w:r>
        <w:rPr>
          <w:rFonts w:ascii="Arial" w:cs="Arial" w:eastAsia="Arial" w:hAnsi="Arial"/>
          <w:sz w:val="19"/>
          <w:szCs w:val="19"/>
          <w:color w:val="auto"/>
        </w:rPr>
        <w:t>. Notwithstanding anything contained in this Article VIII to the contrary, except for proceedings to enforce rights to indemnification (which shall be governed by Section 5 of this Article VIII), the Corporation shall not be obligated to indemnify any Indemnified Person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74" w:lineRule="exact"/>
        <w:rPr>
          <w:sz w:val="20"/>
          <w:szCs w:val="20"/>
          <w:color w:val="auto"/>
        </w:rPr>
      </w:pPr>
    </w:p>
    <w:p>
      <w:pPr>
        <w:jc w:val="both"/>
        <w:ind w:firstLine="972"/>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Indemnification of Employees and Agents</w:t>
      </w:r>
      <w:r>
        <w:rPr>
          <w:rFonts w:ascii="Arial" w:cs="Arial" w:eastAsia="Arial" w:hAnsi="Arial"/>
          <w:sz w:val="22"/>
          <w:szCs w:val="22"/>
          <w:color w:val="auto"/>
        </w:rPr>
        <w:t>. The Corporation may, to the extent authorized from time to time by the Board of Directors, provide rights to indemnification and to the advancement of expenses to employees and agents of the Corporation similar to those conferred in this Article VIII to Indemnified Persons.</w:t>
      </w:r>
    </w:p>
    <w:p>
      <w:pPr>
        <w:spacing w:after="0" w:line="213" w:lineRule="exact"/>
        <w:rPr>
          <w:sz w:val="20"/>
          <w:szCs w:val="20"/>
          <w:color w:val="auto"/>
        </w:rPr>
      </w:pPr>
    </w:p>
    <w:p>
      <w:pPr>
        <w:ind w:right="200" w:firstLine="972"/>
        <w:spacing w:after="0" w:line="246"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Indemnification with Respect to Employee Benefit Plans</w:t>
      </w:r>
      <w:r>
        <w:rPr>
          <w:rFonts w:ascii="Arial" w:cs="Arial" w:eastAsia="Arial" w:hAnsi="Arial"/>
          <w:sz w:val="21"/>
          <w:szCs w:val="21"/>
          <w:color w:val="auto"/>
        </w:rPr>
        <w:t>. Any liabilities which an Indemnified Person incurs as a result of acting on behalf of the Corporation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 shall be treated as liabilities indemnifiable under this Article VIII, to the maximum extent permitted by law.</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1" w:name="page172"/>
    <w:bookmarkEnd w:id="171"/>
    <w:p>
      <w:pPr>
        <w:jc w:val="center"/>
        <w:ind w:right="-71"/>
        <w:spacing w:after="0"/>
        <w:rPr>
          <w:sz w:val="20"/>
          <w:szCs w:val="20"/>
          <w:color w:val="auto"/>
        </w:rPr>
      </w:pPr>
      <w:r>
        <w:rPr>
          <w:rFonts w:ascii="Arial" w:cs="Arial" w:eastAsia="Arial" w:hAnsi="Arial"/>
          <w:sz w:val="22"/>
          <w:szCs w:val="22"/>
          <w:color w:val="auto"/>
        </w:rPr>
        <w:t>ARTICLE IX</w:t>
      </w:r>
    </w:p>
    <w:p>
      <w:pPr>
        <w:spacing w:after="0" w:line="234" w:lineRule="exact"/>
        <w:rPr>
          <w:sz w:val="20"/>
          <w:szCs w:val="20"/>
          <w:color w:val="auto"/>
        </w:rPr>
      </w:pPr>
    </w:p>
    <w:p>
      <w:pPr>
        <w:ind w:left="3012"/>
        <w:spacing w:after="0"/>
        <w:rPr>
          <w:sz w:val="20"/>
          <w:szCs w:val="20"/>
          <w:color w:val="auto"/>
        </w:rPr>
      </w:pPr>
      <w:r>
        <w:rPr>
          <w:rFonts w:ascii="Arial" w:cs="Arial" w:eastAsia="Arial" w:hAnsi="Arial"/>
          <w:sz w:val="22"/>
          <w:szCs w:val="22"/>
          <w:u w:val="single" w:color="auto"/>
          <w:color w:val="auto"/>
        </w:rPr>
        <w:t>FORUM FOR ADJUDICATION OF CERTAIN DISPUTES</w:t>
      </w:r>
    </w:p>
    <w:p>
      <w:pPr>
        <w:spacing w:after="0" w:line="233" w:lineRule="exact"/>
        <w:rPr>
          <w:sz w:val="20"/>
          <w:szCs w:val="20"/>
          <w:color w:val="auto"/>
        </w:rPr>
      </w:pPr>
    </w:p>
    <w:p>
      <w:pPr>
        <w:ind w:left="972"/>
        <w:spacing w:after="0"/>
        <w:tabs>
          <w:tab w:leader="none" w:pos="2352"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Forum for Adjudication of Certain Disputes</w:t>
      </w:r>
      <w:r>
        <w:rPr>
          <w:rFonts w:ascii="Arial" w:cs="Arial" w:eastAsia="Arial" w:hAnsi="Arial"/>
          <w:sz w:val="19"/>
          <w:szCs w:val="19"/>
          <w:color w:val="auto"/>
        </w:rPr>
        <w:t>.</w:t>
      </w:r>
    </w:p>
    <w:p>
      <w:pPr>
        <w:spacing w:after="0" w:line="233" w:lineRule="exact"/>
        <w:rPr>
          <w:sz w:val="20"/>
          <w:szCs w:val="20"/>
          <w:color w:val="auto"/>
        </w:rPr>
      </w:pPr>
    </w:p>
    <w:p>
      <w:pPr>
        <w:ind w:left="-8" w:right="20" w:firstLine="980"/>
        <w:spacing w:after="0" w:line="271" w:lineRule="auto"/>
        <w:tabs>
          <w:tab w:leader="none" w:pos="1744" w:val="left"/>
        </w:tabs>
        <w:numPr>
          <w:ilvl w:val="1"/>
          <w:numId w:val="94"/>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the Court of Chancery of the State of Delaware shall, to the fullest extent permitted by applicable law, be the sole and exclusive forum for (i) any derivative action or proceeding brought on behalf of the Corporation, (ii) any action asserting a claim of breach of a fiduciary duty owed by any Director, Officer, employee or agent of the Corporation to the Corporation or the Corporation’s stockholders,</w:t>
      </w:r>
    </w:p>
    <w:p>
      <w:pPr>
        <w:spacing w:after="0" w:line="3" w:lineRule="exact"/>
        <w:rPr>
          <w:rFonts w:ascii="Arial" w:cs="Arial" w:eastAsia="Arial" w:hAnsi="Arial"/>
          <w:sz w:val="19"/>
          <w:szCs w:val="19"/>
          <w:color w:val="auto"/>
        </w:rPr>
      </w:pPr>
    </w:p>
    <w:p>
      <w:pPr>
        <w:ind w:left="-8" w:firstLine="8"/>
        <w:spacing w:after="0" w:line="244" w:lineRule="auto"/>
        <w:tabs>
          <w:tab w:leader="none" w:pos="370"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action asserting a claim against the Corporation or any Director or Officer or other employee of the Corporation arising pursuant to any provision of the DGCL, the Certificate of Incorporation or these By-Laws, or (iv) any action asserting a claim against the Corporation or any Director or Officer or other employee of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the Corporation shall be deemed to have notice of and consented to the provisions of this Section 1.</w:t>
      </w:r>
    </w:p>
    <w:p>
      <w:pPr>
        <w:spacing w:after="0" w:line="209" w:lineRule="exact"/>
        <w:rPr>
          <w:rFonts w:ascii="Arial" w:cs="Arial" w:eastAsia="Arial" w:hAnsi="Arial"/>
          <w:sz w:val="21"/>
          <w:szCs w:val="21"/>
          <w:color w:val="auto"/>
        </w:rPr>
      </w:pPr>
    </w:p>
    <w:p>
      <w:pPr>
        <w:ind w:left="-8" w:firstLine="980"/>
        <w:spacing w:after="0" w:line="248" w:lineRule="auto"/>
        <w:tabs>
          <w:tab w:leader="none" w:pos="1756" w:val="left"/>
        </w:tabs>
        <w:numPr>
          <w:ilvl w:val="1"/>
          <w:numId w:val="95"/>
        </w:numPr>
        <w:rPr>
          <w:rFonts w:ascii="Arial" w:cs="Arial" w:eastAsia="Arial" w:hAnsi="Arial"/>
          <w:sz w:val="21"/>
          <w:szCs w:val="21"/>
          <w:color w:val="auto"/>
        </w:rPr>
      </w:pPr>
      <w:r>
        <w:rPr>
          <w:rFonts w:ascii="Arial" w:cs="Arial" w:eastAsia="Arial" w:hAnsi="Arial"/>
          <w:sz w:val="21"/>
          <w:szCs w:val="21"/>
          <w:color w:val="auto"/>
        </w:rPr>
        <w:t>If any provision or provisions of this Section 1 shall be held to be invalid, illegal or unenforceable as applied to any person or entity or circumstance for any reason whatsoever, then, to the fullest extent permitted by law, the validity, legal and enforceability of such provisions in any other circumstance and of the remaining provisions of this Section 1 (including, without limitation, each portion of any sentence of this Section 1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82"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118" w:right="419" w:bottom="1440" w:gutter="0" w:footer="0" w:header="0"/>
        </w:sectPr>
      </w:pPr>
    </w:p>
    <w:bookmarkStart w:id="172" w:name="page173"/>
    <w:bookmarkEnd w:id="172"/>
    <w:p>
      <w:pPr>
        <w:ind w:right="20" w:firstLine="980"/>
        <w:spacing w:after="0" w:line="279" w:lineRule="auto"/>
        <w:tabs>
          <w:tab w:leader="none" w:pos="1748" w:val="left"/>
        </w:tabs>
        <w:numPr>
          <w:ilvl w:val="0"/>
          <w:numId w:val="96"/>
        </w:numPr>
        <w:rPr>
          <w:rFonts w:ascii="Arial" w:cs="Arial" w:eastAsia="Arial" w:hAnsi="Arial"/>
          <w:sz w:val="19"/>
          <w:szCs w:val="19"/>
          <w:color w:val="auto"/>
        </w:rPr>
      </w:pPr>
      <w:r>
        <w:rPr>
          <w:rFonts w:ascii="Arial" w:cs="Arial" w:eastAsia="Arial" w:hAnsi="Arial"/>
          <w:sz w:val="19"/>
          <w:szCs w:val="19"/>
          <w:color w:val="auto"/>
        </w:rPr>
        <w:t>To the fullest extent permitted by law, if any action the subject matter of which is within the scope of Article IX Section 1(a) is filed in a court other than a court located within the State of Delaware (a “</w:t>
      </w:r>
      <w:r>
        <w:rPr>
          <w:rFonts w:ascii="Arial" w:cs="Arial" w:eastAsia="Arial" w:hAnsi="Arial"/>
          <w:sz w:val="19"/>
          <w:szCs w:val="19"/>
          <w:u w:val="single" w:color="auto"/>
          <w:color w:val="auto"/>
        </w:rPr>
        <w:t>Foreign Action</w:t>
      </w:r>
      <w:r>
        <w:rPr>
          <w:rFonts w:ascii="Arial" w:cs="Arial" w:eastAsia="Arial" w:hAnsi="Arial"/>
          <w:sz w:val="19"/>
          <w:szCs w:val="19"/>
          <w:color w:val="auto"/>
        </w:rPr>
        <w:t>”) in the name of any stockholder, such stockholder shall be deemed to have consented to (A) the personal jurisdiction of the state and federal courts located within the State of Delaware in connection with any action brought in any such court to enforce Article IX Section 1(a) (an “</w:t>
      </w:r>
      <w:r>
        <w:rPr>
          <w:rFonts w:ascii="Arial" w:cs="Arial" w:eastAsia="Arial" w:hAnsi="Arial"/>
          <w:sz w:val="19"/>
          <w:szCs w:val="19"/>
          <w:u w:val="single" w:color="auto"/>
          <w:color w:val="auto"/>
        </w:rPr>
        <w:t>FSC Enforcement Action</w:t>
      </w:r>
      <w:r>
        <w:rPr>
          <w:rFonts w:ascii="Arial" w:cs="Arial" w:eastAsia="Arial" w:hAnsi="Arial"/>
          <w:sz w:val="19"/>
          <w:szCs w:val="19"/>
          <w:color w:val="auto"/>
        </w:rPr>
        <w:t>”) and (B) having service of process made upon such stockholder in any such FSC Enforcement Action by service upon such stockholder’s counsel in the Foreign Action as agent for such stockholder.</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X</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AMENDMENTS</w:t>
      </w:r>
    </w:p>
    <w:p>
      <w:pPr>
        <w:spacing w:after="0" w:line="233" w:lineRule="exact"/>
        <w:rPr>
          <w:sz w:val="20"/>
          <w:szCs w:val="20"/>
          <w:color w:val="auto"/>
        </w:rPr>
      </w:pPr>
    </w:p>
    <w:p>
      <w:pPr>
        <w:ind w:firstLine="972"/>
        <w:spacing w:after="0" w:line="27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General</w:t>
      </w:r>
      <w:r>
        <w:rPr>
          <w:rFonts w:ascii="Arial" w:cs="Arial" w:eastAsia="Arial" w:hAnsi="Arial"/>
          <w:sz w:val="19"/>
          <w:szCs w:val="19"/>
          <w:color w:val="auto"/>
        </w:rPr>
        <w:t>. Except as provided in Sections 2, 3 and 4 of this Article X, the Board of Directors may amend any of the terms of these By-Laws but only in compliance with the terms, conditions and procedures set forth in this Section 1. If the Board of Directors desires to amend any provision of these By-Laws other than pursuant to Section 3 of this Article X, then it shall first adopt a resolution setting forth the amendment proposed, declaring its advisability, and then (i) call a special meeting of the stockholders entitled to vote in respect thereof for the consideration of such amendment, (ii) direct that the amendment proposed be considered at the next annual meeting of the stockholders or (iii) seek the written consent of the stockholders. Such special or annual meeting shall be called and held upon notice in accordance with these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the Certificate of Incorporation, these By-Laws, applicable law or the rules and regulations of any securities exchange or quotation system on which the Corporation’s securities are listed or quoted for trading.</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3" w:name="page174"/>
    <w:bookmarkEnd w:id="173"/>
    <w:p>
      <w:pPr>
        <w:ind w:firstLine="972"/>
        <w:spacing w:after="0" w:line="23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Super-Majority Amendments</w:t>
      </w:r>
      <w:r>
        <w:rPr>
          <w:rFonts w:ascii="Arial" w:cs="Arial" w:eastAsia="Arial" w:hAnsi="Arial"/>
          <w:sz w:val="22"/>
          <w:szCs w:val="22"/>
          <w:color w:val="auto"/>
        </w:rPr>
        <w:t>. Notwithstanding Section 1 of this Article X, the affirmative vote of the holders of Outstanding Voting Shares representing at least two-thirds of the total votes that may be cast by all Outstanding Voting Shares in the election of Directors, voting together as a single class, shall be required to alter or amend any provision of this Section 2 or Section 4(b) of this Article X.</w:t>
      </w:r>
    </w:p>
    <w:p>
      <w:pPr>
        <w:spacing w:after="0" w:line="212" w:lineRule="exact"/>
        <w:rPr>
          <w:sz w:val="20"/>
          <w:szCs w:val="20"/>
          <w:color w:val="auto"/>
        </w:rPr>
      </w:pPr>
    </w:p>
    <w:p>
      <w:pPr>
        <w:ind w:right="60" w:firstLine="972"/>
        <w:spacing w:after="0" w:line="29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Amendments to be Adopted Solely by the Board of Directors</w:t>
      </w:r>
      <w:r>
        <w:rPr>
          <w:rFonts w:ascii="Arial" w:cs="Arial" w:eastAsia="Arial" w:hAnsi="Arial"/>
          <w:sz w:val="19"/>
          <w:szCs w:val="19"/>
          <w:color w:val="auto"/>
        </w:rPr>
        <w:t>. Notwithstanding Section 1 of this Article X, the Board of Directors, without the approval of any stockholder, may amend any provision of these By-Laws, and execute, swear to, acknowledge, deliver, file and record whatever documents may be required in connection therewith, to reflect:</w:t>
      </w:r>
    </w:p>
    <w:p>
      <w:pPr>
        <w:spacing w:after="0" w:line="161" w:lineRule="exact"/>
        <w:rPr>
          <w:sz w:val="20"/>
          <w:szCs w:val="20"/>
          <w:color w:val="auto"/>
        </w:rPr>
      </w:pPr>
    </w:p>
    <w:p>
      <w:pPr>
        <w:ind w:right="240" w:firstLine="980"/>
        <w:spacing w:after="0" w:line="250" w:lineRule="auto"/>
        <w:tabs>
          <w:tab w:leader="none" w:pos="1752"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change in the name of the Corporation, the location of the principal place of business of the Corporation, the registered agent of the Corporation or the registered office of the Corporation;</w:t>
      </w:r>
    </w:p>
    <w:p>
      <w:pPr>
        <w:spacing w:after="0" w:line="201" w:lineRule="exact"/>
        <w:rPr>
          <w:rFonts w:ascii="Arial" w:cs="Arial" w:eastAsia="Arial" w:hAnsi="Arial"/>
          <w:sz w:val="22"/>
          <w:szCs w:val="22"/>
          <w:color w:val="auto"/>
        </w:rPr>
      </w:pPr>
    </w:p>
    <w:p>
      <w:pPr>
        <w:ind w:right="20" w:firstLine="980"/>
        <w:spacing w:after="0" w:line="244" w:lineRule="auto"/>
        <w:tabs>
          <w:tab w:leader="none" w:pos="1764" w:val="left"/>
        </w:tabs>
        <w:numPr>
          <w:ilvl w:val="0"/>
          <w:numId w:val="97"/>
        </w:numPr>
        <w:rPr>
          <w:rFonts w:ascii="Arial" w:cs="Arial" w:eastAsia="Arial" w:hAnsi="Arial"/>
          <w:sz w:val="21"/>
          <w:szCs w:val="21"/>
          <w:color w:val="auto"/>
        </w:rPr>
      </w:pPr>
      <w:r>
        <w:rPr>
          <w:rFonts w:ascii="Arial" w:cs="Arial" w:eastAsia="Arial" w:hAnsi="Arial"/>
          <w:sz w:val="21"/>
          <w:szCs w:val="21"/>
          <w:color w:val="auto"/>
        </w:rPr>
        <w:t>a change that, in the sole discretion of the Board of Directors, it determines (i) does not adversely affect the stockholders (including adversely affecting the holders of any particular class or series of Shares as compared to other holders of other classes or series of Shares) in any material respect, (ii) to be necessary or appropriate to satisfy any requirements, conditions or guidelines contained in any opinion, directive, order, ruling or regulation of any federal or state agency or judicial authority or contained in any federal or state statute (including the DGCL), (iii) to be necessary, desirable or appropriate to facilitate the trading of the Shares or comply with any rule, regulation, guideline or requirement of any National Securities Exchange on which Shares are or will be listed for trading, compliance with any of which the Board of Directors deems to be in the best interests of the Corporation and the stockholders, (iv) to be necessary or appropriate in connection with action taken by the Board of Directors pursuant to Section 8 of Article V of these By-Laws or (v) is required to effect the intent of the provisions of the Certificate of Incorporation or these By-Laws or is otherwise contemplated by the Certificate of Incorporation or these By-Laws;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4" w:name="page175"/>
    <w:bookmarkEnd w:id="174"/>
    <w:p>
      <w:pPr>
        <w:ind w:left="-60" w:right="220" w:firstLine="980"/>
        <w:spacing w:after="0" w:line="329" w:lineRule="auto"/>
        <w:tabs>
          <w:tab w:leader="none" w:pos="1692" w:val="left"/>
        </w:tabs>
        <w:numPr>
          <w:ilvl w:val="0"/>
          <w:numId w:val="98"/>
        </w:numPr>
        <w:rPr>
          <w:rFonts w:ascii="Arial" w:cs="Arial" w:eastAsia="Arial" w:hAnsi="Arial"/>
          <w:sz w:val="19"/>
          <w:szCs w:val="19"/>
          <w:color w:val="auto"/>
        </w:rPr>
      </w:pPr>
      <w:r>
        <w:rPr>
          <w:rFonts w:ascii="Arial" w:cs="Arial" w:eastAsia="Arial" w:hAnsi="Arial"/>
          <w:sz w:val="19"/>
          <w:szCs w:val="19"/>
          <w:color w:val="auto"/>
        </w:rPr>
        <w:t>a change in the fiscal year or taxable year of the Corporation and any other changes that the Board of Directors determines to be necessary or appropriate as a result of a change in the fiscal year or taxable year of the Corporation;</w:t>
      </w:r>
    </w:p>
    <w:p>
      <w:pPr>
        <w:spacing w:after="0" w:line="130" w:lineRule="exact"/>
        <w:rPr>
          <w:rFonts w:ascii="Arial" w:cs="Arial" w:eastAsia="Arial" w:hAnsi="Arial"/>
          <w:sz w:val="19"/>
          <w:szCs w:val="19"/>
          <w:color w:val="auto"/>
        </w:rPr>
      </w:pPr>
    </w:p>
    <w:p>
      <w:pPr>
        <w:ind w:left="-60" w:firstLine="980"/>
        <w:spacing w:after="0" w:line="282" w:lineRule="auto"/>
        <w:tabs>
          <w:tab w:leader="none" w:pos="1704"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 amendment that the Board of Directors determines, based on the advice of counsel, to be necessary or appropriate to prevent the Corporation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4" w:lineRule="exact"/>
        <w:rPr>
          <w:rFonts w:ascii="Arial" w:cs="Arial" w:eastAsia="Arial" w:hAnsi="Arial"/>
          <w:sz w:val="19"/>
          <w:szCs w:val="19"/>
          <w:color w:val="auto"/>
        </w:rPr>
      </w:pPr>
    </w:p>
    <w:p>
      <w:pPr>
        <w:ind w:left="-60" w:right="160" w:firstLine="980"/>
        <w:spacing w:after="0" w:line="328" w:lineRule="auto"/>
        <w:tabs>
          <w:tab w:leader="none" w:pos="1692"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 amendment that the Board of Directors determines to be necessary or appropriate in connection with the authorization or issuance of any class or series of Shares pursuant to Article FOURTH of the Certificate of Incorporation;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175" w:name="page176"/>
    <w:bookmarkEnd w:id="175"/>
    <w:p>
      <w:pPr>
        <w:ind w:left="-40" w:right="200" w:firstLine="980"/>
        <w:spacing w:after="0" w:line="251" w:lineRule="auto"/>
        <w:tabs>
          <w:tab w:leader="none" w:pos="16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amendment expressly permitted in the Certificate of Incorporation or these By-Laws to be made by the Board of Directors acting alone;</w:t>
      </w:r>
    </w:p>
    <w:p>
      <w:pPr>
        <w:spacing w:after="0" w:line="200" w:lineRule="exact"/>
        <w:rPr>
          <w:rFonts w:ascii="Arial" w:cs="Arial" w:eastAsia="Arial" w:hAnsi="Arial"/>
          <w:sz w:val="22"/>
          <w:szCs w:val="22"/>
          <w:color w:val="auto"/>
        </w:rPr>
      </w:pPr>
    </w:p>
    <w:p>
      <w:pPr>
        <w:ind w:left="-40" w:right="240" w:firstLine="980"/>
        <w:spacing w:after="0" w:line="250" w:lineRule="auto"/>
        <w:tabs>
          <w:tab w:leader="none" w:pos="1724"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 amendment effected, necessitated or contemplated by a merger agreement approved in accordance with the Certificate of Incorporation and these By-Laws;</w:t>
      </w:r>
    </w:p>
    <w:p>
      <w:pPr>
        <w:spacing w:after="0" w:line="201" w:lineRule="exact"/>
        <w:rPr>
          <w:rFonts w:ascii="Arial" w:cs="Arial" w:eastAsia="Arial" w:hAnsi="Arial"/>
          <w:sz w:val="22"/>
          <w:szCs w:val="22"/>
          <w:color w:val="auto"/>
        </w:rPr>
      </w:pPr>
    </w:p>
    <w:p>
      <w:pPr>
        <w:ind w:left="-40" w:firstLine="980"/>
        <w:spacing w:after="0" w:line="238" w:lineRule="auto"/>
        <w:tabs>
          <w:tab w:leader="none" w:pos="1724"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to reflect and account for the formation by the Corporation of, or investment by the Corporation in, any corporation, partnership, joint venture, limited liability company or other entity, in connection with the conduct by the Corporation of activities permitted by the terms of Article THIRD of the Certificate of Incorporation;</w:t>
      </w:r>
    </w:p>
    <w:p>
      <w:pPr>
        <w:spacing w:after="0" w:line="211" w:lineRule="exact"/>
        <w:rPr>
          <w:rFonts w:ascii="Arial" w:cs="Arial" w:eastAsia="Arial" w:hAnsi="Arial"/>
          <w:sz w:val="22"/>
          <w:szCs w:val="22"/>
          <w:color w:val="auto"/>
        </w:rPr>
      </w:pPr>
    </w:p>
    <w:p>
      <w:pPr>
        <w:ind w:left="-40" w:right="760" w:firstLine="980"/>
        <w:spacing w:after="0" w:line="250" w:lineRule="auto"/>
        <w:tabs>
          <w:tab w:leader="none" w:pos="1676"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merger, conversion or conveyance approved in accordance with the requirements of the DGCL, the Certificate of Incorporation and these By-Laws; or</w:t>
      </w:r>
    </w:p>
    <w:p>
      <w:pPr>
        <w:spacing w:after="0" w:line="201" w:lineRule="exact"/>
        <w:rPr>
          <w:rFonts w:ascii="Arial" w:cs="Arial" w:eastAsia="Arial" w:hAnsi="Arial"/>
          <w:sz w:val="22"/>
          <w:szCs w:val="22"/>
          <w:color w:val="auto"/>
        </w:rPr>
      </w:pPr>
    </w:p>
    <w:p>
      <w:pPr>
        <w:ind w:left="1680" w:hanging="740"/>
        <w:spacing w:after="0"/>
        <w:tabs>
          <w:tab w:leader="none" w:pos="16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33" w:lineRule="exact"/>
        <w:rPr>
          <w:sz w:val="20"/>
          <w:szCs w:val="20"/>
          <w:color w:val="auto"/>
        </w:rPr>
      </w:pPr>
    </w:p>
    <w:p>
      <w:pPr>
        <w:ind w:left="940"/>
        <w:spacing w:after="0"/>
        <w:tabs>
          <w:tab w:leader="none" w:pos="23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Amendment Requirements</w:t>
      </w:r>
      <w:r>
        <w:rPr>
          <w:rFonts w:ascii="Arial" w:cs="Arial" w:eastAsia="Arial" w:hAnsi="Arial"/>
          <w:sz w:val="19"/>
          <w:szCs w:val="19"/>
          <w:color w:val="auto"/>
        </w:rPr>
        <w:t>.</w:t>
      </w:r>
    </w:p>
    <w:p>
      <w:pPr>
        <w:spacing w:after="0" w:line="233" w:lineRule="exact"/>
        <w:rPr>
          <w:sz w:val="20"/>
          <w:szCs w:val="20"/>
          <w:color w:val="auto"/>
        </w:rPr>
      </w:pPr>
    </w:p>
    <w:p>
      <w:pPr>
        <w:ind w:left="-40" w:right="80" w:firstLine="980"/>
        <w:spacing w:after="0" w:line="282" w:lineRule="auto"/>
        <w:tabs>
          <w:tab w:leader="none" w:pos="171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Notwithstanding the provisions of Sections 1 and 3 of this Article X (other than Section 3(b)(iv) of this Article X), no provision of the Certificate of Incorporation or these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of holders of Outstanding Voting Shares whose aggregate Outstanding Voting Shares constitute not less than the voting requirement sought to be reduced.</w:t>
      </w:r>
    </w:p>
    <w:p>
      <w:pPr>
        <w:spacing w:after="0" w:line="174" w:lineRule="exact"/>
        <w:rPr>
          <w:rFonts w:ascii="Arial" w:cs="Arial" w:eastAsia="Arial" w:hAnsi="Arial"/>
          <w:sz w:val="19"/>
          <w:szCs w:val="19"/>
          <w:color w:val="auto"/>
        </w:rPr>
      </w:pPr>
    </w:p>
    <w:p>
      <w:pPr>
        <w:ind w:left="-40" w:right="120" w:firstLine="980"/>
        <w:spacing w:after="0" w:line="287" w:lineRule="auto"/>
        <w:tabs>
          <w:tab w:leader="none" w:pos="177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Notwithstanding the provisions of Sections 1 and 3 of this Article X (other than Section 3(b)(iv) of this Article X), but subject to the provisions of Section 2 of this Article X, no amendment to the Certificate of Incorporation or these By-Laws may (i) enlarge the obligations of any stockholder without its consent, unless such shall occur as a result of an amendment approved pursuant to Section 4(c) of this Article X or (ii) change the term of the Corporation.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76" w:name="page177"/>
    <w:bookmarkEnd w:id="176"/>
    <w:p>
      <w:pPr>
        <w:ind w:firstLine="980"/>
        <w:spacing w:after="0" w:line="249" w:lineRule="auto"/>
        <w:tabs>
          <w:tab w:leader="none" w:pos="174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Without limitation of the Board of Directors’ authority to adopt amendments to the Certificate of Incorporation or these By-Laws without the approval of any stockholders as contemplated in Section 1 of this Article X, and notwithstanding the provisions of Section 1 of this Article X, any amendment that would have a material adverse effect on the rights or preferences of any class or series of Shares in relation to other classes or series of Shares must be approved by the holders of a majority of the Outstanding Shares of the class or series affected.</w:t>
      </w:r>
    </w:p>
    <w:p>
      <w:pPr>
        <w:spacing w:after="0" w:line="205" w:lineRule="exact"/>
        <w:rPr>
          <w:rFonts w:ascii="Arial" w:cs="Arial" w:eastAsia="Arial" w:hAnsi="Arial"/>
          <w:sz w:val="21"/>
          <w:szCs w:val="21"/>
          <w:color w:val="auto"/>
        </w:rPr>
      </w:pPr>
    </w:p>
    <w:p>
      <w:pPr>
        <w:ind w:right="120" w:firstLine="980"/>
        <w:spacing w:after="0" w:line="287" w:lineRule="auto"/>
        <w:tabs>
          <w:tab w:leader="none" w:pos="176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Notwithstanding the provisions of Sections 1 and 3 of this Article X (other than Section 3(b)(iv) of this Article X), so long as the Consenting Entities or their Affiliates collectively directly or indirectly own at least 30% of the outstanding Shares, no amendment to Article ELEVENTH of the Certificate of Incorporation may be made without the prior consent of each of the Consenting Entities (so long as such Consenting Entity or its Affiliates owns at least one Share).</w:t>
      </w:r>
    </w:p>
    <w:p>
      <w:pPr>
        <w:spacing w:after="0" w:line="169"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 *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Adopted as of: August 3,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Last Amended as of: N/A</w:t>
      </w: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00"/>
      </w:cols>
      <w:pgMar w:left="320" w:top="118"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2"/>
    </w:lvl>
  </w:abstractNum>
  <w:abstractNum w:abstractNumId="7">
    <w:nsid w:val="4F4EF005"/>
    <w:multiLevelType w:val="hybridMultilevel"/>
    <w:lvl w:ilvl="0">
      <w:lvlJc w:val="left"/>
      <w:lvlText w:val="(%1)"/>
      <w:numFmt w:val="lowerLetter"/>
      <w:start w:val="5"/>
    </w:lvl>
  </w:abstractNum>
  <w:abstractNum w:abstractNumId="8">
    <w:nsid w:val="23F9C13C"/>
    <w:multiLevelType w:val="hybridMultilevel"/>
    <w:lvl w:ilvl="0">
      <w:lvlJc w:val="left"/>
      <w:lvlText w:val="%1."/>
      <w:numFmt w:val="decimal"/>
      <w:start w:val="3"/>
    </w:lvl>
  </w:abstractNum>
  <w:abstractNum w:abstractNumId="9">
    <w:nsid w:val="649BB77C"/>
    <w:multiLevelType w:val="hybridMultilevel"/>
    <w:lvl w:ilvl="0">
      <w:lvlJc w:val="left"/>
      <w:lvlText w:val="(%1)"/>
      <w:numFmt w:val="lowerLetter"/>
      <w:start w:val="1"/>
    </w:lvl>
  </w:abstractNum>
  <w:abstractNum w:abstractNumId="10">
    <w:nsid w:val="275AC794"/>
    <w:multiLevelType w:val="hybridMultilevel"/>
    <w:lvl w:ilvl="0">
      <w:lvlJc w:val="left"/>
      <w:lvlText w:val="%1."/>
      <w:numFmt w:val="decimal"/>
      <w:start w:val="4"/>
    </w:lvl>
  </w:abstractNum>
  <w:abstractNum w:abstractNumId="11">
    <w:nsid w:val="39386575"/>
    <w:multiLevelType w:val="hybridMultilevel"/>
    <w:lvl w:ilvl="0">
      <w:lvlJc w:val="left"/>
      <w:lvlText w:val="%1."/>
      <w:numFmt w:val="decimal"/>
      <w:start w:val="5"/>
    </w:lvl>
  </w:abstractNum>
  <w:abstractNum w:abstractNumId="12">
    <w:nsid w:val="1CF10FD8"/>
    <w:multiLevelType w:val="hybridMultilevel"/>
    <w:lvl w:ilvl="0">
      <w:lvlJc w:val="left"/>
      <w:lvlText w:val="%1."/>
      <w:numFmt w:val="decimal"/>
      <w:start w:val="6"/>
    </w:lvl>
    <w:lvl w:ilvl="1">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7"/>
    </w:lvl>
  </w:abstractNum>
  <w:abstractNum w:abstractNumId="16">
    <w:nsid w:val="354FE9F9"/>
    <w:multiLevelType w:val="hybridMultilevel"/>
    <w:lvl w:ilvl="0">
      <w:lvlJc w:val="left"/>
      <w:lvlText w:val="%1."/>
      <w:numFmt w:val="decimal"/>
      <w:start w:val="8"/>
    </w:lvl>
  </w:abstractNum>
  <w:abstractNum w:abstractNumId="17">
    <w:nsid w:val="15B5AF5C"/>
    <w:multiLevelType w:val="hybridMultilevel"/>
    <w:lvl w:ilvl="0">
      <w:lvlJc w:val="left"/>
      <w:lvlText w:val="%1."/>
      <w:numFmt w:val="decimal"/>
      <w:start w:val="9"/>
    </w:lvl>
  </w:abstractNum>
  <w:abstractNum w:abstractNumId="18">
    <w:nsid w:val="741226BB"/>
    <w:multiLevelType w:val="hybridMultilevel"/>
    <w:lvl w:ilvl="0">
      <w:lvlJc w:val="left"/>
      <w:lvlText w:val="%1."/>
      <w:numFmt w:val="decimal"/>
      <w:start w:val="10"/>
    </w:lvl>
  </w:abstractNum>
  <w:abstractNum w:abstractNumId="19">
    <w:nsid w:val="D34B6A8"/>
    <w:multiLevelType w:val="hybridMultilevel"/>
    <w:lvl w:ilvl="0">
      <w:lvlJc w:val="left"/>
      <w:lvlText w:val="%1."/>
      <w:numFmt w:val="decimal"/>
      <w:start w:val="12"/>
    </w:lvl>
  </w:abstractNum>
  <w:abstractNum w:abstractNumId="20">
    <w:nsid w:val="10233C99"/>
    <w:multiLevelType w:val="hybridMultilevel"/>
    <w:lvl w:ilvl="0">
      <w:lvlJc w:val="left"/>
      <w:lvlText w:val="%1."/>
      <w:numFmt w:val="decimal"/>
      <w:start w:val="13"/>
    </w:lvl>
  </w:abstractNum>
  <w:abstractNum w:abstractNumId="21">
    <w:nsid w:val="3F6AB60F"/>
    <w:multiLevelType w:val="hybridMultilevel"/>
    <w:lvl w:ilvl="0">
      <w:lvlJc w:val="left"/>
      <w:lvlText w:val="%1."/>
      <w:numFmt w:val="decimal"/>
      <w:start w:val="14"/>
    </w:lvl>
  </w:abstractNum>
  <w:abstractNum w:abstractNumId="22">
    <w:nsid w:val="61574095"/>
    <w:multiLevelType w:val="hybridMultilevel"/>
    <w:lvl w:ilvl="0">
      <w:lvlJc w:val="left"/>
      <w:lvlText w:val="%1."/>
      <w:numFmt w:val="decimal"/>
      <w:start w:val="15"/>
    </w:lvl>
  </w:abstractNum>
  <w:abstractNum w:abstractNumId="23">
    <w:nsid w:val="7E0C57B1"/>
    <w:multiLevelType w:val="hybridMultilevel"/>
    <w:lvl w:ilvl="0">
      <w:lvlJc w:val="left"/>
      <w:lvlText w:val="%1."/>
      <w:numFmt w:val="decimal"/>
      <w:start w:val="17"/>
    </w:lvl>
  </w:abstractNum>
  <w:abstractNum w:abstractNumId="24">
    <w:nsid w:val="77AE35EB"/>
    <w:multiLevelType w:val="hybridMultilevel"/>
    <w:lvl w:ilvl="0">
      <w:lvlJc w:val="left"/>
      <w:lvlText w:val="%1."/>
      <w:numFmt w:val="decimal"/>
      <w:start w:val="20"/>
    </w:lvl>
  </w:abstractNum>
  <w:abstractNum w:abstractNumId="25">
    <w:nsid w:val="579BE4F1"/>
    <w:multiLevelType w:val="hybridMultilevel"/>
    <w:lvl w:ilvl="0">
      <w:lvlJc w:val="left"/>
      <w:lvlText w:val="%1."/>
      <w:numFmt w:val="decimal"/>
      <w:start w:val="21"/>
    </w:lvl>
  </w:abstractNum>
  <w:abstractNum w:abstractNumId="26">
    <w:nsid w:val="310C50B3"/>
    <w:multiLevelType w:val="hybridMultilevel"/>
    <w:lvl w:ilvl="0">
      <w:lvlJc w:val="left"/>
      <w:lvlText w:val="%1."/>
      <w:numFmt w:val="decimal"/>
      <w:start w:val="22"/>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1."/>
      <w:numFmt w:val="decimal"/>
      <w:start w:val="1"/>
    </w:lvl>
    <w:lvl w:ilvl="1">
      <w:lvlJc w:val="left"/>
      <w:lvlText w:val="%2."/>
      <w:numFmt w:val="lowerLetter"/>
      <w:start w:val="1"/>
    </w:lvl>
  </w:abstractNum>
  <w:abstractNum w:abstractNumId="49">
    <w:nsid w:val="51D9C564"/>
    <w:multiLevelType w:val="hybridMultilevel"/>
    <w:lvl w:ilvl="0">
      <w:lvlJc w:val="left"/>
      <w:lvlText w:val="%1."/>
      <w:numFmt w:val="decimal"/>
      <w:start w:val="1"/>
    </w:lvl>
    <w:lvl w:ilvl="1">
      <w:lvlJc w:val="left"/>
      <w:lvlText w:val="%2."/>
      <w:numFmt w:val="lowerLetter"/>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1."/>
      <w:numFmt w:val="decimal"/>
      <w:start w:val="5"/>
    </w:lvl>
  </w:abstractNum>
  <w:abstractNum w:abstractNumId="54">
    <w:nsid w:val="A0382C5"/>
    <w:multiLevelType w:val="hybridMultilevel"/>
    <w:lvl w:ilvl="0">
      <w:lvlJc w:val="left"/>
      <w:lvlText w:val="%1."/>
      <w:numFmt w:val="decimal"/>
      <w:start w:val="10"/>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lowerRoman"/>
      <w:start w:val="5"/>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2"/>
    </w:lvl>
  </w:abstractNum>
  <w:abstractNum w:abstractNumId="59">
    <w:nsid w:val="4962813B"/>
    <w:multiLevelType w:val="hybridMultilevel"/>
    <w:lvl w:ilvl="0">
      <w:lvlJc w:val="left"/>
      <w:lvlText w:val="(%1)"/>
      <w:numFmt w:val="decimal"/>
      <w:start w:val="3"/>
    </w:lvl>
  </w:abstractNum>
  <w:abstractNum w:abstractNumId="60">
    <w:nsid w:val="60B6DF70"/>
    <w:multiLevelType w:val="hybridMultilevel"/>
    <w:lvl w:ilvl="0">
      <w:lvlJc w:val="left"/>
      <w:lvlText w:val="(%1)"/>
      <w:numFmt w:val="decimal"/>
      <w:start w:val="5"/>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3"/>
    </w:lvl>
    <w:lvl w:ilvl="1">
      <w:lvlJc w:val="left"/>
      <w:lvlText w:val="(%2)"/>
      <w:numFmt w:val="lowerLetter"/>
      <w:start w:val="1"/>
    </w:lvl>
  </w:abstractNum>
  <w:abstractNum w:abstractNumId="64">
    <w:nsid w:val="1A27709E"/>
    <w:multiLevelType w:val="hybridMultilevel"/>
    <w:lvl w:ilvl="0">
      <w:lvlJc w:val="left"/>
      <w:lvlText w:val="(%1)"/>
      <w:numFmt w:val="lowerRoman"/>
      <w:start w:val="3"/>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2"/>
    </w:lvl>
    <w:lvl w:ilvl="1">
      <w:lvlJc w:val="left"/>
      <w:lvlText w:val="(%2)"/>
      <w:numFmt w:val="lowerLetter"/>
      <w:start w:val="2"/>
    </w:lvl>
  </w:abstractNum>
  <w:abstractNum w:abstractNumId="67">
    <w:nsid w:val="7FB7E0AA"/>
    <w:multiLevelType w:val="hybridMultilevel"/>
    <w:lvl w:ilvl="0">
      <w:lvlJc w:val="left"/>
      <w:lvlText w:val="(%1)"/>
      <w:numFmt w:val="lowerLetter"/>
      <w:start w:val="4"/>
    </w:lvl>
  </w:abstractNum>
  <w:abstractNum w:abstractNumId="68">
    <w:nsid w:val="6EB5BD4"/>
    <w:multiLevelType w:val="hybridMultilevel"/>
    <w:lvl w:ilvl="0">
      <w:lvlJc w:val="left"/>
      <w:lvlText w:val="(%1)"/>
      <w:numFmt w:val="lowerLetter"/>
      <w:start w:val="25"/>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2"/>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2"/>
    </w:lvl>
  </w:abstractNum>
  <w:abstractNum w:abstractNumId="73">
    <w:nsid w:val="4C04A8AF"/>
    <w:multiLevelType w:val="hybridMultilevel"/>
    <w:lvl w:ilvl="0">
      <w:lvlJc w:val="left"/>
      <w:lvlText w:val="%1"/>
      <w:numFmt w:val="upperLetter"/>
      <w:start w:val="1"/>
    </w:lvl>
    <w:lvl w:ilvl="1">
      <w:lvlJc w:val="left"/>
      <w:lvlText w:val="(%2)"/>
      <w:numFmt w:val="lowerLetter"/>
      <w:start w:val="3"/>
    </w:lvl>
  </w:abstractNum>
  <w:abstractNum w:abstractNumId="74">
    <w:nsid w:val="1716703B"/>
    <w:multiLevelType w:val="hybridMultilevel"/>
    <w:lvl w:ilvl="0">
      <w:lvlJc w:val="left"/>
      <w:lvlText w:val="(%1)"/>
      <w:numFmt w:val="upperLetter"/>
      <w:start w:val="35"/>
    </w:lvl>
    <w:lvl w:ilvl="1">
      <w:lvlJc w:val="left"/>
      <w:lvlText w:val="%2"/>
      <w:numFmt w:val="lowerLetter"/>
      <w:start w:val="1"/>
    </w:lvl>
  </w:abstractNum>
  <w:abstractNum w:abstractNumId="75">
    <w:nsid w:val="14E17E33"/>
    <w:multiLevelType w:val="hybridMultilevel"/>
    <w:lvl w:ilvl="0">
      <w:lvlJc w:val="left"/>
      <w:lvlText w:val="%1"/>
      <w:numFmt w:val="upperLetter"/>
      <w:start w:val="1"/>
    </w:lvl>
    <w:lvl w:ilvl="1">
      <w:lvlJc w:val="left"/>
      <w:lvlText w:val="(%2)"/>
      <w:numFmt w:val="lowerLetter"/>
      <w:start w:val="4"/>
    </w:lvl>
  </w:abstractNum>
  <w:abstractNum w:abstractNumId="76">
    <w:nsid w:val="3222E7CD"/>
    <w:multiLevelType w:val="hybridMultilevel"/>
    <w:lvl w:ilvl="0">
      <w:lvlJc w:val="left"/>
      <w:lvlText w:val="(%1)"/>
      <w:numFmt w:val="lowerLetter"/>
      <w:start w:val="5"/>
    </w:lvl>
  </w:abstractNum>
  <w:abstractNum w:abstractNumId="77">
    <w:nsid w:val="74DE0EE3"/>
    <w:multiLevelType w:val="hybridMultilevel"/>
    <w:lvl w:ilvl="0">
      <w:lvlJc w:val="left"/>
      <w:lvlText w:val="(%1)"/>
      <w:numFmt w:val="lowerLetter"/>
      <w:start w:val="6"/>
    </w:lvl>
  </w:abstractNum>
  <w:abstractNum w:abstractNumId="78">
    <w:nsid w:val="68EBC550"/>
    <w:multiLevelType w:val="hybridMultilevel"/>
    <w:lvl w:ilvl="0">
      <w:lvlJc w:val="left"/>
      <w:lvlText w:val="(%1)"/>
      <w:numFmt w:val="lowerLetter"/>
      <w:start w:val="8"/>
    </w:lvl>
  </w:abstractNum>
  <w:abstractNum w:abstractNumId="79">
    <w:nsid w:val="2DF6D648"/>
    <w:multiLevelType w:val="hybridMultilevel"/>
    <w:lvl w:ilvl="0">
      <w:lvlJc w:val="left"/>
      <w:lvlText w:val="(%1)"/>
      <w:numFmt w:val="lowerLetter"/>
      <w:start w:val="1"/>
    </w:lvl>
  </w:abstractNum>
  <w:abstractNum w:abstractNumId="80">
    <w:nsid w:val="46B7D447"/>
    <w:multiLevelType w:val="hybridMultilevel"/>
    <w:lvl w:ilvl="0">
      <w:lvlJc w:val="left"/>
      <w:lvlText w:val="(%1)"/>
      <w:numFmt w:val="lowerLetter"/>
      <w:start w:val="6"/>
    </w:lvl>
  </w:abstractNum>
  <w:abstractNum w:abstractNumId="81">
    <w:nsid w:val="4A2AC315"/>
    <w:multiLevelType w:val="hybridMultilevel"/>
    <w:lvl w:ilvl="0">
      <w:lvlJc w:val="left"/>
      <w:lvlText w:val="(%1)"/>
      <w:numFmt w:val="lowerLetter"/>
      <w:start w:val="14"/>
    </w:lvl>
  </w:abstractNum>
  <w:abstractNum w:abstractNumId="82">
    <w:nsid w:val="39EE015C"/>
    <w:multiLevelType w:val="hybridMultilevel"/>
    <w:lvl w:ilvl="0">
      <w:lvlJc w:val="left"/>
      <w:lvlText w:val="(%1)"/>
      <w:numFmt w:val="lowerLetter"/>
      <w:start w:val="15"/>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3"/>
    </w:lvl>
  </w:abstractNum>
  <w:abstractNum w:abstractNumId="85">
    <w:nsid w:val="43F18422"/>
    <w:multiLevelType w:val="hybridMultilevel"/>
    <w:lvl w:ilvl="0">
      <w:lvlJc w:val="left"/>
      <w:lvlText w:val="(%1)"/>
      <w:numFmt w:val="lowerRoman"/>
      <w:start w:val="1"/>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lowerLetter"/>
      <w:start w:val="6"/>
    </w:lvl>
  </w:abstractNum>
  <w:abstractNum w:abstractNumId="89">
    <w:nsid w:val="49DA307D"/>
    <w:multiLevelType w:val="hybridMultilevel"/>
    <w:lvl w:ilvl="0">
      <w:lvlJc w:val="left"/>
      <w:lvlText w:val="(%1)"/>
      <w:numFmt w:val="lowerLetter"/>
      <w:start w:val="16"/>
    </w:lvl>
  </w:abstractNum>
  <w:abstractNum w:abstractNumId="90">
    <w:nsid w:val="7055A5F5"/>
    <w:multiLevelType w:val="hybridMultilevel"/>
    <w:lvl w:ilvl="0">
      <w:lvlJc w:val="left"/>
      <w:lvlText w:val="(%1)"/>
      <w:numFmt w:val="lowerLetter"/>
      <w:start w:val="24"/>
    </w:lvl>
  </w:abstractNum>
  <w:abstractNum w:abstractNumId="91">
    <w:nsid w:val="5FB8370B"/>
    <w:multiLevelType w:val="hybridMultilevel"/>
    <w:lvl w:ilvl="0">
      <w:lvlJc w:val="left"/>
      <w:lvlText w:val="(%1)"/>
      <w:numFmt w:val="lowerLetter"/>
      <w:start w:val="27"/>
    </w:lvl>
  </w:abstractNum>
  <w:abstractNum w:abstractNumId="92">
    <w:nsid w:val="50801EE1"/>
    <w:multiLevelType w:val="hybridMultilevel"/>
    <w:lvl w:ilvl="0">
      <w:lvlJc w:val="left"/>
      <w:lvlText w:val="(%1)"/>
      <w:numFmt w:val="lowerLetter"/>
      <w:start w:val="30"/>
    </w:lvl>
  </w:abstractNum>
  <w:abstractNum w:abstractNumId="93">
    <w:nsid w:val="488AC1A"/>
    <w:multiLevelType w:val="hybridMultilevel"/>
    <w:lvl w:ilvl="0">
      <w:lvlJc w:val="left"/>
      <w:lvlText w:val="%1"/>
      <w:numFmt w:val="lowerLetter"/>
      <w:start w:val="1"/>
    </w:lvl>
    <w:lvl w:ilvl="1">
      <w:lvlJc w:val="left"/>
      <w:lvlText w:val="(%2)"/>
      <w:numFmt w:val="lowerLetter"/>
      <w:start w:val="1"/>
    </w:lvl>
  </w:abstractNum>
  <w:abstractNum w:abstractNumId="94">
    <w:nsid w:val="5FB8011C"/>
    <w:multiLevelType w:val="hybridMultilevel"/>
    <w:lvl w:ilvl="0">
      <w:lvlJc w:val="left"/>
      <w:lvlText w:val="(%1)"/>
      <w:numFmt w:val="lowerLetter"/>
      <w:start w:val="61"/>
    </w:lvl>
    <w:lvl w:ilvl="1">
      <w:lvlJc w:val="left"/>
      <w:lvlText w:val="(%2)"/>
      <w:numFmt w:val="lowerLetter"/>
      <w:start w:val="2"/>
    </w:lvl>
  </w:abstractNum>
  <w:abstractNum w:abstractNumId="95">
    <w:nsid w:val="6AA78F7F"/>
    <w:multiLevelType w:val="hybridMultilevel"/>
    <w:lvl w:ilvl="0">
      <w:lvlJc w:val="left"/>
      <w:lvlText w:val="(%1)"/>
      <w:numFmt w:val="lowerLetter"/>
      <w:start w:val="3"/>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lowerLetter"/>
      <w:start w:val="3"/>
    </w:lvl>
  </w:abstractNum>
  <w:abstractNum w:abstractNumId="98">
    <w:nsid w:val="6A5F7029"/>
    <w:multiLevelType w:val="hybridMultilevel"/>
    <w:lvl w:ilvl="0">
      <w:lvlJc w:val="left"/>
      <w:lvlText w:val="(%1)"/>
      <w:numFmt w:val="lowerLetter"/>
      <w:start w:val="6"/>
    </w:lvl>
  </w:abstractNum>
  <w:abstractNum w:abstractNumId="99">
    <w:nsid w:val="7D5E18F8"/>
    <w:multiLevelType w:val="hybridMultilevel"/>
    <w:lvl w:ilvl="0">
      <w:lvlJc w:val="left"/>
      <w:lvlText w:val="(%1)"/>
      <w:numFmt w:val="lowerLetter"/>
      <w:start w:val="1"/>
    </w:lvl>
  </w:abstractNum>
  <w:abstractNum w:abstractNumId="100">
    <w:nsid w:val="5F3534A4"/>
    <w:multiLevelType w:val="hybridMultilevel"/>
    <w:lvl w:ilvl="0">
      <w:lvlJc w:val="left"/>
      <w:lvlText w:val="(%1)"/>
      <w:numFmt w:val="low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85" Type="http://schemas.openxmlformats.org/officeDocument/2006/relationships/hyperlink" Target="http://www.sec.gov/Archives/edgar/data/1749723/000114036118042889/s002392x7_ex3-1.htm" TargetMode="External"/><Relationship Id="rId86" Type="http://schemas.openxmlformats.org/officeDocument/2006/relationships/hyperlink" Target="http://www.sec.gov/Archives/edgar/data/1749723/000114036118042889/s002392x7_ex3-2.htm" TargetMode="External"/><Relationship Id="rId87" Type="http://schemas.openxmlformats.org/officeDocument/2006/relationships/hyperlink" Target="http://www.sec.gov/Archives/edgar/data/1749723/000114036119002493/s002392x20_ex3-1.htm" TargetMode="External"/><Relationship Id="rId88" Type="http://schemas.openxmlformats.org/officeDocument/2006/relationships/hyperlink" Target="http://www.sec.gov/Archives/edgar/data/1749723/000114036119002493/s002392x20_ex10-1.htm" TargetMode="External"/><Relationship Id="rId89" Type="http://schemas.openxmlformats.org/officeDocument/2006/relationships/hyperlink" Target="http://www.sec.gov/Archives/edgar/data/1749723/000114036119002493/s002392x20_ex10-2.htm" TargetMode="External"/><Relationship Id="rId90" Type="http://schemas.openxmlformats.org/officeDocument/2006/relationships/hyperlink" Target="http://www.sec.gov/Archives/edgar/data/1749723/000114036119002438/s002392x19_ex4-4.htm" TargetMode="External"/><Relationship Id="rId91" Type="http://schemas.openxmlformats.org/officeDocument/2006/relationships/hyperlink" Target="http://www.sec.gov/Archives/edgar/data/1749723/000114036118045661/s002392x8_ex10-4.htm" TargetMode="External"/><Relationship Id="rId92" Type="http://schemas.openxmlformats.org/officeDocument/2006/relationships/hyperlink" Target="http://www.sec.gov/Archives/edgar/data/1749723/000114036119009182/ex10_5.htm" TargetMode="External"/><Relationship Id="rId93" Type="http://schemas.openxmlformats.org/officeDocument/2006/relationships/hyperlink" Target="http://www.sec.gov/Archives/edgar/data/1749723/000114036119002493/s002392x20_ex4-1.htm" TargetMode="External"/><Relationship Id="rId94" Type="http://schemas.openxmlformats.org/officeDocument/2006/relationships/hyperlink" Target="http://www.sec.gov/Archives/edgar/data/1749723/000114036119002493/s002392x20_ex10-3.htm" TargetMode="External"/><Relationship Id="rId95" Type="http://schemas.openxmlformats.org/officeDocument/2006/relationships/hyperlink" Target="http://www.sec.gov/Archives/edgar/data/1749723/000114036119002493/s002392x20_ex10-4.htm" TargetMode="External"/><Relationship Id="rId96" Type="http://schemas.openxmlformats.org/officeDocument/2006/relationships/hyperlink" Target="http://www.sec.gov/Archives/edgar/data/1749723/000114036119002493/s002392x20_ex10-5.htm" TargetMode="External"/><Relationship Id="rId97" Type="http://schemas.openxmlformats.org/officeDocument/2006/relationships/hyperlink" Target="http://www.sec.gov/Archives/edgar/data/1749723/000114036119002493/s002392x20_ex10-7.htm" TargetMode="External"/><Relationship Id="rId98" Type="http://schemas.openxmlformats.org/officeDocument/2006/relationships/hyperlink" Target="http://www.sec.gov/Archives/edgar/data/1749723/000114036119002493/s002392x20_ex10-8.htm" TargetMode="External"/><Relationship Id="rId99" Type="http://schemas.openxmlformats.org/officeDocument/2006/relationships/hyperlink" Target="http://www.sec.gov/Archives/edgar/data/1749723/000114036119002493/s002392x20_ex10-9.htm" TargetMode="External"/><Relationship Id="rId100" Type="http://schemas.openxmlformats.org/officeDocument/2006/relationships/hyperlink" Target="http://www.sec.gov/Archives/edgar/data/1749723/000114036119002493/s002392x20_ex10-10.htm" TargetMode="External"/><Relationship Id="rId101" Type="http://schemas.openxmlformats.org/officeDocument/2006/relationships/hyperlink" Target="http://www.sec.gov/Archives/edgar/data/1749723/000114036119002493/s002392x20_ex10-11.htm" TargetMode="External"/><Relationship Id="rId102" Type="http://schemas.openxmlformats.org/officeDocument/2006/relationships/hyperlink" Target="http://www.sec.gov/Archives/edgar/data/1749723/000114036119002493/s002392x20_ex10-12.htm" TargetMode="External"/><Relationship Id="rId103" Type="http://schemas.openxmlformats.org/officeDocument/2006/relationships/hyperlink" Target="http://www.sec.gov/Archives/edgar/data/1749723/000114036119002493/s002392x20_ex10-13.htm" TargetMode="External"/><Relationship Id="rId104" Type="http://schemas.openxmlformats.org/officeDocument/2006/relationships/hyperlink" Target="http://www.sec.gov/Archives/edgar/data/1749723/000114036119005657/s002752x1_ex10-25.htm" TargetMode="External"/><Relationship Id="rId105" Type="http://schemas.openxmlformats.org/officeDocument/2006/relationships/hyperlink" Target="http://www.sec.gov/Archives/edgar/data/1749723/000114036119005657/s002752x1_ex10-26.htm" TargetMode="External"/><Relationship Id="rId106" Type="http://schemas.openxmlformats.org/officeDocument/2006/relationships/hyperlink" Target="http://www.sec.gov/Archives/edgar/data/1749723/000114036119001592/s002392x11_ex10-17.htm" TargetMode="External"/><Relationship Id="rId107" Type="http://schemas.openxmlformats.org/officeDocument/2006/relationships/hyperlink" Target="http://www.sec.gov/Archives/edgar/data/1749723/000114036119005657/s002752x1_ex10-29.htm" TargetMode="External"/><Relationship Id="rId108" Type="http://schemas.openxmlformats.org/officeDocument/2006/relationships/hyperlink" Target="http://www.sec.gov/Archives/edgar/data/1749723/000114036120010751/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2020-08-04T05:16:22Z</dcterms:created>
  <dcterms:modified xsi:type="dcterms:W3CDTF">2020-08-04T05:16:22Z</dcterms:modified>
</cp:coreProperties>
</file>