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UNITED STATES</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SECURITIES AND EXCHANGE COMMISSION</w:t>
      </w:r>
    </w:p>
    <w:p>
      <w:pPr>
        <w:spacing w:after="0" w:line="175" w:lineRule="exact"/>
        <w:rPr>
          <w:sz w:val="24"/>
          <w:szCs w:val="24"/>
          <w:color w:val="auto"/>
        </w:rPr>
      </w:pPr>
    </w:p>
    <w:p>
      <w:pPr>
        <w:spacing w:after="0"/>
        <w:rPr>
          <w:sz w:val="20"/>
          <w:szCs w:val="20"/>
          <w:color w:val="auto"/>
        </w:rPr>
      </w:pPr>
      <w:r>
        <w:rPr>
          <w:rFonts w:ascii="Arial" w:cs="Arial" w:eastAsia="Arial" w:hAnsi="Arial"/>
          <w:sz w:val="20"/>
          <w:szCs w:val="20"/>
          <w:color w:val="auto"/>
        </w:rPr>
        <w:t>Washington, D.C. 20549</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SCHEDULE 13G</w:t>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20"/>
          <w:szCs w:val="20"/>
          <w:color w:val="auto"/>
        </w:rPr>
        <w:t>Under the Securities Exchange Act of 1934</w:t>
      </w: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Arial" w:cs="Arial" w:eastAsia="Arial" w:hAnsi="Arial"/>
          <w:sz w:val="20"/>
          <w:szCs w:val="20"/>
          <w:color w:val="auto"/>
        </w:rPr>
        <w:t>(Amendment No. )</w:t>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20"/>
          <w:szCs w:val="20"/>
          <w:color w:val="auto"/>
        </w:rPr>
        <w:t>New Fortress Energy LLC</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20"/>
          <w:szCs w:val="20"/>
          <w:color w:val="auto"/>
        </w:rPr>
        <w:t>COMMON STOCK</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20"/>
          <w:szCs w:val="20"/>
          <w:color w:val="auto"/>
        </w:rPr>
        <w:t>644393100</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20"/>
          <w:szCs w:val="20"/>
          <w:color w:val="auto"/>
        </w:rPr>
        <w:t>January 31, 2019</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(Date of Event which Requires Filing of Statement)</w:t>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19"/>
          <w:szCs w:val="19"/>
          <w:color w:val="auto"/>
        </w:rPr>
        <w:t>Check the appropriate box to designate the Rule pursuant to which this</w:t>
      </w:r>
    </w:p>
    <w:p>
      <w:pPr>
        <w:spacing w:after="0" w:line="173" w:lineRule="exact"/>
        <w:rPr>
          <w:sz w:val="24"/>
          <w:szCs w:val="24"/>
          <w:color w:val="auto"/>
        </w:rPr>
      </w:pPr>
    </w:p>
    <w:p>
      <w:pPr>
        <w:spacing w:after="0"/>
        <w:rPr>
          <w:sz w:val="20"/>
          <w:szCs w:val="20"/>
          <w:color w:val="auto"/>
        </w:rPr>
      </w:pPr>
      <w:r>
        <w:rPr>
          <w:rFonts w:ascii="Arial" w:cs="Arial" w:eastAsia="Arial" w:hAnsi="Arial"/>
          <w:sz w:val="20"/>
          <w:szCs w:val="20"/>
          <w:color w:val="auto"/>
        </w:rPr>
        <w:t>Schedule is filed:</w:t>
      </w:r>
    </w:p>
    <w:p>
      <w:pPr>
        <w:spacing w:after="0" w:line="175" w:lineRule="exact"/>
        <w:rPr>
          <w:sz w:val="24"/>
          <w:szCs w:val="24"/>
          <w:color w:val="auto"/>
        </w:rPr>
      </w:pPr>
    </w:p>
    <w:p>
      <w:pPr>
        <w:jc w:val="both"/>
        <w:ind w:left="340" w:right="8559" w:hanging="332"/>
        <w:spacing w:after="0" w:line="440" w:lineRule="auto"/>
        <w:tabs>
          <w:tab w:leader="none" w:pos="280" w:val="left"/>
        </w:tabs>
        <w:numPr>
          <w:ilvl w:val="0"/>
          <w:numId w:val="1"/>
        </w:numPr>
        <w:rPr>
          <w:rFonts w:ascii="Arial" w:cs="Arial" w:eastAsia="Arial" w:hAnsi="Arial"/>
          <w:sz w:val="19"/>
          <w:szCs w:val="19"/>
          <w:color w:val="auto"/>
        </w:rPr>
      </w:pPr>
      <w:r>
        <w:rPr>
          <w:rFonts w:ascii="Arial" w:cs="Arial" w:eastAsia="Arial" w:hAnsi="Arial"/>
          <w:sz w:val="19"/>
          <w:szCs w:val="19"/>
          <w:color w:val="auto"/>
        </w:rPr>
        <w:t>Rule 13d - 1(b) Rule 13d - 1(c) Rule 13d - 1(d)</w:t>
      </w:r>
    </w:p>
    <w:p>
      <w:pPr>
        <w:spacing w:after="0" w:line="378" w:lineRule="exact"/>
        <w:rPr>
          <w:sz w:val="24"/>
          <w:szCs w:val="24"/>
          <w:color w:val="auto"/>
        </w:rPr>
      </w:pPr>
    </w:p>
    <w:p>
      <w:pPr>
        <w:spacing w:after="0"/>
        <w:rPr>
          <w:sz w:val="20"/>
          <w:szCs w:val="20"/>
          <w:color w:val="auto"/>
        </w:rPr>
      </w:pPr>
      <w:r>
        <w:rPr>
          <w:rFonts w:ascii="Arial" w:cs="Arial" w:eastAsia="Arial" w:hAnsi="Arial"/>
          <w:sz w:val="20"/>
          <w:szCs w:val="20"/>
          <w:color w:val="auto"/>
        </w:rPr>
        <w:t>1. Name of Reporting Person</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T. ROWE PRICE ASSOCIATES, INC.</w:t>
      </w:r>
    </w:p>
    <w:p>
      <w:pPr>
        <w:spacing w:after="0" w:line="175" w:lineRule="exact"/>
        <w:rPr>
          <w:sz w:val="24"/>
          <w:szCs w:val="24"/>
          <w:color w:val="auto"/>
        </w:rPr>
      </w:pPr>
    </w:p>
    <w:p>
      <w:pPr>
        <w:spacing w:after="0"/>
        <w:rPr>
          <w:sz w:val="20"/>
          <w:szCs w:val="20"/>
          <w:color w:val="auto"/>
        </w:rPr>
      </w:pPr>
      <w:r>
        <w:rPr>
          <w:rFonts w:ascii="Arial" w:cs="Arial" w:eastAsia="Arial" w:hAnsi="Arial"/>
          <w:sz w:val="20"/>
          <w:szCs w:val="20"/>
          <w:color w:val="auto"/>
        </w:rPr>
        <w:t>52-0556948</w:t>
      </w:r>
    </w:p>
    <w:p>
      <w:pPr>
        <w:spacing w:after="0" w:line="200" w:lineRule="exact"/>
        <w:rPr>
          <w:sz w:val="24"/>
          <w:szCs w:val="24"/>
          <w:color w:val="auto"/>
        </w:rPr>
      </w:pPr>
    </w:p>
    <w:p>
      <w:pPr>
        <w:spacing w:after="0" w:line="353" w:lineRule="exact"/>
        <w:rPr>
          <w:sz w:val="24"/>
          <w:szCs w:val="24"/>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7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NOT APPLICABLE</w:t>
      </w:r>
    </w:p>
    <w:p>
      <w:pPr>
        <w:spacing w:after="0" w:line="200" w:lineRule="exact"/>
        <w:rPr>
          <w:rFonts w:ascii="Arial" w:cs="Arial" w:eastAsia="Arial" w:hAnsi="Arial"/>
          <w:sz w:val="20"/>
          <w:szCs w:val="20"/>
          <w:color w:val="auto"/>
        </w:rPr>
      </w:pPr>
    </w:p>
    <w:p>
      <w:pPr>
        <w:spacing w:after="0" w:line="353" w:lineRule="exact"/>
        <w:rPr>
          <w:rFonts w:ascii="Arial" w:cs="Arial" w:eastAsia="Arial" w:hAnsi="Arial"/>
          <w:sz w:val="20"/>
          <w:szCs w:val="20"/>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ind w:left="220" w:hanging="212"/>
        <w:spacing w:after="0"/>
        <w:tabs>
          <w:tab w:leader="none" w:pos="220" w:val="left"/>
        </w:tabs>
        <w:numPr>
          <w:ilvl w:val="0"/>
          <w:numId w:val="2"/>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62" w:lineRule="exact"/>
        <w:rPr>
          <w:sz w:val="24"/>
          <w:szCs w:val="24"/>
          <w:color w:val="auto"/>
        </w:rPr>
      </w:pPr>
    </w:p>
    <w:p>
      <w:pPr>
        <w:spacing w:after="0"/>
        <w:rPr>
          <w:sz w:val="20"/>
          <w:szCs w:val="20"/>
          <w:color w:val="auto"/>
        </w:rPr>
      </w:pPr>
      <w:r>
        <w:rPr>
          <w:rFonts w:ascii="Arial" w:cs="Arial" w:eastAsia="Arial" w:hAnsi="Arial"/>
          <w:sz w:val="20"/>
          <w:szCs w:val="20"/>
          <w:color w:val="auto"/>
        </w:rPr>
        <w:t>Maryland</w:t>
      </w:r>
    </w:p>
    <w:p>
      <w:pPr>
        <w:spacing w:after="0" w:line="200" w:lineRule="exact"/>
        <w:rPr>
          <w:sz w:val="24"/>
          <w:szCs w:val="24"/>
          <w:color w:val="auto"/>
        </w:rPr>
      </w:pPr>
    </w:p>
    <w:p>
      <w:pPr>
        <w:spacing w:after="0" w:line="367" w:lineRule="exact"/>
        <w:rPr>
          <w:sz w:val="24"/>
          <w:szCs w:val="24"/>
          <w:color w:val="auto"/>
        </w:rPr>
      </w:pPr>
    </w:p>
    <w:p>
      <w:pPr>
        <w:spacing w:after="0"/>
        <w:rPr>
          <w:sz w:val="20"/>
          <w:szCs w:val="20"/>
          <w:color w:val="auto"/>
        </w:rPr>
      </w:pPr>
      <w:r>
        <w:rPr>
          <w:rFonts w:ascii="Arial" w:cs="Arial" w:eastAsia="Arial" w:hAnsi="Arial"/>
          <w:sz w:val="19"/>
          <w:szCs w:val="19"/>
          <w:color w:val="auto"/>
        </w:rPr>
        <w:t>Number of Shares Beneficially Owned by Each Reporting Person With</w:t>
      </w:r>
    </w:p>
    <w:p>
      <w:pPr>
        <w:sectPr>
          <w:pgSz w:w="11900" w:h="16838" w:orient="portrait"/>
          <w:cols w:equalWidth="0" w:num="1">
            <w:col w:w="10219"/>
          </w:cols>
          <w:pgMar w:left="240" w:top="487" w:right="1440" w:bottom="118" w:gutter="0" w:footer="0" w:header="0"/>
        </w:sectPr>
      </w:pPr>
    </w:p>
    <w:bookmarkStart w:id="1" w:name="page2"/>
    <w:bookmarkEnd w:id="1"/>
    <w:p>
      <w:pPr>
        <w:ind w:left="220" w:hanging="212"/>
        <w:spacing w:after="0"/>
        <w:tabs>
          <w:tab w:leader="none" w:pos="220" w:val="left"/>
        </w:tabs>
        <w:numPr>
          <w:ilvl w:val="0"/>
          <w:numId w:val="3"/>
        </w:numPr>
        <w:rPr>
          <w:rFonts w:ascii="Arial" w:cs="Arial" w:eastAsia="Arial" w:hAnsi="Arial"/>
          <w:sz w:val="20"/>
          <w:szCs w:val="20"/>
          <w:color w:val="auto"/>
        </w:rPr>
      </w:pPr>
      <w:r>
        <w:rPr>
          <w:rFonts w:ascii="Arial" w:cs="Arial" w:eastAsia="Arial" w:hAnsi="Arial"/>
          <w:sz w:val="20"/>
          <w:szCs w:val="20"/>
          <w:color w:val="auto"/>
        </w:rPr>
        <w:t>Sole Voting Power* 585,640</w:t>
      </w:r>
    </w:p>
    <w:p>
      <w:pPr>
        <w:spacing w:after="0" w:line="200" w:lineRule="exact"/>
        <w:rPr>
          <w:rFonts w:ascii="Arial" w:cs="Arial" w:eastAsia="Arial" w:hAnsi="Arial"/>
          <w:sz w:val="20"/>
          <w:szCs w:val="20"/>
          <w:color w:val="auto"/>
        </w:rPr>
      </w:pPr>
    </w:p>
    <w:p>
      <w:pPr>
        <w:spacing w:after="0" w:line="367" w:lineRule="exact"/>
        <w:rPr>
          <w:rFonts w:ascii="Arial" w:cs="Arial" w:eastAsia="Arial" w:hAnsi="Arial"/>
          <w:sz w:val="20"/>
          <w:szCs w:val="20"/>
          <w:color w:val="auto"/>
        </w:rPr>
      </w:pPr>
    </w:p>
    <w:p>
      <w:pPr>
        <w:ind w:left="220" w:hanging="212"/>
        <w:spacing w:after="0"/>
        <w:tabs>
          <w:tab w:leader="none" w:pos="220" w:val="left"/>
        </w:tabs>
        <w:numPr>
          <w:ilvl w:val="0"/>
          <w:numId w:val="3"/>
        </w:numPr>
        <w:rPr>
          <w:rFonts w:ascii="Arial" w:cs="Arial" w:eastAsia="Arial" w:hAnsi="Arial"/>
          <w:sz w:val="20"/>
          <w:szCs w:val="20"/>
          <w:color w:val="auto"/>
        </w:rPr>
      </w:pPr>
      <w:r>
        <w:rPr>
          <w:rFonts w:ascii="Arial" w:cs="Arial" w:eastAsia="Arial" w:hAnsi="Arial"/>
          <w:sz w:val="20"/>
          <w:szCs w:val="20"/>
          <w:color w:val="auto"/>
        </w:rPr>
        <w:t>Shared Voting Power* 0</w:t>
      </w:r>
    </w:p>
    <w:p>
      <w:pPr>
        <w:spacing w:after="0" w:line="200" w:lineRule="exact"/>
        <w:rPr>
          <w:rFonts w:ascii="Arial" w:cs="Arial" w:eastAsia="Arial" w:hAnsi="Arial"/>
          <w:sz w:val="20"/>
          <w:szCs w:val="20"/>
          <w:color w:val="auto"/>
        </w:rPr>
      </w:pPr>
    </w:p>
    <w:p>
      <w:pPr>
        <w:spacing w:after="0" w:line="353" w:lineRule="exact"/>
        <w:rPr>
          <w:rFonts w:ascii="Arial" w:cs="Arial" w:eastAsia="Arial" w:hAnsi="Arial"/>
          <w:sz w:val="20"/>
          <w:szCs w:val="20"/>
          <w:color w:val="auto"/>
        </w:rPr>
      </w:pPr>
    </w:p>
    <w:p>
      <w:pPr>
        <w:ind w:left="220" w:hanging="212"/>
        <w:spacing w:after="0"/>
        <w:tabs>
          <w:tab w:leader="none" w:pos="220" w:val="left"/>
        </w:tabs>
        <w:numPr>
          <w:ilvl w:val="0"/>
          <w:numId w:val="3"/>
        </w:numPr>
        <w:rPr>
          <w:rFonts w:ascii="Arial" w:cs="Arial" w:eastAsia="Arial" w:hAnsi="Arial"/>
          <w:sz w:val="20"/>
          <w:szCs w:val="20"/>
          <w:color w:val="auto"/>
        </w:rPr>
      </w:pPr>
      <w:r>
        <w:rPr>
          <w:rFonts w:ascii="Arial" w:cs="Arial" w:eastAsia="Arial" w:hAnsi="Arial"/>
          <w:sz w:val="20"/>
          <w:szCs w:val="20"/>
          <w:color w:val="auto"/>
        </w:rPr>
        <w:t>Sole Dispositive Power* 3,200,000</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ind w:left="220" w:hanging="212"/>
        <w:spacing w:after="0"/>
        <w:tabs>
          <w:tab w:leader="none" w:pos="220" w:val="left"/>
        </w:tabs>
        <w:numPr>
          <w:ilvl w:val="0"/>
          <w:numId w:val="3"/>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ind w:right="4239" w:firstLine="8"/>
        <w:spacing w:after="0" w:line="416" w:lineRule="auto"/>
        <w:tabs>
          <w:tab w:leader="none" w:pos="220" w:val="left"/>
        </w:tabs>
        <w:numPr>
          <w:ilvl w:val="0"/>
          <w:numId w:val="3"/>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3,200,000</w:t>
      </w:r>
    </w:p>
    <w:p>
      <w:pPr>
        <w:spacing w:after="0" w:line="391" w:lineRule="exact"/>
        <w:rPr>
          <w:rFonts w:ascii="Arial" w:cs="Arial" w:eastAsia="Arial" w:hAnsi="Arial"/>
          <w:sz w:val="20"/>
          <w:szCs w:val="20"/>
          <w:color w:val="auto"/>
        </w:rPr>
      </w:pPr>
    </w:p>
    <w:p>
      <w:pPr>
        <w:ind w:left="340" w:hanging="332"/>
        <w:spacing w:after="0"/>
        <w:tabs>
          <w:tab w:leader="none" w:pos="340" w:val="left"/>
        </w:tabs>
        <w:numPr>
          <w:ilvl w:val="0"/>
          <w:numId w:val="3"/>
        </w:numPr>
        <w:rPr>
          <w:rFonts w:ascii="Arial" w:cs="Arial" w:eastAsia="Arial" w:hAnsi="Arial"/>
          <w:sz w:val="19"/>
          <w:szCs w:val="19"/>
          <w:color w:val="auto"/>
        </w:rPr>
      </w:pPr>
      <w:r>
        <w:rPr>
          <w:rFonts w:ascii="Arial" w:cs="Arial" w:eastAsia="Arial" w:hAnsi="Arial"/>
          <w:sz w:val="19"/>
          <w:szCs w:val="19"/>
          <w:color w:val="auto"/>
        </w:rPr>
        <w:t>Check Box if the Aggregate Amount in Row (9) Excludes Certain Shares</w:t>
      </w:r>
    </w:p>
    <w:p>
      <w:pPr>
        <w:spacing w:after="0" w:line="173"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0"/>
          <w:szCs w:val="20"/>
          <w:color w:val="auto"/>
        </w:rPr>
        <w:t>NOT APPLICABLE</w:t>
      </w:r>
    </w:p>
    <w:p>
      <w:pPr>
        <w:spacing w:after="0" w:line="200" w:lineRule="exact"/>
        <w:rPr>
          <w:rFonts w:ascii="Arial" w:cs="Arial" w:eastAsia="Arial" w:hAnsi="Arial"/>
          <w:sz w:val="19"/>
          <w:szCs w:val="19"/>
          <w:color w:val="auto"/>
        </w:rPr>
      </w:pPr>
    </w:p>
    <w:p>
      <w:pPr>
        <w:spacing w:after="0" w:line="366" w:lineRule="exact"/>
        <w:rPr>
          <w:rFonts w:ascii="Arial" w:cs="Arial" w:eastAsia="Arial" w:hAnsi="Arial"/>
          <w:sz w:val="19"/>
          <w:szCs w:val="19"/>
          <w:color w:val="auto"/>
        </w:rPr>
      </w:pPr>
    </w:p>
    <w:p>
      <w:pPr>
        <w:ind w:left="340" w:hanging="332"/>
        <w:spacing w:after="0"/>
        <w:tabs>
          <w:tab w:leader="none" w:pos="340" w:val="left"/>
        </w:tabs>
        <w:numPr>
          <w:ilvl w:val="0"/>
          <w:numId w:val="3"/>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16.0%</w:t>
      </w:r>
    </w:p>
    <w:p>
      <w:pPr>
        <w:spacing w:after="0" w:line="200" w:lineRule="exact"/>
        <w:rPr>
          <w:sz w:val="20"/>
          <w:szCs w:val="20"/>
          <w:color w:val="auto"/>
        </w:rPr>
      </w:pPr>
    </w:p>
    <w:p>
      <w:pPr>
        <w:spacing w:after="0" w:line="36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6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IA</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*Any shares reported in Items 5 and 6 are also reported in Item 7.</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1. Name of Reporting Person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T. ROWE PRICE NEW HORIZONS FUND, INC.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52-0791372</w:t>
      </w:r>
    </w:p>
    <w:p>
      <w:pPr>
        <w:spacing w:after="0" w:line="200" w:lineRule="exact"/>
        <w:rPr>
          <w:sz w:val="20"/>
          <w:szCs w:val="20"/>
          <w:color w:val="auto"/>
        </w:rPr>
      </w:pPr>
    </w:p>
    <w:p>
      <w:pPr>
        <w:spacing w:after="0" w:line="367" w:lineRule="exact"/>
        <w:rPr>
          <w:sz w:val="20"/>
          <w:szCs w:val="20"/>
          <w:color w:val="auto"/>
        </w:rPr>
      </w:pPr>
    </w:p>
    <w:p>
      <w:pPr>
        <w:ind w:left="220" w:hanging="212"/>
        <w:spacing w:after="0"/>
        <w:tabs>
          <w:tab w:leader="none" w:pos="2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w:t>
      </w:r>
    </w:p>
    <w:p>
      <w:pPr>
        <w:spacing w:after="0" w:line="16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NOT APPLICABLE</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ind w:left="220" w:hanging="212"/>
        <w:spacing w:after="0"/>
        <w:tabs>
          <w:tab w:leader="none" w:pos="220" w:val="left"/>
        </w:tabs>
        <w:numPr>
          <w:ilvl w:val="0"/>
          <w:numId w:val="5"/>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353" w:lineRule="exact"/>
        <w:rPr>
          <w:rFonts w:ascii="Arial" w:cs="Arial" w:eastAsia="Arial" w:hAnsi="Arial"/>
          <w:sz w:val="20"/>
          <w:szCs w:val="20"/>
          <w:color w:val="auto"/>
        </w:rPr>
      </w:pPr>
    </w:p>
    <w:p>
      <w:pPr>
        <w:ind w:left="220" w:hanging="212"/>
        <w:spacing w:after="0"/>
        <w:tabs>
          <w:tab w:leader="none" w:pos="220" w:val="left"/>
        </w:tabs>
        <w:numPr>
          <w:ilvl w:val="0"/>
          <w:numId w:val="5"/>
        </w:numPr>
        <w:rPr>
          <w:rFonts w:ascii="Arial" w:cs="Arial" w:eastAsia="Arial" w:hAnsi="Arial"/>
          <w:sz w:val="20"/>
          <w:szCs w:val="20"/>
          <w:color w:val="auto"/>
        </w:rPr>
      </w:pPr>
      <w:r>
        <w:rPr>
          <w:rFonts w:ascii="Arial" w:cs="Arial" w:eastAsia="Arial" w:hAnsi="Arial"/>
          <w:sz w:val="20"/>
          <w:szCs w:val="20"/>
          <w:color w:val="auto"/>
        </w:rPr>
        <w:t>Citizenship or Place of Organization</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Maryland</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Number of Shares Beneficially Owned by Each Reporting Person With</w:t>
      </w:r>
    </w:p>
    <w:p>
      <w:pPr>
        <w:spacing w:after="0" w:line="200" w:lineRule="exact"/>
        <w:rPr>
          <w:sz w:val="20"/>
          <w:szCs w:val="20"/>
          <w:color w:val="auto"/>
        </w:rPr>
      </w:pPr>
    </w:p>
    <w:p>
      <w:pPr>
        <w:spacing w:after="0" w:line="367" w:lineRule="exact"/>
        <w:rPr>
          <w:sz w:val="20"/>
          <w:szCs w:val="20"/>
          <w:color w:val="auto"/>
        </w:rPr>
      </w:pPr>
    </w:p>
    <w:p>
      <w:pPr>
        <w:ind w:left="220" w:hanging="212"/>
        <w:spacing w:after="0"/>
        <w:tabs>
          <w:tab w:leader="none" w:pos="220" w:val="left"/>
        </w:tabs>
        <w:numPr>
          <w:ilvl w:val="0"/>
          <w:numId w:val="6"/>
        </w:numPr>
        <w:rPr>
          <w:rFonts w:ascii="Arial" w:cs="Arial" w:eastAsia="Arial" w:hAnsi="Arial"/>
          <w:sz w:val="20"/>
          <w:szCs w:val="20"/>
          <w:color w:val="auto"/>
        </w:rPr>
      </w:pPr>
      <w:r>
        <w:rPr>
          <w:rFonts w:ascii="Arial" w:cs="Arial" w:eastAsia="Arial" w:hAnsi="Arial"/>
          <w:sz w:val="20"/>
          <w:szCs w:val="20"/>
          <w:color w:val="auto"/>
        </w:rPr>
        <w:t>Sole Voting Power* 1,637,654</w:t>
      </w:r>
    </w:p>
    <w:p>
      <w:pPr>
        <w:spacing w:after="0" w:line="200" w:lineRule="exact"/>
        <w:rPr>
          <w:rFonts w:ascii="Arial" w:cs="Arial" w:eastAsia="Arial" w:hAnsi="Arial"/>
          <w:sz w:val="20"/>
          <w:szCs w:val="20"/>
          <w:color w:val="auto"/>
        </w:rPr>
      </w:pPr>
    </w:p>
    <w:p>
      <w:pPr>
        <w:spacing w:after="0" w:line="353" w:lineRule="exact"/>
        <w:rPr>
          <w:rFonts w:ascii="Arial" w:cs="Arial" w:eastAsia="Arial" w:hAnsi="Arial"/>
          <w:sz w:val="20"/>
          <w:szCs w:val="20"/>
          <w:color w:val="auto"/>
        </w:rPr>
      </w:pPr>
    </w:p>
    <w:p>
      <w:pPr>
        <w:ind w:left="220" w:hanging="212"/>
        <w:spacing w:after="0"/>
        <w:tabs>
          <w:tab w:leader="none" w:pos="220" w:val="left"/>
        </w:tabs>
        <w:numPr>
          <w:ilvl w:val="0"/>
          <w:numId w:val="6"/>
        </w:numPr>
        <w:rPr>
          <w:rFonts w:ascii="Arial" w:cs="Arial" w:eastAsia="Arial" w:hAnsi="Arial"/>
          <w:sz w:val="20"/>
          <w:szCs w:val="20"/>
          <w:color w:val="auto"/>
        </w:rPr>
      </w:pPr>
      <w:r>
        <w:rPr>
          <w:rFonts w:ascii="Arial" w:cs="Arial" w:eastAsia="Arial" w:hAnsi="Arial"/>
          <w:sz w:val="20"/>
          <w:szCs w:val="20"/>
          <w:color w:val="auto"/>
        </w:rPr>
        <w:t>Shared Voting Power* 0</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ind w:left="220" w:hanging="212"/>
        <w:spacing w:after="0"/>
        <w:tabs>
          <w:tab w:leader="none" w:pos="220" w:val="left"/>
        </w:tabs>
        <w:numPr>
          <w:ilvl w:val="0"/>
          <w:numId w:val="6"/>
        </w:numPr>
        <w:rPr>
          <w:rFonts w:ascii="Arial" w:cs="Arial" w:eastAsia="Arial" w:hAnsi="Arial"/>
          <w:sz w:val="20"/>
          <w:szCs w:val="20"/>
          <w:color w:val="auto"/>
        </w:rPr>
      </w:pPr>
      <w:r>
        <w:rPr>
          <w:rFonts w:ascii="Arial" w:cs="Arial" w:eastAsia="Arial" w:hAnsi="Arial"/>
          <w:sz w:val="20"/>
          <w:szCs w:val="20"/>
          <w:color w:val="auto"/>
        </w:rPr>
        <w:t>Sole Dispositive Power* 0</w:t>
      </w:r>
    </w:p>
    <w:p>
      <w:pPr>
        <w:sectPr>
          <w:pgSz w:w="11900" w:h="16838" w:orient="portrait"/>
          <w:cols w:equalWidth="0" w:num="1">
            <w:col w:w="10219"/>
          </w:cols>
          <w:pgMar w:left="240" w:top="135" w:right="1440" w:bottom="66" w:gutter="0" w:footer="0" w:header="0"/>
        </w:sectPr>
      </w:pPr>
    </w:p>
    <w:bookmarkStart w:id="2" w:name="page3"/>
    <w:bookmarkEnd w:id="2"/>
    <w:p>
      <w:pPr>
        <w:ind w:left="220" w:hanging="212"/>
        <w:spacing w:after="0"/>
        <w:tabs>
          <w:tab w:leader="none" w:pos="220" w:val="left"/>
        </w:tabs>
        <w:numPr>
          <w:ilvl w:val="0"/>
          <w:numId w:val="7"/>
        </w:numPr>
        <w:rPr>
          <w:rFonts w:ascii="Arial" w:cs="Arial" w:eastAsia="Arial" w:hAnsi="Arial"/>
          <w:sz w:val="20"/>
          <w:szCs w:val="20"/>
          <w:color w:val="auto"/>
        </w:rPr>
      </w:pPr>
      <w:r>
        <w:rPr>
          <w:rFonts w:ascii="Arial" w:cs="Arial" w:eastAsia="Arial" w:hAnsi="Arial"/>
          <w:sz w:val="20"/>
          <w:szCs w:val="20"/>
          <w:color w:val="auto"/>
        </w:rPr>
        <w:t>Shared Dispositive Power 0</w:t>
      </w:r>
    </w:p>
    <w:p>
      <w:pPr>
        <w:spacing w:after="0" w:line="200" w:lineRule="exact"/>
        <w:rPr>
          <w:rFonts w:ascii="Arial" w:cs="Arial" w:eastAsia="Arial" w:hAnsi="Arial"/>
          <w:sz w:val="20"/>
          <w:szCs w:val="20"/>
          <w:color w:val="auto"/>
        </w:rPr>
      </w:pPr>
    </w:p>
    <w:p>
      <w:pPr>
        <w:spacing w:after="0" w:line="367" w:lineRule="exact"/>
        <w:rPr>
          <w:rFonts w:ascii="Arial" w:cs="Arial" w:eastAsia="Arial" w:hAnsi="Arial"/>
          <w:sz w:val="20"/>
          <w:szCs w:val="20"/>
          <w:color w:val="auto"/>
        </w:rPr>
      </w:pPr>
    </w:p>
    <w:p>
      <w:pPr>
        <w:ind w:right="4239" w:firstLine="8"/>
        <w:spacing w:after="0" w:line="416" w:lineRule="auto"/>
        <w:tabs>
          <w:tab w:leader="none" w:pos="220" w:val="left"/>
        </w:tabs>
        <w:numPr>
          <w:ilvl w:val="0"/>
          <w:numId w:val="7"/>
        </w:numPr>
        <w:rPr>
          <w:rFonts w:ascii="Arial" w:cs="Arial" w:eastAsia="Arial" w:hAnsi="Arial"/>
          <w:sz w:val="20"/>
          <w:szCs w:val="20"/>
          <w:color w:val="auto"/>
        </w:rPr>
      </w:pPr>
      <w:r>
        <w:rPr>
          <w:rFonts w:ascii="Arial" w:cs="Arial" w:eastAsia="Arial" w:hAnsi="Arial"/>
          <w:sz w:val="20"/>
          <w:szCs w:val="20"/>
          <w:color w:val="auto"/>
        </w:rPr>
        <w:t>Aggregate Amount Beneficially Owned by Each Reporting Person 1,637,654</w:t>
      </w:r>
    </w:p>
    <w:p>
      <w:pPr>
        <w:spacing w:after="0" w:line="391" w:lineRule="exact"/>
        <w:rPr>
          <w:rFonts w:ascii="Arial" w:cs="Arial" w:eastAsia="Arial" w:hAnsi="Arial"/>
          <w:sz w:val="20"/>
          <w:szCs w:val="20"/>
          <w:color w:val="auto"/>
        </w:rPr>
      </w:pPr>
    </w:p>
    <w:p>
      <w:pPr>
        <w:ind w:left="340" w:hanging="332"/>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Check Box if the Aggregate Amount in Row (9) Excludes Certain Shares</w:t>
      </w:r>
    </w:p>
    <w:p>
      <w:pPr>
        <w:spacing w:after="0" w:line="16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NOT APPLICABLE</w:t>
      </w:r>
    </w:p>
    <w:p>
      <w:pPr>
        <w:spacing w:after="0" w:line="200" w:lineRule="exact"/>
        <w:rPr>
          <w:rFonts w:ascii="Arial" w:cs="Arial" w:eastAsia="Arial" w:hAnsi="Arial"/>
          <w:sz w:val="20"/>
          <w:szCs w:val="20"/>
          <w:color w:val="auto"/>
        </w:rPr>
      </w:pPr>
    </w:p>
    <w:p>
      <w:pPr>
        <w:spacing w:after="0" w:line="366" w:lineRule="exact"/>
        <w:rPr>
          <w:rFonts w:ascii="Arial" w:cs="Arial" w:eastAsia="Arial" w:hAnsi="Arial"/>
          <w:sz w:val="20"/>
          <w:szCs w:val="20"/>
          <w:color w:val="auto"/>
        </w:rPr>
      </w:pPr>
    </w:p>
    <w:p>
      <w:pPr>
        <w:ind w:left="340" w:hanging="332"/>
        <w:spacing w:after="0"/>
        <w:tabs>
          <w:tab w:leader="none" w:pos="340" w:val="left"/>
        </w:tabs>
        <w:numPr>
          <w:ilvl w:val="0"/>
          <w:numId w:val="7"/>
        </w:numPr>
        <w:rPr>
          <w:rFonts w:ascii="Arial" w:cs="Arial" w:eastAsia="Arial" w:hAnsi="Arial"/>
          <w:sz w:val="20"/>
          <w:szCs w:val="20"/>
          <w:color w:val="auto"/>
        </w:rPr>
      </w:pPr>
      <w:r>
        <w:rPr>
          <w:rFonts w:ascii="Arial" w:cs="Arial" w:eastAsia="Arial" w:hAnsi="Arial"/>
          <w:sz w:val="20"/>
          <w:szCs w:val="20"/>
          <w:color w:val="auto"/>
        </w:rPr>
        <w:t>Percent of Class Represented by Amount in Row 9</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8.1%</w:t>
      </w:r>
    </w:p>
    <w:p>
      <w:pPr>
        <w:spacing w:after="0" w:line="200" w:lineRule="exact"/>
        <w:rPr>
          <w:sz w:val="20"/>
          <w:szCs w:val="20"/>
          <w:color w:val="auto"/>
        </w:rPr>
      </w:pPr>
    </w:p>
    <w:p>
      <w:pPr>
        <w:spacing w:after="0" w:line="36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20"/>
          <w:szCs w:val="20"/>
          <w:color w:val="auto"/>
        </w:rPr>
      </w:pPr>
      <w:r>
        <w:rPr>
          <w:rFonts w:ascii="Arial" w:cs="Arial" w:eastAsia="Arial" w:hAnsi="Arial"/>
          <w:sz w:val="20"/>
          <w:szCs w:val="20"/>
          <w:color w:val="auto"/>
        </w:rPr>
        <w:t>Type of Reporting Person</w:t>
      </w:r>
    </w:p>
    <w:p>
      <w:pPr>
        <w:spacing w:after="0" w:line="161" w:lineRule="exact"/>
        <w:rPr>
          <w:rFonts w:ascii="Arial" w:cs="Arial" w:eastAsia="Arial" w:hAnsi="Arial"/>
          <w:sz w:val="20"/>
          <w:szCs w:val="20"/>
          <w:color w:val="auto"/>
        </w:rPr>
      </w:pPr>
    </w:p>
    <w:p>
      <w:pPr>
        <w:ind w:left="660"/>
        <w:spacing w:after="0"/>
        <w:rPr>
          <w:rFonts w:ascii="Arial" w:cs="Arial" w:eastAsia="Arial" w:hAnsi="Arial"/>
          <w:sz w:val="20"/>
          <w:szCs w:val="20"/>
          <w:color w:val="auto"/>
        </w:rPr>
      </w:pPr>
      <w:r>
        <w:rPr>
          <w:rFonts w:ascii="Arial" w:cs="Arial" w:eastAsia="Arial" w:hAnsi="Arial"/>
          <w:sz w:val="20"/>
          <w:szCs w:val="20"/>
          <w:color w:val="auto"/>
        </w:rPr>
        <w:t>IV</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*Any shares reported in Items 5 and 6 are also reported in Item 7.</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Item 1(a) Name of Issuer: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New Fortress Energy LLC</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Item 1(b) Address of Issuer's Principal Executive Offices:</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111 W. 19TH STREET, 8TH FLOOR, NEW YORK, NY 10011</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Item 2(a) Name of Person(s) Filing:</w:t>
      </w:r>
    </w:p>
    <w:p>
      <w:pPr>
        <w:spacing w:after="0" w:line="175" w:lineRule="exact"/>
        <w:rPr>
          <w:sz w:val="20"/>
          <w:szCs w:val="20"/>
          <w:color w:val="auto"/>
        </w:rPr>
      </w:pPr>
    </w:p>
    <w:p>
      <w:pPr>
        <w:ind w:left="300" w:hanging="292"/>
        <w:spacing w:after="0"/>
        <w:tabs>
          <w:tab w:leader="none" w:pos="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T. ROWE PRICE ASSOCIATES, INC. ("Price Associates")</w:t>
      </w:r>
    </w:p>
    <w:p>
      <w:pPr>
        <w:spacing w:after="0" w:line="161" w:lineRule="exact"/>
        <w:rPr>
          <w:rFonts w:ascii="Arial" w:cs="Arial" w:eastAsia="Arial" w:hAnsi="Arial"/>
          <w:sz w:val="20"/>
          <w:szCs w:val="20"/>
          <w:color w:val="auto"/>
        </w:rPr>
      </w:pPr>
    </w:p>
    <w:p>
      <w:pPr>
        <w:ind w:left="300" w:hanging="292"/>
        <w:spacing w:after="0"/>
        <w:tabs>
          <w:tab w:leader="none" w:pos="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T. ROWE PRICE NEW HORIZONS FUND, INC.</w:t>
      </w:r>
    </w:p>
    <w:p>
      <w:pPr>
        <w:spacing w:after="0" w:line="200" w:lineRule="exact"/>
        <w:rPr>
          <w:sz w:val="20"/>
          <w:szCs w:val="20"/>
          <w:color w:val="auto"/>
        </w:rPr>
      </w:pPr>
    </w:p>
    <w:p>
      <w:pPr>
        <w:spacing w:after="0" w:line="367" w:lineRule="exact"/>
        <w:rPr>
          <w:sz w:val="20"/>
          <w:szCs w:val="20"/>
          <w:color w:val="auto"/>
        </w:rPr>
      </w:pPr>
    </w:p>
    <w:p>
      <w:pPr>
        <w:ind w:right="3359"/>
        <w:spacing w:after="0" w:line="430" w:lineRule="auto"/>
        <w:rPr>
          <w:sz w:val="20"/>
          <w:szCs w:val="20"/>
          <w:color w:val="auto"/>
        </w:rPr>
      </w:pPr>
      <w:r>
        <w:rPr>
          <w:rFonts w:ascii="Arial" w:cs="Arial" w:eastAsia="Arial" w:hAnsi="Arial"/>
          <w:sz w:val="19"/>
          <w:szCs w:val="19"/>
          <w:color w:val="auto"/>
        </w:rPr>
        <w:t>X Attached as Exhibit A is a copy of an agreement between the Persons Filing (as specified hereinabove) that this Schedule 13G is being filed on behalf</w:t>
      </w:r>
    </w:p>
    <w:p>
      <w:pPr>
        <w:ind w:left="340"/>
        <w:spacing w:after="0"/>
        <w:rPr>
          <w:sz w:val="20"/>
          <w:szCs w:val="20"/>
          <w:color w:val="auto"/>
        </w:rPr>
      </w:pPr>
      <w:r>
        <w:rPr>
          <w:rFonts w:ascii="Arial" w:cs="Arial" w:eastAsia="Arial" w:hAnsi="Arial"/>
          <w:sz w:val="20"/>
          <w:szCs w:val="20"/>
          <w:color w:val="auto"/>
        </w:rPr>
        <w:t>of each of them.</w:t>
      </w:r>
    </w:p>
    <w:p>
      <w:pPr>
        <w:spacing w:after="0" w:line="200" w:lineRule="exact"/>
        <w:rPr>
          <w:sz w:val="20"/>
          <w:szCs w:val="20"/>
          <w:color w:val="auto"/>
        </w:rPr>
      </w:pPr>
    </w:p>
    <w:p>
      <w:pPr>
        <w:spacing w:after="0" w:line="367" w:lineRule="exact"/>
        <w:rPr>
          <w:sz w:val="20"/>
          <w:szCs w:val="20"/>
          <w:color w:val="auto"/>
        </w:rPr>
      </w:pPr>
    </w:p>
    <w:p>
      <w:pPr>
        <w:ind w:left="60"/>
        <w:spacing w:after="0"/>
        <w:rPr>
          <w:sz w:val="20"/>
          <w:szCs w:val="20"/>
          <w:color w:val="auto"/>
        </w:rPr>
      </w:pPr>
      <w:r>
        <w:rPr>
          <w:rFonts w:ascii="Arial" w:cs="Arial" w:eastAsia="Arial" w:hAnsi="Arial"/>
          <w:sz w:val="20"/>
          <w:szCs w:val="20"/>
          <w:color w:val="auto"/>
        </w:rPr>
        <w:t>Item 2(b) Address of Principal Business Office:</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100 E. Pratt Street, Baltimore, MD 21202</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Item 2(c) Citizenship or Place of Organization:</w:t>
      </w:r>
    </w:p>
    <w:p>
      <w:pPr>
        <w:spacing w:after="0" w:line="162"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Maryland</w:t>
      </w:r>
    </w:p>
    <w:p>
      <w:pPr>
        <w:spacing w:after="0" w:line="161" w:lineRule="exact"/>
        <w:rPr>
          <w:rFonts w:ascii="Arial" w:cs="Arial" w:eastAsia="Arial" w:hAnsi="Arial"/>
          <w:sz w:val="20"/>
          <w:szCs w:val="20"/>
          <w:color w:val="auto"/>
        </w:rPr>
      </w:pPr>
    </w:p>
    <w:p>
      <w:pPr>
        <w:ind w:left="300" w:hanging="292"/>
        <w:spacing w:after="0"/>
        <w:tabs>
          <w:tab w:leader="none" w:pos="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Maryland</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Item 2(d) Title of Class of Securities: COMMON STOCK</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Item 2(e) Cusip Number: 644393100</w:t>
      </w:r>
    </w:p>
    <w:p>
      <w:pPr>
        <w:sectPr>
          <w:pgSz w:w="11900" w:h="16838" w:orient="portrait"/>
          <w:cols w:equalWidth="0" w:num="1">
            <w:col w:w="10219"/>
          </w:cols>
          <w:pgMar w:left="240" w:top="135" w:right="1440" w:bottom="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color w:val="auto"/>
        </w:rPr>
        <w:t>Item 3: The person filing this Schedule 13G is an:</w:t>
      </w:r>
    </w:p>
    <w:p>
      <w:pPr>
        <w:sectPr>
          <w:pgSz w:w="11900" w:h="16838" w:orient="portrait"/>
          <w:cols w:equalWidth="0" w:num="1">
            <w:col w:w="10219"/>
          </w:cols>
          <w:pgMar w:left="240" w:top="135" w:right="1440" w:bottom="0" w:gutter="0" w:footer="0" w:header="0"/>
          <w:type w:val="continuous"/>
        </w:sectPr>
      </w:pPr>
    </w:p>
    <w:bookmarkStart w:id="3" w:name="page4"/>
    <w:bookmarkEnd w:id="3"/>
    <w:p>
      <w:pPr>
        <w:ind w:right="4179"/>
        <w:spacing w:after="0" w:line="415" w:lineRule="auto"/>
        <w:rPr>
          <w:sz w:val="20"/>
          <w:szCs w:val="20"/>
          <w:color w:val="auto"/>
        </w:rPr>
      </w:pPr>
      <w:r>
        <w:rPr>
          <w:rFonts w:ascii="Arial" w:cs="Arial" w:eastAsia="Arial" w:hAnsi="Arial"/>
          <w:sz w:val="20"/>
          <w:szCs w:val="20"/>
          <w:color w:val="auto"/>
        </w:rPr>
        <w:t>X Investment Adviser registered under Section 203 of the Investment Advisers Act of 1940</w:t>
      </w:r>
    </w:p>
    <w:p>
      <w:pPr>
        <w:spacing w:after="0" w:line="2" w:lineRule="exact"/>
        <w:rPr>
          <w:sz w:val="20"/>
          <w:szCs w:val="20"/>
          <w:color w:val="auto"/>
        </w:rPr>
      </w:pPr>
    </w:p>
    <w:p>
      <w:pPr>
        <w:ind w:right="4199"/>
        <w:spacing w:after="0" w:line="416" w:lineRule="auto"/>
        <w:rPr>
          <w:sz w:val="20"/>
          <w:szCs w:val="20"/>
          <w:color w:val="auto"/>
        </w:rPr>
      </w:pPr>
      <w:r>
        <w:rPr>
          <w:rFonts w:ascii="Arial" w:cs="Arial" w:eastAsia="Arial" w:hAnsi="Arial"/>
          <w:sz w:val="20"/>
          <w:szCs w:val="20"/>
          <w:color w:val="auto"/>
        </w:rPr>
        <w:t>X Investment Company registered under Section 8 of the Investment Company Act of 1940</w:t>
      </w:r>
    </w:p>
    <w:p>
      <w:pPr>
        <w:spacing w:after="0" w:line="391" w:lineRule="exact"/>
        <w:rPr>
          <w:sz w:val="20"/>
          <w:szCs w:val="20"/>
          <w:color w:val="auto"/>
        </w:rPr>
      </w:pPr>
    </w:p>
    <w:p>
      <w:pPr>
        <w:ind w:left="340" w:right="3979" w:hanging="323"/>
        <w:spacing w:after="0" w:line="416" w:lineRule="auto"/>
        <w:rPr>
          <w:sz w:val="20"/>
          <w:szCs w:val="20"/>
          <w:color w:val="auto"/>
        </w:rPr>
      </w:pPr>
      <w:r>
        <w:rPr>
          <w:rFonts w:ascii="Arial" w:cs="Arial" w:eastAsia="Arial" w:hAnsi="Arial"/>
          <w:sz w:val="20"/>
          <w:szCs w:val="20"/>
          <w:color w:val="auto"/>
        </w:rPr>
        <w:t>Item 4: Reference is made to Items 5-11 on the preceding pages of this Schedule 13G.</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color w:val="auto"/>
        </w:rPr>
        <w:t>Item 5: Ownership of Five Percent or Less of a Class</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Item 6: Ownership of More than Five Percent on Behalf of Another Person</w:t>
      </w:r>
    </w:p>
    <w:p>
      <w:pPr>
        <w:spacing w:after="0" w:line="200" w:lineRule="exact"/>
        <w:rPr>
          <w:sz w:val="20"/>
          <w:szCs w:val="20"/>
          <w:color w:val="auto"/>
        </w:rPr>
      </w:pPr>
    </w:p>
    <w:p>
      <w:pPr>
        <w:spacing w:after="0" w:line="353" w:lineRule="exact"/>
        <w:rPr>
          <w:sz w:val="20"/>
          <w:szCs w:val="20"/>
          <w:color w:val="auto"/>
        </w:rPr>
      </w:pPr>
    </w:p>
    <w:p>
      <w:pPr>
        <w:ind w:left="340" w:right="3939" w:hanging="332"/>
        <w:spacing w:after="0" w:line="442" w:lineRule="auto"/>
        <w:tabs>
          <w:tab w:leader="none" w:pos="313" w:val="left"/>
        </w:tabs>
        <w:numPr>
          <w:ilvl w:val="0"/>
          <w:numId w:val="11"/>
        </w:numPr>
        <w:rPr>
          <w:rFonts w:ascii="Arial" w:cs="Arial" w:eastAsia="Arial" w:hAnsi="Arial"/>
          <w:sz w:val="19"/>
          <w:szCs w:val="19"/>
          <w:color w:val="auto"/>
        </w:rPr>
      </w:pPr>
      <w:r>
        <w:rPr>
          <w:rFonts w:ascii="Arial" w:cs="Arial" w:eastAsia="Arial" w:hAnsi="Arial"/>
          <w:sz w:val="19"/>
          <w:szCs w:val="19"/>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376" w:lineRule="exact"/>
        <w:rPr>
          <w:sz w:val="20"/>
          <w:szCs w:val="20"/>
          <w:color w:val="auto"/>
        </w:rPr>
      </w:pPr>
    </w:p>
    <w:p>
      <w:pPr>
        <w:ind w:left="340" w:right="3579"/>
        <w:spacing w:after="0" w:line="415" w:lineRule="auto"/>
        <w:rPr>
          <w:sz w:val="20"/>
          <w:szCs w:val="20"/>
          <w:color w:val="auto"/>
        </w:rPr>
      </w:pPr>
      <w:r>
        <w:rPr>
          <w:rFonts w:ascii="Arial" w:cs="Arial" w:eastAsia="Arial" w:hAnsi="Arial"/>
          <w:sz w:val="20"/>
          <w:szCs w:val="20"/>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383" w:lineRule="exact"/>
        <w:rPr>
          <w:sz w:val="20"/>
          <w:szCs w:val="20"/>
          <w:color w:val="auto"/>
        </w:rPr>
      </w:pPr>
    </w:p>
    <w:p>
      <w:pPr>
        <w:ind w:left="340" w:right="3499"/>
        <w:spacing w:after="0" w:line="417" w:lineRule="auto"/>
        <w:rPr>
          <w:sz w:val="20"/>
          <w:szCs w:val="20"/>
          <w:color w:val="auto"/>
        </w:rPr>
      </w:pPr>
      <w:r>
        <w:rPr>
          <w:rFonts w:ascii="Arial" w:cs="Arial" w:eastAsia="Arial" w:hAnsi="Arial"/>
          <w:sz w:val="20"/>
          <w:szCs w:val="20"/>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379" w:lineRule="exact"/>
        <w:rPr>
          <w:sz w:val="20"/>
          <w:szCs w:val="20"/>
          <w:color w:val="auto"/>
        </w:rPr>
      </w:pPr>
    </w:p>
    <w:p>
      <w:pPr>
        <w:ind w:left="340" w:right="3819" w:hanging="332"/>
        <w:spacing w:after="0" w:line="415" w:lineRule="auto"/>
        <w:tabs>
          <w:tab w:leader="none" w:pos="313" w:val="left"/>
        </w:tabs>
        <w:numPr>
          <w:ilvl w:val="0"/>
          <w:numId w:val="12"/>
        </w:numPr>
        <w:rPr>
          <w:rFonts w:ascii="Arial" w:cs="Arial" w:eastAsia="Arial" w:hAnsi="Arial"/>
          <w:sz w:val="20"/>
          <w:szCs w:val="20"/>
          <w:color w:val="auto"/>
        </w:rPr>
      </w:pPr>
      <w:r>
        <w:rPr>
          <w:rFonts w:ascii="Arial" w:cs="Arial" w:eastAsia="Arial" w:hAnsi="Arial"/>
          <w:sz w:val="20"/>
          <w:szCs w:val="20"/>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383" w:lineRule="exact"/>
        <w:rPr>
          <w:sz w:val="20"/>
          <w:szCs w:val="20"/>
          <w:color w:val="auto"/>
        </w:rPr>
      </w:pPr>
    </w:p>
    <w:p>
      <w:pPr>
        <w:ind w:left="340" w:right="3539" w:hanging="323"/>
        <w:spacing w:after="0" w:line="415" w:lineRule="auto"/>
        <w:rPr>
          <w:sz w:val="20"/>
          <w:szCs w:val="20"/>
          <w:color w:val="auto"/>
        </w:rPr>
      </w:pPr>
      <w:r>
        <w:rPr>
          <w:rFonts w:ascii="Arial" w:cs="Arial" w:eastAsia="Arial" w:hAnsi="Arial"/>
          <w:sz w:val="20"/>
          <w:szCs w:val="20"/>
          <w:color w:val="auto"/>
        </w:rPr>
        <w:t>Item 7: Identification and Classification of the Subsidiary Which Acquired the Security Being Reported on By the Parent Holding Company.</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 Applicable</w:t>
      </w:r>
    </w:p>
    <w:p>
      <w:pPr>
        <w:sectPr>
          <w:pgSz w:w="11900" w:h="16838" w:orient="portrait"/>
          <w:cols w:equalWidth="0" w:num="1">
            <w:col w:w="10219"/>
          </w:cols>
          <w:pgMar w:left="240" w:top="136" w:right="1440" w:bottom="66" w:gutter="0" w:footer="0" w:header="0"/>
        </w:sectPr>
      </w:pPr>
    </w:p>
    <w:bookmarkStart w:id="4" w:name="page5"/>
    <w:bookmarkEnd w:id="4"/>
    <w:p>
      <w:pPr>
        <w:ind w:left="340" w:right="4579" w:hanging="323"/>
        <w:spacing w:after="0" w:line="416" w:lineRule="auto"/>
        <w:rPr>
          <w:sz w:val="20"/>
          <w:szCs w:val="20"/>
          <w:color w:val="auto"/>
        </w:rPr>
      </w:pPr>
      <w:r>
        <w:rPr>
          <w:rFonts w:ascii="Arial" w:cs="Arial" w:eastAsia="Arial" w:hAnsi="Arial"/>
          <w:sz w:val="20"/>
          <w:szCs w:val="20"/>
          <w:color w:val="auto"/>
        </w:rPr>
        <w:t>Item 8: Identification and Classification of Members of the Group Not Applicable</w:t>
      </w: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Item 9: Notice of Dissolution of Group</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20"/>
          <w:szCs w:val="20"/>
          <w:color w:val="auto"/>
        </w:rPr>
        <w:t>Not Applicable</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Item 10: Certification</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By signing below I certify that, to the best of my knowledge and</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belief, the securities referred to above were acquired in the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ordinary course of business and were not acquired and are not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held for the purpose of or with the effect of changing or</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influencing the control of the issuer of the securities and were</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not acquired and are not held in connection with or as a participant</w:t>
      </w:r>
    </w:p>
    <w:p>
      <w:pPr>
        <w:spacing w:after="0" w:line="162" w:lineRule="exact"/>
        <w:rPr>
          <w:sz w:val="20"/>
          <w:szCs w:val="20"/>
          <w:color w:val="auto"/>
        </w:rPr>
      </w:pPr>
    </w:p>
    <w:p>
      <w:pPr>
        <w:ind w:left="300"/>
        <w:spacing w:after="0"/>
        <w:rPr>
          <w:sz w:val="20"/>
          <w:szCs w:val="20"/>
          <w:color w:val="auto"/>
        </w:rPr>
      </w:pPr>
      <w:r>
        <w:rPr>
          <w:rFonts w:ascii="Arial" w:cs="Arial" w:eastAsia="Arial" w:hAnsi="Arial"/>
          <w:sz w:val="20"/>
          <w:szCs w:val="20"/>
          <w:color w:val="auto"/>
        </w:rPr>
        <w:t>in any transaction having that purpose or effect. T. Rowe Price</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20"/>
          <w:szCs w:val="20"/>
          <w:color w:val="auto"/>
        </w:rPr>
        <w:t>Associates, Inc. hereby declares and affirms that the filing</w:t>
      </w:r>
    </w:p>
    <w:p>
      <w:pPr>
        <w:spacing w:after="0" w:line="162" w:lineRule="exact"/>
        <w:rPr>
          <w:sz w:val="20"/>
          <w:szCs w:val="20"/>
          <w:color w:val="auto"/>
        </w:rPr>
      </w:pPr>
    </w:p>
    <w:p>
      <w:pPr>
        <w:ind w:left="300" w:right="4079"/>
        <w:spacing w:after="0" w:line="419" w:lineRule="auto"/>
        <w:rPr>
          <w:sz w:val="20"/>
          <w:szCs w:val="20"/>
          <w:color w:val="auto"/>
        </w:rPr>
      </w:pPr>
      <w:r>
        <w:rPr>
          <w:rFonts w:ascii="Arial" w:cs="Arial" w:eastAsia="Arial" w:hAnsi="Arial"/>
          <w:sz w:val="20"/>
          <w:szCs w:val="20"/>
          <w:color w:val="auto"/>
        </w:rPr>
        <w:t>of Schedule 13G shall not be construed as an admission that Price Associates is the beneficial owner of the securities referred to, which beneficial ownership is expressly denied.</w:t>
      </w:r>
    </w:p>
    <w:p>
      <w:pPr>
        <w:spacing w:after="0" w:line="376" w:lineRule="exact"/>
        <w:rPr>
          <w:sz w:val="20"/>
          <w:szCs w:val="20"/>
          <w:color w:val="auto"/>
        </w:rPr>
      </w:pPr>
    </w:p>
    <w:p>
      <w:pPr>
        <w:ind w:left="300"/>
        <w:spacing w:after="0"/>
        <w:rPr>
          <w:sz w:val="20"/>
          <w:szCs w:val="20"/>
          <w:color w:val="auto"/>
        </w:rPr>
      </w:pPr>
      <w:r>
        <w:rPr>
          <w:rFonts w:ascii="Arial" w:cs="Arial" w:eastAsia="Arial" w:hAnsi="Arial"/>
          <w:sz w:val="20"/>
          <w:szCs w:val="20"/>
          <w:color w:val="auto"/>
        </w:rPr>
        <w:t>Signature.</w:t>
      </w:r>
    </w:p>
    <w:p>
      <w:pPr>
        <w:spacing w:after="0" w:line="200" w:lineRule="exact"/>
        <w:rPr>
          <w:sz w:val="20"/>
          <w:szCs w:val="20"/>
          <w:color w:val="auto"/>
        </w:rPr>
      </w:pPr>
    </w:p>
    <w:p>
      <w:pPr>
        <w:spacing w:after="0" w:line="367" w:lineRule="exact"/>
        <w:rPr>
          <w:sz w:val="20"/>
          <w:szCs w:val="20"/>
          <w:color w:val="auto"/>
        </w:rPr>
      </w:pPr>
    </w:p>
    <w:p>
      <w:pPr>
        <w:ind w:left="300" w:right="3959"/>
        <w:spacing w:after="0" w:line="419"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376" w:lineRule="exact"/>
        <w:rPr>
          <w:sz w:val="20"/>
          <w:szCs w:val="20"/>
          <w:color w:val="auto"/>
        </w:rPr>
      </w:pPr>
    </w:p>
    <w:p>
      <w:pPr>
        <w:spacing w:after="0"/>
        <w:rPr>
          <w:sz w:val="20"/>
          <w:szCs w:val="20"/>
          <w:color w:val="auto"/>
        </w:rPr>
      </w:pPr>
      <w:r>
        <w:rPr>
          <w:rFonts w:ascii="Arial" w:cs="Arial" w:eastAsia="Arial" w:hAnsi="Arial"/>
          <w:sz w:val="20"/>
          <w:szCs w:val="20"/>
          <w:color w:val="auto"/>
        </w:rPr>
        <w:t>T. ROWE PRICE ASSOCIATES, INC.</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11, 2019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Signature: /s/ David Oestreicher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&amp; Title: David Oestreicher, Vice President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T. ROWE PRICE NEW HORIZONS FUND, INC.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11, 2019</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Signature: /s/ David Oestreicher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&amp; Title: David Oestreicher, Vice President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0"/>
          <w:szCs w:val="20"/>
          <w:color w:val="auto"/>
        </w:rPr>
        <w:t>01/31/2019</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EXHIBIT A</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AGREEMENT</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JOINT FILING OF SCHEDULE 13G</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9"/>
          <w:szCs w:val="19"/>
          <w:color w:val="auto"/>
        </w:rPr>
        <w:t>Price Associates, Inc. (an investment adviser registered under the Investment</w:t>
      </w:r>
    </w:p>
    <w:p>
      <w:pPr>
        <w:sectPr>
          <w:pgSz w:w="11900" w:h="16838" w:orient="portrait"/>
          <w:cols w:equalWidth="0" w:num="1">
            <w:col w:w="10219"/>
          </w:cols>
          <w:pgMar w:left="240" w:top="136" w:right="1440" w:bottom="0" w:gutter="0" w:footer="0" w:header="0"/>
          <w:type w:val="continuous"/>
        </w:sectPr>
      </w:pPr>
    </w:p>
    <w:bookmarkStart w:id="5" w:name="page6"/>
    <w:bookmarkEnd w:id="5"/>
    <w:p>
      <w:pPr>
        <w:spacing w:after="0"/>
        <w:rPr>
          <w:sz w:val="20"/>
          <w:szCs w:val="20"/>
          <w:color w:val="auto"/>
        </w:rPr>
      </w:pPr>
      <w:r>
        <w:rPr>
          <w:rFonts w:ascii="Arial" w:cs="Arial" w:eastAsia="Arial" w:hAnsi="Arial"/>
          <w:sz w:val="20"/>
          <w:szCs w:val="20"/>
          <w:color w:val="auto"/>
        </w:rPr>
        <w:t>Advisers Act of 1940), and</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 ROWE PRICE NEW HORIZONS FUND, INC.,</w:t>
      </w:r>
    </w:p>
    <w:p>
      <w:pPr>
        <w:spacing w:after="0" w:line="175" w:lineRule="exact"/>
        <w:rPr>
          <w:sz w:val="20"/>
          <w:szCs w:val="20"/>
          <w:color w:val="auto"/>
        </w:rPr>
      </w:pPr>
    </w:p>
    <w:p>
      <w:pPr>
        <w:ind w:right="2679"/>
        <w:spacing w:after="0" w:line="415" w:lineRule="auto"/>
        <w:rPr>
          <w:sz w:val="20"/>
          <w:szCs w:val="20"/>
          <w:color w:val="auto"/>
        </w:rPr>
      </w:pPr>
      <w:r>
        <w:rPr>
          <w:rFonts w:ascii="Arial" w:cs="Arial" w:eastAsia="Arial" w:hAnsi="Arial"/>
          <w:sz w:val="20"/>
          <w:szCs w:val="20"/>
          <w:color w:val="auto"/>
        </w:rPr>
        <w:t>all of which are Maryland corporations, hereby agree to file jointly the statement on Schedule 13G to which this Agreement is attached, and any amendments thereto which may be deemed necessary, pursuant to Regulation 13D-G under the Securities Exchange Act of 1934.</w:t>
      </w:r>
    </w:p>
    <w:p>
      <w:pPr>
        <w:spacing w:after="0" w:line="381" w:lineRule="exact"/>
        <w:rPr>
          <w:sz w:val="20"/>
          <w:szCs w:val="20"/>
          <w:color w:val="auto"/>
        </w:rPr>
      </w:pPr>
    </w:p>
    <w:p>
      <w:pPr>
        <w:ind w:right="3179"/>
        <w:spacing w:after="0" w:line="415" w:lineRule="auto"/>
        <w:rPr>
          <w:sz w:val="20"/>
          <w:szCs w:val="20"/>
          <w:color w:val="auto"/>
        </w:rPr>
      </w:pPr>
      <w:r>
        <w:rPr>
          <w:rFonts w:ascii="Arial" w:cs="Arial" w:eastAsia="Arial" w:hAnsi="Arial"/>
          <w:sz w:val="20"/>
          <w:szCs w:val="20"/>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396" w:lineRule="exact"/>
        <w:rPr>
          <w:sz w:val="20"/>
          <w:szCs w:val="20"/>
          <w:color w:val="auto"/>
        </w:rPr>
      </w:pPr>
    </w:p>
    <w:p>
      <w:pPr>
        <w:ind w:right="3199"/>
        <w:spacing w:after="0" w:line="412" w:lineRule="auto"/>
        <w:rPr>
          <w:sz w:val="20"/>
          <w:szCs w:val="20"/>
          <w:color w:val="auto"/>
        </w:rPr>
      </w:pPr>
      <w:r>
        <w:rPr>
          <w:rFonts w:ascii="Arial" w:cs="Arial" w:eastAsia="Arial" w:hAnsi="Arial"/>
          <w:sz w:val="20"/>
          <w:szCs w:val="20"/>
          <w:color w:val="auto"/>
        </w:rPr>
        <w:t>It is understood and agreed that a copy of this Agreement shall be attached as an exhibit to the statement on Schedule 13G, and any amendments hereto, filed on behalf of each of the parties hereto.</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20"/>
          <w:szCs w:val="20"/>
          <w:color w:val="auto"/>
        </w:rPr>
        <w:t>T. ROWE PRICE ASSOCIATES, INC.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11, 2019</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Signature: /s/ David Oestreicher</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Name &amp; Title: David Oestreicher, Vice President</w:t>
      </w: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20"/>
          <w:szCs w:val="20"/>
          <w:color w:val="auto"/>
        </w:rPr>
        <w:t>T. ROWE PRICE NEW HORIZONS FUND, INC.</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11, 2019</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Signature: /s/ David Oestreicher</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Name &amp; Title: David Oestreicher, Vice President</w:t>
      </w:r>
    </w:p>
    <w:sectPr>
      <w:pgSz w:w="11900" w:h="16838" w:orient="portrait"/>
      <w:cols w:equalWidth="0" w:num="1">
        <w:col w:w="10219"/>
      </w:cols>
      <w:pgMar w:left="2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lowerRoman"/>
      <w:start w:val="10"/>
    </w:lvl>
  </w:abstractNum>
  <w:abstractNum w:abstractNumId="1">
    <w:nsid w:val="41B71EFB"/>
    <w:multiLevelType w:val="hybridMultilevel"/>
    <w:lvl w:ilvl="0">
      <w:lvlJc w:val="left"/>
      <w:lvlText w:val="%1."/>
      <w:numFmt w:val="decimal"/>
      <w:start w:val="2"/>
    </w:lvl>
  </w:abstractNum>
  <w:abstractNum w:abstractNumId="2">
    <w:nsid w:val="79E2A9E3"/>
    <w:multiLevelType w:val="hybridMultilevel"/>
    <w:lvl w:ilvl="0">
      <w:lvlJc w:val="left"/>
      <w:lvlText w:val="%1."/>
      <w:numFmt w:val="decimal"/>
      <w:start w:val="5"/>
    </w:lvl>
  </w:abstractNum>
  <w:abstractNum w:abstractNumId="3">
    <w:nsid w:val="7545E146"/>
    <w:multiLevelType w:val="hybridMultilevel"/>
    <w:lvl w:ilvl="0">
      <w:lvlJc w:val="left"/>
      <w:lvlText w:val="%1."/>
      <w:numFmt w:val="decimal"/>
      <w:start w:val="12"/>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1."/>
      <w:numFmt w:val="decimal"/>
      <w:start w:val="5"/>
    </w:lvl>
  </w:abstractNum>
  <w:abstractNum w:abstractNumId="6">
    <w:nsid w:val="12200854"/>
    <w:multiLevelType w:val="hybridMultilevel"/>
    <w:lvl w:ilvl="0">
      <w:lvlJc w:val="left"/>
      <w:lvlText w:val="%1."/>
      <w:numFmt w:val="decimal"/>
      <w:start w:val="8"/>
    </w:lvl>
  </w:abstractNum>
  <w:abstractNum w:abstractNumId="7">
    <w:nsid w:val="4DB127F8"/>
    <w:multiLevelType w:val="hybridMultilevel"/>
    <w:lvl w:ilvl="0">
      <w:lvlJc w:val="left"/>
      <w:lvlText w:val="%1."/>
      <w:numFmt w:val="decimal"/>
      <w:start w:val="12"/>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2019-12-19T20:35:59Z</dcterms:created>
  <dcterms:modified xsi:type="dcterms:W3CDTF">2019-12-19T20:35:59Z</dcterms:modified>
</cp:coreProperties>
</file>