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Date of Report (Date of earliest event reported): June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LLC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88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001-38790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83-1482060</w:t>
      </w:r>
    </w:p>
    <w:p>
      <w:pPr>
        <w:spacing w:after="0" w:line="50" w:lineRule="exact"/>
        <w:rPr>
          <w:sz w:val="24"/>
          <w:szCs w:val="24"/>
          <w:color w:val="auto"/>
        </w:rPr>
      </w:pPr>
    </w:p>
    <w:p>
      <w:pPr>
        <w:sectPr>
          <w:pgSz w:w="11900" w:h="16838" w:orient="portrait"/>
          <w:cols w:equalWidth="0" w:num="3">
            <w:col w:w="4520" w:space="720"/>
            <w:col w:w="3000" w:space="720"/>
            <w:col w:w="2280"/>
          </w:cols>
          <w:pgMar w:left="320" w:top="535" w:right="339" w:bottom="887" w:gutter="0" w:footer="0" w:header="0"/>
          <w:type w:val="continuous"/>
        </w:sectPr>
      </w:pPr>
    </w:p>
    <w:p>
      <w:pPr>
        <w:ind w:left="2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35" w:right="339" w:bottom="887" w:gutter="0" w:footer="0" w:header="0"/>
          <w:type w:val="continuous"/>
        </w:sectPr>
      </w:pPr>
    </w:p>
    <w:p>
      <w:pPr>
        <w:spacing w:after="0" w:line="45"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10011</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887"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(516) 268-7400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480"/>
        <w:spacing w:after="0" w:line="250"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660" w:type="dxa"/>
            <w:vAlign w:val="bottom"/>
            <w:gridSpan w:val="2"/>
          </w:tcPr>
          <w:p>
            <w:pPr>
              <w:ind w:left="1620"/>
              <w:spacing w:after="0"/>
              <w:rPr>
                <w:sz w:val="20"/>
                <w:szCs w:val="20"/>
                <w:color w:val="auto"/>
              </w:rPr>
            </w:pPr>
            <w:r>
              <w:rPr>
                <w:rFonts w:ascii="Arial" w:cs="Arial" w:eastAsia="Arial" w:hAnsi="Arial"/>
                <w:sz w:val="18"/>
                <w:szCs w:val="18"/>
                <w:color w:val="auto"/>
              </w:rPr>
              <w:t>Title of each class</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8"/>
        </w:trPr>
        <w:tc>
          <w:tcPr>
            <w:tcW w:w="454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7"/>
              </w:rPr>
              <w:t>Class A shares, representing limited liability company</w:t>
            </w:r>
          </w:p>
        </w:tc>
        <w:tc>
          <w:tcPr>
            <w:tcW w:w="120" w:type="dxa"/>
            <w:vAlign w:val="bottom"/>
          </w:tcPr>
          <w:p>
            <w:pPr>
              <w:spacing w:after="0"/>
              <w:rPr>
                <w:sz w:val="17"/>
                <w:szCs w:val="17"/>
                <w:color w:val="auto"/>
              </w:rPr>
            </w:pPr>
          </w:p>
        </w:tc>
        <w:tc>
          <w:tcPr>
            <w:tcW w:w="20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9"/>
              </w:rPr>
              <w:t>NFE</w:t>
            </w:r>
          </w:p>
        </w:tc>
        <w:tc>
          <w:tcPr>
            <w:tcW w:w="120" w:type="dxa"/>
            <w:vAlign w:val="bottom"/>
          </w:tcPr>
          <w:p>
            <w:pPr>
              <w:spacing w:after="0"/>
              <w:rPr>
                <w:sz w:val="17"/>
                <w:szCs w:val="17"/>
                <w:color w:val="auto"/>
              </w:rPr>
            </w:pPr>
          </w:p>
        </w:tc>
        <w:tc>
          <w:tcPr>
            <w:tcW w:w="44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NASDAQ Global Select Market</w:t>
            </w:r>
          </w:p>
        </w:tc>
      </w:tr>
      <w:tr>
        <w:trPr>
          <w:trHeight w:val="234"/>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interests</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tcPr>
          <w:p>
            <w:pPr>
              <w:spacing w:after="0"/>
              <w:rPr>
                <w:sz w:val="20"/>
                <w:szCs w:val="20"/>
                <w:color w:val="auto"/>
              </w:rPr>
            </w:pPr>
          </w:p>
        </w:tc>
      </w:tr>
    </w:tbl>
    <w:p>
      <w:pPr>
        <w:spacing w:after="0" w:line="222" w:lineRule="exact"/>
        <w:rPr>
          <w:sz w:val="24"/>
          <w:szCs w:val="24"/>
          <w:color w:val="auto"/>
        </w:rPr>
      </w:pPr>
    </w:p>
    <w:p>
      <w:pPr>
        <w:ind w:right="38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5" w:lineRule="exact"/>
        <w:rPr>
          <w:sz w:val="24"/>
          <w:szCs w:val="24"/>
          <w:color w:val="auto"/>
        </w:rPr>
      </w:pPr>
    </w:p>
    <w:p>
      <w:pPr>
        <w:ind w:left="854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308"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887"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49"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On June 10, 2020, New Fortress Energy LLC (the “</w:t>
      </w:r>
      <w:r>
        <w:rPr>
          <w:rFonts w:ascii="Arial" w:cs="Arial" w:eastAsia="Arial" w:hAnsi="Arial"/>
          <w:sz w:val="19"/>
          <w:szCs w:val="19"/>
          <w:u w:val="single" w:color="auto"/>
          <w:color w:val="auto"/>
        </w:rPr>
        <w:t>Company</w:t>
      </w:r>
      <w:r>
        <w:rPr>
          <w:rFonts w:ascii="Arial" w:cs="Arial" w:eastAsia="Arial" w:hAnsi="Arial"/>
          <w:sz w:val="19"/>
          <w:szCs w:val="19"/>
          <w:color w:val="auto"/>
        </w:rPr>
        <w:t>”) completed the exchange transactions previously disclosed in the Current Report on Form 8-K filed on June 9, 2020 (the “</w:t>
      </w:r>
      <w:r>
        <w:rPr>
          <w:rFonts w:ascii="Arial" w:cs="Arial" w:eastAsia="Arial" w:hAnsi="Arial"/>
          <w:sz w:val="19"/>
          <w:szCs w:val="19"/>
          <w:u w:val="single" w:color="auto"/>
          <w:color w:val="auto"/>
        </w:rPr>
        <w:t>June 9 8-K</w:t>
      </w:r>
      <w:r>
        <w:rPr>
          <w:rFonts w:ascii="Arial" w:cs="Arial" w:eastAsia="Arial" w:hAnsi="Arial"/>
          <w:sz w:val="19"/>
          <w:szCs w:val="19"/>
          <w:color w:val="auto"/>
        </w:rPr>
        <w:t>”). The text of the June 9 8-K is incorporated herein by reference. In connection with the closing of the exchange transactions, the Company issued 144,342,572 Class A Shares in exchange for an equal number of units of New Fortress Intermediate LLC (the “</w:t>
      </w:r>
      <w:r>
        <w:rPr>
          <w:rFonts w:ascii="Arial" w:cs="Arial" w:eastAsia="Arial" w:hAnsi="Arial"/>
          <w:sz w:val="19"/>
          <w:szCs w:val="19"/>
          <w:u w:val="single" w:color="auto"/>
          <w:color w:val="auto"/>
        </w:rPr>
        <w:t>NFI LLC Units</w:t>
      </w:r>
      <w:r>
        <w:rPr>
          <w:rFonts w:ascii="Arial" w:cs="Arial" w:eastAsia="Arial" w:hAnsi="Arial"/>
          <w:sz w:val="19"/>
          <w:szCs w:val="19"/>
          <w:color w:val="auto"/>
        </w:rPr>
        <w:t>”), together with an equal number of Class B common shares of the Company (the “</w:t>
      </w:r>
      <w:r>
        <w:rPr>
          <w:rFonts w:ascii="Arial" w:cs="Arial" w:eastAsia="Arial" w:hAnsi="Arial"/>
          <w:sz w:val="19"/>
          <w:szCs w:val="19"/>
          <w:u w:val="single" w:color="auto"/>
          <w:color w:val="auto"/>
        </w:rPr>
        <w:t>Class B Shares</w:t>
      </w:r>
      <w:r>
        <w:rPr>
          <w:rFonts w:ascii="Arial" w:cs="Arial" w:eastAsia="Arial" w:hAnsi="Arial"/>
          <w:sz w:val="19"/>
          <w:szCs w:val="19"/>
          <w:color w:val="auto"/>
        </w:rPr>
        <w:t>”). Following the completion of the exchange transactions, the Company owns all of the NFI LLC Units directly or indirectly and no Class B shares remain outstanding.</w:t>
      </w:r>
    </w:p>
    <w:p>
      <w:pPr>
        <w:spacing w:after="0" w:line="177"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Prior to the exchange transactions, the Company recognized the Exchanging Members’ (as defined in the June 9 8-K) economic interest in New Fortress Intermediate LLC as non-controlling interest in the Company’s consolidated financial statements. Subsequent to the exchange transactions, results of operations previously attributed to non-controlling interest based on these Exchanging Members’ interest in New Fortress Intermediate LLC will be recognized as net income or loss attributable to stockholders, and amounts attributable to these Exchanging Members' interest in New Fortress Intermediate LLC previously shown as non-controlling interest on the Company’s consolidated balance sheets will be reclassified to Class A shares.</w:t>
      </w:r>
    </w:p>
    <w:p>
      <w:pPr>
        <w:spacing w:after="0" w:line="177"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If the exchange transactions had been completed on February 4, 2019, the date of the Company’s initial public offering, $166.7 million and $49.4 million that was presented within net loss attributable to non-controlling interest in the Company’s consolidated statement of operations for the year ended December 31, 2019 and three months ended March 31, 2020, respectively, would have been presented as net loss attributable to stockholders. Net loss per share (basic and diluted) would have been $(1.29) and $(0.34) for the year ended December 31, 2019 and the three months ended March 31, 2020, respectively. If the exchange transactions had been completed on March 31, 2020, non-controlling interest of $234.4 million would have been reclassified to Class A shares on the Company’s consolidated balance sheet. The Company’s financial information described above has been prepared on a pro forma basis and does not purport to be indicative of the Company’s results of operations or financial position had the exchange transactions occurred on the dates assumed and does not project the Company’s results of operations or financial position for any future period or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NEW FORTRESS ENERGY LLC</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June 12, 2020</w:t>
      </w:r>
      <w:r>
        <w:rPr>
          <w:sz w:val="20"/>
          <w:szCs w:val="20"/>
          <w:color w:val="auto"/>
        </w:rPr>
        <w:tab/>
      </w:r>
      <w:r>
        <w:rPr>
          <w:rFonts w:ascii="Arial" w:cs="Arial" w:eastAsia="Arial" w:hAnsi="Arial"/>
          <w:sz w:val="16"/>
          <w:szCs w:val="16"/>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1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2020-06-12T15:28:53Z</dcterms:created>
  <dcterms:modified xsi:type="dcterms:W3CDTF">2020-06-12T15:28:53Z</dcterms:modified>
</cp:coreProperties>
</file>