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-224155</wp:posOffset>
            </wp:positionV>
            <wp:extent cx="9944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4410" cy="171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161290</wp:posOffset>
            </wp:positionV>
            <wp:extent cx="9944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944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141605</wp:posOffset>
            </wp:positionV>
            <wp:extent cx="9944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80" w:space="720"/>
            <w:col w:w="2900"/>
          </w:cols>
          <w:pgMar w:left="320" w:top="535" w:right="499" w:bottom="1440" w:gutter="0" w:footer="0" w:header="0"/>
          <w:type w:val="continuous"/>
        </w:sectPr>
      </w:pPr>
    </w:p>
    <w:p>
      <w:pPr>
        <w:spacing w:after="0" w:line="18"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10011</w:t>
      </w:r>
    </w:p>
    <w:p>
      <w:pPr>
        <w:spacing w:after="0" w:line="61" w:lineRule="exact"/>
        <w:rPr>
          <w:sz w:val="24"/>
          <w:szCs w:val="24"/>
          <w:color w:val="auto"/>
        </w:rPr>
      </w:pPr>
    </w:p>
    <w:p>
      <w:pPr>
        <w:sectPr>
          <w:pgSz w:w="11900" w:h="16838" w:orient="portrait"/>
          <w:cols w:equalWidth="0" w:num="2">
            <w:col w:w="7560" w:space="720"/>
            <w:col w:w="2800"/>
          </w:cols>
          <w:pgMar w:left="320" w:top="535" w:right="499" w:bottom="1440" w:gutter="0" w:footer="0" w:header="0"/>
          <w:type w:val="continuous"/>
        </w:sectPr>
      </w:pPr>
    </w:p>
    <w:p>
      <w:pPr>
        <w:ind w:left="2200"/>
        <w:spacing w:after="0"/>
        <w:rPr>
          <w:sz w:val="20"/>
          <w:szCs w:val="20"/>
          <w:color w:val="auto"/>
        </w:rPr>
      </w:pPr>
      <w:r>
        <w:rPr>
          <w:rFonts w:ascii="Arial" w:cs="Arial" w:eastAsia="Arial" w:hAnsi="Arial"/>
          <w:sz w:val="17"/>
          <w:szCs w:val="17"/>
          <w:b w:val="1"/>
          <w:bCs w:val="1"/>
          <w:color w:val="auto"/>
        </w:rPr>
        <w:t>New York, NY</w:t>
      </w:r>
    </w:p>
    <w:p>
      <w:pPr>
        <w:sectPr>
          <w:pgSz w:w="11900" w:h="16838" w:orient="portrait"/>
          <w:cols w:equalWidth="0" w:num="1">
            <w:col w:w="11080"/>
          </w:cols>
          <w:pgMar w:left="320" w:top="535" w:right="499" w:bottom="1440" w:gutter="0" w:footer="0" w:header="0"/>
          <w:type w:val="continuous"/>
        </w:sectPr>
      </w:pPr>
    </w:p>
    <w:p>
      <w:pPr>
        <w:spacing w:after="0" w:line="2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535" w:right="499" w:bottom="1440" w:gutter="0" w:footer="0" w:header="0"/>
          <w:type w:val="continuous"/>
        </w:sectPr>
      </w:pPr>
    </w:p>
    <w:p>
      <w:pPr>
        <w:spacing w:after="0" w:line="5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94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944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40" w:type="dxa"/>
            <w:vAlign w:val="bottom"/>
          </w:tcPr>
          <w:p>
            <w:pPr>
              <w:spacing w:after="0"/>
              <w:rPr>
                <w:sz w:val="18"/>
                <w:szCs w:val="18"/>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Trading Symbol(s)</w:t>
            </w:r>
          </w:p>
        </w:tc>
        <w:tc>
          <w:tcPr>
            <w:tcW w:w="392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96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87"/>
              </w:rPr>
              <w:t>Class A common stock</w:t>
            </w: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“NFE”</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On August 4, 2021, New Fortress Energy Inc. (“NFE” or the “Company”) issued a press release announcing the Company’s financial and operating results for its fiscal quarter ended June 30, 2021. A copy of the Company’s press release is attached to this Current Report on Form 8-K (the “Current Report”) as Exhibit 99.1 and is incorporated herein solely for purposes of this Item 2.02 disclosure.</w:t>
      </w:r>
    </w:p>
    <w:p>
      <w:pPr>
        <w:spacing w:after="0" w:line="18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100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8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9"/>
              </w:rPr>
              <w:t>No.</w:t>
            </w:r>
          </w:p>
        </w:tc>
        <w:tc>
          <w:tcPr>
            <w:tcW w:w="100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tcBorders>
            <w:gridSpan w:val="3"/>
          </w:tcPr>
          <w:p>
            <w:pPr>
              <w:jc w:val="cente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220" w:type="dxa"/>
            <w:vAlign w:val="bottom"/>
          </w:tcPr>
          <w:p>
            <w:pPr>
              <w:spacing w:after="0"/>
              <w:rPr>
                <w:sz w:val="15"/>
                <w:szCs w:val="15"/>
                <w:color w:val="auto"/>
              </w:rPr>
            </w:pPr>
          </w:p>
        </w:tc>
        <w:tc>
          <w:tcPr>
            <w:tcW w:w="1000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color w:val="auto"/>
              </w:rPr>
              <w:t>Press Release, dated August 4, 2021, issued by New Fortress Energy Inc.</w:t>
            </w:r>
          </w:p>
        </w:tc>
      </w:tr>
      <w:tr>
        <w:trPr>
          <w:trHeight w:val="419"/>
        </w:trPr>
        <w:tc>
          <w:tcPr>
            <w:tcW w:w="3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226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360" w:type="dxa"/>
            <w:vAlign w:val="bottom"/>
          </w:tcPr>
          <w:p>
            <w:pPr>
              <w:spacing w:after="0"/>
              <w:rPr>
                <w:sz w:val="20"/>
                <w:szCs w:val="20"/>
                <w:color w:val="auto"/>
              </w:rPr>
            </w:pPr>
            <w:r>
              <w:rPr>
                <w:rFonts w:ascii="Arial" w:cs="Arial" w:eastAsia="Arial" w:hAnsi="Arial"/>
                <w:sz w:val="18"/>
                <w:szCs w:val="18"/>
                <w:color w:val="auto"/>
              </w:rPr>
              <w:t>August 5, 2021</w:t>
            </w:r>
          </w:p>
        </w:tc>
        <w:tc>
          <w:tcPr>
            <w:tcW w:w="2820" w:type="dxa"/>
            <w:vAlign w:val="bottom"/>
          </w:tcPr>
          <w:p>
            <w:pPr>
              <w:ind w:left="226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60" w:type="dxa"/>
            <w:vAlign w:val="bottom"/>
          </w:tcPr>
          <w:p>
            <w:pPr>
              <w:spacing w:after="0"/>
              <w:rPr>
                <w:sz w:val="17"/>
                <w:szCs w:val="17"/>
                <w:color w:val="auto"/>
              </w:rPr>
            </w:pPr>
          </w:p>
        </w:tc>
        <w:tc>
          <w:tcPr>
            <w:tcW w:w="2820" w:type="dxa"/>
            <w:vAlign w:val="bottom"/>
          </w:tcPr>
          <w:p>
            <w:pPr>
              <w:ind w:left="2260"/>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360" w:type="dxa"/>
            <w:vAlign w:val="bottom"/>
          </w:tcPr>
          <w:p>
            <w:pPr>
              <w:spacing w:after="0"/>
              <w:rPr>
                <w:sz w:val="20"/>
                <w:szCs w:val="20"/>
                <w:color w:val="auto"/>
              </w:rPr>
            </w:pPr>
          </w:p>
        </w:tc>
        <w:tc>
          <w:tcPr>
            <w:tcW w:w="2820" w:type="dxa"/>
            <w:vAlign w:val="bottom"/>
          </w:tcPr>
          <w:p>
            <w:pPr>
              <w:ind w:left="226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33"/>
        </w:trPr>
        <w:tc>
          <w:tcPr>
            <w:tcW w:w="3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4305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3943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New York, NY 10011</w:t>
      </w: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New Fortress Energy Announces Second Quarter 2021 Results and Reaffirms Dividend of $0.10 per Class A Common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NEW YORK -- New Fortress Energy Inc. (NASDAQ: NFE) (“NFE” or the “Company”) today reported its financial results for the second quarter ending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update</w:t>
      </w:r>
    </w:p>
    <w:p>
      <w:pPr>
        <w:spacing w:after="0" w:line="11" w:lineRule="exact"/>
        <w:rPr>
          <w:sz w:val="20"/>
          <w:szCs w:val="20"/>
          <w:color w:val="auto"/>
        </w:rPr>
      </w:pPr>
    </w:p>
    <w:p>
      <w:pPr>
        <w:ind w:left="660" w:hanging="328"/>
        <w:spacing w:after="0" w:line="1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Tremendous commercial headway in the Brazil market - Signed eight new sales agreements for 5.8mm Committed</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gallons per day (“GPD”) contributing to illustrative Total Segment Operating Margin goal</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of $1.1Bn</w:t>
      </w:r>
    </w:p>
    <w:p>
      <w:pPr>
        <w:ind w:left="1300" w:hanging="324"/>
        <w:spacing w:after="0" w:line="191" w:lineRule="auto"/>
        <w:rPr>
          <w:rFonts w:ascii="Arial" w:cs="Arial" w:eastAsia="Arial" w:hAnsi="Arial"/>
          <w:sz w:val="16"/>
          <w:szCs w:val="16"/>
          <w:color w:val="auto"/>
        </w:rPr>
      </w:pPr>
      <w:r>
        <w:rPr>
          <w:rFonts w:ascii="Arial" w:cs="Arial" w:eastAsia="Arial" w:hAnsi="Arial"/>
          <w:sz w:val="18"/>
          <w:szCs w:val="18"/>
          <w:color w:val="auto"/>
        </w:rPr>
        <w:t>o Norsk Hydro – Signed memorandum of understanding (“MOU”) and negotiating for up to 1.0mm GPD Run Rate</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long-term gas supply agreement for Alunorte refinery, co-located with our Barcarena Terminal</w:t>
      </w:r>
    </w:p>
    <w:p>
      <w:pPr>
        <w:ind w:left="1300" w:hanging="324"/>
        <w:spacing w:after="0" w:line="191" w:lineRule="auto"/>
        <w:rPr>
          <w:rFonts w:ascii="Arial" w:cs="Arial" w:eastAsia="Arial" w:hAnsi="Arial"/>
          <w:sz w:val="16"/>
          <w:szCs w:val="16"/>
          <w:color w:val="auto"/>
        </w:rPr>
      </w:pPr>
      <w:r>
        <w:rPr>
          <w:rFonts w:ascii="Arial" w:cs="Arial" w:eastAsia="Arial" w:hAnsi="Arial"/>
          <w:sz w:val="18"/>
          <w:szCs w:val="18"/>
          <w:color w:val="auto"/>
        </w:rPr>
        <w:t>o Executed a Gas Sales Agreement with Industrial Customer in NE Brazil – up to 1.4mm GPD Run Rate</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to be supplied from our Suape terminal</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o   Three small-scale LNG sales agreements signed totaling over 200k GPD at Barcarena and Santa Catarina</w:t>
      </w:r>
    </w:p>
    <w:p>
      <w:pPr>
        <w:spacing w:after="0" w:line="9"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Secured LNG supply for approximately 100% of our expected needs for our terminals and assets across the Caribbean, Mexico and Central America through 2027 at a price indexed to Henry Hub</w:t>
      </w:r>
    </w:p>
    <w:p>
      <w:pPr>
        <w:ind w:left="660" w:hanging="328"/>
        <w:spacing w:after="0" w:line="1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Significant volume growth – over 5.8 million Committed</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GPD with over 12 million of In Discussion</w:t>
      </w:r>
      <w:r>
        <w:rPr>
          <w:rFonts w:ascii="Arial" w:cs="Arial" w:eastAsia="Arial" w:hAnsi="Arial"/>
          <w:sz w:val="25"/>
          <w:szCs w:val="25"/>
          <w:color w:val="auto"/>
          <w:vertAlign w:val="superscript"/>
        </w:rPr>
        <w:t>(4)</w:t>
      </w:r>
      <w:r>
        <w:rPr>
          <w:rFonts w:ascii="Arial" w:cs="Arial" w:eastAsia="Arial" w:hAnsi="Arial"/>
          <w:sz w:val="16"/>
          <w:szCs w:val="16"/>
          <w:color w:val="auto"/>
        </w:rPr>
        <w:t xml:space="preserve"> GPD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five new direct sales customer agreements with an estimated 50k new GPD of Committed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Volumes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update</w:t>
      </w:r>
    </w:p>
    <w:p>
      <w:pPr>
        <w:ind w:left="660" w:hanging="328"/>
        <w:spacing w:after="0" w:line="1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Began commercial operations at the Port of Pichilingue in Baja California Sur, Mexico, expect to be fully Operational</w:t>
      </w:r>
      <w:r>
        <w:rPr>
          <w:rFonts w:ascii="Arial" w:cs="Arial" w:eastAsia="Arial" w:hAnsi="Arial"/>
          <w:sz w:val="27"/>
          <w:szCs w:val="27"/>
          <w:color w:val="auto"/>
          <w:vertAlign w:val="superscript"/>
        </w:rPr>
        <w:t>(5)</w:t>
      </w:r>
      <w:r>
        <w:rPr>
          <w:rFonts w:ascii="Arial" w:cs="Arial" w:eastAsia="Arial" w:hAnsi="Arial"/>
          <w:sz w:val="17"/>
          <w:szCs w:val="17"/>
          <w:color w:val="auto"/>
        </w:rPr>
        <w:t xml:space="preserve"> in 60 days</w:t>
      </w:r>
    </w:p>
    <w:p>
      <w:pPr>
        <w:ind w:left="660" w:hanging="328"/>
        <w:spacing w:after="0" w:line="18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Nicaragua project is nearing completion and is expected to be Operational</w:t>
      </w:r>
      <w:r>
        <w:rPr>
          <w:rFonts w:ascii="Arial" w:cs="Arial" w:eastAsia="Arial" w:hAnsi="Arial"/>
          <w:sz w:val="25"/>
          <w:szCs w:val="25"/>
          <w:color w:val="auto"/>
          <w:vertAlign w:val="superscript"/>
        </w:rPr>
        <w:t>(5)</w:t>
      </w:r>
      <w:r>
        <w:rPr>
          <w:rFonts w:ascii="Arial" w:cs="Arial" w:eastAsia="Arial" w:hAnsi="Arial"/>
          <w:sz w:val="16"/>
          <w:szCs w:val="16"/>
          <w:color w:val="auto"/>
        </w:rPr>
        <w:t xml:space="preserve"> in Q3 2021</w:t>
      </w:r>
    </w:p>
    <w:p>
      <w:pPr>
        <w:ind w:left="980" w:right="560" w:hanging="648"/>
        <w:spacing w:after="0" w:line="199" w:lineRule="auto"/>
        <w:tabs>
          <w:tab w:leader="none" w:pos="65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development projects in Barcarena, Suape and Santa Catarina are advancing on schedule and expected to be Operational</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in Q1 2022 o Barcerena and Santa Catarina – Signed EPC contracts, obtained all permits and commenced construction</w:t>
      </w:r>
    </w:p>
    <w:p>
      <w:pPr>
        <w:spacing w:after="0" w:line="1"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o   Suape – LNTP to power plant EPC contractor issued</w:t>
      </w:r>
    </w:p>
    <w:p>
      <w:pPr>
        <w:spacing w:after="0" w:line="9" w:lineRule="exact"/>
        <w:rPr>
          <w:rFonts w:ascii="Arial" w:cs="Arial" w:eastAsia="Arial" w:hAnsi="Arial"/>
          <w:sz w:val="17"/>
          <w:szCs w:val="17"/>
          <w:color w:val="auto"/>
        </w:rPr>
      </w:pPr>
    </w:p>
    <w:p>
      <w:pPr>
        <w:ind w:left="980" w:right="240" w:hanging="648"/>
        <w:spacing w:after="0" w:line="250"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NFE continues to make great progress on our Fast LNG asset which will help provide us with stable supply at rates well below the open market o Actively engaging with gas suppliers around the globe to source long-term, fixed price feedstock</w:t>
      </w:r>
    </w:p>
    <w:p>
      <w:pPr>
        <w:ind w:left="980" w:right="4180"/>
        <w:spacing w:after="0" w:line="323" w:lineRule="auto"/>
        <w:rPr>
          <w:rFonts w:ascii="Arial" w:cs="Arial" w:eastAsia="Arial" w:hAnsi="Arial"/>
          <w:sz w:val="18"/>
          <w:szCs w:val="18"/>
          <w:color w:val="auto"/>
        </w:rPr>
      </w:pPr>
      <w:r>
        <w:rPr>
          <w:rFonts w:ascii="Arial" w:cs="Arial" w:eastAsia="Arial" w:hAnsi="Arial"/>
          <w:sz w:val="16"/>
          <w:szCs w:val="16"/>
          <w:color w:val="auto"/>
        </w:rPr>
        <w:t>o Three world class jack up rigs purchased and transported to the Kiewit shipyard o Maintaining the development timeline to commence operations in Q4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Financing Update</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NFE closed on a $75mm letter of credit facility that allows us to both release restricted cash and more effectively use cash on hand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received approximately $100mm of proceeds on our first asset sale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launched a ship financing facility at pricing of LIBOR + 300bps; we have $300mm of funding committed and expect to close in Q3 2021</w:t>
      </w:r>
    </w:p>
    <w:p>
      <w:pPr>
        <w:spacing w:after="0" w:line="20" w:lineRule="exact"/>
        <w:rPr>
          <w:rFonts w:ascii="Arial" w:cs="Arial" w:eastAsia="Arial" w:hAnsi="Arial"/>
          <w:sz w:val="17"/>
          <w:szCs w:val="17"/>
          <w:color w:val="auto"/>
        </w:rPr>
      </w:pPr>
    </w:p>
    <w:p>
      <w:pPr>
        <w:ind w:left="660" w:right="3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approved a dividend of $0.10 per share, with a record date of September 7, 2021 and a payment date of September 17,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19" w:lineRule="exact"/>
        <w:rPr>
          <w:sz w:val="20"/>
          <w:szCs w:val="20"/>
          <w:color w:val="auto"/>
        </w:rPr>
      </w:pPr>
    </w:p>
    <w:p>
      <w:pPr>
        <w:ind w:right="120"/>
        <w:spacing w:after="0" w:line="202" w:lineRule="auto"/>
        <w:rPr>
          <w:sz w:val="20"/>
          <w:szCs w:val="20"/>
          <w:color w:val="auto"/>
        </w:rPr>
      </w:pPr>
      <w:r>
        <w:rPr>
          <w:rFonts w:ascii="Arial" w:cs="Arial" w:eastAsia="Arial" w:hAnsi="Arial"/>
          <w:sz w:val="18"/>
          <w:szCs w:val="18"/>
          <w:color w:val="auto"/>
        </w:rPr>
        <w:t>Total Segment Operating Margin</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of $130mm, including contribution of ~$54mm from our Terminals and Infrastructure segment and ~$76mm from our Ships segment, resulting from incremental revenue from our Ships segment and the Sergipe Power Plant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198"/>
        </w:trPr>
        <w:tc>
          <w:tcPr>
            <w:tcW w:w="8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r>
      <w:tr>
        <w:trPr>
          <w:trHeight w:val="241"/>
        </w:trPr>
        <w:tc>
          <w:tcPr>
            <w:tcW w:w="8640" w:type="dxa"/>
            <w:vAlign w:val="bottom"/>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86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Terminals and Infrastructure Segment Operating Margin</w:t>
            </w:r>
            <w:r>
              <w:rPr>
                <w:rFonts w:ascii="Arial" w:cs="Arial" w:eastAsia="Arial" w:hAnsi="Arial"/>
                <w:sz w:val="25"/>
                <w:szCs w:val="25"/>
                <w:color w:val="auto"/>
                <w:vertAlign w:val="superscript"/>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8640" w:type="dxa"/>
            <w:vAlign w:val="bottom"/>
          </w:tcPr>
          <w:p>
            <w:pPr>
              <w:spacing w:after="0" w:line="216" w:lineRule="exact"/>
              <w:rPr>
                <w:sz w:val="20"/>
                <w:szCs w:val="20"/>
                <w:color w:val="auto"/>
              </w:rPr>
            </w:pPr>
            <w:r>
              <w:rPr>
                <w:rFonts w:ascii="Arial" w:cs="Arial" w:eastAsia="Arial" w:hAnsi="Arial"/>
                <w:sz w:val="16"/>
                <w:szCs w:val="16"/>
                <w:color w:val="auto"/>
              </w:rPr>
              <w:t>Ships Segment Operating Margin</w:t>
            </w:r>
            <w:r>
              <w:rPr>
                <w:rFonts w:ascii="Arial" w:cs="Arial" w:eastAsia="Arial" w:hAnsi="Arial"/>
                <w:sz w:val="25"/>
                <w:szCs w:val="25"/>
                <w:color w:val="auto"/>
                <w:vertAlign w:val="superscript"/>
              </w:rPr>
              <w:t>(6)</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86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Total Segment Operating Margin</w:t>
            </w:r>
            <w:r>
              <w:rPr>
                <w:rFonts w:ascii="Arial" w:cs="Arial" w:eastAsia="Arial" w:hAnsi="Arial"/>
                <w:sz w:val="25"/>
                <w:szCs w:val="25"/>
                <w:color w:val="auto"/>
                <w:vertAlign w:val="superscript"/>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Average Volumes (k GPD)</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r>
    </w:tbl>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 quarterly revenue of $223.8 million, increasing $78.1 million since the first quarter</w:t>
      </w:r>
    </w:p>
    <w:p>
      <w:pPr>
        <w:spacing w:after="0" w:line="23"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Terminals and Infrastructure Segment Operating Margin </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increased from the contribution of our effective share of revenue and costs of the Sergipe Power Plant</w:t>
      </w:r>
    </w:p>
    <w:p>
      <w:pPr>
        <w:spacing w:after="0" w:line="1" w:lineRule="exact"/>
        <w:rPr>
          <w:rFonts w:ascii="Arial" w:cs="Arial" w:eastAsia="Arial" w:hAnsi="Arial"/>
          <w:sz w:val="18"/>
          <w:szCs w:val="18"/>
          <w:color w:val="auto"/>
        </w:rPr>
      </w:pPr>
    </w:p>
    <w:p>
      <w:pPr>
        <w:jc w:val="both"/>
        <w:ind w:left="660" w:hanging="328"/>
        <w:spacing w:after="0" w:line="20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Ships Segment Operating Margin</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includes additional contribution from FSRUs and LNG carriers that are leased to customers under long-term or spot arrangements as well as our effective share of the revenue and costs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subsequent to completion of the Hygo and GMLP acquisitions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volumes sold in Q2 2021 were approximately 1,496k GPD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refer to our Q2 2021 Investor Presentation (the “Presentation”) for further information about the following terms:</w:t>
      </w:r>
    </w:p>
    <w:p>
      <w:pPr>
        <w:spacing w:after="0" w:line="23" w:lineRule="exact"/>
        <w:rPr>
          <w:sz w:val="20"/>
          <w:szCs w:val="20"/>
          <w:color w:val="auto"/>
        </w:rPr>
      </w:pPr>
    </w:p>
    <w:p>
      <w:pPr>
        <w:jc w:val="both"/>
        <w:ind w:firstLine="8"/>
        <w:spacing w:after="0" w:line="268" w:lineRule="auto"/>
        <w:tabs>
          <w:tab w:leader="none" w:pos="203"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“Committed” means our expected volumes to be sold to customers under binding contracts, awards under requests for proposals. Some, but not all, of our contracts contain minimum volume commitments, and our expected volumes to be sold to customers reflected in our “Committed Volumes” are substantially in excess of such minimum volume commitments. Our near-term ability to sell these volumes is dependent on our customers’ continued willingness and ability to continue purchasing these volumes and to perform their obligations under their respective contracts. If any of our customers fails to continue to make such purchases or fails to perform its obligations under its contract, our operating results, cash flow and liquidity could be materially and adversely affected. References to Committed Volumes in the future and percentages of these volumes in the future should not be viewed as guidance or management’s view of the Company’s projected earnings, is not based on the Company’s historical operating results, which are limited, and does not purport to be an actual representation of our future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both"/>
        <w:ind w:firstLine="8"/>
        <w:spacing w:after="0" w:line="283" w:lineRule="auto"/>
        <w:tabs>
          <w:tab w:leader="none" w:pos="212"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“Illustrative Total Segment Operating Margin Goal” means our goal for Total Segment Operating Margin under certain illustrative conditions. This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 Margin Goal reflected.</w:t>
      </w:r>
    </w:p>
    <w:p>
      <w:pPr>
        <w:spacing w:after="0" w:line="4" w:lineRule="exact"/>
        <w:rPr>
          <w:rFonts w:ascii="Arial" w:cs="Arial" w:eastAsia="Arial" w:hAnsi="Arial"/>
          <w:sz w:val="16"/>
          <w:szCs w:val="16"/>
          <w:i w:val="1"/>
          <w:iCs w:val="1"/>
          <w:color w:val="auto"/>
        </w:rPr>
      </w:pPr>
    </w:p>
    <w:p>
      <w:pPr>
        <w:jc w:val="both"/>
        <w:ind w:firstLine="8"/>
        <w:spacing w:after="0" w:line="250" w:lineRule="auto"/>
        <w:tabs>
          <w:tab w:leader="none" w:pos="2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“Run Rate” is the date on which management currently estimates the initial ramp-up of operations on a particular facility will be over, and full commercial operations will be running at a sustainable level. Volumes of LNG and natural gas that we are able to deliver and sell through a particular facility may keep increasing after the Run Rate date due to additional large or small scale customers being added for service by any particular facility, so the Run Rate does not represent the date on which management expects the relevant facility to be operating at its Capacity Volume. Capacity Volume operations of such projects will occur later than, and may occur substantially later than, Run Rate. We cannot assure you if or when such projects will reach the date Run Rate or full Capacity Volume. Actual results could differ materially from the illustration and there can be no assurance we will achieve our goal.</w:t>
      </w:r>
    </w:p>
    <w:p>
      <w:pPr>
        <w:spacing w:after="0" w:line="2" w:lineRule="exact"/>
        <w:rPr>
          <w:rFonts w:ascii="Arial" w:cs="Arial" w:eastAsia="Arial" w:hAnsi="Arial"/>
          <w:sz w:val="18"/>
          <w:szCs w:val="18"/>
          <w:i w:val="1"/>
          <w:iCs w:val="1"/>
          <w:color w:val="auto"/>
        </w:rPr>
      </w:pPr>
    </w:p>
    <w:p>
      <w:pPr>
        <w:jc w:val="both"/>
        <w:ind w:firstLine="8"/>
        <w:spacing w:after="0" w:line="250" w:lineRule="auto"/>
        <w:tabs>
          <w:tab w:leader="none" w:pos="20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 Discussion” refers to potential customers (i) with whom we are in active negotiations, (ii) for whom there is a request for proposals or competitive bid process, or (iii) for whom we anticipate a request for proposals or competitive bid process will soon be announced based on our discussions with the potential customer as of date of the Presentation.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any volumes referenced is substantially in excess of potential minimum volume commitments. References to these volumes and percentages of these volumes should not be viewed as guidance or management’s view of the Company’s projected earnings, is not based on the Company’s historical operating results, which are limited, and does not purport to be an actual representation of our future economics.</w:t>
      </w:r>
    </w:p>
    <w:p>
      <w:pPr>
        <w:spacing w:after="0" w:line="3" w:lineRule="exact"/>
        <w:rPr>
          <w:rFonts w:ascii="Arial" w:cs="Arial" w:eastAsia="Arial" w:hAnsi="Arial"/>
          <w:sz w:val="18"/>
          <w:szCs w:val="18"/>
          <w:i w:val="1"/>
          <w:iCs w:val="1"/>
          <w:color w:val="auto"/>
        </w:rPr>
      </w:pPr>
    </w:p>
    <w:p>
      <w:pPr>
        <w:jc w:val="both"/>
        <w:ind w:firstLine="8"/>
        <w:spacing w:after="0" w:line="265" w:lineRule="auto"/>
        <w:tabs>
          <w:tab w:leader="none" w:pos="19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“Operational” with respect to a particular project means we expect gas to be made available within thirty (30)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date. We cannot assure you if or when such projects will reach full commercial operations. Actual results could differ materially from the illustrations reflected in this presentation and there can be no assurance we will achieve our goals.</w:t>
      </w:r>
    </w:p>
    <w:p>
      <w:pPr>
        <w:jc w:val="both"/>
        <w:ind w:firstLine="8"/>
        <w:spacing w:after="0" w:line="253" w:lineRule="auto"/>
        <w:tabs>
          <w:tab w:leader="none" w:pos="20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Ships Segment Operating Margin includes our effective share of revenue, expenses and Operating Margin attributable to our ownership of 50% of the common units of Hilli LLC. Hilli LLC owns Golar Hilli Corporation (“Hilli Corp”), the disponent owner of the Hilli.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additional information that management believes to be useful for investors, please refer to the presentation posted on the Investors section of New Fortress Energy’s website, www.newfortressenergy.com, and the Company’s most recent Annual Report on Form 10-K and Quarterly Report on Form 10-Q, which are available on the Company’s website. Nothing on our website is included or incorporated by reference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will host a conference call on Thursday, August 5, 2021 at 8:00 A.M. Eastern Time. The conference call may be accessed by dialing (866) 953-0778 (from within the U.S.) or (630) 652-5853 (from outside of the U.S.) fifteen minutes prior to the scheduled start of the call; please reference “NFE Second Quarter 2021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replay of the conference call will also be available after 11:00 A.M. on Thursday, August 5, 2021 through 11:00 A.M. on Thursday, August 12, 2021 at (855) 859-2056 (from within the U.S.) or (404) 537-3406 (from outside of the U.S.), Passcode: 8769417.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Operating Margin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financial measure, as we have defined it, provides a supplemental measure of financial performance of our current liquefaction, regasification, power generation and charter operations. This measure excludes items that have little or no significance on day-to-day performance of our current liquefaction, regasification, power generation and charter operations, including our corporate SG&amp;A, transaction and integration costs, contract termination charges and loss on mitigation sales, loss on extinguishment of debt, net, and other expense.</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to achieve optimal financial performance of our current liquefaction, regasification, power generation and charter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contained in this press release constitute “forward-looking statements” including our expected volumes of LNG or production of power in particular jurisdictions; ability to achieve our growth goals; ability to finalize definitive agreements for which we have MOUs or framework agreements; our expectations regarding our organic growth opportunities and the full capacity of our existing infrastructure including run rates; our expected needs for LNG supply in the future; our expected volumes for In Discussion Volumes; expectations regarding certain facilities becoming Operational; our expected ability to supply gas; expectations regarding growth of our facilities; the expectation that we will continue to take advantage of low LNG prices and develop our Fast LNG project for long-term LNG pricing; and ability to maintain our expected development timelines. and the Illustrative Total Segment Operating Margin Goals related to such growth.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development, construction or commissioning schedules will take longer than we expect, the risk that the volumes we are able to sell are less than we expect due to decreased customer demand or our inability to supply, the risk that our expectations about the price at which we purchase LNG, the price at which we sell LNG, the cost at which we produce, ship and deliver LNG, and the margin that we receive for the LNG that we sell are not in line with our expectations, the risk that we may not develop our Fast LNG project on the timeline we expect or at all, or that we do not receive the benefits we expect from the Fast LNG project, risks that our operating or other costs will increase and our expected funding of projects may not be possible, the risk that the foregoing or other factors negatively impact our liquidity, the risk that our organic and inorganic growth opportunities do not materialize due to our inability to reach commercial arrangements on terms that are acceptable to us or at all, the risk that organic and inorganic growth opportunities do not offer the Operating Margin that we expect due to higher costs of LNG, higher costs of infrastructure for inorganic growth, competitive pressures on our pricing, or other factors, and the risk that our investment and pilot projects in green hydrogen do not advance NFE’s transition to zero emissions on the timeline we expect or at all. Accordingly, readers should not place undue reliance on forward-looking statements as a prediction of actual results.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9" w:lineRule="exact"/>
        <w:rPr>
          <w:sz w:val="20"/>
          <w:szCs w:val="20"/>
          <w:color w:val="auto"/>
        </w:rPr>
      </w:pPr>
    </w:p>
    <w:p>
      <w:pPr>
        <w:ind w:right="7899"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268-7455 jkane@newfortressenergy.com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7919"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Exhibits –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For the three months ended March 31, 2021 and June 30, 2021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102,836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Vessel charter revenue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64,561</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54,488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56,442</w:t>
            </w:r>
          </w:p>
        </w:tc>
      </w:tr>
      <w:tr>
        <w:trPr>
          <w:trHeight w:val="223"/>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145,684</w:t>
            </w: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223,839</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101,430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45,181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44,536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26,997</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167,994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(22,310)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before income from equity method investments and income taxes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from equity method investments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38,941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4,409</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(39,509)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(1,734)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(4,310)</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(37,903)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(6,044)</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176,500,576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202,331,304</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Segment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Performance of our two segments, Terminals and Infrastructure and Ships, is evaluated based on Segment Operating Margin. Segment Operating Margin reconciles to Operating Margin as reflected below, which is a non-GAAP measure. We define non-GAAP Operating Margin as GAAP net loss, adjusted for selling, general and administrative expense, transaction and integration costs, contract termination charges and loss on mitigation sales, depreciation and amortization, interest expense, other (income) expense, loss on extinguishment of debt, net, income from equity method investments and tax expense. Operating Margin is mathematically equivalent to Revenue minus Cost of sales minus Operations and maintenance minus Vessel operating expenses, each as reported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0637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6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ind w:left="760"/>
              <w:spacing w:after="0" w:line="205" w:lineRule="exact"/>
              <w:rPr>
                <w:sz w:val="20"/>
                <w:szCs w:val="20"/>
                <w:color w:val="auto"/>
              </w:rPr>
            </w:pPr>
            <w:r>
              <w:rPr>
                <w:rFonts w:ascii="Arial" w:cs="Arial" w:eastAsia="Arial" w:hAnsi="Arial"/>
                <w:sz w:val="18"/>
                <w:szCs w:val="18"/>
                <w:b w:val="1"/>
                <w:bCs w:val="1"/>
                <w:color w:val="auto"/>
              </w:rPr>
              <w:t>Terminals and</w:t>
            </w:r>
          </w:p>
        </w:tc>
        <w:tc>
          <w:tcPr>
            <w:tcW w:w="1220" w:type="dxa"/>
            <w:vAlign w:val="bottom"/>
            <w:tcBorders>
              <w:top w:val="single" w:sz="8" w:color="auto"/>
            </w:tcBorders>
            <w:vMerge w:val="restart"/>
          </w:tcPr>
          <w:p>
            <w:pPr>
              <w:jc w:val="right"/>
              <w:ind w:right="290"/>
              <w:spacing w:after="0" w:line="207" w:lineRule="exact"/>
              <w:rPr>
                <w:sz w:val="20"/>
                <w:szCs w:val="20"/>
                <w:color w:val="auto"/>
              </w:rPr>
            </w:pPr>
            <w:r>
              <w:rPr>
                <w:rFonts w:ascii="Arial" w:cs="Arial" w:eastAsia="Arial" w:hAnsi="Arial"/>
                <w:sz w:val="18"/>
                <w:szCs w:val="18"/>
                <w:b w:val="1"/>
                <w:bCs w:val="1"/>
                <w:color w:val="auto"/>
              </w:rPr>
              <w:t xml:space="preserve">Ships </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1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vMerge w:val="restart"/>
          </w:tcPr>
          <w:p>
            <w:pPr>
              <w:jc w:val="right"/>
              <w:ind w:right="70"/>
              <w:spacing w:after="0" w:line="207" w:lineRule="exact"/>
              <w:rPr>
                <w:sz w:val="20"/>
                <w:szCs w:val="20"/>
                <w:color w:val="auto"/>
              </w:rPr>
            </w:pPr>
            <w:r>
              <w:rPr>
                <w:rFonts w:ascii="Arial" w:cs="Arial" w:eastAsia="Arial" w:hAnsi="Arial"/>
                <w:sz w:val="18"/>
                <w:szCs w:val="18"/>
                <w:b w:val="1"/>
                <w:bCs w:val="1"/>
                <w:color w:val="auto"/>
                <w:w w:val="98"/>
              </w:rPr>
              <w:t xml:space="preserve">Eliminations </w:t>
            </w:r>
            <w:r>
              <w:rPr>
                <w:rFonts w:ascii="MS PGothic" w:cs="MS PGothic" w:eastAsia="MS PGothic" w:hAnsi="MS PGothic"/>
                <w:sz w:val="18"/>
                <w:szCs w:val="18"/>
                <w:color w:val="auto"/>
                <w:w w:val="98"/>
              </w:rPr>
              <w:t>⁽</w:t>
            </w:r>
            <w:r>
              <w:rPr>
                <w:rFonts w:ascii="Arial" w:cs="Arial" w:eastAsia="Arial" w:hAnsi="Arial"/>
                <w:sz w:val="18"/>
                <w:szCs w:val="18"/>
                <w:b w:val="1"/>
                <w:bCs w:val="1"/>
                <w:color w:val="auto"/>
                <w:w w:val="98"/>
              </w:rPr>
              <w:t>³</w:t>
            </w:r>
            <w:r>
              <w:rPr>
                <w:rFonts w:ascii="MS PGothic" w:cs="MS PGothic" w:eastAsia="MS PGothic" w:hAnsi="MS PGothic"/>
                <w:sz w:val="18"/>
                <w:szCs w:val="18"/>
                <w:color w:val="auto"/>
                <w:w w:val="98"/>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4"/>
              </w:rPr>
              <w:t>Consolidated</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2160" w:type="dxa"/>
            <w:vAlign w:val="bottom"/>
            <w:vMerge w:val="restart"/>
          </w:tcPr>
          <w:p>
            <w:pPr>
              <w:ind w:left="760"/>
              <w:spacing w:after="0" w:line="188" w:lineRule="exact"/>
              <w:rPr>
                <w:sz w:val="20"/>
                <w:szCs w:val="20"/>
                <w:color w:val="auto"/>
              </w:rPr>
            </w:pPr>
            <w:r>
              <w:rPr>
                <w:rFonts w:ascii="Arial" w:cs="Arial" w:eastAsia="Arial" w:hAnsi="Arial"/>
                <w:sz w:val="18"/>
                <w:szCs w:val="18"/>
                <w:b w:val="1"/>
                <w:bCs w:val="1"/>
                <w:color w:val="auto"/>
              </w:rPr>
              <w:t>Infrastructure</w:t>
            </w:r>
          </w:p>
        </w:tc>
        <w:tc>
          <w:tcPr>
            <w:tcW w:w="1220" w:type="dxa"/>
            <w:vAlign w:val="bottom"/>
            <w:vMerge w:val="continue"/>
          </w:tcPr>
          <w:p>
            <w:pPr>
              <w:spacing w:after="0"/>
              <w:rPr>
                <w:sz w:val="9"/>
                <w:szCs w:val="9"/>
                <w:color w:val="auto"/>
              </w:rPr>
            </w:pPr>
          </w:p>
        </w:tc>
        <w:tc>
          <w:tcPr>
            <w:tcW w:w="1320" w:type="dxa"/>
            <w:vAlign w:val="bottom"/>
            <w:vMerge w:val="restart"/>
          </w:tcPr>
          <w:p>
            <w:pPr>
              <w:jc w:val="right"/>
              <w:ind w:right="30"/>
              <w:spacing w:after="0" w:line="188" w:lineRule="exact"/>
              <w:rPr>
                <w:sz w:val="20"/>
                <w:szCs w:val="20"/>
                <w:color w:val="auto"/>
              </w:rPr>
            </w:pPr>
            <w:r>
              <w:rPr>
                <w:rFonts w:ascii="Arial" w:cs="Arial" w:eastAsia="Arial" w:hAnsi="Arial"/>
                <w:sz w:val="18"/>
                <w:szCs w:val="18"/>
                <w:b w:val="1"/>
                <w:bCs w:val="1"/>
                <w:color w:val="auto"/>
                <w:w w:val="95"/>
              </w:rPr>
              <w:t>Total Segment</w:t>
            </w:r>
          </w:p>
        </w:tc>
        <w:tc>
          <w:tcPr>
            <w:tcW w:w="14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86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Reporting</w:t>
            </w:r>
          </w:p>
        </w:tc>
        <w:tc>
          <w:tcPr>
            <w:tcW w:w="0" w:type="dxa"/>
            <w:vAlign w:val="bottom"/>
          </w:tcPr>
          <w:p>
            <w:pPr>
              <w:spacing w:after="0"/>
              <w:rPr>
                <w:sz w:val="1"/>
                <w:szCs w:val="1"/>
                <w:color w:val="auto"/>
              </w:rPr>
            </w:pPr>
          </w:p>
        </w:tc>
      </w:tr>
      <w:tr>
        <w:trPr>
          <w:trHeight w:val="155"/>
        </w:trPr>
        <w:tc>
          <w:tcPr>
            <w:tcW w:w="386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2160" w:type="dxa"/>
            <w:vAlign w:val="bottom"/>
            <w:vMerge w:val="restart"/>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auto"/>
            </w:tcBorders>
            <w:vMerge w:val="continue"/>
          </w:tcPr>
          <w:p>
            <w:pPr>
              <w:spacing w:after="0"/>
              <w:rPr>
                <w:sz w:val="10"/>
                <w:szCs w:val="10"/>
                <w:color w:val="auto"/>
              </w:rPr>
            </w:pPr>
          </w:p>
        </w:tc>
        <w:tc>
          <w:tcPr>
            <w:tcW w:w="216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Margin</w:t>
            </w:r>
          </w:p>
        </w:tc>
        <w:tc>
          <w:tcPr>
            <w:tcW w:w="21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54,453</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75,587</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130,040</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(41,596)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60"/>
              <w:spacing w:after="0"/>
              <w:rPr>
                <w:sz w:val="20"/>
                <w:szCs w:val="20"/>
                <w:color w:val="auto"/>
              </w:rPr>
            </w:pPr>
            <w:r>
              <w:rPr>
                <w:rFonts w:ascii="Arial" w:cs="Arial" w:eastAsia="Arial" w:hAnsi="Arial"/>
                <w:sz w:val="18"/>
                <w:szCs w:val="18"/>
                <w:color w:val="auto"/>
              </w:rPr>
              <w:t>Less:</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44,536</w:t>
            </w: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8"/>
                <w:szCs w:val="18"/>
                <w:color w:val="auto"/>
              </w:rPr>
              <w:t>Transaction and integration costs</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16"/>
        </w:trPr>
        <w:tc>
          <w:tcPr>
            <w:tcW w:w="386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31,482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8"/>
                <w:szCs w:val="18"/>
                <w:color w:val="auto"/>
              </w:rPr>
              <w:t>Tax provision</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from equity method investments</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(38,941)</w:t>
            </w:r>
          </w:p>
        </w:tc>
        <w:tc>
          <w:tcPr>
            <w:tcW w:w="0" w:type="dxa"/>
            <w:vAlign w:val="bottom"/>
          </w:tcPr>
          <w:p>
            <w:pPr>
              <w:spacing w:after="0"/>
              <w:rPr>
                <w:sz w:val="1"/>
                <w:szCs w:val="1"/>
                <w:color w:val="auto"/>
              </w:rPr>
            </w:pPr>
          </w:p>
        </w:tc>
      </w:tr>
      <w:tr>
        <w:trPr>
          <w:trHeight w:val="27"/>
        </w:trPr>
        <w:tc>
          <w:tcPr>
            <w:tcW w:w="3860" w:type="dxa"/>
            <w:vAlign w:val="bottom"/>
            <w:shd w:val="clear" w:color="auto" w:fill="000000"/>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Net loss</w:t>
            </w: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-1554480</wp:posOffset>
            </wp:positionV>
            <wp:extent cx="106045" cy="86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-1691640</wp:posOffset>
            </wp:positionV>
            <wp:extent cx="106045" cy="86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-1691640</wp:posOffset>
            </wp:positionV>
            <wp:extent cx="106045" cy="86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131" w:lineRule="exact"/>
        <w:rPr>
          <w:sz w:val="20"/>
          <w:szCs w:val="20"/>
          <w:color w:val="auto"/>
        </w:rPr>
      </w:pPr>
    </w:p>
    <w:p>
      <w:pPr>
        <w:ind w:right="300"/>
        <w:spacing w:after="0" w:line="23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 xml:space="preserve"> Terminals and Infrastructure includes the Company’s effective share of operating margin attributable to 50% ownership of CELSEPAR. The earnings attributable to the investment of $28,447 are reported in income (loss) from equity method investments on the condensed consolidated statements of operations.</w:t>
      </w:r>
    </w:p>
    <w:p>
      <w:pPr>
        <w:spacing w:after="0" w:line="2" w:lineRule="exact"/>
        <w:rPr>
          <w:sz w:val="20"/>
          <w:szCs w:val="20"/>
          <w:color w:val="auto"/>
        </w:rPr>
      </w:pPr>
    </w:p>
    <w:p>
      <w:pPr>
        <w:ind w:right="4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Ships includes the Company’s effective share of operating margin attributable to 50% ownership of the Hilli Common Units. The earnings attributable to the investment of $10,494 are reported in income (loss) from equity method investments on the condensed consolidated statements of operations and comprehensive loss.</w:t>
      </w:r>
    </w:p>
    <w:p>
      <w:pPr>
        <w:spacing w:after="0" w:line="1" w:lineRule="exact"/>
        <w:rPr>
          <w:sz w:val="20"/>
          <w:szCs w:val="20"/>
          <w:color w:val="auto"/>
        </w:rPr>
      </w:pPr>
    </w:p>
    <w:p>
      <w:pPr>
        <w:ind w:right="220"/>
        <w:spacing w:after="0" w:line="21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r>
        <w:rPr>
          <w:rFonts w:ascii="Arial" w:cs="Arial" w:eastAsia="Arial" w:hAnsi="Arial"/>
          <w:sz w:val="18"/>
          <w:szCs w:val="18"/>
          <w:color w:val="auto"/>
        </w:rPr>
        <w:t xml:space="preserve"> Eliminations reverse the inclusion of the effective share of operating margin attributable to 50% ownership of CELSEPAR and Hilli Common Units in our segment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0637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6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ind w:left="760"/>
              <w:spacing w:after="0" w:line="205" w:lineRule="exact"/>
              <w:rPr>
                <w:sz w:val="20"/>
                <w:szCs w:val="20"/>
                <w:color w:val="auto"/>
              </w:rPr>
            </w:pPr>
            <w:r>
              <w:rPr>
                <w:rFonts w:ascii="Arial" w:cs="Arial" w:eastAsia="Arial" w:hAnsi="Arial"/>
                <w:sz w:val="18"/>
                <w:szCs w:val="18"/>
                <w:b w:val="1"/>
                <w:bCs w:val="1"/>
                <w:color w:val="auto"/>
              </w:rPr>
              <w:t>Terminals and</w:t>
            </w:r>
          </w:p>
        </w:tc>
        <w:tc>
          <w:tcPr>
            <w:tcW w:w="860" w:type="dxa"/>
            <w:vAlign w:val="bottom"/>
            <w:tcBorders>
              <w:top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Ships</w:t>
            </w:r>
          </w:p>
        </w:tc>
        <w:tc>
          <w:tcPr>
            <w:tcW w:w="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6"/>
              </w:rPr>
              <w:t>Total Segment</w:t>
            </w:r>
          </w:p>
        </w:tc>
        <w:tc>
          <w:tcPr>
            <w:tcW w:w="1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Eliminations</w:t>
            </w:r>
          </w:p>
        </w:tc>
        <w:tc>
          <w:tcPr>
            <w:tcW w:w="12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8"/>
              </w:rPr>
              <w:t>Consolidated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86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220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Infrastructure</w:t>
            </w:r>
          </w:p>
        </w:tc>
        <w:tc>
          <w:tcPr>
            <w:tcW w:w="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Reporting</w:t>
            </w:r>
          </w:p>
        </w:tc>
        <w:tc>
          <w:tcPr>
            <w:tcW w:w="0" w:type="dxa"/>
            <w:vAlign w:val="bottom"/>
          </w:tcPr>
          <w:p>
            <w:pPr>
              <w:spacing w:after="0"/>
              <w:rPr>
                <w:sz w:val="1"/>
                <w:szCs w:val="1"/>
                <w:color w:val="auto"/>
              </w:rPr>
            </w:pPr>
          </w:p>
        </w:tc>
      </w:tr>
      <w:tr>
        <w:trPr>
          <w:trHeight w:val="115"/>
        </w:trPr>
        <w:tc>
          <w:tcPr>
            <w:tcW w:w="386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Operating Margin</w:t>
            </w:r>
          </w:p>
        </w:tc>
        <w:tc>
          <w:tcPr>
            <w:tcW w:w="22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32,761</w:t>
            </w: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32,761</w:t>
            </w:r>
          </w:p>
        </w:tc>
        <w:tc>
          <w:tcPr>
            <w:tcW w:w="1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60"/>
              <w:spacing w:after="0"/>
              <w:rPr>
                <w:sz w:val="20"/>
                <w:szCs w:val="20"/>
                <w:color w:val="auto"/>
              </w:rPr>
            </w:pPr>
            <w:r>
              <w:rPr>
                <w:rFonts w:ascii="Arial" w:cs="Arial" w:eastAsia="Arial" w:hAnsi="Arial"/>
                <w:sz w:val="18"/>
                <w:szCs w:val="18"/>
                <w:color w:val="auto"/>
              </w:rPr>
              <w:t>Less:</w:t>
            </w: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45,181</w:t>
            </w: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8"/>
                <w:szCs w:val="18"/>
                <w:color w:val="auto"/>
              </w:rPr>
              <w:t>Transaction and integration costs</w:t>
            </w: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16"/>
        </w:trPr>
        <w:tc>
          <w:tcPr>
            <w:tcW w:w="386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2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8"/>
                <w:szCs w:val="18"/>
                <w:color w:val="auto"/>
              </w:rPr>
              <w:t>Tax provision</w:t>
            </w: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(Income) from equity method investments</w:t>
            </w:r>
          </w:p>
        </w:tc>
        <w:tc>
          <w:tcPr>
            <w:tcW w:w="2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Net loss</w:t>
            </w:r>
          </w:p>
        </w:tc>
        <w:tc>
          <w:tcPr>
            <w:tcW w:w="2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(39,509)</w:t>
            </w:r>
          </w:p>
        </w:tc>
        <w:tc>
          <w:tcPr>
            <w:tcW w:w="0" w:type="dxa"/>
            <w:vAlign w:val="bottom"/>
          </w:tcPr>
          <w:p>
            <w:pPr>
              <w:spacing w:after="0"/>
              <w:rPr>
                <w:sz w:val="1"/>
                <w:szCs w:val="1"/>
                <w:color w:val="auto"/>
              </w:rPr>
            </w:pPr>
          </w:p>
        </w:tc>
      </w:tr>
      <w:tr>
        <w:trPr>
          <w:trHeight w:val="380"/>
        </w:trPr>
        <w:tc>
          <w:tcPr>
            <w:tcW w:w="3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2021 and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57,353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 of $90 and $98, respectively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61,491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92,010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48,270</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475,954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762,010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29,827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234,037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2,038,738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614,206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141,347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Finance leases,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606,108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117,004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86,030</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6,392,075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1,908,091</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204,551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192,723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90,352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8,980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635,464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191,150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3,326,303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84,323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293,073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45,643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15,641</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4,390,156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1,533,005</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Class A common stock, $0.01 par value, 750.0 million shares authorized, 206.7 million issued and outstanding as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2021; 174.6 million issued and outstanding as of December 31, 2020</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1,932,318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594,534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(273,450)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(229,503)</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1,762,350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366,959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239,569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8,127</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6,392,075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Vessel charter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64,561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64,561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29,417</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223,839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94,566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369,523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169,096</w:t>
            </w:r>
          </w:p>
        </w:tc>
      </w:tr>
      <w:tr>
        <w:trPr>
          <w:trHeight w:val="216"/>
        </w:trPr>
        <w:tc>
          <w:tcPr>
            <w:tcW w:w="5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15,400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44,536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31,846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78,152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60,216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123,906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124,114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26,997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236,080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242,771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404,071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353,302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(148,205)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31,482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17,198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50,162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31,088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9,557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Net loss before income equity method investments and income taxes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(36,266)</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(166,402)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from equity method investments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38,941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38,941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(166,519)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(41,243)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(226,574)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80,851</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(6,044)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(137,425)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(43,947)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(145,723)</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r>
      <w:tr>
        <w:trPr>
          <w:trHeight w:val="21"/>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202,331,304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57,341,215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189,885,473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41,771,849</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5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(41,243)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(226,574)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 and debt guarantees,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37,462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13,324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losses of equity method investees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(38,941)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Dividends received from equity method investees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Sales-type lease payments received in excess of 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market value of derivatives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(7,073)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charges and loss on mitigation sales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124,114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on extinguishment and financing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9,557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value of Investment of equity securities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receivables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(38,018)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(9,214)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(35,458)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(Increase) in other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(9,446)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accounts payable/accrued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24,732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13,655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amounts due to affiliates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(Decrease) in lease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(19,873)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(111,352)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(80,323)</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(235,324)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(95,422)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business combinations, net of cash acquired</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(1,586,042)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 acquired in asset acquisitions, net of cash acquired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(1,830,933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borrowings of debt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1,652,500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832,144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deferred financing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(20,989)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(15,864)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(506,402)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related to tax withholdings for share-based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(41,346)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1,544,584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Impact of changes in foreign exchange rates on cash and cash equivalents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(399,018)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130,358</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629,336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93,035</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equipment additions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85,513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(3,084)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associated with consideration paid for entities acquired in asset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Consideration paid in shares for business combinations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1,400,784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519"/>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4"/>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decimal"/>
      <w:start w:val="516"/>
    </w:lvl>
  </w:abstractNum>
  <w:abstractNum w:abstractNumId="10">
    <w:nsid w:val="1F16E9E8"/>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2021-08-05T05:51:28Z</dcterms:created>
  <dcterms:modified xsi:type="dcterms:W3CDTF">2021-08-05T05:51:28Z</dcterms:modified>
</cp:coreProperties>
</file>