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22010x1_s3asr_100-regcov_pg1"/>
        <w:bookmarkStart w:id="1" w:name="ny20022010x1_s3asr.htm"/>
        <w:bookmarkStart w:id="2" w:name="ksny20022010x1_s3asr"/>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March 1, 2024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150" w:after="283"/>
        <w:jc w:val="center"/>
        <w:rPr>
          <w:rFonts w:ascii="Times New Roman;Times;serif" w:hAnsi="Times New Roman;Times;serif"/>
          <w:b/>
          <w:color w:val="000000"/>
          <w:sz w:val="32"/>
        </w:rPr>
      </w:pPr>
      <w:r>
        <w:rPr>
          <w:rFonts w:ascii="Times New Roman;Times;serif" w:hAnsi="Times New Roman;Times;serif"/>
          <w:b/>
          <w:color w:val="000000"/>
          <w:sz w:val="32"/>
        </w:rPr>
        <w:t>FORM S-3</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REGISTRATION STATEMENT UNDER</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THE SECURITIES ACT OF 1933 </w:t>
      </w:r>
    </w:p>
    <w:p>
      <w:pPr>
        <w:pStyle w:val="TextBody"/>
        <w:bidi w:val="0"/>
        <w:spacing w:before="160" w:after="283"/>
        <w:jc w:val="center"/>
        <w:rPr>
          <w:rFonts w:ascii="Times New Roman;Times;serif" w:hAnsi="Times New Roman;Times;serif"/>
          <w:b/>
          <w:color w:val="000000"/>
          <w:sz w:val="40"/>
        </w:rPr>
      </w:pPr>
      <w:r>
        <w:rPr>
          <w:rFonts w:ascii="Times New Roman;Times;serif" w:hAnsi="Times New Roman;Times;serif"/>
          <w:b/>
          <w:color w:val="000000"/>
          <w:sz w:val="40"/>
        </w:rPr>
        <w:t>New Fortress Energy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(Exact name of registrant as specified in its charter)</w:t>
      </w:r>
    </w:p>
    <w:tbl>
      <w:tblPr>
        <w:tblW w:w="4436" w:type="dxa"/>
        <w:jc w:val="left"/>
        <w:tblInd w:w="0" w:type="dxa"/>
        <w:tblLayout w:type="fixed"/>
        <w:tblCellMar>
          <w:top w:w="0" w:type="dxa"/>
          <w:left w:w="0" w:type="dxa"/>
          <w:bottom w:w="0" w:type="dxa"/>
          <w:right w:w="0" w:type="dxa"/>
        </w:tblCellMar>
      </w:tblPr>
      <w:tblGrid>
        <w:gridCol w:w="2495"/>
        <w:gridCol w:w="23"/>
        <w:gridCol w:w="23"/>
        <w:gridCol w:w="1895"/>
      </w:tblGrid>
      <w:tr>
        <w:trPr/>
        <w:tc>
          <w:tcPr>
            <w:tcW w:w="24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Delaware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83-1482060 </w:t>
            </w:r>
          </w:p>
        </w:tc>
      </w:tr>
      <w:tr>
        <w:trPr/>
        <w:tc>
          <w:tcPr>
            <w:tcW w:w="24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(State or other jurisdiction of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incorporation or organization)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(I.R.S. Employer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Identification Number)</w:t>
            </w:r>
          </w:p>
        </w:tc>
      </w:tr>
    </w:tbl>
    <w:p>
      <w:pPr>
        <w:pStyle w:val="TextBody"/>
        <w:bidi w:val="0"/>
        <w:spacing w:before="40" w:after="283"/>
        <w:jc w:val="center"/>
        <w:rPr>
          <w:rFonts w:ascii="Times New Roman;Times;serif" w:hAnsi="Times New Roman;Times;serif"/>
          <w:b/>
          <w:color w:val="000000"/>
          <w:sz w:val="19"/>
        </w:rPr>
      </w:pPr>
      <w:r>
        <w:rPr>
          <w:rFonts w:ascii="Times New Roman;Times;serif" w:hAnsi="Times New Roman;Times;serif"/>
          <w:b/>
          <w:color w:val="000000"/>
          <w:sz w:val="19"/>
        </w:rPr>
        <w:t>111 W. 19th Street, 8th Floor</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New York, NY 10011</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(516) 268-7400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 xml:space="preserve">(Address, including zip code, and telephone number, including area code, of registrant’s principal executive offices) </w:t>
      </w:r>
    </w:p>
    <w:p>
      <w:pPr>
        <w:pStyle w:val="TextBody"/>
        <w:bidi w:val="0"/>
        <w:spacing w:before="80" w:after="283"/>
        <w:jc w:val="center"/>
        <w:rPr>
          <w:rFonts w:ascii="Times New Roman;Times;serif" w:hAnsi="Times New Roman;Times;serif"/>
          <w:b/>
          <w:color w:val="000000"/>
          <w:sz w:val="19"/>
        </w:rPr>
      </w:pPr>
      <w:r>
        <w:rPr>
          <w:rFonts w:ascii="Times New Roman;Times;serif" w:hAnsi="Times New Roman;Times;serif"/>
          <w:b/>
          <w:color w:val="000000"/>
          <w:sz w:val="19"/>
        </w:rPr>
        <w:t>Cameron D. MacDougall, Esq.</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General Counsel and Secretary</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111 W. 19th Street, 8th Floor</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New York, NY 10011</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(516) 268-7400 </w:t>
      </w:r>
    </w:p>
    <w:p>
      <w:pPr>
        <w:pStyle w:val="TextBody"/>
        <w:bidi w:val="0"/>
        <w:spacing w:before="0" w:after="283"/>
        <w:jc w:val="center"/>
        <w:rPr>
          <w:rFonts w:ascii="Times New Roman;Times;serif" w:hAnsi="Times New Roman;Times;serif"/>
          <w:b w:val="false"/>
          <w:color w:val="000000"/>
          <w:sz w:val="19"/>
        </w:rPr>
      </w:pPr>
      <w:r>
        <w:rPr>
          <w:rFonts w:ascii="Times New Roman;Times;serif" w:hAnsi="Times New Roman;Times;serif"/>
          <w:b w:val="false"/>
          <w:color w:val="000000"/>
          <w:sz w:val="19"/>
        </w:rPr>
        <w:t>(Name, address, including zip code, and telephone number, including area code, of agent for service)</w:t>
      </w:r>
    </w:p>
    <w:p>
      <w:pPr>
        <w:pStyle w:val="TextBody"/>
        <w:bidi w:val="0"/>
        <w:spacing w:before="80" w:after="283"/>
        <w:jc w:val="center"/>
        <w:rPr>
          <w:rFonts w:ascii="Times New Roman;Times;serif" w:hAnsi="Times New Roman;Times;serif"/>
          <w:b/>
          <w:i/>
          <w:color w:val="000000"/>
          <w:sz w:val="19"/>
        </w:rPr>
      </w:pPr>
      <w:r>
        <w:rPr>
          <w:rFonts w:ascii="Times New Roman;Times;serif" w:hAnsi="Times New Roman;Times;serif"/>
          <w:b/>
          <w:i/>
          <w:color w:val="000000"/>
          <w:sz w:val="19"/>
        </w:rPr>
        <w:t>Copies to:</w:t>
      </w:r>
    </w:p>
    <w:p>
      <w:pPr>
        <w:pStyle w:val="TextBody"/>
        <w:bidi w:val="0"/>
        <w:spacing w:before="0" w:after="283"/>
        <w:jc w:val="center"/>
        <w:rPr>
          <w:caps w:val="false"/>
          <w:smallCaps w:val="false"/>
          <w:color w:val="000000"/>
        </w:rPr>
      </w:pPr>
      <w:r>
        <w:rPr>
          <w:caps w:val="false"/>
          <w:smallCaps w:val="false"/>
          <w:color w:val="000000"/>
        </w:rPr>
        <w:t xml:space="preserve">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Joseph A. Coco, Esq.</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Michael J. Schwartz, Esq.</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Skadden, Arps, Slate, Meagher &amp; Flom LLP</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One Manhattan West</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 xml:space="preserve">New York, New York 10001 </w:t>
      </w:r>
    </w:p>
    <w:p>
      <w:pPr>
        <w:pStyle w:val="TextBody"/>
        <w:bidi w:val="0"/>
        <w:spacing w:before="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(212) 735-3000</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Approximate date of commencement of proposed sale to the public: From time to time after the effective date of this registration statement.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the only securities being registered on this Form are being offered pursuant to dividend or interest reinvestment plans, please check the following box.  ☐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298" w:type="dxa"/>
        <w:jc w:val="left"/>
        <w:tblInd w:w="0" w:type="dxa"/>
        <w:tblLayout w:type="fixed"/>
        <w:tblCellMar>
          <w:top w:w="0" w:type="dxa"/>
          <w:left w:w="0" w:type="dxa"/>
          <w:bottom w:w="0" w:type="dxa"/>
          <w:right w:w="0" w:type="dxa"/>
        </w:tblCellMar>
      </w:tblPr>
      <w:tblGrid>
        <w:gridCol w:w="1580"/>
        <w:gridCol w:w="23"/>
        <w:gridCol w:w="23"/>
        <w:gridCol w:w="275"/>
        <w:gridCol w:w="23"/>
        <w:gridCol w:w="23"/>
        <w:gridCol w:w="1955"/>
        <w:gridCol w:w="23"/>
        <w:gridCol w:w="23"/>
        <w:gridCol w:w="350"/>
      </w:tblGrid>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Large accelerated filer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Accelerated filer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Smaller reporting company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8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50" w:type="dxa"/>
            <w:tcBorders/>
            <w:vAlign w:val="center"/>
          </w:tcPr>
          <w:p>
            <w:pPr>
              <w:pStyle w:val="TableContents"/>
              <w:bidi w:val="0"/>
              <w:spacing w:before="0" w:after="283"/>
              <w:ind w:left="0" w:right="0" w:hanging="0"/>
              <w:jc w:val="left"/>
              <w:rPr>
                <w:color w:val="000000"/>
              </w:rPr>
            </w:pPr>
            <w:r>
              <w:rPr>
                <w:color w:val="000000"/>
              </w:rPr>
              <w:t> ☐</w:t>
            </w:r>
          </w:p>
        </w:tc>
      </w:tr>
    </w:tbl>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22010x1_s3asr_2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240" w:after="283"/>
        <w:jc w:val="center"/>
        <w:rPr>
          <w:rFonts w:ascii="Times New Roman;Times;serif" w:hAnsi="Times New Roman;Times;serif"/>
          <w:b/>
          <w:color w:val="000000"/>
          <w:sz w:val="36"/>
        </w:rPr>
      </w:pPr>
      <w:r>
        <w:rPr>
          <w:rFonts w:ascii="Times New Roman;Times;serif" w:hAnsi="Times New Roman;Times;serif"/>
          <w:b/>
          <w:color w:val="000000"/>
          <w:sz w:val="36"/>
        </w:rPr>
        <w:t>New Fortress Energy Inc.</w:t>
      </w:r>
    </w:p>
    <w:p>
      <w:pPr>
        <w:pStyle w:val="TextBody"/>
        <w:bidi w:val="0"/>
        <w:spacing w:before="255" w:after="283"/>
        <w:jc w:val="center"/>
        <w:rPr>
          <w:color w:val="000000"/>
        </w:rPr>
      </w:pPr>
      <w:r>
        <w:rPr>
          <w:color w:val="000000"/>
        </w:rPr>
        <w:drawing>
          <wp:inline distT="0" distB="0" distL="0" distR="0">
            <wp:extent cx="22193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19325"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50" w:after="283"/>
        <w:jc w:val="center"/>
        <w:rPr>
          <w:rFonts w:ascii="Times New Roman;Times;serif" w:hAnsi="Times New Roman;Times;serif"/>
          <w:b/>
          <w:color w:val="000000"/>
          <w:sz w:val="24"/>
        </w:rPr>
      </w:pPr>
      <w:r>
        <w:rPr>
          <w:rFonts w:ascii="Times New Roman;Times;serif" w:hAnsi="Times New Roman;Times;serif"/>
          <w:b/>
          <w:color w:val="000000"/>
          <w:sz w:val="24"/>
        </w:rPr>
        <w:t>Class A Common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Preferred Stock</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Depositary Shares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Debt Securities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Warrants</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and</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114,670,972 Shares of Class A Common Stock Offered by 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stockholders named in this prospectus or in any supplement to this prospectus may offer and sell Class A common stock from time to time. We will not receive any of the proceeds from the sale of our Class A common stock by the 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required, we will provide the specific prices and terms of these securities in one or more supplements to this prospectus at the time of offering. You should read this prospectus and any accompanying prospectus supplement carefully before you make your investment decision. </w:t>
      </w:r>
    </w:p>
    <w:p>
      <w:pPr>
        <w:pStyle w:val="TextBody"/>
        <w:bidi w:val="0"/>
        <w:spacing w:before="120" w:after="283"/>
        <w:ind w:left="0" w:right="0" w:firstLine="400"/>
        <w:jc w:val="left"/>
        <w:rPr/>
      </w:pPr>
      <w:r>
        <w:rPr>
          <w:rFonts w:ascii="Times New Roman;Times;serif" w:hAnsi="Times New Roman;Times;serif"/>
          <w:b/>
          <w:color w:val="000000"/>
          <w:sz w:val="20"/>
        </w:rPr>
        <w:t xml:space="preserve">Investing in our securities involves a number of risks. See “Risk Factors” on page </w:t>
      </w:r>
      <w:hyperlink w:anchor="tRF">
        <w:r>
          <w:rPr>
            <w:rStyle w:val="InternetLink"/>
          </w:rPr>
          <w:t>6</w:t>
        </w:r>
      </w:hyperlink>
      <w:r>
        <w:rPr>
          <w:rFonts w:ascii="Times New Roman;Times;serif" w:hAnsi="Times New Roman;Times;serif"/>
          <w:b/>
          <w:color w:val="000000"/>
          <w:sz w:val="20"/>
        </w:rPr>
        <w:t xml:space="preserve"> before you make your investment decision.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or the selling stockholders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Class A common stock is listed on Nasdaq Global Select Market under the trading symbol “NFE.” Each prospectus supplement will indicate whether the securities offered thereby will be listed on any securities exchange.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pStyle w:val="TextBody"/>
        <w:bidi w:val="0"/>
        <w:spacing w:before="292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March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 w:name="DSPFPageBreakArea"/>
      <w:bookmarkStart w:id="5" w:name="DSPFPageBreakArea"/>
      <w:bookmarkEnd w:id="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 w:name="DSPFPageBreak"/>
      <w:bookmarkStart w:id="7" w:name="DSPFPageBreak"/>
      <w:bookmarkEnd w:id="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 w:name="ny20022010x1_s3asr_202-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9476" w:type="dxa"/>
        <w:jc w:val="left"/>
        <w:tblInd w:w="0" w:type="dxa"/>
        <w:tblLayout w:type="fixed"/>
        <w:tblCellMar>
          <w:top w:w="0" w:type="dxa"/>
          <w:left w:w="0" w:type="dxa"/>
          <w:bottom w:w="0" w:type="dxa"/>
          <w:right w:w="0" w:type="dxa"/>
        </w:tblCellMar>
      </w:tblPr>
      <w:tblGrid>
        <w:gridCol w:w="9185"/>
        <w:gridCol w:w="23"/>
        <w:gridCol w:w="23"/>
        <w:gridCol w:w="245"/>
      </w:tblGrid>
      <w:tr>
        <w:trPr/>
        <w:tc>
          <w:tcPr>
            <w:tcW w:w="918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 xml:space="preserve">ABOUT THIS PROSPECTUS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1</w:t>
              </w:r>
            </w:hyperlink>
          </w:p>
        </w:tc>
      </w:tr>
      <w:tr>
        <w:trPr/>
        <w:tc>
          <w:tcPr>
            <w:tcW w:w="918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 xml:space="preserve">WHERE YOU CAN FIND MORE INFORMATION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2</w:t>
              </w:r>
            </w:hyperlink>
          </w:p>
        </w:tc>
      </w:tr>
      <w:tr>
        <w:trPr/>
        <w:tc>
          <w:tcPr>
            <w:tcW w:w="918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 xml:space="preserve">CAUTIONARY NOTE REGARDING FORWARD-LOOKING STATEMENTS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3</w:t>
              </w:r>
            </w:hyperlink>
          </w:p>
        </w:tc>
      </w:tr>
      <w:tr>
        <w:trPr/>
        <w:tc>
          <w:tcPr>
            <w:tcW w:w="9185" w:type="dxa"/>
            <w:tcBorders/>
            <w:vAlign w:val="center"/>
          </w:tcPr>
          <w:p>
            <w:pPr>
              <w:pStyle w:val="TableContents"/>
              <w:bidi w:val="0"/>
              <w:spacing w:before="0" w:after="283"/>
              <w:ind w:left="0" w:right="0" w:hanging="0"/>
              <w:jc w:val="left"/>
              <w:rPr/>
            </w:pPr>
            <w:hyperlink w:anchor="tTC">
              <w:r>
                <w:rPr>
                  <w:rStyle w:val="InternetLink"/>
                  <w:rFonts w:ascii="Times New Roman;Times;serif" w:hAnsi="Times New Roman;Times;serif"/>
                  <w:color w:val="000000"/>
                  <w:sz w:val="20"/>
                </w:rPr>
                <w:t xml:space="preserve">THE COMPANY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TC">
              <w:r>
                <w:rPr>
                  <w:rStyle w:val="InternetLink"/>
                  <w:rFonts w:ascii="Times New Roman;Times;serif" w:hAnsi="Times New Roman;Times;serif"/>
                  <w:color w:val="000000"/>
                  <w:sz w:val="20"/>
                </w:rPr>
                <w:t>5</w:t>
              </w:r>
            </w:hyperlink>
          </w:p>
        </w:tc>
      </w:tr>
      <w:tr>
        <w:trPr/>
        <w:tc>
          <w:tcPr>
            <w:tcW w:w="9185"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 xml:space="preserve">RISK FACTORS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6</w:t>
              </w:r>
            </w:hyperlink>
          </w:p>
        </w:tc>
      </w:tr>
      <w:tr>
        <w:trPr/>
        <w:tc>
          <w:tcPr>
            <w:tcW w:w="9185"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 xml:space="preserve">USE OF PROCEEDS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7</w:t>
              </w:r>
            </w:hyperlink>
          </w:p>
        </w:tc>
      </w:tr>
      <w:tr>
        <w:trPr/>
        <w:tc>
          <w:tcPr>
            <w:tcW w:w="9185"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 xml:space="preserve">DESCRIPTION OF SECURITIES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8</w:t>
              </w:r>
            </w:hyperlink>
          </w:p>
        </w:tc>
      </w:tr>
      <w:tr>
        <w:trPr/>
        <w:tc>
          <w:tcPr>
            <w:tcW w:w="918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 xml:space="preserve">DESCRIPTION OF CAPITAL STOCK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9</w:t>
              </w:r>
            </w:hyperlink>
          </w:p>
        </w:tc>
      </w:tr>
      <w:tr>
        <w:trPr/>
        <w:tc>
          <w:tcPr>
            <w:tcW w:w="9185"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olor w:val="000000"/>
                  <w:sz w:val="20"/>
                </w:rPr>
                <w:t xml:space="preserve">DESCRIPTION OF DEPOSITARY SHARES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olor w:val="000000"/>
                  <w:sz w:val="20"/>
                </w:rPr>
                <w:t>17</w:t>
              </w:r>
            </w:hyperlink>
          </w:p>
        </w:tc>
      </w:tr>
      <w:tr>
        <w:trPr/>
        <w:tc>
          <w:tcPr>
            <w:tcW w:w="9185"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 xml:space="preserve">DESCRIPTION OF DEBT SECURITIES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19</w:t>
              </w:r>
            </w:hyperlink>
          </w:p>
        </w:tc>
      </w:tr>
      <w:tr>
        <w:trPr/>
        <w:tc>
          <w:tcPr>
            <w:tcW w:w="9185" w:type="dxa"/>
            <w:tcBorders/>
            <w:shd w:fill="CCEEFF" w:val="clear"/>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 xml:space="preserve">DESCRIPTION OF WARRANTS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21</w:t>
              </w:r>
            </w:hyperlink>
          </w:p>
        </w:tc>
      </w:tr>
      <w:tr>
        <w:trPr/>
        <w:tc>
          <w:tcPr>
            <w:tcW w:w="9185" w:type="dxa"/>
            <w:tcBorders/>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 xml:space="preserve">SELLING STOCKHOLDERS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22</w:t>
              </w:r>
            </w:hyperlink>
          </w:p>
        </w:tc>
      </w:tr>
      <w:tr>
        <w:trPr/>
        <w:tc>
          <w:tcPr>
            <w:tcW w:w="9185"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 xml:space="preserve">PLAN OF DISTRIBUTION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24</w:t>
              </w:r>
            </w:hyperlink>
          </w:p>
        </w:tc>
      </w:tr>
      <w:tr>
        <w:trPr/>
        <w:tc>
          <w:tcPr>
            <w:tcW w:w="9185" w:type="dxa"/>
            <w:tcBorders/>
            <w:vAlign w:val="center"/>
          </w:tcPr>
          <w:p>
            <w:pPr>
              <w:pStyle w:val="TableContents"/>
              <w:bidi w:val="0"/>
              <w:spacing w:before="0" w:after="283"/>
              <w:ind w:left="200" w:right="0" w:hanging="200"/>
              <w:jc w:val="left"/>
              <w:rPr/>
            </w:pPr>
            <w:hyperlink w:anchor="tUFI">
              <w:r>
                <w:rPr>
                  <w:rStyle w:val="InternetLink"/>
                  <w:rFonts w:ascii="Times New Roman;Times;serif" w:hAnsi="Times New Roman;Times;serif"/>
                  <w:color w:val="000000"/>
                  <w:sz w:val="20"/>
                </w:rPr>
                <w:t xml:space="preserve">U.S. FEDERAL INCOME TAX CONSIDERATIONS FOR NON-U.S. HOLDERS OF CLASS A COMMON STOCK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UFI">
              <w:r>
                <w:rPr>
                  <w:rStyle w:val="InternetLink"/>
                  <w:rFonts w:ascii="Times New Roman;Times;serif" w:hAnsi="Times New Roman;Times;serif"/>
                  <w:color w:val="000000"/>
                  <w:sz w:val="20"/>
                </w:rPr>
                <w:t>27</w:t>
              </w:r>
            </w:hyperlink>
          </w:p>
        </w:tc>
      </w:tr>
      <w:tr>
        <w:trPr/>
        <w:tc>
          <w:tcPr>
            <w:tcW w:w="9185" w:type="dxa"/>
            <w:tcBorders/>
            <w:shd w:fill="CCEEFF" w:val="clear"/>
            <w:vAlign w:val="center"/>
          </w:tcPr>
          <w:p>
            <w:pPr>
              <w:pStyle w:val="TableContents"/>
              <w:bidi w:val="0"/>
              <w:spacing w:before="0" w:after="283"/>
              <w:ind w:left="0" w:right="0" w:hanging="0"/>
              <w:jc w:val="left"/>
              <w:rPr/>
            </w:pPr>
            <w:hyperlink w:anchor="tCEB">
              <w:r>
                <w:rPr>
                  <w:rStyle w:val="InternetLink"/>
                  <w:rFonts w:ascii="Times New Roman;Times;serif" w:hAnsi="Times New Roman;Times;serif"/>
                  <w:color w:val="000000"/>
                  <w:sz w:val="20"/>
                </w:rPr>
                <w:t xml:space="preserve">CERTAIN ERISA AND BENEFIT PLAN CONSIDERATIONS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CEB">
              <w:r>
                <w:rPr>
                  <w:rStyle w:val="InternetLink"/>
                  <w:rFonts w:ascii="Times New Roman;Times;serif" w:hAnsi="Times New Roman;Times;serif"/>
                  <w:color w:val="000000"/>
                  <w:sz w:val="20"/>
                </w:rPr>
                <w:t>30</w:t>
              </w:r>
            </w:hyperlink>
          </w:p>
        </w:tc>
      </w:tr>
      <w:tr>
        <w:trPr/>
        <w:tc>
          <w:tcPr>
            <w:tcW w:w="9185"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 xml:space="preserve">LEGAL MATTERS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32</w:t>
              </w:r>
            </w:hyperlink>
          </w:p>
        </w:tc>
      </w:tr>
      <w:tr>
        <w:trPr/>
        <w:tc>
          <w:tcPr>
            <w:tcW w:w="9185" w:type="dxa"/>
            <w:tcBorders/>
            <w:shd w:fill="CCEEFF" w:val="clear"/>
            <w:vAlign w:val="center"/>
          </w:tcPr>
          <w:p>
            <w:pPr>
              <w:pStyle w:val="TableContents"/>
              <w:bidi w:val="0"/>
              <w:spacing w:before="0" w:after="283"/>
              <w:ind w:left="0" w:right="0" w:hanging="0"/>
              <w:jc w:val="left"/>
              <w:rPr/>
            </w:pPr>
            <w:hyperlink w:anchor="tE">
              <w:r>
                <w:rPr>
                  <w:rStyle w:val="InternetLink"/>
                  <w:rFonts w:ascii="Times New Roman;Times;serif" w:hAnsi="Times New Roman;Times;serif"/>
                  <w:color w:val="000000"/>
                  <w:sz w:val="20"/>
                </w:rPr>
                <w:t>EXPERTS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E">
              <w:r>
                <w:rPr>
                  <w:rStyle w:val="InternetLink"/>
                  <w:rFonts w:ascii="Times New Roman;Times;serif" w:hAnsi="Times New Roman;Times;serif"/>
                  <w:color w:val="000000"/>
                  <w:sz w:val="20"/>
                </w:rPr>
                <w:t>32</w:t>
              </w:r>
            </w:hyperlink>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1" w:name="DSPFPageBreakArea1"/>
      <w:bookmarkStart w:id="12" w:name="DSPFPageBreakArea1"/>
      <w:bookmarkEnd w:id="1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3" w:name="DSPFPageBreak1"/>
      <w:bookmarkStart w:id="14" w:name="DSPFPageBreak1"/>
      <w:bookmarkEnd w:id="1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 w:name="ny20022010x1_s3asr_203-about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ATP"/>
      <w:bookmarkEnd w:id="16"/>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stockholders may sell up to 114,670,972 shares of Class A common stock from time to time in one or more offerings. This prospectus only provides you with a general description of the securities that we and the selling stockholders may offer. Each time we or any stockholders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the selling stockholders have authorized anyone to provide you with any information other than that contained in or incorporated by reference into this prospectus, any accompanying prospectus supplement and any free writing prospectus prepared by or on behalf of us. Neither we nor the selling stockholders take responsibility for, and can provide no assurance as to the reliability of, any other information that others may give you. Neither we nor the selling stockholders are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 this prospectus is accurate as of the date on the front cover. You should not assume that the information contained in this prospectus is accurate as of any other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used in this prospectus, the terms “NFE,” “we,” “our” and “us” refer to New Fortress Energy Inc. and its consolidated subsidiaries, unless otherwise specified or the context otherwise requires.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7" w:name="DSPFPageBreakArea2"/>
      <w:bookmarkStart w:id="18" w:name="DSPFPageBreakArea2"/>
      <w:bookmarkEnd w:id="1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9" w:name="DSPFPageBreak2"/>
      <w:bookmarkStart w:id="20" w:name="DSPFPageBreak2"/>
      <w:bookmarkEnd w:id="2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 w:name="ny20022010x1_s3asr_203-about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WYC"/>
      <w:bookmarkEnd w:id="22"/>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under the Securities Exchange Act of 1934, as amended (the “Exchange Act”). Our SEC filings are available to the public at the SEC’s website at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 </w:t>
      </w:r>
    </w:p>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fiscal year ended December 31, 2023, filed with the SEC on </w:t>
            </w:r>
            <w:hyperlink r:id="rId3">
              <w:r>
                <w:rPr>
                  <w:rStyle w:val="InternetLink"/>
                  <w:rFonts w:ascii="Times New Roman;Times;serif" w:hAnsi="Times New Roman;Times;serif"/>
                  <w:color w:val="000080"/>
                  <w:sz w:val="20"/>
                </w:rPr>
                <w:t>February 29, 2024</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Registration Statement on Form 8-A/A for registration of Class A common stock pursuant to Section 12(b) of the Exchange Act, filed on </w:t>
            </w:r>
            <w:hyperlink r:id="rId4">
              <w:r>
                <w:rPr>
                  <w:rStyle w:val="InternetLink"/>
                  <w:rFonts w:ascii="Times New Roman;Times;serif" w:hAnsi="Times New Roman;Times;serif"/>
                  <w:color w:val="000080"/>
                  <w:sz w:val="20"/>
                </w:rPr>
                <w:t>August 7, 2020</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portions of our Definitive Proxy Statement on Schedule 14A for our 2023 Annual Meeting of Shareholders, filed with the SEC on </w:t>
            </w:r>
            <w:hyperlink r:id="rId5">
              <w:r>
                <w:rPr>
                  <w:rStyle w:val="InternetLink"/>
                  <w:rFonts w:ascii="Times New Roman;Times;serif" w:hAnsi="Times New Roman;Times;serif"/>
                  <w:color w:val="000080"/>
                  <w:sz w:val="20"/>
                </w:rPr>
                <w:t>April 5, 2023</w:t>
              </w:r>
            </w:hyperlink>
            <w:r>
              <w:rPr>
                <w:rFonts w:ascii="Times New Roman;Times;serif" w:hAnsi="Times New Roman;Times;serif"/>
                <w:color w:val="000000"/>
                <w:sz w:val="20"/>
              </w:rPr>
              <w:t xml:space="preserve">, that are incorporated by reference into our Annual Report on Form 10-K for the fiscal year ended December 31, 2022.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New Fortress Energy Inc.</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Investor Relations</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111 W. 19th Street, 8th Floor</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York, NY 10011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(516) 268-7400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3" w:name="DSPFPageBreakArea3"/>
      <w:bookmarkStart w:id="24" w:name="DSPFPageBreakArea3"/>
      <w:bookmarkEnd w:id="2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5" w:name="DSPFPageBreak3"/>
      <w:bookmarkStart w:id="26" w:name="DSPFPageBreak3"/>
      <w:bookmarkEnd w:id="2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 w:name="ny20022010x1_s3asr_204-fls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FLS"/>
      <w:bookmarkEnd w:id="28"/>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any accompanying prospectus supplement and any documents incorporated by reference contain statements that are “forward-looking” within the meaning of the Private Securities Litigation Reform Act of 1995.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such factors, factors that could cause actual results to differ materially from those estimated by us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results of our subsidiaries, affiliates, joint ventures and special purpose entities in which we invest and their ability to make dividends or distributions to us;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construction and operational risks related to our facilities and assets, including cost overruns and delays;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of LNG (as defined herein) or natural gas to be a competitive source of energy in the markets in which we operate, and seek to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 </w:t>
            </w:r>
          </w:p>
        </w:tc>
      </w:tr>
    </w:tbl>
    <w:tbl>
      <w:tblPr>
        <w:tblW w:w="8830" w:type="dxa"/>
        <w:jc w:val="left"/>
        <w:tblInd w:w="0" w:type="dxa"/>
        <w:tblLayout w:type="fixed"/>
        <w:tblCellMar>
          <w:top w:w="0" w:type="dxa"/>
          <w:left w:w="0" w:type="dxa"/>
          <w:bottom w:w="0" w:type="dxa"/>
          <w:right w:w="0" w:type="dxa"/>
        </w:tblCellMar>
      </w:tblPr>
      <w:tblGrid>
        <w:gridCol w:w="110"/>
        <w:gridCol w:w="8720"/>
      </w:tblGrid>
      <w:tr>
        <w:trPr/>
        <w:tc>
          <w:tcPr>
            <w:tcW w:w="11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or failure to obtain and maintain approvals and permits from governmental and regulatory agencies;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obtain a return on our investments for the development of our projects and assets and the implementation of our business strategy; </w:t>
            </w:r>
          </w:p>
        </w:tc>
      </w:tr>
    </w:tbl>
    <w:tbl>
      <w:tblPr>
        <w:tblW w:w="8830" w:type="dxa"/>
        <w:jc w:val="left"/>
        <w:tblInd w:w="0" w:type="dxa"/>
        <w:tblLayout w:type="fixed"/>
        <w:tblCellMar>
          <w:top w:w="0" w:type="dxa"/>
          <w:left w:w="0" w:type="dxa"/>
          <w:bottom w:w="0" w:type="dxa"/>
          <w:right w:w="0" w:type="dxa"/>
        </w:tblCellMar>
      </w:tblPr>
      <w:tblGrid>
        <w:gridCol w:w="110"/>
        <w:gridCol w:w="8720"/>
      </w:tblGrid>
      <w:tr>
        <w:trPr/>
        <w:tc>
          <w:tcPr>
            <w:tcW w:w="11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maintain sufficient working capital for the development and operation of our business and assets;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convert our customer pipeline into actual sales; </w:t>
            </w:r>
          </w:p>
        </w:tc>
      </w:tr>
    </w:tbl>
    <w:tbl>
      <w:tblPr>
        <w:tblW w:w="8290" w:type="dxa"/>
        <w:jc w:val="left"/>
        <w:tblInd w:w="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lack of asset, geographic or customer diversification, including loss of one or more of our customers; </w:t>
            </w:r>
          </w:p>
        </w:tc>
      </w:tr>
    </w:tbl>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competition from third parties in our business; </w:t>
            </w:r>
          </w:p>
        </w:tc>
      </w:tr>
    </w:tbl>
    <w:tbl>
      <w:tblPr>
        <w:tblW w:w="6445" w:type="dxa"/>
        <w:jc w:val="left"/>
        <w:tblInd w:w="0" w:type="dxa"/>
        <w:tblLayout w:type="fixed"/>
        <w:tblCellMar>
          <w:top w:w="0" w:type="dxa"/>
          <w:left w:w="0" w:type="dxa"/>
          <w:bottom w:w="0" w:type="dxa"/>
          <w:right w:w="0" w:type="dxa"/>
        </w:tblCellMar>
      </w:tblPr>
      <w:tblGrid>
        <w:gridCol w:w="110"/>
        <w:gridCol w:w="6335"/>
      </w:tblGrid>
      <w:tr>
        <w:trPr/>
        <w:tc>
          <w:tcPr>
            <w:tcW w:w="110" w:type="dxa"/>
            <w:tcBorders/>
            <w:vAlign w:val="center"/>
          </w:tcPr>
          <w:p>
            <w:pPr>
              <w:pStyle w:val="TableContents"/>
              <w:bidi w:val="0"/>
              <w:spacing w:before="0" w:after="0"/>
              <w:jc w:val="left"/>
              <w:rPr>
                <w:color w:val="000000"/>
              </w:rPr>
            </w:pPr>
            <w:r>
              <w:rPr>
                <w:color w:val="000000"/>
              </w:rPr>
              <w:t>•</w:t>
            </w:r>
          </w:p>
        </w:tc>
        <w:tc>
          <w:tcPr>
            <w:tcW w:w="6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cyclical or other changes in the demand for and price of LNG and natural gas;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procure LNG at necessary quantities or at favorable prices to meet customer demand, or otherwise to manage LNG supply and price risks, including hedging arrangements;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successfully develop and implement our technological solutions;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service our debt and comply with our covenant restrictions;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obtain additional financing to effect our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inability to successfully complete mergers, sales, divestments or similar transactions related to our businesses or assets or to integrate such businesses or assets and realize the anticipated benefits;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9" w:name="DSPFPageBreakArea4"/>
      <w:bookmarkStart w:id="30" w:name="DSPFPageBreakArea4"/>
      <w:bookmarkEnd w:id="3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1" w:name="DSPFPageBreak4"/>
      <w:bookmarkStart w:id="32" w:name="DSPFPageBreak4"/>
      <w:bookmarkEnd w:id="3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 w:name="ny20022010x1_s3asr_204-fls_pg2"/>
        <w:bookmarkEnd w:id="33"/>
        <w:r>
          <w:rPr>
            <w:rStyle w:val="InternetLink"/>
            <w:rFonts w:ascii="Times New Roman;Times;Serif" w:hAnsi="Times New Roman;Times;Serif"/>
            <w:b/>
            <w:caps w:val="false"/>
            <w:smallCaps w:val="false"/>
            <w:color w:val="000000"/>
            <w:sz w:val="16"/>
          </w:rPr>
          <w:t>TABLE OF CONTENTS</w:t>
        </w:r>
      </w:hyperlink>
    </w:p>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economic, political, social and other risks related to the jurisdictions in which we do, or seek to do, business; </w:t>
            </w:r>
          </w:p>
        </w:tc>
      </w:tr>
    </w:tbl>
    <w:tbl>
      <w:tblPr>
        <w:tblW w:w="5695" w:type="dxa"/>
        <w:jc w:val="left"/>
        <w:tblInd w:w="0" w:type="dxa"/>
        <w:tblLayout w:type="fixed"/>
        <w:tblCellMar>
          <w:top w:w="0" w:type="dxa"/>
          <w:left w:w="0" w:type="dxa"/>
          <w:bottom w:w="0" w:type="dxa"/>
          <w:right w:w="0" w:type="dxa"/>
        </w:tblCellMar>
      </w:tblPr>
      <w:tblGrid>
        <w:gridCol w:w="110"/>
        <w:gridCol w:w="5585"/>
      </w:tblGrid>
      <w:tr>
        <w:trPr/>
        <w:tc>
          <w:tcPr>
            <w:tcW w:w="11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weather events or other natural or manmade disasters or phenomena;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future pandemic or any other major health and safety incident;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labor costs, disputes or strikes, and the unavailability of skilled workers or our failure to attract and retain qualified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treatment of, or changes in tax laws applicable to, us or our business or of an investment in our Class A common stock; and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risks described in the “Risk Factors” section of our Annual Report on Form 10-K and our other filings with the SEC.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4" w:name="DSPFPageBreakArea5"/>
      <w:bookmarkStart w:id="35" w:name="DSPFPageBreakArea5"/>
      <w:bookmarkEnd w:id="3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6" w:name="DSPFPageBreak5"/>
      <w:bookmarkStart w:id="37" w:name="DSPFPageBreak5"/>
      <w:bookmarkEnd w:id="3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 w:name="ny20022010x1_s3asr_205-company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TC"/>
      <w:bookmarkEnd w:id="39"/>
      <w:r>
        <w:rPr>
          <w:rFonts w:ascii="Times New Roman;Times;serif" w:hAnsi="Times New Roman;Times;serif"/>
          <w:b/>
          <w:color w:val="000000"/>
          <w:sz w:val="20"/>
        </w:rPr>
        <w:t xml:space="preserve">THE COMPANY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deliver targeted energy solutions by employing an integrated LNG supply and delivery model: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LNG and Natural Gas Supply and Liquefaction </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We supply LNG and natural gas to our own power plants and to our customers. We typically supply LNG and natural gas regasified from LNG to our customers by entering into long-term supply contracts, which are generally based on an index such as Henry Hub plus a fixed fee component. 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FLNG,” to provide a source of low-cost supply of LNG.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Shipping </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We lease, own or operate a fleet of seven regasification units and 13 liquefied natural gas carriers and floating storage units. Ten vessels are owned by our joint venture affiliate, Energos Infrastructure. We also charter vessels to and from third parties as well as from Energos.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Facilities </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Through our network of current and planned downstream facilities and logistics assets, we are strategically positioned to deliver gas and power solutions to our customers seeking either to transition from environmentally dirtier distillate fuels such as automotive diesel oil and heavy fuel oil or to purchase natural gas to meet their current fuel needs.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Business Model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currently conduct our operations at the following facilities: </w:t>
      </w:r>
    </w:p>
    <w:tbl>
      <w:tblPr>
        <w:tblW w:w="6670" w:type="dxa"/>
        <w:jc w:val="left"/>
        <w:tblInd w:w="0" w:type="dxa"/>
        <w:tblLayout w:type="fixed"/>
        <w:tblCellMar>
          <w:top w:w="0" w:type="dxa"/>
          <w:left w:w="0" w:type="dxa"/>
          <w:bottom w:w="0" w:type="dxa"/>
          <w:right w:w="0" w:type="dxa"/>
        </w:tblCellMar>
      </w:tblPr>
      <w:tblGrid>
        <w:gridCol w:w="110"/>
        <w:gridCol w:w="6560"/>
      </w:tblGrid>
      <w:tr>
        <w:trPr/>
        <w:tc>
          <w:tcPr>
            <w:tcW w:w="11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LNG storage and regasification facility at the Port of Montego Bay, Jamaica,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marine LNG storage and regasification facility in Old Harbour, Jamaica </w:t>
            </w:r>
          </w:p>
        </w:tc>
      </w:tr>
    </w:tbl>
    <w:tbl>
      <w:tblPr>
        <w:tblW w:w="5935" w:type="dxa"/>
        <w:jc w:val="left"/>
        <w:tblInd w:w="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dual-fired combined heat and power facility in Clarendon, Jamaica,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landed micro-fuel handling facility in San Juan, Puerto Rico,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LNG receiving facility and gas-fired power plant at the Port of Pichilingue in Baja California Sur, Mexico, and </w:t>
            </w:r>
          </w:p>
        </w:tc>
      </w:tr>
    </w:tbl>
    <w:tbl>
      <w:tblPr>
        <w:tblW w:w="1750" w:type="dxa"/>
        <w:jc w:val="left"/>
        <w:tblInd w:w="0" w:type="dxa"/>
        <w:tblLayout w:type="fixed"/>
        <w:tblCellMar>
          <w:top w:w="0" w:type="dxa"/>
          <w:left w:w="0" w:type="dxa"/>
          <w:bottom w:w="0" w:type="dxa"/>
          <w:right w:w="0" w:type="dxa"/>
        </w:tblCellMar>
      </w:tblPr>
      <w:tblGrid>
        <w:gridCol w:w="110"/>
        <w:gridCol w:w="1640"/>
      </w:tblGrid>
      <w:tr>
        <w:trPr/>
        <w:tc>
          <w:tcPr>
            <w:tcW w:w="110" w:type="dxa"/>
            <w:tcBorders/>
            <w:vAlign w:val="center"/>
          </w:tcPr>
          <w:p>
            <w:pPr>
              <w:pStyle w:val="TableContents"/>
              <w:bidi w:val="0"/>
              <w:spacing w:before="0" w:after="0"/>
              <w:jc w:val="left"/>
              <w:rPr>
                <w:color w:val="000000"/>
              </w:rPr>
            </w:pPr>
            <w:r>
              <w:rPr>
                <w:color w:val="000000"/>
              </w:rPr>
              <w:t>•</w:t>
            </w:r>
          </w:p>
        </w:tc>
        <w:tc>
          <w:tcPr>
            <w:tcW w:w="1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Miami Facility.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0" w:name="DSPFPageBreakArea6"/>
      <w:bookmarkStart w:id="41" w:name="DSPFPageBreakArea6"/>
      <w:bookmarkEnd w:id="4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2" w:name="DSPFPageBreak6"/>
      <w:bookmarkStart w:id="43" w:name="DSPFPageBreak6"/>
      <w:bookmarkEnd w:id="4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4" w:name="ny20022010x1_s3asr_206-risk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RF"/>
      <w:bookmarkEnd w:id="45"/>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2023,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6" w:name="DSPFPageBreakArea7"/>
      <w:bookmarkStart w:id="47" w:name="DSPFPageBreakArea7"/>
      <w:bookmarkEnd w:id="4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8" w:name="DSPFPageBreak7"/>
      <w:bookmarkStart w:id="49" w:name="DSPFPageBreak7"/>
      <w:bookmarkEnd w:id="4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 w:name="ny20022010x1_s3asr_207-use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UOP"/>
      <w:bookmarkEnd w:id="51"/>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set forth in an accompanying prospectus supplement, we will not receive any proceeds in the event that securities are sold by a selling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2" w:name="DSPFPageBreakArea8"/>
      <w:bookmarkStart w:id="53" w:name="DSPFPageBreakArea8"/>
      <w:bookmarkEnd w:id="5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4" w:name="DSPFPageBreak8"/>
      <w:bookmarkStart w:id="55" w:name="DSPFPageBreak8"/>
      <w:bookmarkEnd w:id="5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6" w:name="ny20022010x1_s3asr_208-desc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DOS"/>
      <w:bookmarkEnd w:id="57"/>
      <w:r>
        <w:rPr>
          <w:rFonts w:ascii="Times New Roman;Times;serif" w:hAnsi="Times New Roman;Times;serif"/>
          <w:b/>
          <w:color w:val="000000"/>
          <w:sz w:val="20"/>
        </w:rPr>
        <w:t xml:space="preserve">DESCRIPTION OF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8" w:name="DSPFPageBreakArea9"/>
      <w:bookmarkStart w:id="59" w:name="DSPFPageBreakArea9"/>
      <w:bookmarkEnd w:id="5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0" w:name="DSPFPageBreak9"/>
      <w:bookmarkStart w:id="61" w:name="DSPFPageBreak9"/>
      <w:bookmarkEnd w:id="6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 w:name="ny20022010x1_s3asr_208-desc_pg2"/>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DOC"/>
      <w:bookmarkEnd w:id="63"/>
      <w:r>
        <w:rPr>
          <w:rFonts w:ascii="Times New Roman;Times;serif" w:hAnsi="Times New Roman;Times;serif"/>
          <w:b/>
          <w:color w:val="000000"/>
          <w:sz w:val="20"/>
        </w:rPr>
        <w:t xml:space="preserve">DESCRIPTION OF CAPITAL STOCK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February 26, 2024, there were 205,033,557 shares of Class A common stock outstanding. As of the date hereof, there are no shares of Class B common stock or preferred stock outstanding.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A Common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Voting Rights.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Holders of Class A common stock are entitled to one vote per share held of record on all matters to be voted upon by the stockholders. Holders of our Class A common stock and Class B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Dividend Rights.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Holders of our Class A common stock are entitled to ratably receive dividends when and if declared by our board of directors out of funds legally available for that purpose, subject to any statutory or contractual restrictions on the payment of dividends and to any prior rights and preferences that may be applicable to any outstanding preferred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Liquidation Rights.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Upon our dissolution, liquidation or winding up, after payment in full of all amounts required to be paid to creditors and to the holders of preferred stock having liquidation preferences, if any, the holders of our Class A common stock will be entitled to receive our remaining assets available for distribution in accordance with the DGCL.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Other Matters.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Class A common stock have no preemptive or conversion rights and are not subject to further calls or assessment by us. There are no redemption or sinking fund provisions applicable to the Class A common stock. All outstanding Class A common stock are fully paid and non-assessable.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B Common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Generally</w:t>
      </w:r>
      <w:r>
        <w:rPr>
          <w:rFonts w:ascii="Times New Roman;Times;serif" w:hAnsi="Times New Roman;Times;serif"/>
          <w:i w:val="false"/>
          <w:caps w:val="false"/>
          <w:smallCaps w:val="false"/>
          <w:color w:val="000000"/>
          <w:sz w:val="20"/>
        </w:rPr>
        <w:t xml:space="preserve">. Prior to the exchange of all of the units (the “NFI LLC Units”) (other than NFI LLC Units owned by 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Voting Rights</w:t>
      </w:r>
      <w:r>
        <w:rPr>
          <w:rFonts w:ascii="Times New Roman;Times;serif" w:hAnsi="Times New Roman;Times;serif"/>
          <w:i w:val="false"/>
          <w:caps w:val="false"/>
          <w:smallCaps w:val="false"/>
          <w:color w:val="000000"/>
          <w:sz w:val="20"/>
        </w:rPr>
        <w:t xml:space="preserve">. Holders of our Class B common stock are entitled to one vote per share held of record on all matters to be voted upon by the shareholders. Holders of our Class A common stock and Class B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4" w:name="DSPFPageBreakArea10"/>
      <w:bookmarkStart w:id="65" w:name="DSPFPageBreakArea10"/>
      <w:bookmarkEnd w:id="6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6" w:name="DSPFPageBreak10"/>
      <w:bookmarkStart w:id="67" w:name="DSPFPageBreak10"/>
      <w:bookmarkEnd w:id="6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8" w:name="ny20022010x1_s3asr_208-desc_pg3"/>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Dividend and Liquidation Rights</w:t>
      </w:r>
      <w:r>
        <w:rPr>
          <w:rFonts w:ascii="Times New Roman;Times;serif" w:hAnsi="Times New Roman;Times;serif"/>
          <w:i w:val="false"/>
          <w:caps w:val="false"/>
          <w:smallCaps w:val="false"/>
          <w:color w:val="000000"/>
          <w:sz w:val="20"/>
        </w:rPr>
        <w:t xml:space="preserve">. Holders of our Class B common stock do not have any right to receive 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Redemption Right</w:t>
      </w:r>
      <w:r>
        <w:rPr>
          <w:rFonts w:ascii="Times New Roman;Times;serif" w:hAnsi="Times New Roman;Times;serif"/>
          <w:i w:val="false"/>
          <w:caps w:val="false"/>
          <w:smallCaps w:val="false"/>
          <w:color w:val="000000"/>
          <w:sz w:val="20"/>
        </w:rPr>
        <w:t xml:space="preserve">. Pursuant to the limited liability company agreement of NFI, each holder of NFI LLC Units 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Duties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American Stock Transfer &amp; Trust Company, LLC is the registrar and transfer agent for the Class A common stock. We pay all fees charged by the transfer agent for transfers of Class A common stock except the following, which must be paid by our Class A stockholders: </w:t>
      </w:r>
    </w:p>
    <w:tbl>
      <w:tblPr>
        <w:tblW w:w="8050" w:type="dxa"/>
        <w:jc w:val="left"/>
        <w:tblInd w:w="0" w:type="dxa"/>
        <w:tblLayout w:type="fixed"/>
        <w:tblCellMar>
          <w:top w:w="0" w:type="dxa"/>
          <w:left w:w="0" w:type="dxa"/>
          <w:bottom w:w="0" w:type="dxa"/>
          <w:right w:w="0" w:type="dxa"/>
        </w:tblCellMar>
      </w:tblPr>
      <w:tblGrid>
        <w:gridCol w:w="110"/>
        <w:gridCol w:w="7940"/>
      </w:tblGrid>
      <w:tr>
        <w:trPr/>
        <w:tc>
          <w:tcPr>
            <w:tcW w:w="11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surety bond premiums to replace lost or stolen certificates, taxes and other governmental charges;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special charges for services requested by a holder of a Class A share; and </w:t>
            </w:r>
          </w:p>
        </w:tc>
      </w:tr>
    </w:tbl>
    <w:tbl>
      <w:tblPr>
        <w:tblW w:w="2470" w:type="dxa"/>
        <w:jc w:val="left"/>
        <w:tblInd w:w="0" w:type="dxa"/>
        <w:tblLayout w:type="fixed"/>
        <w:tblCellMar>
          <w:top w:w="0" w:type="dxa"/>
          <w:left w:w="0" w:type="dxa"/>
          <w:bottom w:w="0" w:type="dxa"/>
          <w:right w:w="0" w:type="dxa"/>
        </w:tblCellMar>
      </w:tblPr>
      <w:tblGrid>
        <w:gridCol w:w="110"/>
        <w:gridCol w:w="2360"/>
      </w:tblGrid>
      <w:tr>
        <w:trPr/>
        <w:tc>
          <w:tcPr>
            <w:tcW w:w="110" w:type="dxa"/>
            <w:tcBorders/>
            <w:vAlign w:val="center"/>
          </w:tcPr>
          <w:p>
            <w:pPr>
              <w:pStyle w:val="TableContents"/>
              <w:bidi w:val="0"/>
              <w:spacing w:before="0" w:after="0"/>
              <w:jc w:val="left"/>
              <w:rPr>
                <w:color w:val="000000"/>
              </w:rPr>
            </w:pPr>
            <w:r>
              <w:rPr>
                <w:color w:val="000000"/>
              </w:rPr>
              <w:t>•</w:t>
            </w:r>
          </w:p>
        </w:tc>
        <w:tc>
          <w:tcPr>
            <w:tcW w:w="2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similar fees or charges.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Resignation or Removal</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may resign, by notice to us, or be removed by us.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of Class A common stock and Class B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Class A common stock and Class B common stock are securities and any transfers are subject to the laws governing the transfer of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9" w:name="DSPFPageBreakArea11"/>
      <w:bookmarkStart w:id="70" w:name="DSPFPageBreakArea11"/>
      <w:bookmarkEnd w:id="7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1" w:name="DSPFPageBreak11"/>
      <w:bookmarkStart w:id="72" w:name="DSPFPageBreak11"/>
      <w:bookmarkEnd w:id="7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 w:name="ny20022010x1_s3asr_208-desc_pg4"/>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Certificate of Incorporation and Bylaws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and Duration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of Our Organizational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 </w:t>
      </w:r>
    </w:p>
    <w:p>
      <w:pPr>
        <w:pStyle w:val="TextBody"/>
        <w:bidi w:val="0"/>
        <w:spacing w:before="16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Prohibited Amendments.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No amendment may be made that would: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enlarge the obligations of any stockholder without such stockholder’s consent, unless approved by at least a majority of the type or class of shares so affected; or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 the term of existence of our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 of our organizational documents preventing the amendments having the effects described in any of the clauses above can be amended upon the approval of holders of at least two-thirds of the outstanding shares.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No Stockholder Approval.</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Our board of directors may generally make amendments to our Bylaws, and in certain circumstances to our Certificate of Incorporation, without the approval of any stockholder or assignee to reflect: </w:t>
      </w:r>
    </w:p>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change in our name, the location of our principal place of our business, our registered agent or our registered office;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amendment that our board of directors determines to be necessary or appropriate for the authorization of additional securities; </w:t>
            </w:r>
          </w:p>
        </w:tc>
      </w:tr>
    </w:tbl>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expressly permitted in our organizational documents to be made by our board of directors acting alone;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amendment effected, necessitated or contemplated by a merger agreement that has been approved under the terms of our organizational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that our board of directors determines to be necessary or appropriate for the formation by us of, or our investment in, any corporation, partnership or other entity, as otherwise permitted by our organizational documents;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change in our fiscal year or taxable year and related changes; and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amendments substantially similar to any of the matters described in the clauses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4" w:name="DSPFPageBreakArea12"/>
      <w:bookmarkStart w:id="75" w:name="DSPFPageBreakArea12"/>
      <w:bookmarkEnd w:id="7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6" w:name="DSPFPageBreak12"/>
      <w:bookmarkStart w:id="77" w:name="DSPFPageBreak12"/>
      <w:bookmarkEnd w:id="7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 w:name="ny20022010x1_s3asr_208-desc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board of directors may make amendments to our Bylaws without the approval of any stockholder or assignee if our board of directors determines that those amendments: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 not adversely affect the stockholders in any material respect;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necessary or appropriate to satisfy any requirements, conditions or guidelines contained in any opinion, directive, order, ruling or regulation of any federal or state agency or judicial authority or contained in any federal or state statute;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necessary or appropriate for any action taken by our board of directors relating to splits or combinations of shares under the provisions of our Bylaws;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required to effect the intent of the provisions of our organizational documents or are otherwise contemplated by our organizational documents.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Sale or Other Disposition of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provisions of the DGCL, our board of directors is generally prohibited, without the prior approval of holders of a majority of the total combined voting power of all of our Class A common stock and Class B common stock,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 Our board of directors may also sell all or substantially all of our assets under a foreclosure or other realization upon the encumbrances above without that approval.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Books and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Delaware Law and Our Organizational Documents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Issuance of Additional Interests. </w:t>
      </w:r>
      <w:r>
        <w:rPr>
          <w:rFonts w:ascii="Times New Roman;Times;serif" w:hAnsi="Times New Roman;Times;serif"/>
          <w:i w:val="false"/>
          <w:caps w:val="false"/>
          <w:smallCaps w:val="false"/>
          <w:color w:val="000000"/>
          <w:sz w:val="20"/>
        </w:rPr>
        <w:t xml:space="preserve">Our organizational documents authorize us to issue up to 750 million shares of 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Delaware Business Combination Statute—Section 203. </w:t>
      </w:r>
      <w:r>
        <w:rPr>
          <w:rFonts w:ascii="Times New Roman;Times;serif" w:hAnsi="Times New Roman;Times;serif"/>
          <w:i w:val="false"/>
          <w:caps w:val="false"/>
          <w:smallCaps w:val="false"/>
          <w:color w:val="000000"/>
          <w:sz w:val="20"/>
        </w:rPr>
        <w:t xml:space="preserve">We are a corporation organized under Delaware law. Some provisions of Delaware law may delay or prevent a transaction that would cause a change in our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9" w:name="DSPFPageBreakArea13"/>
      <w:bookmarkStart w:id="80" w:name="DSPFPageBreakArea13"/>
      <w:bookmarkEnd w:id="8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1" w:name="DSPFPageBreak13"/>
      <w:bookmarkStart w:id="82" w:name="DSPFPageBreak13"/>
      <w:bookmarkEnd w:id="8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3" w:name="ny20022010x1_s3asr_208-desc_pg6"/>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such time, our board of directors approved either the business combination or the transaction which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consummation of the transaction which resulted in the stockholder becoming an interested stockholder, the interested stockholder owned at least 85% of our voting stock outstanding at the time the transaction commenced, excluding certain shares;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or subsequent to that time, the business combination is approved by our board of directors and by the affirmative vote of holders of at least two-thirds of our outstanding voting stock that is not owned by the interested stockholder.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restrictions described above do not apply if (a) the Company does not have a class of voting stock that is: (i) 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Other Provisions of Our Organizational Documents. </w:t>
      </w:r>
      <w:r>
        <w:rPr>
          <w:rFonts w:ascii="Times New Roman;Times;serif" w:hAnsi="Times New Roman;Times;serif"/>
          <w:i w:val="false"/>
          <w:caps w:val="false"/>
          <w:smallCaps w:val="false"/>
          <w:color w:val="000000"/>
          <w:sz w:val="20"/>
        </w:rPr>
        <w:t xml:space="preserve">Our Certificate of Incorporation provides that our board 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4" w:name="DSPFPageBreakArea14"/>
      <w:bookmarkStart w:id="85" w:name="DSPFPageBreakArea14"/>
      <w:bookmarkEnd w:id="8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6" w:name="DSPFPageBreak14"/>
      <w:bookmarkStart w:id="87" w:name="DSPFPageBreak14"/>
      <w:bookmarkEnd w:id="8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8" w:name="ny20022010x1_s3asr_208-desc_pg7"/>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Certificate of Incorporation, preferred stock may be issued from time to time, and the board of directors is authorized to determine and alter all designations, preferences, rights, powers and duties without limitation. See “Description of Capital Stock—Preferred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Ability of Our Stockholders to Act. </w:t>
      </w:r>
      <w:r>
        <w:rPr>
          <w:rFonts w:ascii="Times New Roman;Times;serif" w:hAnsi="Times New Roman;Times;serif"/>
          <w:i w:val="false"/>
          <w:caps w:val="false"/>
          <w:smallCaps w:val="false"/>
          <w:color w:val="000000"/>
          <w:sz w:val="20"/>
        </w:rPr>
        <w:t xml:space="preserve">Our organizational documents do not permit our stockholders to call special 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Removal of Members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9" w:name="DSPFPageBreakArea15"/>
      <w:bookmarkStart w:id="90" w:name="DSPFPageBreakArea15"/>
      <w:bookmarkEnd w:id="9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91" w:name="DSPFPageBreak15"/>
      <w:bookmarkStart w:id="92" w:name="DSPFPageBreak15"/>
      <w:bookmarkEnd w:id="9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3" w:name="ny20022010x1_s3asr_208-desc_pg8"/>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Forum Selection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unless we consent in writing to the selection of an alternative forum, the Court of Chancery of the State of Delaware will, to the fullest extent permitted by applicable law, be the sole and exclusive forum for: </w:t>
      </w:r>
    </w:p>
    <w:tbl>
      <w:tblPr>
        <w:tblW w:w="4945" w:type="dxa"/>
        <w:jc w:val="left"/>
        <w:tblInd w:w="0" w:type="dxa"/>
        <w:tblLayout w:type="fixed"/>
        <w:tblCellMar>
          <w:top w:w="0" w:type="dxa"/>
          <w:left w:w="0" w:type="dxa"/>
          <w:bottom w:w="0" w:type="dxa"/>
          <w:right w:w="0" w:type="dxa"/>
        </w:tblCellMar>
      </w:tblPr>
      <w:tblGrid>
        <w:gridCol w:w="110"/>
        <w:gridCol w:w="4835"/>
      </w:tblGrid>
      <w:tr>
        <w:trPr/>
        <w:tc>
          <w:tcPr>
            <w:tcW w:w="11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derivative action or proceeding brought on our behalf;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 asserting a claim of breach of a fiduciary duty owed by any of our directors, officers, employees or agents to us or our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 asserting a claim against us or any director or officer or other employee of ours arising pursuant to any provision of the DGCL or our organizational documents;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Consent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material change, through any acquisition, disposition of assets or otherwise, in the nature of our business or operations and our subsidiaries as of February 4, 2019;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terminating Wesley Edens as our chief executive officer or as Chairman of the Board of Directors and hiring or appointing his successor;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increase or decrease in the size of the board of directors, committees of the board of directors and board and committees of our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voluntary election by us or any of our subsidiaries to liquidate or dissolve or commence bankruptcy or insolvency proceedings or the adoption of a plan with respect to any of the foregoing;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modification or waiver of our organizational documents or any other of our governing documents following the date of our Certificate of Incorporation that materially and adversely affects any Consenting Entity or any of their affiliates.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4" w:name="DSPFPageBreakArea16"/>
      <w:bookmarkStart w:id="95" w:name="DSPFPageBreakArea16"/>
      <w:bookmarkEnd w:id="9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96" w:name="DSPFPageBreak16"/>
      <w:bookmarkStart w:id="97" w:name="DSPFPageBreak16"/>
      <w:bookmarkEnd w:id="9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8" w:name="ny20022010x1_s3asr_208-desc_pg9"/>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Opportunity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and Class B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9" w:name="DSPFPageBreakArea17"/>
      <w:bookmarkStart w:id="100" w:name="DSPFPageBreakArea17"/>
      <w:bookmarkEnd w:id="10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01" w:name="DSPFPageBreak17"/>
      <w:bookmarkStart w:id="102" w:name="DSPFPageBreak17"/>
      <w:bookmarkEnd w:id="10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3" w:name="ny20022010x1_s3asr_208-desc_pg10"/>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4" w:name="tDOD"/>
      <w:bookmarkEnd w:id="104"/>
      <w:r>
        <w:rPr>
          <w:rFonts w:ascii="Times New Roman;Times;serif" w:hAnsi="Times New Roman;Times;serif"/>
          <w:b/>
          <w:color w:val="000000"/>
          <w:sz w:val="20"/>
        </w:rPr>
        <w:t xml:space="preserve">DESCRIPTION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deposit agreement relating to a particular series of preferred stock may have provisions applicable solely to that series of preferred stock, all deposit agreements relating to preferred stock we issue will include the following provisions: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and Other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Withdrawal of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Redemption of Depositary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Liquidation Preference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05" w:name="DSPFPageBreakArea18"/>
      <w:bookmarkStart w:id="106" w:name="DSPFPageBreakArea18"/>
      <w:bookmarkEnd w:id="10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07" w:name="DSPFPageBreak18"/>
      <w:bookmarkStart w:id="108" w:name="DSPFPageBreak18"/>
      <w:bookmarkEnd w:id="10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9" w:name="ny20022010x1_s3asr_208-desc_pg1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Amendment and Termination of a Deposit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 </w:t>
      </w:r>
    </w:p>
    <w:tbl>
      <w:tblPr>
        <w:tblW w:w="7360" w:type="dxa"/>
        <w:jc w:val="left"/>
        <w:tblInd w:w="0" w:type="dxa"/>
        <w:tblLayout w:type="fixed"/>
        <w:tblCellMar>
          <w:top w:w="0" w:type="dxa"/>
          <w:left w:w="0" w:type="dxa"/>
          <w:bottom w:w="0" w:type="dxa"/>
          <w:right w:w="0" w:type="dxa"/>
        </w:tblCellMar>
      </w:tblPr>
      <w:tblGrid>
        <w:gridCol w:w="110"/>
        <w:gridCol w:w="7250"/>
      </w:tblGrid>
      <w:tr>
        <w:trPr/>
        <w:tc>
          <w:tcPr>
            <w:tcW w:w="11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outstanding depositary shares to which it relates have been redeemed or converted;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depositary has made a final distribution to the holders of the depositary shares issued under the deposit agreement upon our liquidation, dissolution or winding up.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 (4) limiting our liability and the liability of the depositary under the deposit agreement (usually to failure to act in good faith, gross negligence or willful misconduct); and (5) indemnifying the depositary against certain possible liabilities.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10" w:name="DSPFPageBreakArea19"/>
      <w:bookmarkStart w:id="111" w:name="DSPFPageBreakArea19"/>
      <w:bookmarkEnd w:id="11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2" w:name="DSPFPageBreak19"/>
      <w:bookmarkStart w:id="113" w:name="DSPFPageBreak19"/>
      <w:bookmarkEnd w:id="11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4" w:name="ny20022010x1_s3asr_208-desc_pg12"/>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5" w:name="tDDS"/>
      <w:bookmarkEnd w:id="115"/>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offer debt securities in one or more series, which may be senior debt securities or subordinated debt securities and which may be convertible into another security.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Trust Company, National Association (as successor to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and aggregate principal amount of the debt securities and any limit on the aggregate principal amount of such series;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applicable subordination provisions for any subordinated debt securities;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maturity date(s) or method for determining same;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interest rate(s) or the method for determining same;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on which interest will accrue or the method for determining dates on which interest will accrue and dates on which interest will be payable and whether interest will be payable in cash, additional securities or some combination thereof;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are convertible or exchangeable into other securities and any related terms and conditions; </w:t>
            </w:r>
          </w:p>
        </w:tc>
      </w:tr>
    </w:tbl>
    <w:tbl>
      <w:tblPr>
        <w:tblW w:w="3625" w:type="dxa"/>
        <w:jc w:val="left"/>
        <w:tblInd w:w="0" w:type="dxa"/>
        <w:tblLayout w:type="fixed"/>
        <w:tblCellMar>
          <w:top w:w="0" w:type="dxa"/>
          <w:left w:w="0" w:type="dxa"/>
          <w:bottom w:w="0" w:type="dxa"/>
          <w:right w:w="0" w:type="dxa"/>
        </w:tblCellMar>
      </w:tblPr>
      <w:tblGrid>
        <w:gridCol w:w="110"/>
        <w:gridCol w:w="3515"/>
      </w:tblGrid>
      <w:tr>
        <w:trPr/>
        <w:tc>
          <w:tcPr>
            <w:tcW w:w="11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redemption or early repayment provisions;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authorized denominations;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other than the principal amount, the principal amount of debt securities payable upon acceleration;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place(s) where payment of principal and interest may be made, where debt securities may be presented and where notices or demands upon the company may be made;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form or forms of the debt securities of the series including such legends as may be required by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will be issued in whole or in part in the form of one or more global securities and the date as of which the securities are dated if other than the date of original issuance; </w:t>
            </w:r>
          </w:p>
        </w:tc>
      </w:tr>
    </w:tbl>
    <w:tbl>
      <w:tblPr>
        <w:tblW w:w="5785" w:type="dxa"/>
        <w:jc w:val="left"/>
        <w:tblInd w:w="0" w:type="dxa"/>
        <w:tblLayout w:type="fixed"/>
        <w:tblCellMar>
          <w:top w:w="0" w:type="dxa"/>
          <w:left w:w="0" w:type="dxa"/>
          <w:bottom w:w="0" w:type="dxa"/>
          <w:right w:w="0" w:type="dxa"/>
        </w:tblCellMar>
      </w:tblPr>
      <w:tblGrid>
        <w:gridCol w:w="110"/>
        <w:gridCol w:w="5675"/>
      </w:tblGrid>
      <w:tr>
        <w:trPr/>
        <w:tc>
          <w:tcPr>
            <w:tcW w:w="110" w:type="dxa"/>
            <w:tcBorders/>
            <w:vAlign w:val="center"/>
          </w:tcPr>
          <w:p>
            <w:pPr>
              <w:pStyle w:val="TableContents"/>
              <w:bidi w:val="0"/>
              <w:spacing w:before="0" w:after="0"/>
              <w:jc w:val="left"/>
              <w:rPr>
                <w:color w:val="000000"/>
              </w:rPr>
            </w:pPr>
            <w:r>
              <w:rPr>
                <w:color w:val="000000"/>
              </w:rPr>
              <w:t>•</w:t>
            </w:r>
          </w:p>
        </w:tc>
        <w:tc>
          <w:tcPr>
            <w:tcW w:w="5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are secured and the terms of such security;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of discount or premium, if any, with which the debt securities will be issued;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covenants applicable to the particular debt securities being issued;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additions or changes in the defaults and events of default applicable to the particular debt securities being issued;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guarantors of each series, if any, and the extent of the guarantees (including provisions relating to seniority, subordination and release of the guarantees), if 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currencies or currency units in which the purchase price for, the principal of and any premium and any interest on, the debt securities will be payable;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16" w:name="DSPFPageBreakArea20"/>
      <w:bookmarkStart w:id="117" w:name="DSPFPageBreakArea20"/>
      <w:bookmarkEnd w:id="11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8" w:name="DSPFPageBreak20"/>
      <w:bookmarkStart w:id="119" w:name="DSPFPageBreak20"/>
      <w:bookmarkEnd w:id="11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0" w:name="ny20022010x1_s3asr_208-desc_pg13"/>
        <w:bookmarkEnd w:id="1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time period within which, the manner in which and the terms and conditions upon which we or the holders of the debt securities can select the payment currency;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obligation or right to redeem, purchase or repay debt securities under a sinking fund, amortization or analogous provision;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restriction or conditions on the transferability of the debt securities; </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granting special rights to holders of the debt securities upon occurrence of specified events;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or changes relating to compensation or reimbursement of the trustee of the series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relating to the modification of the indenture both with and without the consent of holders of debt securities issued under the indenture and the execution of supplemental indentures for such series;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debt securities (which terms shall not be inconsistent with the provisions of the TIA, but may modify, amend, supplement or delete any of the terms of the indenture with respect to such series of debt securities).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United States federal income tax consequences and special considerations, if any, applicable to any such series will be described in an accompanying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and the debt securities shall be construed in accordance with and governed by the laws of the State of New York.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21" w:name="DSPFPageBreakArea21"/>
      <w:bookmarkStart w:id="122" w:name="DSPFPageBreakArea21"/>
      <w:bookmarkEnd w:id="12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23" w:name="DSPFPageBreak21"/>
      <w:bookmarkStart w:id="124" w:name="DSPFPageBreak21"/>
      <w:bookmarkEnd w:id="12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5" w:name="ny20022010x1_s3asr_208-desc_pg14"/>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6" w:name="tDOW"/>
      <w:bookmarkEnd w:id="126"/>
      <w:r>
        <w:rPr>
          <w:rFonts w:ascii="Times New Roman;Times;serif" w:hAnsi="Times New Roman;Times;serif"/>
          <w:b/>
          <w:color w:val="000000"/>
          <w:sz w:val="20"/>
        </w:rPr>
        <w:t xml:space="preserve">DESCRIPTION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relating to a particular issue of warrants will describe the terms of those warrants, including, when applicable: </w:t>
      </w:r>
    </w:p>
    <w:tbl>
      <w:tblPr>
        <w:tblW w:w="1630" w:type="dxa"/>
        <w:jc w:val="left"/>
        <w:tblInd w:w="0" w:type="dxa"/>
        <w:tblLayout w:type="fixed"/>
        <w:tblCellMar>
          <w:top w:w="0" w:type="dxa"/>
          <w:left w:w="0" w:type="dxa"/>
          <w:bottom w:w="0" w:type="dxa"/>
          <w:right w:w="0" w:type="dxa"/>
        </w:tblCellMar>
      </w:tblPr>
      <w:tblGrid>
        <w:gridCol w:w="110"/>
        <w:gridCol w:w="1520"/>
      </w:tblGrid>
      <w:tr>
        <w:trPr/>
        <w:tc>
          <w:tcPr>
            <w:tcW w:w="11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offering price;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currencies, including composite currencies, in which the purchase price and/or exercise price of the warrants may be payable; </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warrants offered;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and the amount of securities you will receive upon exercise;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procedure for exercise of the warrants and the circumstances, if any, that will cause the warrants to be automatically exercised; </w:t>
            </w:r>
          </w:p>
        </w:tc>
      </w:tr>
    </w:tbl>
    <w:tbl>
      <w:tblPr>
        <w:tblW w:w="4165" w:type="dxa"/>
        <w:jc w:val="left"/>
        <w:tblInd w:w="0" w:type="dxa"/>
        <w:tblLayout w:type="fixed"/>
        <w:tblCellMar>
          <w:top w:w="0" w:type="dxa"/>
          <w:left w:w="0" w:type="dxa"/>
          <w:bottom w:w="0" w:type="dxa"/>
          <w:right w:w="0" w:type="dxa"/>
        </w:tblCellMar>
      </w:tblPr>
      <w:tblGrid>
        <w:gridCol w:w="110"/>
        <w:gridCol w:w="4055"/>
      </w:tblGrid>
      <w:tr>
        <w:trPr/>
        <w:tc>
          <w:tcPr>
            <w:tcW w:w="110" w:type="dxa"/>
            <w:tcBorders/>
            <w:vAlign w:val="center"/>
          </w:tcPr>
          <w:p>
            <w:pPr>
              <w:pStyle w:val="TableContents"/>
              <w:bidi w:val="0"/>
              <w:spacing w:before="0" w:after="0"/>
              <w:jc w:val="left"/>
              <w:rPr>
                <w:color w:val="000000"/>
              </w:rPr>
            </w:pPr>
            <w:r>
              <w:rPr>
                <w:color w:val="000000"/>
              </w:rPr>
              <w:t>•</w:t>
            </w:r>
          </w:p>
        </w:tc>
        <w:tc>
          <w:tcPr>
            <w:tcW w:w="4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if any, we have to redeem the warrants;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warrants will commence and the date on which the warrants will expire;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the warrant agent; and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material terms of the warrants.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issue of warrants will be evidenced by warrant certificates. After warrants expire they will become void. The prospectus supplement may provide for the adjustment of the exercise price of the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27" w:name="DSPFPageBreakArea22"/>
      <w:bookmarkStart w:id="128" w:name="DSPFPageBreakArea22"/>
      <w:bookmarkEnd w:id="12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29" w:name="DSPFPageBreak22"/>
      <w:bookmarkStart w:id="130" w:name="DSPFPageBreak22"/>
      <w:bookmarkEnd w:id="13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1" w:name="ny20022010x1_s3asr_209-stock_pg1"/>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2" w:name="tSS"/>
      <w:bookmarkEnd w:id="132"/>
      <w:r>
        <w:rPr>
          <w:rFonts w:ascii="Times New Roman;Times;serif" w:hAnsi="Times New Roman;Times;serif"/>
          <w:b/>
          <w:color w:val="000000"/>
          <w:sz w:val="20"/>
        </w:rPr>
        <w:t xml:space="preserve">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also relates to the offer and sale from time to time of up to 114,670,972 shares of Class A common stock by certain of our stockholders identified in the table below, who we refer to in this prospectus as the “selling stockholders.” The selling stockholders identified below may currently hold or acquire at any time Class A common stock in addition to those registered 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 Except as otherwise indicated, all persons listed below have sole voting and investment power with respect to the shares beneficially owned by them. Unless otherwise noted, the mailing address of each listed beneficial owner is 111 W. 19th Street, 8th Floor, New York, New York 10011.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 the below table (other than the percentages of our outstanding Class A common stock beneficially owned) in respect of the selling stockholders was furnished by or on behalf of the selling stockholders and is as of March 1, 2024. Except as may be noted in this section, none of the selling stockholders has, or within the past three years has had, any material relationship with us or any of our affiliates.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Wesley R. Edens, Randal A. Nardone and all of the entities listed under “Selling Stockholders”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offer or sale under this prospectus may be made by any stockholder unless that holder is listed in the table below, in any supplement to this prospectus or in an amendment to the relevant registration statement that has become effective. We will supplement or amend this prospectus if applicable to include additional selling stockholders upon provision of all required information to us and subject to the terms of any relevant agreement between us and the 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are not obligated to sell any of the Class A common stock offered by this prospectus. Because the selling stockholders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stockholders upon termination of this offering. Therefore, for the purposes of the following table, we have assumed that the selling stockholders will sell all of the Class A common stock beneficially owned by them that are covered by this prospectus, but will not sell any other Class A common stock that they may currently own. </w:t>
      </w:r>
    </w:p>
    <w:tbl>
      <w:tblPr>
        <w:tblW w:w="7924" w:type="dxa"/>
        <w:jc w:val="left"/>
        <w:tblInd w:w="0" w:type="dxa"/>
        <w:tblLayout w:type="fixed"/>
        <w:tblCellMar>
          <w:top w:w="0" w:type="dxa"/>
          <w:left w:w="0" w:type="dxa"/>
          <w:bottom w:w="0" w:type="dxa"/>
          <w:right w:w="0" w:type="dxa"/>
        </w:tblCellMar>
      </w:tblPr>
      <w:tblGrid>
        <w:gridCol w:w="2945"/>
        <w:gridCol w:w="23"/>
        <w:gridCol w:w="23"/>
        <w:gridCol w:w="1085"/>
        <w:gridCol w:w="26"/>
        <w:gridCol w:w="26"/>
        <w:gridCol w:w="622"/>
        <w:gridCol w:w="23"/>
        <w:gridCol w:w="23"/>
        <w:gridCol w:w="1310"/>
        <w:gridCol w:w="23"/>
        <w:gridCol w:w="23"/>
        <w:gridCol w:w="976"/>
        <w:gridCol w:w="34"/>
        <w:gridCol w:w="34"/>
        <w:gridCol w:w="728"/>
      </w:tblGrid>
      <w:tr>
        <w:trPr/>
        <w:tc>
          <w:tcPr>
            <w:tcW w:w="29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1759" w:type="dxa"/>
            <w:gridSpan w:val="4"/>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vMerge w:val="restart"/>
            <w:tcBorders>
              <w:bottom w:val="single" w:sz="2" w:space="0" w:color="FFFFFF"/>
            </w:tcBorders>
            <w:tcMar>
              <w:bottom w:w="75" w:type="dxa"/>
            </w:tcMar>
            <w:vAlign w:val="center"/>
          </w:tcPr>
          <w:p>
            <w:pPr>
              <w:pStyle w:val="TableContents"/>
              <w:bidi w:val="0"/>
              <w:spacing w:before="0" w:after="283"/>
              <w:jc w:val="left"/>
              <w:rPr/>
            </w:pPr>
            <w:r>
              <w:rPr/>
              <w:t>​</w:t>
            </w:r>
          </w:p>
        </w:tc>
        <w:tc>
          <w:tcPr>
            <w:tcW w:w="1310" w:type="dxa"/>
            <w:vMerge w:val="restart"/>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Offered Hereby</w:t>
            </w:r>
          </w:p>
        </w:tc>
        <w:tc>
          <w:tcPr>
            <w:tcW w:w="23" w:type="dxa"/>
            <w:vMerge w:val="restart"/>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1772" w:type="dxa"/>
            <w:gridSpan w:val="4"/>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the Offering </w:t>
            </w:r>
          </w:p>
        </w:tc>
      </w:tr>
      <w:tr>
        <w:trPr/>
        <w:tc>
          <w:tcPr>
            <w:tcW w:w="29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1085"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tc>
        <w:tc>
          <w:tcPr>
            <w:tcW w:w="26" w:type="dxa"/>
            <w:tcBorders>
              <w:bottom w:val="single" w:sz="2" w:space="0" w:color="FFFFFF"/>
            </w:tcBorders>
            <w:tcMar>
              <w:bottom w:w="75" w:type="dxa"/>
            </w:tcMar>
            <w:vAlign w:val="center"/>
          </w:tcPr>
          <w:p>
            <w:pPr>
              <w:pStyle w:val="TableContents"/>
              <w:bidi w:val="0"/>
              <w:spacing w:before="0" w:after="283"/>
              <w:jc w:val="left"/>
              <w:rPr/>
            </w:pPr>
            <w:r>
              <w:rPr/>
              <w:t>​</w:t>
            </w:r>
          </w:p>
        </w:tc>
        <w:tc>
          <w:tcPr>
            <w:tcW w:w="26" w:type="dxa"/>
            <w:tcBorders>
              <w:bottom w:val="single" w:sz="2" w:space="0" w:color="FFFFFF"/>
            </w:tcBorders>
            <w:tcMar>
              <w:bottom w:w="75" w:type="dxa"/>
            </w:tcMar>
            <w:vAlign w:val="center"/>
          </w:tcPr>
          <w:p>
            <w:pPr>
              <w:pStyle w:val="TableContents"/>
              <w:bidi w:val="0"/>
              <w:spacing w:before="0" w:after="283"/>
              <w:jc w:val="left"/>
              <w:rPr/>
            </w:pPr>
            <w:r>
              <w:rPr/>
              <w:t>​</w:t>
            </w:r>
          </w:p>
        </w:tc>
        <w:tc>
          <w:tcPr>
            <w:tcW w:w="622" w:type="dxa"/>
            <w:tcBorders>
              <w:bottom w:val="single" w:sz="8" w:space="0" w:color="000000"/>
            </w:tcBorders>
            <w:tcMar>
              <w:bottom w:w="75"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vMerge w:val="continue"/>
            <w:tcBorders>
              <w:bottom w:val="single" w:sz="2" w:space="0" w:color="FFFFFF"/>
            </w:tcBorders>
            <w:tcMar>
              <w:bottom w:w="75" w:type="dxa"/>
            </w:tcMar>
            <w:vAlign w:val="center"/>
          </w:tcPr>
          <w:p>
            <w:pPr>
              <w:pStyle w:val="Normal"/>
              <w:bidi w:val="0"/>
              <w:jc w:val="left"/>
              <w:rPr/>
            </w:pPr>
            <w:r>
              <w:rPr/>
            </w:r>
          </w:p>
        </w:tc>
        <w:tc>
          <w:tcPr>
            <w:tcW w:w="1310" w:type="dxa"/>
            <w:vMerge w:val="continue"/>
            <w:tcBorders>
              <w:bottom w:val="single" w:sz="8" w:space="0" w:color="000000"/>
            </w:tcBorders>
            <w:tcMar>
              <w:bottom w:w="75" w:type="dxa"/>
            </w:tcMar>
            <w:vAlign w:val="center"/>
          </w:tcPr>
          <w:p>
            <w:pPr>
              <w:pStyle w:val="Normal"/>
              <w:bidi w:val="0"/>
              <w:jc w:val="left"/>
              <w:rPr/>
            </w:pPr>
            <w:r>
              <w:rPr/>
            </w:r>
          </w:p>
        </w:tc>
        <w:tc>
          <w:tcPr>
            <w:tcW w:w="23" w:type="dxa"/>
            <w:vMerge w:val="continue"/>
            <w:tcBorders>
              <w:bottom w:val="single" w:sz="2" w:space="0" w:color="FFFFFF"/>
            </w:tcBorders>
            <w:tcMar>
              <w:bottom w:w="75" w:type="dxa"/>
            </w:tcMar>
            <w:vAlign w:val="center"/>
          </w:tcPr>
          <w:p>
            <w:pPr>
              <w:pStyle w:val="Normal"/>
              <w:bidi w:val="0"/>
              <w:jc w:val="left"/>
              <w:rPr/>
            </w:pPr>
            <w:r>
              <w:rPr/>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976"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tc>
        <w:tc>
          <w:tcPr>
            <w:tcW w:w="34" w:type="dxa"/>
            <w:tcBorders>
              <w:bottom w:val="single" w:sz="2" w:space="0" w:color="FFFFFF"/>
            </w:tcBorders>
            <w:tcMar>
              <w:bottom w:w="75" w:type="dxa"/>
            </w:tcMar>
            <w:vAlign w:val="center"/>
          </w:tcPr>
          <w:p>
            <w:pPr>
              <w:pStyle w:val="TableContents"/>
              <w:bidi w:val="0"/>
              <w:spacing w:before="0" w:after="283"/>
              <w:jc w:val="left"/>
              <w:rPr/>
            </w:pPr>
            <w:r>
              <w:rPr/>
              <w:t>​</w:t>
            </w:r>
          </w:p>
        </w:tc>
        <w:tc>
          <w:tcPr>
            <w:tcW w:w="34" w:type="dxa"/>
            <w:tcBorders>
              <w:bottom w:val="single" w:sz="2" w:space="0" w:color="FFFFFF"/>
            </w:tcBorders>
            <w:tcMar>
              <w:bottom w:w="75" w:type="dxa"/>
            </w:tcMar>
            <w:vAlign w:val="center"/>
          </w:tcPr>
          <w:p>
            <w:pPr>
              <w:pStyle w:val="TableContents"/>
              <w:bidi w:val="0"/>
              <w:spacing w:before="0" w:after="283"/>
              <w:jc w:val="left"/>
              <w:rPr/>
            </w:pPr>
            <w:r>
              <w:rPr/>
              <w:t>​</w:t>
            </w:r>
          </w:p>
        </w:tc>
        <w:tc>
          <w:tcPr>
            <w:tcW w:w="728" w:type="dxa"/>
            <w:tcBorders>
              <w:bottom w:val="single" w:sz="8" w:space="0" w:color="000000"/>
            </w:tcBorders>
            <w:tcMar>
              <w:bottom w:w="75"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Selling Stockholders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left"/>
              <w:rPr>
                <w:color w:val="000000"/>
              </w:rPr>
            </w:pPr>
            <w:r>
              <w:rPr>
                <w:color w:val="000000"/>
              </w:rPr>
              <w:t> </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0"/>
              <w:jc w:val="center"/>
              <w:rPr>
                <w:color w:val="000000"/>
              </w:rPr>
            </w:pPr>
            <w:r>
              <w:rPr>
                <w:color w:val="000000"/>
              </w:rPr>
              <w:t> </w:t>
            </w:r>
          </w:p>
        </w:tc>
        <w:tc>
          <w:tcPr>
            <w:tcW w:w="34" w:type="dxa"/>
            <w:tcBorders/>
            <w:shd w:fill="CCEEFF" w:val="clear"/>
            <w:vAlign w:val="center"/>
          </w:tcPr>
          <w:p>
            <w:pPr>
              <w:pStyle w:val="TableContents"/>
              <w:bidi w:val="0"/>
              <w:spacing w:before="0" w:after="283"/>
              <w:jc w:val="left"/>
              <w:rPr/>
            </w:pPr>
            <w:r>
              <w:rPr/>
              <w:t>​</w:t>
            </w:r>
          </w:p>
        </w:tc>
        <w:tc>
          <w:tcPr>
            <w:tcW w:w="3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0"/>
              <w:jc w:val="left"/>
              <w:rPr>
                <w:color w:val="000000"/>
              </w:rPr>
            </w:pPr>
            <w:r>
              <w:rPr>
                <w:color w:val="000000"/>
              </w:rPr>
              <w:t> </w:t>
            </w:r>
          </w:p>
        </w:tc>
      </w:tr>
      <w:tr>
        <w:trPr/>
        <w:tc>
          <w:tcPr>
            <w:tcW w:w="29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Fortress Equity Partners GP LLC(2)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13,399,317</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13,399,317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ind w:left="346" w:right="0" w:hanging="0"/>
              <w:jc w:val="left"/>
              <w:rPr>
                <w:color w:val="000000"/>
              </w:rPr>
            </w:pPr>
            <w:r>
              <w:rPr>
                <w:color w:val="000000"/>
              </w:rPr>
              <w:t>—</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283"/>
              <w:ind w:left="21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29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Energy Transition Holdings LLC(3)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25,559,846</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25,559,846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ind w:left="346" w:right="0" w:hanging="0"/>
              <w:jc w:val="left"/>
              <w:rPr>
                <w:color w:val="000000"/>
              </w:rPr>
            </w:pPr>
            <w:r>
              <w:rPr>
                <w:color w:val="000000"/>
              </w:rPr>
              <w:t>—</w:t>
            </w:r>
          </w:p>
        </w:tc>
        <w:tc>
          <w:tcPr>
            <w:tcW w:w="34" w:type="dxa"/>
            <w:tcBorders/>
            <w:shd w:fill="CCEEFF" w:val="clear"/>
            <w:vAlign w:val="center"/>
          </w:tcPr>
          <w:p>
            <w:pPr>
              <w:pStyle w:val="TableContents"/>
              <w:bidi w:val="0"/>
              <w:spacing w:before="0" w:after="283"/>
              <w:jc w:val="left"/>
              <w:rPr/>
            </w:pPr>
            <w:r>
              <w:rPr/>
              <w:t>​</w:t>
            </w:r>
          </w:p>
        </w:tc>
        <w:tc>
          <w:tcPr>
            <w:tcW w:w="3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ind w:left="21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29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left"/>
              <w:rPr>
                <w:color w:val="000000"/>
              </w:rPr>
            </w:pPr>
            <w:r>
              <w:rPr>
                <w:color w:val="000000"/>
              </w:rPr>
              <w:t> </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0"/>
              <w:jc w:val="center"/>
              <w:rPr>
                <w:color w:val="000000"/>
              </w:rPr>
            </w:pPr>
            <w:r>
              <w:rPr>
                <w:color w:val="000000"/>
              </w:rPr>
              <w:t> </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0"/>
              <w:jc w:val="left"/>
              <w:rPr>
                <w:color w:val="000000"/>
              </w:rPr>
            </w:pPr>
            <w:r>
              <w:rPr>
                <w:color w:val="000000"/>
              </w:rPr>
              <w:t>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left"/>
              <w:rPr>
                <w:color w:val="000000"/>
              </w:rPr>
            </w:pPr>
            <w:r>
              <w:rPr>
                <w:color w:val="000000"/>
              </w:rPr>
              <w:t> </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0"/>
              <w:jc w:val="center"/>
              <w:rPr>
                <w:color w:val="000000"/>
              </w:rPr>
            </w:pPr>
            <w:r>
              <w:rPr>
                <w:color w:val="000000"/>
              </w:rPr>
              <w:t> </w:t>
            </w:r>
          </w:p>
        </w:tc>
        <w:tc>
          <w:tcPr>
            <w:tcW w:w="34" w:type="dxa"/>
            <w:tcBorders/>
            <w:shd w:fill="CCEEFF" w:val="clear"/>
            <w:vAlign w:val="center"/>
          </w:tcPr>
          <w:p>
            <w:pPr>
              <w:pStyle w:val="TableContents"/>
              <w:bidi w:val="0"/>
              <w:spacing w:before="0" w:after="283"/>
              <w:jc w:val="left"/>
              <w:rPr/>
            </w:pPr>
            <w:r>
              <w:rPr/>
              <w:t>​</w:t>
            </w:r>
          </w:p>
        </w:tc>
        <w:tc>
          <w:tcPr>
            <w:tcW w:w="3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0"/>
              <w:jc w:val="left"/>
              <w:rPr>
                <w:color w:val="000000"/>
              </w:rPr>
            </w:pPr>
            <w:r>
              <w:rPr>
                <w:color w:val="000000"/>
              </w:rPr>
              <w:t> </w:t>
            </w:r>
          </w:p>
        </w:tc>
      </w:tr>
      <w:tr>
        <w:trPr/>
        <w:tc>
          <w:tcPr>
            <w:tcW w:w="29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Wesley R. Edens(4)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47,540,924</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47,540,924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ind w:left="346" w:right="0" w:hanging="0"/>
              <w:jc w:val="left"/>
              <w:rPr>
                <w:color w:val="000000"/>
              </w:rPr>
            </w:pPr>
            <w:r>
              <w:rPr>
                <w:color w:val="000000"/>
              </w:rPr>
              <w:t>—</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283"/>
              <w:ind w:left="21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29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A. Nardone(5)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26,196,526</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26,196,526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ind w:left="346" w:right="0" w:hanging="0"/>
              <w:jc w:val="left"/>
              <w:rPr>
                <w:color w:val="000000"/>
              </w:rPr>
            </w:pPr>
            <w:r>
              <w:rPr>
                <w:color w:val="000000"/>
              </w:rPr>
              <w:t>—</w:t>
            </w:r>
          </w:p>
        </w:tc>
        <w:tc>
          <w:tcPr>
            <w:tcW w:w="34" w:type="dxa"/>
            <w:tcBorders/>
            <w:shd w:fill="CCEEFF" w:val="clear"/>
            <w:vAlign w:val="center"/>
          </w:tcPr>
          <w:p>
            <w:pPr>
              <w:pStyle w:val="TableContents"/>
              <w:bidi w:val="0"/>
              <w:spacing w:before="0" w:after="283"/>
              <w:jc w:val="left"/>
              <w:rPr/>
            </w:pPr>
            <w:r>
              <w:rPr/>
              <w:t>​</w:t>
            </w:r>
          </w:p>
        </w:tc>
        <w:tc>
          <w:tcPr>
            <w:tcW w:w="3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ind w:left="212"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S. Guinta</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201,653</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201,653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ind w:left="346" w:right="0" w:hanging="0"/>
              <w:jc w:val="left"/>
              <w:rPr>
                <w:color w:val="000000"/>
              </w:rPr>
            </w:pPr>
            <w:r>
              <w:rPr>
                <w:color w:val="000000"/>
              </w:rPr>
              <w:t>—</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Desmond Iain Catterall</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69,841</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69,841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ind w:left="346" w:right="0" w:hanging="0"/>
              <w:jc w:val="left"/>
              <w:rPr>
                <w:color w:val="000000"/>
              </w:rPr>
            </w:pPr>
            <w:r>
              <w:rPr>
                <w:color w:val="000000"/>
              </w:rPr>
              <w:t>—</w:t>
            </w:r>
          </w:p>
        </w:tc>
        <w:tc>
          <w:tcPr>
            <w:tcW w:w="34" w:type="dxa"/>
            <w:tcBorders/>
            <w:shd w:fill="CCEEFF" w:val="clear"/>
            <w:vAlign w:val="center"/>
          </w:tcPr>
          <w:p>
            <w:pPr>
              <w:pStyle w:val="TableContents"/>
              <w:bidi w:val="0"/>
              <w:spacing w:before="0" w:after="283"/>
              <w:jc w:val="left"/>
              <w:rPr/>
            </w:pPr>
            <w:r>
              <w:rPr/>
              <w:t>​</w:t>
            </w:r>
          </w:p>
        </w:tc>
        <w:tc>
          <w:tcPr>
            <w:tcW w:w="3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Grain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114,294</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114,294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ind w:left="346" w:right="0" w:hanging="0"/>
              <w:jc w:val="left"/>
              <w:rPr>
                <w:color w:val="000000"/>
              </w:rPr>
            </w:pPr>
            <w:r>
              <w:rPr>
                <w:color w:val="000000"/>
              </w:rPr>
              <w:t>—</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 William Griffin</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333,429</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333,429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ind w:left="346" w:right="0" w:hanging="0"/>
              <w:jc w:val="left"/>
              <w:rPr>
                <w:color w:val="000000"/>
              </w:rPr>
            </w:pPr>
            <w:r>
              <w:rPr>
                <w:color w:val="000000"/>
              </w:rPr>
              <w:t>—</w:t>
            </w:r>
          </w:p>
        </w:tc>
        <w:tc>
          <w:tcPr>
            <w:tcW w:w="34" w:type="dxa"/>
            <w:tcBorders/>
            <w:shd w:fill="CCEEFF" w:val="clear"/>
            <w:vAlign w:val="center"/>
          </w:tcPr>
          <w:p>
            <w:pPr>
              <w:pStyle w:val="TableContents"/>
              <w:bidi w:val="0"/>
              <w:spacing w:before="0" w:after="283"/>
              <w:jc w:val="left"/>
              <w:rPr/>
            </w:pPr>
            <w:r>
              <w:rPr/>
              <w:t>​</w:t>
            </w:r>
          </w:p>
        </w:tc>
        <w:tc>
          <w:tcPr>
            <w:tcW w:w="3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J. Mack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1,178,013</w:t>
            </w:r>
          </w:p>
        </w:tc>
        <w:tc>
          <w:tcPr>
            <w:tcW w:w="26"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1,178,013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ind w:left="346" w:right="0" w:hanging="0"/>
              <w:jc w:val="left"/>
              <w:rPr>
                <w:color w:val="000000"/>
              </w:rPr>
            </w:pPr>
            <w:r>
              <w:rPr>
                <w:color w:val="000000"/>
              </w:rPr>
              <w:t>—</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Katherine E. Wanner</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77,129</w:t>
            </w:r>
          </w:p>
        </w:tc>
        <w:tc>
          <w:tcPr>
            <w:tcW w:w="26"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20"/>
              </w:rPr>
            </w:pPr>
            <w:r>
              <w:rPr>
                <w:rFonts w:ascii="Times New Roman;Times;serif" w:hAnsi="Times New Roman;Times;serif"/>
                <w:color w:val="000000"/>
                <w:sz w:val="20"/>
              </w:rPr>
              <w:t>77,129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ind w:left="346" w:right="0" w:hanging="0"/>
              <w:jc w:val="left"/>
              <w:rPr>
                <w:color w:val="000000"/>
              </w:rPr>
            </w:pPr>
            <w:r>
              <w:rPr>
                <w:color w:val="000000"/>
              </w:rPr>
              <w:t>—</w:t>
            </w:r>
          </w:p>
        </w:tc>
        <w:tc>
          <w:tcPr>
            <w:tcW w:w="34" w:type="dxa"/>
            <w:tcBorders/>
            <w:shd w:fill="CCEEFF" w:val="clear"/>
            <w:vAlign w:val="center"/>
          </w:tcPr>
          <w:p>
            <w:pPr>
              <w:pStyle w:val="TableContents"/>
              <w:bidi w:val="0"/>
              <w:spacing w:before="0" w:after="283"/>
              <w:jc w:val="left"/>
              <w:rPr/>
            </w:pPr>
            <w:r>
              <w:rPr/>
              <w:t>​</w:t>
            </w:r>
          </w:p>
        </w:tc>
        <w:tc>
          <w:tcPr>
            <w:tcW w:w="3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bl>
    <w:tbl>
      <w:tblPr>
        <w:tblW w:w="6850" w:type="dxa"/>
        <w:jc w:val="left"/>
        <w:tblInd w:w="0" w:type="dxa"/>
        <w:tblLayout w:type="fixed"/>
        <w:tblCellMar>
          <w:top w:w="0" w:type="dxa"/>
          <w:left w:w="0" w:type="dxa"/>
          <w:bottom w:w="0" w:type="dxa"/>
          <w:right w:w="0" w:type="dxa"/>
        </w:tblCellMar>
      </w:tblPr>
      <w:tblGrid>
        <w:gridCol w:w="110"/>
        <w:gridCol w:w="674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one percent of shares outstanding. See footnote (1). </w:t>
            </w:r>
          </w:p>
        </w:tc>
      </w:tr>
    </w:tbl>
    <w:tbl>
      <w:tblPr>
        <w:tblW w:w="6730" w:type="dxa"/>
        <w:jc w:val="left"/>
        <w:tblInd w:w="0" w:type="dxa"/>
        <w:tblLayout w:type="fixed"/>
        <w:tblCellMar>
          <w:top w:w="0" w:type="dxa"/>
          <w:left w:w="0" w:type="dxa"/>
          <w:bottom w:w="0" w:type="dxa"/>
          <w:right w:w="0" w:type="dxa"/>
        </w:tblCellMar>
      </w:tblPr>
      <w:tblGrid>
        <w:gridCol w:w="230"/>
        <w:gridCol w:w="65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5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of February 26, 2024, we had 205,033,557 shares of Class A common stock outstanding.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33" w:name="DSPFPageBreakArea23"/>
      <w:bookmarkStart w:id="134" w:name="DSPFPageBreakArea23"/>
      <w:bookmarkEnd w:id="13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35" w:name="DSPFPageBreak23"/>
      <w:bookmarkStart w:id="136" w:name="DSPFPageBreak23"/>
      <w:bookmarkEnd w:id="13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7" w:name="ny20022010x1_s3asr_209-stock_pg2"/>
        <w:bookmarkEnd w:id="1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lineRule="auto" w:line="240"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 Each of Great Mountain Partners LLC, Mr. Rotolo and Mr. Thomson has disclaimed beneficial ownership of the shares, except to the extent of their pecuniary interest therein. The principal business address of the entities identified herein is 157 Church Street, 20th Floor, New Haven, CT 06510.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29,928,173 shares of Class A common stock held by Edens Family Partners LLC and 17,612,751 shares of Class A common stock held by WRE 2012 Trust LLC (“WRE Trust”), a limited liability company organized under the laws of the State of Delaware. Mr. Edens is the sole beneficial owner of Edens Family Partners LLC.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38" w:name="DSPFPageBreakArea24"/>
      <w:bookmarkStart w:id="139" w:name="DSPFPageBreakArea24"/>
      <w:bookmarkEnd w:id="13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40" w:name="DSPFPageBreak24"/>
      <w:bookmarkStart w:id="141" w:name="DSPFPageBreak24"/>
      <w:bookmarkEnd w:id="14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2" w:name="ny20022010x1_s3asr_210-plan_pg1"/>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3" w:name="tPOD"/>
      <w:bookmarkEnd w:id="143"/>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or the selling stockholders may sell the securities being offered hereby in one or more of the following ways from time to time: </w:t>
      </w:r>
    </w:p>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underwriters for resale to purchasers; </w:t>
            </w:r>
          </w:p>
        </w:tc>
      </w:tr>
    </w:tbl>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to purchasers; </w:t>
            </w:r>
          </w:p>
        </w:tc>
      </w:tr>
    </w:tbl>
    <w:tbl>
      <w:tblPr>
        <w:tblW w:w="3385" w:type="dxa"/>
        <w:jc w:val="left"/>
        <w:tblInd w:w="0" w:type="dxa"/>
        <w:tblLayout w:type="fixed"/>
        <w:tblCellMar>
          <w:top w:w="0" w:type="dxa"/>
          <w:left w:w="0" w:type="dxa"/>
          <w:bottom w:w="0" w:type="dxa"/>
          <w:right w:w="0" w:type="dxa"/>
        </w:tblCellMar>
      </w:tblPr>
      <w:tblGrid>
        <w:gridCol w:w="110"/>
        <w:gridCol w:w="3275"/>
      </w:tblGrid>
      <w:tr>
        <w:trPr/>
        <w:tc>
          <w:tcPr>
            <w:tcW w:w="11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or dealers to purchasers;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“at-the market” offerings (as defined in Rule 415 under the Securities Act of 1933);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these methods; or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any other method permitted by applicable law and described in a prospectus supplement.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or the selling stockholders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stockholders or others to settle such sales and may use securities received from us to close out any related short positions. We or the selling stockholders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or the selling stockholders will identify the specific plan of distribution in a prospectus supplement, including: </w:t>
      </w:r>
    </w:p>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offering; </w:t>
            </w:r>
          </w:p>
        </w:tc>
      </w:tr>
    </w:tbl>
    <w:tbl>
      <w:tblPr>
        <w:tblW w:w="7450" w:type="dxa"/>
        <w:jc w:val="left"/>
        <w:tblInd w:w="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the underwriters, dealers, agents or direct purchasers and their compensation;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price of the securities and the net proceeds we will receive from the sale;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delayed delivery obligations to take the securities;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nature of the underwriters’ obligations to take the securities;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securities exchange or market on which the securities may be listed; </w:t>
            </w:r>
          </w:p>
        </w:tc>
      </w:tr>
    </w:tbl>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any selling stockholders, if applicable; and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facts material to the transaction.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Underwriters, dealers and agents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4" w:name="DSPFPageBreakArea25"/>
      <w:bookmarkStart w:id="145" w:name="DSPFPageBreakArea25"/>
      <w:bookmarkEnd w:id="14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46" w:name="DSPFPageBreak25"/>
      <w:bookmarkStart w:id="147" w:name="DSPFPageBreak25"/>
      <w:bookmarkEnd w:id="14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8" w:name="ny20022010x1_s3asr_210-plan_pg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agents are used in an offering, the names of the agents and the terms of the agency will be specified in a prospectus supplement. Unless otherwise indicated in a prospectus supplement, the agents will act on a best-efforts basis for the period of their appointment.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Underwriters, dealers or agents and their associates may engage in other transactions with and perform other services for us in the ordinary course of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 sales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securities directly to one or more purchasers without using underwriters or agents.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At-the-market offerings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also sell the securities offered by any applicable prospectus supplement in “at-the-market offerings” within the meaning of Rule 415 of the Securities Act of 1933, to or through a market maker or into an existing trading market, on an exchange or otherwise.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Trading markets and listing of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specified in the applicable prospectus supplement, each class or series of securities will be a new issue with no established trading market, other than our Class A common stock, which is listed on Nasdaq.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Stabilization activities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Accordingly, to cover these short sales positions or to otherwise stabilize or maintain the price of the securities, the underwriters may bid for or purchase securities in the open market and may impose penalty bids.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9" w:name="DSPFPageBreakArea26"/>
      <w:bookmarkStart w:id="150" w:name="DSPFPageBreakArea26"/>
      <w:bookmarkEnd w:id="15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51" w:name="DSPFPageBreak26"/>
      <w:bookmarkStart w:id="152" w:name="DSPFPageBreak26"/>
      <w:bookmarkEnd w:id="15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3" w:name="ny20022010x1_s3asr_210-plan_pg3"/>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or otherwise and, if commenced, may be discontinued at any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54" w:name="DSPFPageBreakArea27"/>
      <w:bookmarkStart w:id="155" w:name="DSPFPageBreakArea27"/>
      <w:bookmarkEnd w:id="15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56" w:name="DSPFPageBreak27"/>
      <w:bookmarkStart w:id="157" w:name="DSPFPageBreak27"/>
      <w:bookmarkEnd w:id="15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8" w:name="ny20022010x1_s3asr_211-tax_pg1"/>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9" w:name="tUFI"/>
      <w:bookmarkEnd w:id="159"/>
      <w:r>
        <w:rPr>
          <w:rFonts w:ascii="Times New Roman;Times;serif" w:hAnsi="Times New Roman;Times;serif"/>
          <w:b/>
          <w:color w:val="000000"/>
          <w:sz w:val="20"/>
        </w:rPr>
        <w:t xml:space="preserve">U.S. FEDERAL INCOME TAX CONSIDERATIONS FOR NON-U.S. HOLDERS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60" w:name="DSPFPageBreakArea28"/>
      <w:bookmarkStart w:id="161" w:name="DSPFPageBreakArea28"/>
      <w:bookmarkEnd w:id="16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2" w:name="DSPFPageBreak28"/>
      <w:bookmarkStart w:id="163" w:name="DSPFPageBreak28"/>
      <w:bookmarkEnd w:id="16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4" w:name="ny20022010x1_s3asr_211-tax_pg2"/>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Dispositions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generally will not be subject to U.S. federal income or withholding tax with respect to gain realized on the sale, exchange or other disposition of our Class A common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such non-U.S. holder’s conduct of a trade or business within the United States (and, if required by an applicable tax treaty, is attributable to a U.S. permanent establishment of such non-U.S. 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 non-U.S. holder that is a non-resident alien individual, such non-U.S. holder is present in the United States for 183 or more days in the taxable year of disposition and certain other requirements are met;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 (b) such non-U.S. holder owns or owned (actually or constructively) more than 5% of our Class A common stock at any time during the shorter of the two periods mentioned above.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Account Tax Compliance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65" w:name="DSPFPageBreakArea29"/>
      <w:bookmarkStart w:id="166" w:name="DSPFPageBreakArea29"/>
      <w:bookmarkEnd w:id="16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7" w:name="DSPFPageBreak29"/>
      <w:bookmarkStart w:id="168" w:name="DSPFPageBreak29"/>
      <w:bookmarkEnd w:id="16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9" w:name="ny20022010x1_s3asr_211-tax_pg3"/>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70" w:name="DSPFPageBreakArea30"/>
      <w:bookmarkStart w:id="171" w:name="DSPFPageBreakArea30"/>
      <w:bookmarkEnd w:id="17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72" w:name="DSPFPageBreak30"/>
      <w:bookmarkStart w:id="173" w:name="DSPFPageBreak30"/>
      <w:bookmarkEnd w:id="17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4" w:name="ny20022010x1_s3asr_212-certain_pg1"/>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5" w:name="tCEB"/>
      <w:bookmarkEnd w:id="175"/>
      <w:r>
        <w:rPr>
          <w:rFonts w:ascii="Times New Roman;Times;serif" w:hAnsi="Times New Roman;Times;serif"/>
          <w:b/>
          <w:color w:val="000000"/>
          <w:sz w:val="20"/>
        </w:rPr>
        <w:t xml:space="preserve">CERTAIN ERISA AND BENEFIT PLAN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general summary of certain considerations associated with the acquisition and holding of securities offered hereunder (including interests therein) by employee benefit plans that are subject to Title I of ERISA, plans, individual retirement accounts and other arrangements that are subject to Section 4975 of the Code and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stockholders offer, issue or sell securities, we will provide a supplement to this prospectus that may contain supplemental information to this summary.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Fiduciary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We and our affiliates will not act in a fiduciary capacity with respect to any Plan’s investment in our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investment is prudent under Section 404(a)(1)(B) of ERISA, if applicable, and any other applicable Similar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in making the investment, the Plan will satisfy the diversification requirements of Section 404(a)(1)(C) of ERISA, if applicable, and any other applicable Similar Laws; </w:t>
            </w:r>
          </w:p>
        </w:tc>
      </w:tr>
    </w:tbl>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investment is permitted under the terms of the applicable documents governing the Plan;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in the future there may be no market in which to sell or otherwise dispose of the security ;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acquisition or holding of such security will constitute a “prohibited transaction” under Section 406 of ERISA or Section 4975 of the Code or any Similar Law (please see discussion under “—Prohibited Transaction Issues” below);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Plan will be considered to hold, as plan assets, (i) only such security or (ii) an undivided interest in our underlying assets (please see the discussion under “—Plan Asset Issues” below).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Prohibited Transaction Issues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76" w:name="DSPFPageBreakArea31"/>
      <w:bookmarkStart w:id="177" w:name="DSPFPageBreakArea31"/>
      <w:bookmarkEnd w:id="17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78" w:name="DSPFPageBreak31"/>
      <w:bookmarkStart w:id="179" w:name="DSPFPageBreak31"/>
      <w:bookmarkEnd w:id="17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0" w:name="ny20022010x1_s3asr_212-certain_pg2"/>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Covered Plan that engages in such a non-exempt prohibited transaction may be subject to penalties and liabilities under ERISA and the Code. For example, the acquisition and/or holding of our securities by a Covered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Plan Asset Issues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a fiduciary of a Plan should consider whether the Plan will, by investing in our equity securities ,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Department of Labor (the “DOL”) regulations, as modified by Section 3(42) of ERISA (the “Plan Asset Regulation”) provide guidance with respect to whether the assets of an entity in which Covered Plans acquire equity interests would be deemed “plan assets” of the Covered Plan under some circumstances. Under the Plan Asset Regulation, an entity’s assets generally would not be considered to be “plan assets” if,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equity interests acquired by Covered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Covered Plan as part of a public offering under certain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entity is an “operating company” (as defined in the Plan Asset Regulations)—i.e., it is primarily engaged in the production or sale of a product or service, other than the investment of capital, either directly or through a majority-owned subsidiary or subsidiaries;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there is no significant investment by “benefit plan investors”, which is defined to mean that immediately after the most recent acquisition by a Covered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Covered Plans (which does not include governmental plans, foreign plans and certain church plans), and entities whose underlying assets are deemed to include plan assets by reason of a Covered Plan’s investment in the entity.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Due to the complexity of these rules and the excise taxes, penalties and liabilities that may be imposed upon persons involved in non-exempt prohibited transactions or other violations,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necessary, and if so applicable, with respect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81" w:name="DSPFPageBreakArea32"/>
      <w:bookmarkStart w:id="182" w:name="DSPFPageBreakArea32"/>
      <w:bookmarkEnd w:id="18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83" w:name="DSPFPageBreak32"/>
      <w:bookmarkStart w:id="184" w:name="DSPFPageBreak32"/>
      <w:bookmarkEnd w:id="18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5" w:name="ny20022010x1_s3asr_212-certain_pg3"/>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6" w:name="tLM"/>
      <w:bookmarkEnd w:id="186"/>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 </w:t>
      </w:r>
    </w:p>
    <w:p>
      <w:pPr>
        <w:pStyle w:val="TextBody"/>
        <w:bidi w:val="0"/>
        <w:spacing w:before="410" w:after="283"/>
        <w:jc w:val="center"/>
        <w:rPr>
          <w:rFonts w:ascii="Times New Roman;Times;serif" w:hAnsi="Times New Roman;Times;serif"/>
          <w:b/>
          <w:color w:val="000000"/>
          <w:sz w:val="20"/>
        </w:rPr>
      </w:pPr>
      <w:bookmarkStart w:id="187" w:name="tE"/>
      <w:bookmarkEnd w:id="187"/>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Ernst &amp; Young LLP ,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this registration statement. Our financial statements are incorporated by reference in reliance on Ernst &amp; Young LLP’s’s reports, given on their authority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88" w:name="DSPFPageBreakArea33"/>
      <w:bookmarkStart w:id="189" w:name="DSPFPageBreakArea33"/>
      <w:bookmarkEnd w:id="18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90" w:name="DSPFPageBreak33"/>
      <w:bookmarkStart w:id="191" w:name="DSPFPageBreak33"/>
      <w:bookmarkEnd w:id="19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92" w:name="ny20022010x1_s3asr_300-part2_pg1"/>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INFORMATION NOT REQUIRED IN PROSPECTUS </w:t>
      </w:r>
    </w:p>
    <w:tbl>
      <w:tblPr>
        <w:tblW w:w="4540" w:type="dxa"/>
        <w:jc w:val="left"/>
        <w:tblInd w:w="0" w:type="dxa"/>
        <w:tblLayout w:type="fixed"/>
        <w:tblCellMar>
          <w:top w:w="0" w:type="dxa"/>
          <w:left w:w="0" w:type="dxa"/>
          <w:bottom w:w="0" w:type="dxa"/>
          <w:right w:w="0" w:type="dxa"/>
        </w:tblCellMar>
      </w:tblPr>
      <w:tblGrid>
        <w:gridCol w:w="710"/>
        <w:gridCol w:w="383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8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estimated expenses payable by us in connection with the sale and distribution of the securities registered hereby, other than underwriting discounts or commissions. </w:t>
      </w:r>
    </w:p>
    <w:tbl>
      <w:tblPr>
        <w:tblW w:w="5201" w:type="dxa"/>
        <w:jc w:val="left"/>
        <w:tblInd w:w="0" w:type="dxa"/>
        <w:tblLayout w:type="fixed"/>
        <w:tblCellMar>
          <w:top w:w="0" w:type="dxa"/>
          <w:left w:w="0" w:type="dxa"/>
          <w:bottom w:w="0" w:type="dxa"/>
          <w:right w:w="0" w:type="dxa"/>
        </w:tblCellMar>
      </w:tblPr>
      <w:tblGrid>
        <w:gridCol w:w="4475"/>
        <w:gridCol w:w="23"/>
        <w:gridCol w:w="23"/>
        <w:gridCol w:w="680"/>
      </w:tblGrid>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Securities and Exchange Commission Registration Fee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FINRA Filing Fee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Agents and Trustees’ Fees and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w:t>
            </w:r>
            <w:r>
              <w:rPr>
                <w:rFonts w:ascii="Times New Roman;Times;serif" w:hAnsi="Times New Roman;Times;serif"/>
                <w:color w:val="000000"/>
                <w:sz w:val="20"/>
              </w:rPr>
              <w:t xml:space="preserve">**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Under Rules 456(b) and 457(r) of the Securities Act, applicable SEC registration fees have been deferred and will be paid at the time of any particular offering of the securities under this registration statement, and are therefore not estimable at this time.</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fees are calculated based on the number of issuances and amount of securities offered and, accordingly, cannot be estimated at this time. An estimate of the aggregate amount of these expenses will be included in the applicable prospectus supplement. </w:t>
            </w:r>
          </w:p>
        </w:tc>
      </w:tr>
    </w:tbl>
    <w:tbl>
      <w:tblPr>
        <w:tblW w:w="4300" w:type="dxa"/>
        <w:jc w:val="left"/>
        <w:tblInd w:w="0" w:type="dxa"/>
        <w:tblLayout w:type="fixed"/>
        <w:tblCellMar>
          <w:top w:w="0" w:type="dxa"/>
          <w:left w:w="0" w:type="dxa"/>
          <w:bottom w:w="0" w:type="dxa"/>
          <w:right w:w="0" w:type="dxa"/>
        </w:tblCellMar>
      </w:tblPr>
      <w:tblGrid>
        <w:gridCol w:w="710"/>
        <w:gridCol w:w="359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New Fortress Energy Inc. is incorporated under the laws of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of the DGCL provides that a corporation may indemnify its directors and officers as well as other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in which such person was made, is made or is threatened to be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actually and reasonably incurred by such person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Company’s Certificate of Incorporation and Bylaws, in most circumstances the Company will indemnify the following persons (the “Indemnified Persons”), to the fullest extent authorized or permitted by applicable law: (a) any person who is or was a director or officer of the Company or its predecessor, (b) any person who is or was serving at the request of the Company or its predecessor as an officer, director, member, manager, partner, fiduciary or trustee of another person (including any subsidiary); provided, that a person shall not be an Indemnified Person by reason of providing, on a fee-for-services basis, trustee, fiduciary or custodial services, (c) is or was Fortress Equity Partners (A) LP and Fortress Investment Group LLC or their respective affiliates, (d) is or was NFE WE LLC and NFE RN LLC or their respective affiliates and (e) is or was any person the Board of Directors designates as an “Indemnified Person” for purposes of the Company’s Certificate of Incorporation or the Bylaws. In addition to rights to indemnification, the Company’s Certificate of Incorporation also contains a provision eliminating personal liability of directors of the Company for monetary damages for breach of fiduciary duty as a director, except to the extent such exemption from liability or limitation thereof is not permitted under the DGCL as the same exists as of the date of the Company’s Certificate of Incorporation or as it may be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agreed to provide this indemnification on a case-by-case basis upon authorization from (x) in the case of an Indemnified Person who is a director or officer of the Company at the time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93" w:name="DSPFPageBreakArea34"/>
      <w:bookmarkStart w:id="194" w:name="DSPFPageBreakArea34"/>
      <w:bookmarkEnd w:id="19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95" w:name="DSPFPageBreak34"/>
      <w:bookmarkStart w:id="196" w:name="DSPFPageBreak34"/>
      <w:bookmarkEnd w:id="19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97" w:name="ny20022010x1_s3asr_300-part2_pg2"/>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determination, (i) a majority vote of the Company’s directors who are not parties to such action, suit or proceeding, even though less than a quorum, or (ii) a committee of such directors designated by a majority vote of such directors, even though less than a quorum, or (iii) if there are no such directors, or if such directors so direct, independent legal counsel in a written opinion or (iv) the Company’s stockholders, or (y) in the case of any other Indemnified Person, any person or persons having the authority to act on the matter on behalf of the Company.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 The Company has also agreed to provide this indemnification for criminal proceedings. The Company may purchase and maintain insurance on behalf of any Indemnified Person against any liability asserted against such Indemnified Person, regardless of whether the Company would have the power or obligation to indemnify the person against such liabilities under the Company’s Certificate of Incorporation and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entered into indemnification agreements with its directors and executive officers. The indemnification agreements require, among other things, that the Company indemnify its directors and executive officers to the fullest extent permitted by law and advance its directors and executive officers all related expenses, subject to reimbursement if it is subsequently determined that indemnification is not permitted.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currently maintains an insurance policy on behalf of its directors and officers against any liability asserted against them or which they incur acting in such capacity or arising out of their status as directors or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98" w:name="DSPFPageBreakArea35"/>
      <w:bookmarkStart w:id="199" w:name="DSPFPageBreakArea35"/>
      <w:bookmarkEnd w:id="19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00" w:name="DSPFPageBreak35"/>
      <w:bookmarkStart w:id="201" w:name="DSPFPageBreak35"/>
      <w:bookmarkEnd w:id="20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2" w:name="ny20022010x1_s3asr_301-exindex_pg1"/>
        <w:bookmarkEnd w:id="202"/>
        <w:r>
          <w:rPr>
            <w:rStyle w:val="InternetLink"/>
            <w:rFonts w:ascii="Times New Roman;Times;Serif" w:hAnsi="Times New Roman;Times;Serif"/>
            <w:b/>
            <w:caps w:val="false"/>
            <w:smallCaps w:val="false"/>
            <w:color w:val="000000"/>
            <w:sz w:val="16"/>
          </w:rPr>
          <w:t>TABLE OF CONTENTS</w:t>
        </w:r>
      </w:hyperlink>
    </w:p>
    <w:tbl>
      <w:tblPr>
        <w:tblW w:w="2110" w:type="dxa"/>
        <w:jc w:val="left"/>
        <w:tblInd w:w="0" w:type="dxa"/>
        <w:tblLayout w:type="fixed"/>
        <w:tblCellMar>
          <w:top w:w="0" w:type="dxa"/>
          <w:left w:w="0" w:type="dxa"/>
          <w:bottom w:w="0" w:type="dxa"/>
          <w:right w:w="0" w:type="dxa"/>
        </w:tblCellMar>
      </w:tblPr>
      <w:tblGrid>
        <w:gridCol w:w="710"/>
        <w:gridCol w:w="140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14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List of Exhibits.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list of exhibits filed herewith or incorporated by reference is contained in the Exhibit Index immediately following the signature page hereto, which is incorporated herein by reference as if fully set forth herein. </w:t>
      </w:r>
    </w:p>
    <w:tbl>
      <w:tblPr>
        <w:tblW w:w="10205" w:type="dxa"/>
        <w:jc w:val="left"/>
        <w:tblInd w:w="0" w:type="dxa"/>
        <w:tblLayout w:type="fixed"/>
        <w:tblCellMar>
          <w:top w:w="0" w:type="dxa"/>
          <w:left w:w="0" w:type="dxa"/>
          <w:bottom w:w="85" w:type="dxa"/>
          <w:right w:w="0" w:type="dxa"/>
        </w:tblCellMar>
      </w:tblPr>
      <w:tblGrid>
        <w:gridCol w:w="860"/>
        <w:gridCol w:w="23"/>
        <w:gridCol w:w="23"/>
        <w:gridCol w:w="9299"/>
      </w:tblGrid>
      <w:tr>
        <w:trPr/>
        <w:tc>
          <w:tcPr>
            <w:tcW w:w="86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299"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29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Underwriting Agreement </w:t>
            </w:r>
          </w:p>
        </w:tc>
      </w:tr>
      <w:tr>
        <w:trPr/>
        <w:tc>
          <w:tcPr>
            <w:tcW w:w="860" w:type="dxa"/>
            <w:tcBorders/>
            <w:tcMar>
              <w:bottom w:w="0" w:type="dxa"/>
            </w:tcMar>
            <w:vAlign w:val="center"/>
          </w:tcPr>
          <w:p>
            <w:pPr>
              <w:pStyle w:val="TableContents"/>
              <w:bidi w:val="0"/>
              <w:spacing w:before="0" w:after="283"/>
              <w:ind w:left="0" w:right="0" w:hanging="0"/>
              <w:jc w:val="left"/>
              <w:rPr/>
            </w:pPr>
            <w:hyperlink r:id="rId6">
              <w:r>
                <w:rPr>
                  <w:rStyle w:val="InternetLink"/>
                  <w:rFonts w:ascii="Times New Roman;Times;serif" w:hAnsi="Times New Roman;Times;serif"/>
                  <w:color w:val="000000"/>
                  <w:sz w:val="20"/>
                </w:rPr>
                <w:t>3.1</w:t>
              </w:r>
            </w:hyperlink>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9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Incorporation of New Fortress Energy Inc. (incorporated by reference to Exhibit 99.3 to New Fortress Energy Inc.’s Quarterly Report on Form 10-Q filed on August 4, 2020). </w:t>
            </w:r>
          </w:p>
        </w:tc>
      </w:tr>
      <w:tr>
        <w:trPr/>
        <w:tc>
          <w:tcPr>
            <w:tcW w:w="860" w:type="dxa"/>
            <w:tcBorders/>
            <w:shd w:fill="CCEEFF" w:val="clear"/>
            <w:tcMar>
              <w:bottom w:w="0" w:type="dxa"/>
            </w:tcMar>
            <w:vAlign w:val="center"/>
          </w:tcPr>
          <w:p>
            <w:pPr>
              <w:pStyle w:val="TableContents"/>
              <w:bidi w:val="0"/>
              <w:spacing w:before="0" w:after="283"/>
              <w:ind w:left="0" w:right="0" w:hanging="0"/>
              <w:jc w:val="left"/>
              <w:rPr/>
            </w:pPr>
            <w:hyperlink r:id="rId7">
              <w:r>
                <w:rPr>
                  <w:rStyle w:val="InternetLink"/>
                  <w:rFonts w:ascii="Times New Roman;Times;serif" w:hAnsi="Times New Roman;Times;serif"/>
                  <w:color w:val="000000"/>
                  <w:sz w:val="20"/>
                </w:rPr>
                <w:t>3.2</w:t>
              </w:r>
            </w:hyperlink>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29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Bylaws of New Fortress Energy Inc. (incorporated by reference to Exhibit 99.4 to New Fortress Energy Inc.’s Quarterly Report on Form 10-Q filed on August 4, 2020). </w:t>
            </w:r>
          </w:p>
        </w:tc>
      </w:tr>
      <w:tr>
        <w:trPr/>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9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certificate representing preferred stock. </w:t>
            </w:r>
          </w:p>
        </w:tc>
      </w:tr>
      <w:tr>
        <w:trPr/>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29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Depositary Agreement (including form of Depositary Receipt). </w:t>
            </w:r>
          </w:p>
        </w:tc>
      </w:tr>
      <w:tr>
        <w:trPr/>
        <w:tc>
          <w:tcPr>
            <w:tcW w:w="860" w:type="dxa"/>
            <w:tcBorders/>
            <w:tcMar>
              <w:bottom w:w="0" w:type="dxa"/>
            </w:tcMar>
            <w:vAlign w:val="center"/>
          </w:tcPr>
          <w:p>
            <w:pPr>
              <w:pStyle w:val="TableContents"/>
              <w:bidi w:val="0"/>
              <w:spacing w:before="0" w:after="283"/>
              <w:ind w:left="0" w:right="0" w:hanging="0"/>
              <w:jc w:val="left"/>
              <w:rPr/>
            </w:pPr>
            <w:hyperlink r:id="rId8">
              <w:r>
                <w:rPr>
                  <w:rStyle w:val="InternetLink"/>
                  <w:rFonts w:ascii="Times New Roman;Times;serif" w:hAnsi="Times New Roman;Times;serif"/>
                  <w:color w:val="000000"/>
                  <w:sz w:val="20"/>
                </w:rPr>
                <w:t>4.2</w:t>
              </w:r>
            </w:hyperlink>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9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Indenture for debt securities between the registrant and U.S. Bank National Association, as the trustee (incorporated by reference to Exhibit 4.2 to the Registration Statement on Form S-3 (No. 333-236921)) </w:t>
            </w:r>
          </w:p>
        </w:tc>
      </w:tr>
      <w:tr>
        <w:trPr/>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29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Warrant Agreement (including form of Warrant Certificate). </w:t>
            </w:r>
          </w:p>
        </w:tc>
      </w:tr>
      <w:tr>
        <w:trPr/>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9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Skadden, Arps, Slate, Meagher &amp; Flom LLP. </w:t>
            </w:r>
          </w:p>
        </w:tc>
      </w:tr>
      <w:tr>
        <w:trPr/>
        <w:tc>
          <w:tcPr>
            <w:tcW w:w="860" w:type="dxa"/>
            <w:tcBorders/>
            <w:shd w:fill="CCEEFF" w:val="clear"/>
            <w:tcMar>
              <w:bottom w:w="0" w:type="dxa"/>
            </w:tcMar>
            <w:vAlign w:val="center"/>
          </w:tcPr>
          <w:p>
            <w:pPr>
              <w:pStyle w:val="TableContents"/>
              <w:bidi w:val="0"/>
              <w:spacing w:before="0" w:after="283"/>
              <w:ind w:left="0" w:right="0" w:hanging="0"/>
              <w:jc w:val="left"/>
              <w:rPr/>
            </w:pPr>
            <w:hyperlink w:anchor="ny20022010x1_ex23-1.htm">
              <w:r>
                <w:rPr>
                  <w:rStyle w:val="InternetLink"/>
                  <w:rFonts w:ascii="Times New Roman;Times;serif" w:hAnsi="Times New Roman;Times;serif"/>
                  <w:color w:val="000000"/>
                  <w:sz w:val="20"/>
                </w:rPr>
                <w:t>23.1*</w:t>
              </w:r>
            </w:hyperlink>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29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Ernst &amp; Young LLP, Independent Registered Public Accounting Firm, for New Fortress Energy Inc. </w:t>
            </w:r>
          </w:p>
        </w:tc>
      </w:tr>
      <w:tr>
        <w:trPr/>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9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Skadden, Arps, Slate, Meagher &amp; Flom LLP (included as part of Exhibit 5.1). </w:t>
            </w:r>
          </w:p>
        </w:tc>
      </w:tr>
      <w:tr>
        <w:trPr/>
        <w:tc>
          <w:tcPr>
            <w:tcW w:w="860" w:type="dxa"/>
            <w:tcBorders/>
            <w:shd w:fill="CCEEFF" w:val="clear"/>
            <w:tcMar>
              <w:bottom w:w="0" w:type="dxa"/>
            </w:tcMar>
            <w:vAlign w:val="center"/>
          </w:tcPr>
          <w:p>
            <w:pPr>
              <w:pStyle w:val="TableContents"/>
              <w:bidi w:val="0"/>
              <w:spacing w:before="0" w:after="283"/>
              <w:ind w:left="0" w:right="0" w:hanging="0"/>
              <w:jc w:val="left"/>
              <w:rPr/>
            </w:pPr>
            <w:hyperlink w:anchor="tSIG">
              <w:r>
                <w:rPr>
                  <w:rStyle w:val="InternetLink"/>
                  <w:rFonts w:ascii="Times New Roman;Times;serif" w:hAnsi="Times New Roman;Times;serif"/>
                  <w:color w:val="000000"/>
                  <w:sz w:val="20"/>
                </w:rPr>
                <w:t>24.1*</w:t>
              </w:r>
            </w:hyperlink>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29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signature pages to this Registration Statement). </w:t>
            </w:r>
          </w:p>
        </w:tc>
      </w:tr>
      <w:tr>
        <w:trPr/>
        <w:tc>
          <w:tcPr>
            <w:tcW w:w="860" w:type="dxa"/>
            <w:tcBorders/>
            <w:tcMar>
              <w:bottom w:w="0" w:type="dxa"/>
            </w:tcMar>
            <w:vAlign w:val="center"/>
          </w:tcPr>
          <w:p>
            <w:pPr>
              <w:pStyle w:val="TableContents"/>
              <w:bidi w:val="0"/>
              <w:spacing w:before="0" w:after="283"/>
              <w:ind w:left="0" w:right="0" w:hanging="0"/>
              <w:jc w:val="left"/>
              <w:rPr/>
            </w:pPr>
            <w:hyperlink w:anchor="ny20022010x1_ex25-1.htm">
              <w:r>
                <w:rPr>
                  <w:rStyle w:val="InternetLink"/>
                  <w:rFonts w:ascii="Times New Roman;Times;serif" w:hAnsi="Times New Roman;Times;serif"/>
                  <w:color w:val="000000"/>
                  <w:sz w:val="20"/>
                </w:rPr>
                <w:t>25.1*</w:t>
              </w:r>
            </w:hyperlink>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29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Statement of Eligibility on Form T-1 of trustee under the Indenture. </w:t>
            </w:r>
          </w:p>
        </w:tc>
      </w:tr>
      <w:tr>
        <w:trPr/>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29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bl>
    <w:tbl>
      <w:tblPr>
        <w:tblW w:w="1210" w:type="dxa"/>
        <w:jc w:val="left"/>
        <w:tblInd w:w="0" w:type="dxa"/>
        <w:tblLayout w:type="fixed"/>
        <w:tblCellMar>
          <w:top w:w="0" w:type="dxa"/>
          <w:left w:w="0" w:type="dxa"/>
          <w:bottom w:w="0" w:type="dxa"/>
          <w:right w:w="0" w:type="dxa"/>
        </w:tblCellMar>
      </w:tblPr>
      <w:tblGrid>
        <w:gridCol w:w="110"/>
        <w:gridCol w:w="110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as an exhibit to a Current Report on Form 8-K or other filings incorporated herein by reference or to a post-effective amendment hereto, if applicable. </w:t>
            </w:r>
          </w:p>
        </w:tc>
      </w:tr>
    </w:tbl>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03" w:name="DSPFPageBreakArea36"/>
      <w:bookmarkStart w:id="204" w:name="DSPFPageBreakArea36"/>
      <w:bookmarkEnd w:id="20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05" w:name="DSPFPageBreak36"/>
      <w:bookmarkStart w:id="206" w:name="DSPFPageBreak36"/>
      <w:bookmarkEnd w:id="20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7" w:name="ny20022010x1_s3asr_301-exindex_pg2"/>
        <w:bookmarkEnd w:id="20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of 1933 to any purchaser: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shall be deemed to be part of this registration statement as of the date the filed prospectus was deemed part of and included in this registration statement; and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08" w:name="DSPFPageBreakArea37"/>
      <w:bookmarkStart w:id="209" w:name="DSPFPageBreakArea37"/>
      <w:bookmarkEnd w:id="20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10" w:name="DSPFPageBreak37"/>
      <w:bookmarkStart w:id="211" w:name="DSPFPageBreak37"/>
      <w:bookmarkEnd w:id="21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2" w:name="ny20022010x1_s3asr_301-exindex_pg3"/>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13" w:name="DSPFPageBreakArea38"/>
      <w:bookmarkStart w:id="214" w:name="DSPFPageBreakArea38"/>
      <w:bookmarkEnd w:id="21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15" w:name="DSPFPageBreak38"/>
      <w:bookmarkStart w:id="216" w:name="DSPFPageBreak38"/>
      <w:bookmarkEnd w:id="21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7" w:name="ny20022010x1_s3asr_302-sig_pg1"/>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8" w:name="tSIG"/>
      <w:bookmarkEnd w:id="218"/>
      <w:r>
        <w:rPr>
          <w:rFonts w:ascii="Times New Roman;Times;serif" w:hAnsi="Times New Roman;Times;serif"/>
          <w:b/>
          <w:color w:val="000000"/>
          <w:sz w:val="20"/>
        </w:rPr>
        <w:t xml:space="preserve">SIGNATURES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New York, State of New York on March 1, 2024. </w:t>
      </w:r>
    </w:p>
    <w:tbl>
      <w:tblPr>
        <w:tblW w:w="3033" w:type="dxa"/>
        <w:jc w:val="left"/>
        <w:tblInd w:w="0" w:type="dxa"/>
        <w:tblLayout w:type="fixed"/>
        <w:tblCellMar>
          <w:top w:w="0" w:type="dxa"/>
          <w:left w:w="0" w:type="dxa"/>
          <w:bottom w:w="0" w:type="dxa"/>
          <w:right w:w="0" w:type="dxa"/>
        </w:tblCellMar>
      </w:tblPr>
      <w:tblGrid>
        <w:gridCol w:w="75"/>
        <w:gridCol w:w="23"/>
        <w:gridCol w:w="23"/>
        <w:gridCol w:w="320"/>
        <w:gridCol w:w="23"/>
        <w:gridCol w:w="23"/>
        <w:gridCol w:w="545"/>
        <w:gridCol w:w="23"/>
        <w:gridCol w:w="23"/>
        <w:gridCol w:w="1955"/>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12"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Fortress Energy Inc.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546" w:type="dxa"/>
            <w:gridSpan w:val="4"/>
            <w:tcBorders>
              <w:bottom w:val="single" w:sz="8" w:space="0" w:color="000000"/>
            </w:tcBorders>
            <w:tcMar>
              <w:bottom w:w="65"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Wesley R. Edens</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Wesley R. Edens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requirements of the Securities Act of 1933, as amended, this Registration Statement has been signed by the following persons in the capacities and on the dates stated. Each person whose signature appears below constitutes and appoints Wesley R. Edens, Christopher S. Guinta and Yunyoung Shin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on Form S-3 has been signed by the following persons in the capacities and on the dates indicated. </w:t>
      </w:r>
    </w:p>
    <w:tbl>
      <w:tblPr>
        <w:tblW w:w="6632" w:type="dxa"/>
        <w:jc w:val="left"/>
        <w:tblInd w:w="0" w:type="dxa"/>
        <w:tblLayout w:type="fixed"/>
        <w:tblCellMar>
          <w:top w:w="0" w:type="dxa"/>
          <w:left w:w="0" w:type="dxa"/>
          <w:bottom w:w="55" w:type="dxa"/>
          <w:right w:w="0" w:type="dxa"/>
        </w:tblCellMar>
      </w:tblPr>
      <w:tblGrid>
        <w:gridCol w:w="2150"/>
        <w:gridCol w:w="23"/>
        <w:gridCol w:w="23"/>
        <w:gridCol w:w="3125"/>
        <w:gridCol w:w="23"/>
        <w:gridCol w:w="23"/>
        <w:gridCol w:w="1265"/>
      </w:tblGrid>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1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2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Wesley R. Edens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 and Chairman</w:t>
            </w:r>
          </w:p>
          <w:p>
            <w:pPr>
              <w:pStyle w:val="TableContents"/>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(Principal Executive Officer)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Wesley R. Edens</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Christopher S. Guinta</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(Principal Financial Officer)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Christopher S. Guinta</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Yunyoung Shin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Accounting Officer</w:t>
            </w:r>
          </w:p>
          <w:p>
            <w:pPr>
              <w:pStyle w:val="TableContents"/>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(Principal Accounting Officer)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Yunyoung Shin</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Randal A. Nardone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Randal A. Nardone</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C. William Griffin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 William Griffin</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John J. Mack</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J. Mack</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Timothy W. Jay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Timothy W. Jay</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David J. Grain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David J. Grain</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Desmond Iain Catterall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Desmond Iain Catterall</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125"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Katherine E. Wanner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3125"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March 1, 2024 </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Katherine E. Wanner</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312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265" w:type="dxa"/>
            <w:tcBorders/>
            <w:tcMar>
              <w:bottom w:w="0" w:type="dxa"/>
            </w:tcMar>
            <w:vAlign w:val="center"/>
          </w:tcPr>
          <w:p>
            <w:pPr>
              <w:pStyle w:val="TableContents"/>
              <w:bidi w:val="0"/>
              <w:spacing w:before="0" w:after="0"/>
              <w:jc w:val="center"/>
              <w:rPr>
                <w:color w:val="000000"/>
              </w:rPr>
            </w:pPr>
            <w:r>
              <w:rPr>
                <w:color w:val="000000"/>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jc w:val="left"/>
        <w:rPr/>
      </w:pPr>
      <w:r>
        <w:rPr/>
      </w:r>
      <w:bookmarkStart w:id="219" w:name="ny20022010x1_ex5-1.htm"/>
      <w:bookmarkStart w:id="220" w:name="ksny20022010x1_ex51"/>
      <w:bookmarkStart w:id="221" w:name="ny20022010x1_ex5-1.htm"/>
      <w:bookmarkStart w:id="222" w:name="ksny20022010x1_ex51"/>
      <w:bookmarkEnd w:id="221"/>
      <w:bookmarkEnd w:id="222"/>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3" w:name="z7c6d1e24680648f29ad9f0c995e819f2"/>
      <w:bookmarkStart w:id="224" w:name="z7c6d1e24680648f29ad9f0c995e819f2"/>
      <w:bookmarkEnd w:id="224"/>
    </w:p>
    <w:tbl>
      <w:tblPr>
        <w:tblW w:w="7210" w:type="dxa"/>
        <w:jc w:val="center"/>
        <w:tblInd w:w="0" w:type="dxa"/>
        <w:tblLayout w:type="fixed"/>
        <w:tblCellMar>
          <w:top w:w="0" w:type="dxa"/>
          <w:left w:w="0" w:type="dxa"/>
          <w:bottom w:w="0" w:type="dxa"/>
          <w:right w:w="0" w:type="dxa"/>
        </w:tblCellMar>
      </w:tblPr>
      <w:tblGrid>
        <w:gridCol w:w="60"/>
        <w:gridCol w:w="5600"/>
        <w:gridCol w:w="1550"/>
      </w:tblGrid>
      <w:tr>
        <w:trPr/>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center"/>
              <w:rPr>
                <w:rFonts w:ascii="Times New Roman;Times;serif" w:hAnsi="Times New Roman;Times;serif"/>
                <w:smallCaps/>
                <w:sz w:val="28"/>
              </w:rPr>
            </w:pPr>
            <w:r>
              <w:rPr>
                <w:rFonts w:ascii="Times New Roman;Times;serif" w:hAnsi="Times New Roman;Times;serif"/>
                <w:smallCaps/>
                <w:sz w:val="28"/>
              </w:rPr>
              <w:t>Skadden, Arps, Slate, Meagher &amp; Flom llp</w:t>
            </w:r>
          </w:p>
          <w:p>
            <w:pPr>
              <w:pStyle w:val="TableContents"/>
              <w:bidi w:val="0"/>
              <w:spacing w:before="0" w:after="0"/>
              <w:jc w:val="center"/>
              <w:rPr/>
            </w:pPr>
            <w:r>
              <w:rPr/>
              <w:t> </w:t>
            </w:r>
            <w:r>
              <w:rPr>
                <w:rFonts w:ascii="Times New Roman;Times;serif" w:hAnsi="Times New Roman;Times;serif"/>
              </w:rPr>
              <w:t>ONE MANHATTAN WEST</w:t>
            </w:r>
          </w:p>
          <w:p>
            <w:pPr>
              <w:pStyle w:val="TableContents"/>
              <w:bidi w:val="0"/>
              <w:spacing w:before="0" w:after="0"/>
              <w:jc w:val="center"/>
              <w:rPr/>
            </w:pPr>
            <w:r>
              <w:rPr/>
              <w:t> </w:t>
            </w:r>
            <w:r>
              <w:rPr>
                <w:rFonts w:ascii="Times New Roman;Times;serif" w:hAnsi="Times New Roman;Times;serif"/>
              </w:rPr>
              <w:t>NEW YORK, NY 10001</w:t>
            </w:r>
          </w:p>
          <w:p>
            <w:pPr>
              <w:pStyle w:val="TableContents"/>
              <w:bidi w:val="0"/>
              <w:spacing w:before="0" w:after="0"/>
              <w:jc w:val="center"/>
              <w:rPr>
                <w:sz w:val="16"/>
              </w:rPr>
            </w:pPr>
            <w:r>
              <w:rPr>
                <w:sz w:val="16"/>
              </w:rPr>
              <w:t>________</w:t>
            </w:r>
          </w:p>
          <w:p>
            <w:pPr>
              <w:pStyle w:val="TableContents"/>
              <w:bidi w:val="0"/>
              <w:spacing w:before="0" w:after="0"/>
              <w:jc w:val="left"/>
              <w:rPr/>
            </w:pPr>
            <w:r>
              <w:rPr/>
              <w:t> </w:t>
            </w:r>
          </w:p>
          <w:p>
            <w:pPr>
              <w:pStyle w:val="TableContents"/>
              <w:bidi w:val="0"/>
              <w:spacing w:before="0" w:after="0"/>
              <w:jc w:val="center"/>
              <w:rPr/>
            </w:pPr>
            <w:r>
              <w:rPr/>
              <w:t>TEL: (212) 735-3000</w:t>
            </w:r>
          </w:p>
          <w:p>
            <w:pPr>
              <w:pStyle w:val="TableContents"/>
              <w:bidi w:val="0"/>
              <w:spacing w:before="0" w:after="0"/>
              <w:jc w:val="center"/>
              <w:rPr/>
            </w:pPr>
            <w:r>
              <w:rPr/>
              <w:t> </w:t>
            </w:r>
            <w:r>
              <w:rPr/>
              <w:t>FAX: (212) 735-2000</w:t>
            </w:r>
          </w:p>
          <w:p>
            <w:pPr>
              <w:pStyle w:val="TableContents"/>
              <w:bidi w:val="0"/>
              <w:spacing w:before="0" w:after="0"/>
              <w:jc w:val="center"/>
              <w:rPr/>
            </w:pPr>
            <w:r>
              <w:rPr/>
              <w:t> </w:t>
            </w:r>
            <w:r>
              <w:rPr>
                <w:sz w:val="16"/>
              </w:rPr>
              <w:t>www.skadden.com</w:t>
            </w:r>
          </w:p>
        </w:tc>
        <w:tc>
          <w:tcPr>
            <w:tcW w:w="155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t xml:space="preserve">  </w:t>
            </w:r>
          </w:p>
          <w:p>
            <w:pPr>
              <w:pStyle w:val="TableContents"/>
              <w:bidi w:val="0"/>
              <w:spacing w:before="0" w:after="0"/>
              <w:ind w:left="2880" w:right="0" w:firstLine="720"/>
              <w:jc w:val="right"/>
              <w:rPr>
                <w:rFonts w:ascii="Times New Roman;Times;serif" w:hAnsi="Times New Roman;Times;serif"/>
              </w:rPr>
            </w:pPr>
            <w:r>
              <w:rPr>
                <w:rFonts w:ascii="Times New Roman;Times;serif" w:hAnsi="Times New Roman;Times;serif"/>
              </w:rPr>
              <w:t>March 1, 2024</w:t>
            </w:r>
          </w:p>
        </w:tc>
        <w:tc>
          <w:tcPr>
            <w:tcW w:w="1550" w:type="dxa"/>
            <w:tcBorders/>
            <w:vAlign w:val="center"/>
          </w:tcPr>
          <w:p>
            <w:pPr>
              <w:pStyle w:val="TableContents"/>
              <w:bidi w:val="0"/>
              <w:spacing w:before="0" w:after="0"/>
              <w:jc w:val="center"/>
              <w:rPr>
                <w:sz w:val="16"/>
              </w:rPr>
            </w:pPr>
            <w:r>
              <w:rPr>
                <w:sz w:val="16"/>
              </w:rPr>
              <w:t>FIRM/AFFILIATE</w:t>
            </w:r>
          </w:p>
          <w:p>
            <w:pPr>
              <w:pStyle w:val="TableContents"/>
              <w:bidi w:val="0"/>
              <w:spacing w:before="0" w:after="0"/>
              <w:jc w:val="center"/>
              <w:rPr>
                <w:sz w:val="16"/>
              </w:rPr>
            </w:pPr>
            <w:r>
              <w:rPr>
                <w:sz w:val="16"/>
              </w:rPr>
              <w:t>OFFICES</w:t>
            </w:r>
          </w:p>
          <w:p>
            <w:pPr>
              <w:pStyle w:val="TableContents"/>
              <w:bidi w:val="0"/>
              <w:spacing w:before="0" w:after="0"/>
              <w:jc w:val="center"/>
              <w:rPr>
                <w:sz w:val="16"/>
              </w:rPr>
            </w:pPr>
            <w:r>
              <w:rPr>
                <w:sz w:val="16"/>
              </w:rPr>
              <w:t>-----------</w:t>
            </w:r>
          </w:p>
          <w:p>
            <w:pPr>
              <w:pStyle w:val="TableContents"/>
              <w:bidi w:val="0"/>
              <w:spacing w:before="0" w:after="0"/>
              <w:jc w:val="center"/>
              <w:rPr>
                <w:sz w:val="16"/>
              </w:rPr>
            </w:pPr>
            <w:r>
              <w:rPr>
                <w:sz w:val="16"/>
              </w:rPr>
              <w:t>BOSTON</w:t>
            </w:r>
          </w:p>
          <w:p>
            <w:pPr>
              <w:pStyle w:val="TableContents"/>
              <w:bidi w:val="0"/>
              <w:spacing w:before="0" w:after="0"/>
              <w:jc w:val="center"/>
              <w:rPr>
                <w:sz w:val="16"/>
              </w:rPr>
            </w:pPr>
            <w:r>
              <w:rPr>
                <w:sz w:val="16"/>
              </w:rPr>
              <w:t>CHICAGO</w:t>
            </w:r>
          </w:p>
          <w:p>
            <w:pPr>
              <w:pStyle w:val="TableContents"/>
              <w:bidi w:val="0"/>
              <w:spacing w:before="0" w:after="0"/>
              <w:jc w:val="center"/>
              <w:rPr>
                <w:sz w:val="16"/>
              </w:rPr>
            </w:pPr>
            <w:r>
              <w:rPr>
                <w:sz w:val="16"/>
              </w:rPr>
              <w:t>HOUSTON</w:t>
            </w:r>
          </w:p>
          <w:p>
            <w:pPr>
              <w:pStyle w:val="TableContents"/>
              <w:bidi w:val="0"/>
              <w:spacing w:before="0" w:after="0"/>
              <w:jc w:val="center"/>
              <w:rPr>
                <w:sz w:val="16"/>
              </w:rPr>
            </w:pPr>
            <w:r>
              <w:rPr>
                <w:sz w:val="16"/>
              </w:rPr>
              <w:t>LOS ANGELES</w:t>
            </w:r>
          </w:p>
          <w:p>
            <w:pPr>
              <w:pStyle w:val="TableContents"/>
              <w:bidi w:val="0"/>
              <w:spacing w:before="0" w:after="0"/>
              <w:jc w:val="center"/>
              <w:rPr>
                <w:sz w:val="16"/>
              </w:rPr>
            </w:pPr>
            <w:r>
              <w:rPr>
                <w:sz w:val="16"/>
              </w:rPr>
              <w:t>PALO ALTO</w:t>
            </w:r>
          </w:p>
          <w:p>
            <w:pPr>
              <w:pStyle w:val="TableContents"/>
              <w:bidi w:val="0"/>
              <w:spacing w:before="0" w:after="0"/>
              <w:jc w:val="center"/>
              <w:rPr>
                <w:sz w:val="16"/>
              </w:rPr>
            </w:pPr>
            <w:r>
              <w:rPr>
                <w:sz w:val="16"/>
              </w:rPr>
              <w:t>WASHINGTON, D.C.</w:t>
            </w:r>
          </w:p>
          <w:p>
            <w:pPr>
              <w:pStyle w:val="TableContents"/>
              <w:bidi w:val="0"/>
              <w:spacing w:before="0" w:after="0"/>
              <w:jc w:val="center"/>
              <w:rPr>
                <w:sz w:val="16"/>
              </w:rPr>
            </w:pPr>
            <w:r>
              <w:rPr>
                <w:sz w:val="16"/>
              </w:rPr>
              <w:t>WILMINGTON</w:t>
            </w:r>
          </w:p>
          <w:p>
            <w:pPr>
              <w:pStyle w:val="TableContents"/>
              <w:bidi w:val="0"/>
              <w:spacing w:before="0" w:after="0"/>
              <w:jc w:val="center"/>
              <w:rPr>
                <w:sz w:val="16"/>
              </w:rPr>
            </w:pPr>
            <w:r>
              <w:rPr>
                <w:sz w:val="16"/>
              </w:rPr>
              <w:t>-----------</w:t>
            </w:r>
          </w:p>
          <w:p>
            <w:pPr>
              <w:pStyle w:val="TableContents"/>
              <w:bidi w:val="0"/>
              <w:spacing w:before="0" w:after="0"/>
              <w:jc w:val="center"/>
              <w:rPr>
                <w:sz w:val="16"/>
              </w:rPr>
            </w:pPr>
            <w:r>
              <w:rPr>
                <w:sz w:val="16"/>
              </w:rPr>
              <w:t>BEIJING</w:t>
            </w:r>
          </w:p>
          <w:p>
            <w:pPr>
              <w:pStyle w:val="TableContents"/>
              <w:bidi w:val="0"/>
              <w:spacing w:before="0" w:after="0"/>
              <w:jc w:val="center"/>
              <w:rPr>
                <w:sz w:val="16"/>
              </w:rPr>
            </w:pPr>
            <w:r>
              <w:rPr>
                <w:sz w:val="16"/>
              </w:rPr>
              <w:t>BRUSSELS</w:t>
            </w:r>
          </w:p>
          <w:p>
            <w:pPr>
              <w:pStyle w:val="TableContents"/>
              <w:bidi w:val="0"/>
              <w:spacing w:before="0" w:after="0"/>
              <w:jc w:val="center"/>
              <w:rPr>
                <w:sz w:val="16"/>
              </w:rPr>
            </w:pPr>
            <w:r>
              <w:rPr>
                <w:sz w:val="16"/>
              </w:rPr>
              <w:t>FRANKFURT</w:t>
            </w:r>
          </w:p>
          <w:p>
            <w:pPr>
              <w:pStyle w:val="TableContents"/>
              <w:bidi w:val="0"/>
              <w:spacing w:before="0" w:after="0"/>
              <w:jc w:val="center"/>
              <w:rPr>
                <w:sz w:val="16"/>
              </w:rPr>
            </w:pPr>
            <w:r>
              <w:rPr>
                <w:sz w:val="16"/>
              </w:rPr>
              <w:t>HONG KONG</w:t>
            </w:r>
          </w:p>
          <w:p>
            <w:pPr>
              <w:pStyle w:val="TableContents"/>
              <w:bidi w:val="0"/>
              <w:spacing w:before="0" w:after="0"/>
              <w:jc w:val="center"/>
              <w:rPr>
                <w:sz w:val="16"/>
              </w:rPr>
            </w:pPr>
            <w:r>
              <w:rPr>
                <w:sz w:val="16"/>
              </w:rPr>
              <w:t>LONDON</w:t>
            </w:r>
          </w:p>
          <w:p>
            <w:pPr>
              <w:pStyle w:val="TableContents"/>
              <w:bidi w:val="0"/>
              <w:spacing w:before="0" w:after="0"/>
              <w:jc w:val="center"/>
              <w:rPr>
                <w:sz w:val="16"/>
              </w:rPr>
            </w:pPr>
            <w:r>
              <w:rPr>
                <w:sz w:val="16"/>
              </w:rPr>
              <w:t>MUNICH</w:t>
            </w:r>
          </w:p>
          <w:p>
            <w:pPr>
              <w:pStyle w:val="TableContents"/>
              <w:bidi w:val="0"/>
              <w:spacing w:before="0" w:after="0"/>
              <w:jc w:val="center"/>
              <w:rPr>
                <w:sz w:val="16"/>
              </w:rPr>
            </w:pPr>
            <w:r>
              <w:rPr>
                <w:sz w:val="16"/>
              </w:rPr>
              <w:t>PARIS</w:t>
            </w:r>
          </w:p>
          <w:p>
            <w:pPr>
              <w:pStyle w:val="TableContents"/>
              <w:bidi w:val="0"/>
              <w:spacing w:before="0" w:after="0"/>
              <w:jc w:val="center"/>
              <w:rPr>
                <w:sz w:val="16"/>
              </w:rPr>
            </w:pPr>
            <w:r>
              <w:rPr>
                <w:sz w:val="16"/>
              </w:rPr>
              <w:t>SÃO PAULO</w:t>
            </w:r>
          </w:p>
          <w:p>
            <w:pPr>
              <w:pStyle w:val="TableContents"/>
              <w:bidi w:val="0"/>
              <w:spacing w:before="0" w:after="0"/>
              <w:jc w:val="center"/>
              <w:rPr>
                <w:sz w:val="16"/>
              </w:rPr>
            </w:pPr>
            <w:r>
              <w:rPr>
                <w:sz w:val="16"/>
              </w:rPr>
              <w:t>SEOUL</w:t>
            </w:r>
          </w:p>
          <w:p>
            <w:pPr>
              <w:pStyle w:val="TableContents"/>
              <w:bidi w:val="0"/>
              <w:spacing w:before="0" w:after="0"/>
              <w:jc w:val="center"/>
              <w:rPr>
                <w:sz w:val="16"/>
              </w:rPr>
            </w:pPr>
            <w:r>
              <w:rPr>
                <w:sz w:val="16"/>
              </w:rPr>
              <w:t>SHANGHAI</w:t>
            </w:r>
          </w:p>
          <w:p>
            <w:pPr>
              <w:pStyle w:val="TableContents"/>
              <w:bidi w:val="0"/>
              <w:spacing w:before="0" w:after="0"/>
              <w:jc w:val="center"/>
              <w:rPr>
                <w:sz w:val="16"/>
              </w:rPr>
            </w:pPr>
            <w:r>
              <w:rPr>
                <w:sz w:val="16"/>
              </w:rPr>
              <w:t>SINGAPORE</w:t>
            </w:r>
          </w:p>
          <w:p>
            <w:pPr>
              <w:pStyle w:val="TableContents"/>
              <w:bidi w:val="0"/>
              <w:spacing w:before="0" w:after="0"/>
              <w:jc w:val="center"/>
              <w:rPr>
                <w:sz w:val="16"/>
              </w:rPr>
            </w:pPr>
            <w:r>
              <w:rPr>
                <w:sz w:val="16"/>
              </w:rPr>
              <w:t>TOKYO</w:t>
            </w:r>
          </w:p>
          <w:p>
            <w:pPr>
              <w:pStyle w:val="TableContents"/>
              <w:bidi w:val="0"/>
              <w:spacing w:before="0" w:after="0"/>
              <w:jc w:val="center"/>
              <w:rPr>
                <w:sz w:val="16"/>
              </w:rPr>
            </w:pPr>
            <w:r>
              <w:rPr>
                <w:sz w:val="16"/>
              </w:rPr>
              <w:t>TORONTO</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Fortress Energy Inc.</w:t>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111 W. 19th Street, 8th Floor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York, New York 10011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5" w:name="z63eb4d4d03c1476da1cb4789ca1e18b0"/>
      <w:bookmarkStart w:id="226" w:name="z63eb4d4d03c1476da1cb4789ca1e18b0"/>
      <w:bookmarkEnd w:id="226"/>
    </w:p>
    <w:tbl>
      <w:tblPr>
        <w:tblW w:w="3925" w:type="dxa"/>
        <w:jc w:val="left"/>
        <w:tblInd w:w="0" w:type="dxa"/>
        <w:tblLayout w:type="fixed"/>
        <w:tblCellMar>
          <w:top w:w="0" w:type="dxa"/>
          <w:left w:w="0" w:type="dxa"/>
          <w:bottom w:w="0" w:type="dxa"/>
          <w:right w:w="0" w:type="dxa"/>
        </w:tblCellMar>
      </w:tblPr>
      <w:tblGrid>
        <w:gridCol w:w="60"/>
        <w:gridCol w:w="395"/>
        <w:gridCol w:w="3470"/>
      </w:tblGrid>
      <w:tr>
        <w:trPr/>
        <w:tc>
          <w:tcPr>
            <w:tcW w:w="6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RE:</w:t>
            </w:r>
          </w:p>
        </w:tc>
        <w:tc>
          <w:tcPr>
            <w:tcW w:w="3470" w:type="dxa"/>
            <w:tcBorders/>
            <w:vAlign w:val="center"/>
          </w:tcPr>
          <w:p>
            <w:pPr>
              <w:pStyle w:val="TableContents"/>
              <w:bidi w:val="0"/>
              <w:spacing w:before="0" w:after="0"/>
              <w:jc w:val="left"/>
              <w:rPr/>
            </w:pPr>
            <w:r>
              <w:rPr/>
              <w:t> </w:t>
            </w:r>
            <w:r>
              <w:rPr>
                <w:rFonts w:ascii="Times New Roman;Times;serif" w:hAnsi="Times New Roman;Times;serif"/>
              </w:rPr>
              <w:t>New Fortress Energy Inc.</w:t>
            </w:r>
          </w:p>
        </w:tc>
      </w:tr>
      <w:tr>
        <w:trPr/>
        <w:tc>
          <w:tcPr>
            <w:tcW w:w="6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3470" w:type="dxa"/>
            <w:tcBorders/>
            <w:vAlign w:val="center"/>
          </w:tcPr>
          <w:p>
            <w:pPr>
              <w:pStyle w:val="TableContents"/>
              <w:bidi w:val="0"/>
              <w:spacing w:before="0" w:after="0"/>
              <w:jc w:val="left"/>
              <w:rPr/>
            </w:pPr>
            <w:r>
              <w:rPr/>
              <w:t> </w:t>
            </w:r>
            <w:r>
              <w:rPr>
                <w:rFonts w:ascii="Times New Roman;Times;serif" w:hAnsi="Times New Roman;Times;serif"/>
                <w:u w:val="single"/>
              </w:rPr>
              <w:t>Registration Statement on Form S-3</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We have acted as special United States counsel to New Fortress Energy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in connection with the registration statement on Form S-3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to be filed on the date hereof by the Company with the Securities and Exchange Commission (the “</w:t>
      </w:r>
      <w:r>
        <w:rPr>
          <w:rFonts w:ascii="Times New Roman;Times;serif" w:hAnsi="Times New Roman;Times;serif"/>
          <w:color w:val="000000"/>
          <w:sz w:val="20"/>
          <w:u w:val="single"/>
        </w:rPr>
        <w:t>Commission</w:t>
      </w:r>
      <w:r>
        <w:rPr>
          <w:rFonts w:ascii="Times New Roman;Times;serif" w:hAnsi="Times New Roman;Times;serif"/>
          <w:color w:val="000000"/>
          <w:sz w:val="20"/>
        </w:rPr>
        <w:t>”) under the Securities Act of 1933 (the “</w:t>
      </w:r>
      <w:r>
        <w:rPr>
          <w:rFonts w:ascii="Times New Roman;Times;serif" w:hAnsi="Times New Roman;Times;serif"/>
          <w:color w:val="000000"/>
          <w:sz w:val="20"/>
          <w:u w:val="single"/>
        </w:rPr>
        <w:t>Securities Act</w:t>
      </w:r>
      <w:r>
        <w:rPr>
          <w:rFonts w:ascii="Times New Roman;Times;serif" w:hAnsi="Times New Roman;Times;serif"/>
          <w:color w:val="000000"/>
          <w:sz w:val="20"/>
        </w:rPr>
        <w:t>”). The Registration Statement relates to the issuance and sale by the Company from time to time, pursuant to Rule 415 of the General Rules and Regulations of the Commission promulgated under the Securities Act (the “</w:t>
      </w:r>
      <w:r>
        <w:rPr>
          <w:rFonts w:ascii="Times New Roman;Times;serif" w:hAnsi="Times New Roman;Times;serif"/>
          <w:color w:val="000000"/>
          <w:sz w:val="20"/>
          <w:u w:val="single"/>
        </w:rPr>
        <w:t>Rules and Regulations</w:t>
      </w:r>
      <w:r>
        <w:rPr>
          <w:rFonts w:ascii="Times New Roman;Times;serif" w:hAnsi="Times New Roman;Times;serif"/>
          <w:color w:val="000000"/>
          <w:sz w:val="20"/>
        </w:rPr>
        <w:t>”), of (i) shares of Class A common stock, par value $0.01 per share, of the Company (the “</w:t>
      </w:r>
      <w:r>
        <w:rPr>
          <w:rFonts w:ascii="Times New Roman;Times;serif" w:hAnsi="Times New Roman;Times;serif"/>
          <w:color w:val="000000"/>
          <w:sz w:val="20"/>
          <w:u w:val="single"/>
        </w:rPr>
        <w:t>Class A Common Stock</w:t>
      </w:r>
      <w:r>
        <w:rPr>
          <w:rFonts w:ascii="Times New Roman;Times;serif" w:hAnsi="Times New Roman;Times;serif"/>
          <w:color w:val="000000"/>
          <w:sz w:val="20"/>
        </w:rPr>
        <w:t>”); (ii) shares of preferred stock, par value $0.01 per share, of the Company (“</w:t>
      </w:r>
      <w:r>
        <w:rPr>
          <w:rFonts w:ascii="Times New Roman;Times;serif" w:hAnsi="Times New Roman;Times;serif"/>
          <w:color w:val="000000"/>
          <w:sz w:val="20"/>
          <w:u w:val="single"/>
        </w:rPr>
        <w:t>Preferred Stock</w:t>
      </w:r>
      <w:r>
        <w:rPr>
          <w:rFonts w:ascii="Times New Roman;Times;serif" w:hAnsi="Times New Roman;Times;serif"/>
          <w:color w:val="000000"/>
          <w:sz w:val="20"/>
        </w:rPr>
        <w:t>”), which may be issued in one or more series; (iii) depositary receipts (the “</w:t>
      </w:r>
      <w:r>
        <w:rPr>
          <w:rFonts w:ascii="Times New Roman;Times;serif" w:hAnsi="Times New Roman;Times;serif"/>
          <w:color w:val="000000"/>
          <w:sz w:val="20"/>
          <w:u w:val="single"/>
        </w:rPr>
        <w:t>Receipts</w:t>
      </w:r>
      <w:r>
        <w:rPr>
          <w:rFonts w:ascii="Times New Roman;Times;serif" w:hAnsi="Times New Roman;Times;serif"/>
          <w:color w:val="000000"/>
          <w:sz w:val="20"/>
        </w:rPr>
        <w:t>”) representing fractional shares of Preferred Stock, which are called depositary shares (the “</w:t>
      </w:r>
      <w:r>
        <w:rPr>
          <w:rFonts w:ascii="Times New Roman;Times;serif" w:hAnsi="Times New Roman;Times;serif"/>
          <w:color w:val="000000"/>
          <w:sz w:val="20"/>
          <w:u w:val="single"/>
        </w:rPr>
        <w:t>Depositary Shares</w:t>
      </w:r>
      <w:r>
        <w:rPr>
          <w:rFonts w:ascii="Times New Roman;Times;serif" w:hAnsi="Times New Roman;Times;serif"/>
          <w:color w:val="000000"/>
          <w:sz w:val="20"/>
        </w:rPr>
        <w:t>”) and which may be issued pursuant to one or more depositary agreements (each, a “</w:t>
      </w:r>
      <w:r>
        <w:rPr>
          <w:rFonts w:ascii="Times New Roman;Times;serif" w:hAnsi="Times New Roman;Times;serif"/>
          <w:color w:val="000000"/>
          <w:sz w:val="20"/>
          <w:u w:val="single"/>
        </w:rPr>
        <w:t>Depositary Agreement</w:t>
      </w:r>
      <w:r>
        <w:rPr>
          <w:rFonts w:ascii="Times New Roman;Times;serif" w:hAnsi="Times New Roman;Times;serif"/>
          <w:color w:val="000000"/>
          <w:sz w:val="20"/>
        </w:rPr>
        <w:t>”) proposed to be entered into between the Company and one or more bank or trust companies to be named in the applicable Depositary Agreement (each, a “</w:t>
      </w:r>
      <w:r>
        <w:rPr>
          <w:rFonts w:ascii="Times New Roman;Times;serif" w:hAnsi="Times New Roman;Times;serif"/>
          <w:color w:val="000000"/>
          <w:sz w:val="20"/>
          <w:u w:val="single"/>
        </w:rPr>
        <w:t>Bank Depositary</w:t>
      </w:r>
      <w:r>
        <w:rPr>
          <w:rFonts w:ascii="Times New Roman;Times;serif" w:hAnsi="Times New Roman;Times;serif"/>
          <w:color w:val="000000"/>
          <w:sz w:val="20"/>
        </w:rPr>
        <w:t>”); (iv) debt securities of the Company (“</w:t>
      </w:r>
      <w:r>
        <w:rPr>
          <w:rFonts w:ascii="Times New Roman;Times;serif" w:hAnsi="Times New Roman;Times;serif"/>
          <w:color w:val="000000"/>
          <w:sz w:val="20"/>
          <w:u w:val="single"/>
        </w:rPr>
        <w:t>Debt Securities</w:t>
      </w:r>
      <w:r>
        <w:rPr>
          <w:rFonts w:ascii="Times New Roman;Times;serif" w:hAnsi="Times New Roman;Times;serif"/>
          <w:color w:val="000000"/>
          <w:sz w:val="20"/>
        </w:rPr>
        <w:t>”), which may be issued in one or more series under an indenture (the “</w:t>
      </w:r>
      <w:r>
        <w:rPr>
          <w:rFonts w:ascii="Times New Roman;Times;serif" w:hAnsi="Times New Roman;Times;serif"/>
          <w:color w:val="000000"/>
          <w:sz w:val="20"/>
          <w:u w:val="single"/>
        </w:rPr>
        <w:t>Indenture</w:t>
      </w:r>
      <w:r>
        <w:rPr>
          <w:rFonts w:ascii="Times New Roman;Times;serif" w:hAnsi="Times New Roman;Times;serif"/>
          <w:color w:val="000000"/>
          <w:sz w:val="20"/>
        </w:rPr>
        <w:t>”) proposed to be entered into by the Company and U.S. Bank Trust Company, National Association (as successor trustee to U.S. Bank Trust Company), the form of which is filed by reference as an exhibit to the Registration Statement; (v) warrants to purchase shares of Class A Common Stock, shares of Preferred Stock or Debt Securities (“</w:t>
      </w:r>
      <w:r>
        <w:rPr>
          <w:rFonts w:ascii="Times New Roman;Times;serif" w:hAnsi="Times New Roman;Times;serif"/>
          <w:color w:val="000000"/>
          <w:sz w:val="20"/>
          <w:u w:val="single"/>
        </w:rPr>
        <w:t>Warrants</w:t>
      </w:r>
      <w:r>
        <w:rPr>
          <w:rFonts w:ascii="Times New Roman;Times;serif" w:hAnsi="Times New Roman;Times;serif"/>
          <w:color w:val="000000"/>
          <w:sz w:val="20"/>
        </w:rPr>
        <w:t>”), which may be issued pursuant to one or more warrant agreements (each, a “</w:t>
      </w:r>
      <w:r>
        <w:rPr>
          <w:rFonts w:ascii="Times New Roman;Times;serif" w:hAnsi="Times New Roman;Times;serif"/>
          <w:color w:val="000000"/>
          <w:sz w:val="20"/>
          <w:u w:val="single"/>
        </w:rPr>
        <w:t>Warrant Agreement</w:t>
      </w:r>
      <w:r>
        <w:rPr>
          <w:rFonts w:ascii="Times New Roman;Times;serif" w:hAnsi="Times New Roman;Times;serif"/>
          <w:color w:val="000000"/>
          <w:sz w:val="20"/>
        </w:rPr>
        <w:t>”) proposed to be entered into by the Company and one or more warrant agents to be named therein; and (vi) such indeterminate number of shares of Class A Common Stock, Preferred Stock or Depositary Shares and indeterminate amount of Debt Securities as may be issued upon conversion, exchange or exercise, as applicable, of any Preferred Stock, Depositary Shares, Debt Securities or Warrants, including such Class A Common Stock or Preferred Stock as may be issued pursuant to anti-dilution adjustments determined at the time of offering (collectively, “</w:t>
      </w:r>
      <w:r>
        <w:rPr>
          <w:rFonts w:ascii="Times New Roman;Times;serif" w:hAnsi="Times New Roman;Times;serif"/>
          <w:color w:val="000000"/>
          <w:sz w:val="20"/>
          <w:u w:val="single"/>
        </w:rPr>
        <w:t>Indeterminate Securities</w:t>
      </w:r>
      <w:r>
        <w:rPr>
          <w:rFonts w:ascii="Times New Roman;Times;serif" w:hAnsi="Times New Roman;Times;serif"/>
          <w:color w:val="000000"/>
          <w:sz w:val="20"/>
        </w:rPr>
        <w:t>”). The Registration Statement also relates to the sale from time to time of (a) up to 708,092 shares of Class A Common Stock (the “</w:t>
      </w:r>
      <w:r>
        <w:rPr>
          <w:rFonts w:ascii="Times New Roman;Times;serif" w:hAnsi="Times New Roman;Times;serif"/>
          <w:color w:val="000000"/>
          <w:sz w:val="20"/>
          <w:u w:val="single"/>
        </w:rPr>
        <w:t>RSU Secondary Shares</w:t>
      </w:r>
      <w:r>
        <w:rPr>
          <w:rFonts w:ascii="Times New Roman;Times;serif" w:hAnsi="Times New Roman;Times;serif"/>
          <w:color w:val="000000"/>
          <w:sz w:val="20"/>
        </w:rPr>
        <w:t>”) issuable upon settlement of certain restricted stock units (the “</w:t>
      </w:r>
      <w:r>
        <w:rPr>
          <w:rFonts w:ascii="Times New Roman;Times;serif" w:hAnsi="Times New Roman;Times;serif"/>
          <w:color w:val="000000"/>
          <w:sz w:val="20"/>
          <w:u w:val="single"/>
        </w:rPr>
        <w:t>RSUs</w:t>
      </w:r>
      <w:r>
        <w:rPr>
          <w:rFonts w:ascii="Times New Roman;Times;serif" w:hAnsi="Times New Roman;Times;serif"/>
          <w:color w:val="000000"/>
          <w:sz w:val="20"/>
        </w:rPr>
        <w:t>”) outstanding under the Company’s Amended and Restated New Fortress Energy Inc. 2019 Omnibus Incentive Plan (the “</w:t>
      </w:r>
      <w:r>
        <w:rPr>
          <w:rFonts w:ascii="Times New Roman;Times;serif" w:hAnsi="Times New Roman;Times;serif"/>
          <w:color w:val="000000"/>
          <w:sz w:val="20"/>
          <w:u w:val="single"/>
        </w:rPr>
        <w:t>Plan</w:t>
      </w:r>
      <w:r>
        <w:rPr>
          <w:rFonts w:ascii="Times New Roman;Times;serif" w:hAnsi="Times New Roman;Times;serif"/>
          <w:color w:val="000000"/>
          <w:sz w:val="20"/>
        </w:rPr>
        <w:t>”) and (b) 113,962,880 additional shares of Class A Common Stock (the “</w:t>
      </w:r>
      <w:r>
        <w:rPr>
          <w:rFonts w:ascii="Times New Roman;Times;serif" w:hAnsi="Times New Roman;Times;serif"/>
          <w:color w:val="000000"/>
          <w:sz w:val="20"/>
          <w:u w:val="single"/>
        </w:rPr>
        <w:t>Other Secondary Shares</w:t>
      </w:r>
      <w:r>
        <w:rPr>
          <w:rFonts w:ascii="Times New Roman;Times;serif" w:hAnsi="Times New Roman;Times;serif"/>
          <w:color w:val="000000"/>
          <w:sz w:val="20"/>
        </w:rPr>
        <w:t>,” and together with the RSU Secondary Shares, the “</w:t>
      </w:r>
      <w:r>
        <w:rPr>
          <w:rFonts w:ascii="Times New Roman;Times;serif" w:hAnsi="Times New Roman;Times;serif"/>
          <w:color w:val="000000"/>
          <w:sz w:val="20"/>
          <w:u w:val="single"/>
        </w:rPr>
        <w:t>Secondary Shares</w:t>
      </w:r>
      <w:r>
        <w:rPr>
          <w:rFonts w:ascii="Times New Roman;Times;serif" w:hAnsi="Times New Roman;Times;serif"/>
          <w:color w:val="000000"/>
          <w:sz w:val="20"/>
        </w:rPr>
        <w:t>”) in each case on behalf of the Company’s shareholders (the “</w:t>
      </w:r>
      <w:r>
        <w:rPr>
          <w:rFonts w:ascii="Times New Roman;Times;serif" w:hAnsi="Times New Roman;Times;serif"/>
          <w:color w:val="000000"/>
          <w:sz w:val="20"/>
          <w:u w:val="single"/>
        </w:rPr>
        <w:t>Selling Stockholders</w:t>
      </w:r>
      <w:r>
        <w:rPr>
          <w:rFonts w:ascii="Times New Roman;Times;serif" w:hAnsi="Times New Roman;Times;serif"/>
          <w:color w:val="000000"/>
          <w:sz w:val="20"/>
        </w:rPr>
        <w:t>”). The Class A Common Stock, Preferred Stock, Depositary Shares, Debt Securities, Warrants, Indeterminate Securities and Secondary Shares offered pursuant to the Registration Statement are collectively referred to herein as the “</w:t>
      </w:r>
      <w:r>
        <w:rPr>
          <w:rFonts w:ascii="Times New Roman;Times;serif" w:hAnsi="Times New Roman;Times;serif"/>
          <w:color w:val="000000"/>
          <w:sz w:val="20"/>
          <w:u w:val="single"/>
        </w:rPr>
        <w:t>Securities.</w:t>
      </w:r>
      <w:r>
        <w:rPr>
          <w:rFonts w:ascii="Times New Roman;Times;serif" w:hAnsi="Times New Roman;Times;serif"/>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Fortress Energy Inc.</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1, 2024</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2</w:t>
      </w:r>
    </w:p>
    <w:p>
      <w:pPr>
        <w:pStyle w:val="TextBody"/>
        <w:bidi w:val="0"/>
        <w:spacing w:before="0" w:after="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This opinion is being furnished in accordance with the requirements of Item 601(b)(5) of Regulation S-K under the Securities Act.</w:t>
      </w:r>
    </w:p>
    <w:p>
      <w:pPr>
        <w:pStyle w:val="TextBody"/>
        <w:bidi w:val="0"/>
        <w:spacing w:before="0" w:after="0"/>
        <w:jc w:val="left"/>
        <w:rPr>
          <w:color w:val="000000"/>
        </w:rPr>
      </w:pPr>
      <w:r>
        <w:rPr>
          <w:color w:val="000000"/>
        </w:rPr>
        <w:t xml:space="preserve">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In rendering the opinions stated herein, we have examined and relied upon the following: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(a)          the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(b)          the form of Indenture incorporated by reference as an exhibit to the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(c)          an executed copy of a certificate of Cameron D. MacDougall, Secretary of the Company, dated the date hereof (the “</w:t>
      </w:r>
      <w:r>
        <w:rPr>
          <w:rFonts w:ascii="Times New Roman;Times;serif" w:hAnsi="Times New Roman;Times;serif"/>
          <w:color w:val="000000"/>
          <w:sz w:val="20"/>
          <w:u w:val="single"/>
        </w:rPr>
        <w:t>Secretary’s Certificate</w:t>
      </w:r>
      <w:r>
        <w:rPr>
          <w:rFonts w:ascii="Times New Roman;Times;serif" w:hAnsi="Times New Roman;Times;serif"/>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(d)          the Plan;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(e)          a copy of the Company’s Certificate of Incorporation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certified by the Secretary of State of the State of Delaware as of March 1, 2024, and certified pursuant to the Secretary’s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(f)          a copy of the Company’s bylaws, adopted as of August 3, 2020 and effective as of August 7, 2020 dated as of August 7, 2020 (the “</w:t>
      </w:r>
      <w:r>
        <w:rPr>
          <w:rFonts w:ascii="Times New Roman;Times;serif" w:hAnsi="Times New Roman;Times;serif"/>
          <w:color w:val="000000"/>
          <w:sz w:val="20"/>
          <w:u w:val="single"/>
        </w:rPr>
        <w:t>Bylaws</w:t>
      </w:r>
      <w:r>
        <w:rPr>
          <w:rFonts w:ascii="Times New Roman;Times;serif" w:hAnsi="Times New Roman;Times;serif"/>
          <w:color w:val="000000"/>
          <w:sz w:val="20"/>
        </w:rPr>
        <w:t>”), certified pursuant to the Secretary’s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(g)          a copy of the Company’s Certificate of Conversion, filed with the Secretary of State of the State of Delaware on August 3, 2020, certified pursuant to the Secretary’s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(h)          a copy of certain resolutions of the Board of Directors of New Fortress Energy LLC adopted on July 30, 2020, certified pursuant to the Secretary’s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(i)          a copy of certain resolutions of the Board of Directors of the Company adopted on August 7, 2020, certified pursuant to the Secretary’s Certificate;</w:t>
      </w:r>
    </w:p>
    <w:p>
      <w:pPr>
        <w:pStyle w:val="TextBody"/>
        <w:bidi w:val="0"/>
        <w:spacing w:before="0" w:after="0"/>
        <w:ind w:left="0" w:right="0" w:firstLine="144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Fortress Energy Inc.</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1, 2024</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3</w:t>
      </w:r>
    </w:p>
    <w:p>
      <w:pPr>
        <w:pStyle w:val="TextBody"/>
        <w:bidi w:val="0"/>
        <w:spacing w:before="0" w:after="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(j)          a copy of the Form of Director Restricted Share Unit Award Agreement Under the Amended and Restated New Fortress Energy Inc. 2019 Omnibus Incentive Plan (the “</w:t>
      </w:r>
      <w:r>
        <w:rPr>
          <w:rFonts w:ascii="Times New Roman;Times;serif" w:hAnsi="Times New Roman;Times;serif"/>
          <w:color w:val="000000"/>
          <w:sz w:val="20"/>
          <w:u w:val="single"/>
        </w:rPr>
        <w:t>Director RSU Award Agreement</w:t>
      </w:r>
      <w:r>
        <w:rPr>
          <w:rFonts w:ascii="Times New Roman;Times;serif" w:hAnsi="Times New Roman;Times;serif"/>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(k)          a copy of the Form of Restricted Share Unit Award Agreement Under the Amended and Restated New Fortress Energy Inc. 2019 Omnibus Incentive Plan (together with the Director RSU Award Agreement, the “</w:t>
      </w:r>
      <w:r>
        <w:rPr>
          <w:rFonts w:ascii="Times New Roman;Times;serif" w:hAnsi="Times New Roman;Times;serif"/>
          <w:color w:val="000000"/>
          <w:sz w:val="20"/>
          <w:u w:val="single"/>
        </w:rPr>
        <w:t>Award Agreements</w:t>
      </w:r>
      <w:r>
        <w:rPr>
          <w:rFonts w:ascii="Times New Roman;Times;serif" w:hAnsi="Times New Roman;Times;serif"/>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We have also examined originals or copies, certified or otherwise identified to our satisfaction, of such records of the Company and the Selling Stockholders and such agreements, certificates and receipts of public officials, certificates of officers or other representatives of the Company and the Selling Stockholders and others, and such other documents as we have deemed necessary or appropriate as a basis for the opinions stated below.</w:t>
      </w:r>
    </w:p>
    <w:p>
      <w:pPr>
        <w:pStyle w:val="TextBody"/>
        <w:bidi w:val="0"/>
        <w:spacing w:before="0" w:after="0"/>
        <w:ind w:left="0" w:right="0" w:firstLine="144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the Selling Stockholders and others and of public officials, including those in the Secretary’s Certificate.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We do not express any opinion with respect to the laws of any jurisdiction other than (i) the laws of the State of New York and (ii)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(all of the foregoing being referred to as “</w:t>
      </w:r>
      <w:r>
        <w:rPr>
          <w:rFonts w:ascii="Times New Roman;Times;serif" w:hAnsi="Times New Roman;Times;serif"/>
          <w:color w:val="000000"/>
          <w:sz w:val="20"/>
          <w:u w:val="single"/>
        </w:rPr>
        <w:t>Opined-on Law</w:t>
      </w:r>
      <w:r>
        <w:rPr>
          <w:rFonts w:ascii="Times New Roman;Times;serif" w:hAnsi="Times New Roman;Times;serif"/>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As used herein, “</w:t>
      </w:r>
      <w:r>
        <w:rPr>
          <w:rFonts w:ascii="Times New Roman;Times;serif" w:hAnsi="Times New Roman;Times;serif"/>
          <w:color w:val="000000"/>
          <w:sz w:val="20"/>
          <w:u w:val="single"/>
        </w:rPr>
        <w:t>Transaction Documents</w:t>
      </w:r>
      <w:r>
        <w:rPr>
          <w:rFonts w:ascii="Times New Roman;Times;serif" w:hAnsi="Times New Roman;Times;serif"/>
          <w:color w:val="000000"/>
          <w:sz w:val="20"/>
        </w:rPr>
        <w:t>” means the Plan, the Award Agreements, the Depositary Agreements, the Indenture and the supplemental indentures and officer’s certificates establishing the terms of the Debt Securities pursuant thereto, the Warrant Agreements and any applicable underwriting or purchase agreement.</w:t>
      </w:r>
    </w:p>
    <w:p>
      <w:pPr>
        <w:pStyle w:val="TextBody"/>
        <w:bidi w:val="0"/>
        <w:spacing w:before="0" w:after="0"/>
        <w:ind w:left="0" w:right="0" w:firstLine="144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The opinions stated in paragraphs 1 through 7 below presume that all of the following (collectively, the “</w:t>
      </w:r>
      <w:r>
        <w:rPr>
          <w:rFonts w:ascii="Times New Roman;Times;serif" w:hAnsi="Times New Roman;Times;serif"/>
          <w:color w:val="000000"/>
          <w:sz w:val="20"/>
          <w:u w:val="single"/>
        </w:rPr>
        <w:t>general conditions</w:t>
      </w:r>
      <w:r>
        <w:rPr>
          <w:rFonts w:ascii="Times New Roman;Times;serif" w:hAnsi="Times New Roman;Times;serif"/>
          <w:color w:val="000000"/>
          <w:sz w:val="20"/>
        </w:rPr>
        <w:t>”)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has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and the Bylaws so as not to violate any applicable law, the Certificate of Incorporation or the Bylaws, or result in a default under or breach of any agreement or instrument binding upon the Company, and so as to comply with any requirement or restriction imposed by any court or governmental body having jurisdiction over the Company.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Fortress Energy Inc.</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1, 2024</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4</w:t>
      </w:r>
    </w:p>
    <w:p>
      <w:pPr>
        <w:pStyle w:val="TextBody"/>
        <w:bidi w:val="0"/>
        <w:spacing w:before="0" w:after="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Based upon the foregoing and subject to the qualifications and assumptions stated herein, we are of the opinion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1.           With respect to any shares of Class A Common Stock offered by the Company, including any Indeterminate Securities constituting Class A Common Stock (the “</w:t>
      </w:r>
      <w:r>
        <w:rPr>
          <w:rFonts w:ascii="Times New Roman;Times;serif" w:hAnsi="Times New Roman;Times;serif"/>
          <w:color w:val="000000"/>
          <w:sz w:val="20"/>
          <w:u w:val="single"/>
        </w:rPr>
        <w:t>Offered Class A Common Stock</w:t>
      </w:r>
      <w:r>
        <w:rPr>
          <w:rFonts w:ascii="Times New Roman;Times;serif" w:hAnsi="Times New Roman;Times;serif"/>
          <w:color w:val="000000"/>
          <w:sz w:val="20"/>
        </w:rPr>
        <w:t>”), when (a) the general conditions shall have been satisfied and (b) the Offered Class A Common Stock are registered in the Company’s share registry and delivered upon payment of the agreed-upon consideration therefor, the shares of Offered Class A Common Stock, when issued and sold or otherwise distributed in accordance with the provisions of the applicable Transaction Documents, will be duly authorized by all requisite corporate action on the part of the Company under the DGCL and validly issued, fully paid and nonassessable, provided that the consideration therefor is not less than $0.01 per share of Class A Common Stock.</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2.          When delivered in accordance with the Plan and applicable award agreement, the RSU Secondary Shares being sold by the Selling Stockholders will be duly authorized by all requisite corporate action on the part of the Company under the DGCL and validly issued, fully paid and nonassessable.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3.          The Other Secondary Shares have been duly authorized by all requisite corporate action on the part of the Company under the DGCL and have been validly issued and are fully paid and nonassessable.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4.          With respect to the shares of any series of Preferred Stock offered by the Company, including any Indeterminate Securities constituting Preferred Stock of such series (the “</w:t>
      </w:r>
      <w:r>
        <w:rPr>
          <w:rFonts w:ascii="Times New Roman;Times;serif" w:hAnsi="Times New Roman;Times;serif"/>
          <w:color w:val="000000"/>
          <w:sz w:val="20"/>
          <w:u w:val="single"/>
        </w:rPr>
        <w:t>Offered Preferred Stock</w:t>
      </w:r>
      <w:r>
        <w:rPr>
          <w:rFonts w:ascii="Times New Roman;Times;serif" w:hAnsi="Times New Roman;Times;serif"/>
          <w:color w:val="000000"/>
          <w:sz w:val="20"/>
        </w:rPr>
        <w:t>”), when (a) the general conditions shall have been satisfied, (b) the terms of the Offered Preferred Stock and of their issuance and sale have been duly established by the Board of Directors in conformity with the Certificate of Incorporation, the Bylaws and the DGCL, and (c) the Offered Preferred Stock are registered in the Company’s share registry and delivered upon payment of the agreed-upon consideration therefor, the Offered Preferred Stock, when issued and sold or otherwise distributed in accordance with the provisions of the applicable Transaction Documents, will be duly authorized by all requisite corporate action on the part of the Company under the DGCL and validly issued, fully paid and nonassessable, provided that the consideration therefor is not less than $0.01 per share of Offered Preferred Share.</w:t>
      </w:r>
    </w:p>
    <w:p>
      <w:pPr>
        <w:pStyle w:val="TextBody"/>
        <w:bidi w:val="0"/>
        <w:spacing w:before="0" w:after="0"/>
        <w:ind w:left="0" w:right="0" w:firstLine="144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Fortress Energy Inc.</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1, 2024</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5</w:t>
      </w:r>
    </w:p>
    <w:p>
      <w:pPr>
        <w:pStyle w:val="TextBody"/>
        <w:bidi w:val="0"/>
        <w:spacing w:before="0" w:after="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5.          With respect to any Depositary Shares offered by the Company, including any Indeterminate Securities constituting Depositary Shares (the “</w:t>
      </w:r>
      <w:r>
        <w:rPr>
          <w:rFonts w:ascii="Times New Roman;Times;serif" w:hAnsi="Times New Roman;Times;serif"/>
          <w:color w:val="000000"/>
          <w:sz w:val="20"/>
          <w:u w:val="single"/>
        </w:rPr>
        <w:t>Offered Depositary Shares</w:t>
      </w:r>
      <w:r>
        <w:rPr>
          <w:rFonts w:ascii="Times New Roman;Times;serif" w:hAnsi="Times New Roman;Times;serif"/>
          <w:color w:val="000000"/>
          <w:sz w:val="20"/>
        </w:rPr>
        <w:t>”), when (a) the general conditions shall have been satisfied, (b) the Preferred Stock relating to such Offered Depositary Shares has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shares of Preferred Stock with the Bank Depositary in accordance with the applicable Depositary Agreement, the Offered Depositary Shares evidenced by the Receipts will entitle the registered holder thereof to the rights specified in the Depositary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6.          With respect to any series of Debt Securities offered by the Company, including any Indeterminate Securities constituting Debt Securities of such series (the “</w:t>
      </w:r>
      <w:r>
        <w:rPr>
          <w:rFonts w:ascii="Times New Roman;Times;serif" w:hAnsi="Times New Roman;Times;serif"/>
          <w:color w:val="000000"/>
          <w:sz w:val="20"/>
          <w:u w:val="single"/>
        </w:rPr>
        <w:t>Offered Debt Securities</w:t>
      </w:r>
      <w:r>
        <w:rPr>
          <w:rFonts w:ascii="Times New Roman;Times;serif" w:hAnsi="Times New Roman;Times;serif"/>
          <w:color w:val="000000"/>
          <w:sz w:val="20"/>
        </w:rPr>
        <w:t>”), when (a) the general conditions shall have been satisfied, (b) the Indenture has been qualified under the Trust Indenture Act of 1939, (c) the issuance, sale and terms of the Offered Debt Securities and related matters have been approved and established in conformity with the applicable Transaction Documents and (d)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Documents upon payment of the agreed-upon consideration therefor, the Offered Debt Securities will constitute valid and binding obligations of the Company, enforceable against the Company in accordance with their respective terms under the laws of the State of New York.</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7.          With respect to any Warrants offered by the Company (the “</w:t>
      </w:r>
      <w:r>
        <w:rPr>
          <w:rFonts w:ascii="Times New Roman;Times;serif" w:hAnsi="Times New Roman;Times;serif"/>
          <w:color w:val="000000"/>
          <w:sz w:val="20"/>
          <w:u w:val="single"/>
        </w:rPr>
        <w:t>Offered Warrants</w:t>
      </w:r>
      <w:r>
        <w:rPr>
          <w:rFonts w:ascii="Times New Roman;Times;serif" w:hAnsi="Times New Roman;Times;serif"/>
          <w:color w:val="000000"/>
          <w:sz w:val="20"/>
        </w:rPr>
        <w:t>”), when (a) the general conditions shall have been satisfied, (b) the Class A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 upon payment of the agreed-upon consideration therefor, will constitute valid and binding obligations of the Company, enforceable against the Company in accordance with their respective terms under the laws of the State of New York.</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The opinions stated herein are subject to the following qualifications: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(a)          we do not express any opinion with respect to the effect on the opinions stated herein of any applicable bankruptcy, insolvency, reorganization, moratorium, fraudulent transfer, preference and other similar laws or governmental orders affecting creditors’ rights generally, and the opinions stated herein are limited by such laws and orders and by general principles of equity (regardless of whether enforcement is sought in equity or at law);</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Fortress Energy Inc.</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1, 2024</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6</w:t>
      </w:r>
    </w:p>
    <w:p>
      <w:pPr>
        <w:pStyle w:val="TextBody"/>
        <w:bidi w:val="0"/>
        <w:spacing w:before="0" w:after="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(b)          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(e)          we do not express any opinion with respect to the enforceability of any provision of any Transaction Document to the extent that such section purports to bind any party to the exclusive jurisdiction of any particular federal court or courts;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(f)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(g)          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(h)          we have assumed that the choice of New York law to govern the Indenture and any supplemental indenture thereto is a valid and legal provision;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(i)          we have assumed that the laws of the State of New York will be chosen to govern any Depositary Agreements and Warrant Agreements and that such choice is and will be a valid and legal provision;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(j)          we have assumed that the Indenture will be duly authorized, executed and delivered by the trustee in substantially the form reviewed by us; and</w:t>
      </w:r>
    </w:p>
    <w:p>
      <w:pPr>
        <w:pStyle w:val="TextBody"/>
        <w:bidi w:val="0"/>
        <w:spacing w:before="0" w:after="0"/>
        <w:ind w:left="0" w:right="0" w:firstLine="144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(k)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New Fortress Energy Inc.</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March 1, 2024</w:t>
      </w:r>
    </w:p>
    <w:p>
      <w:pPr>
        <w:pStyle w:val="TextBody"/>
        <w:bidi w:val="0"/>
        <w:spacing w:before="200" w:after="2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7</w:t>
      </w:r>
    </w:p>
    <w:p>
      <w:pPr>
        <w:pStyle w:val="TextBody"/>
        <w:bidi w:val="0"/>
        <w:spacing w:before="0" w:after="0"/>
        <w:jc w:val="left"/>
        <w:rPr/>
      </w:pPr>
      <w:r>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In addition, in rendering the foregoing opinions we have assumed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(a)          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agreement or other instrument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(b)          neither the execution and delivery by the Company of the Transaction Documents to which the Company is a party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(c)          with respect to our opinion set forth in paragraphs 2 and 3 above, the Secondary Shares have been registered in the Company’s share registry;</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(d)          with respect to our opinion set forth in paragraph 2 above, we have assumed that each award agreement under which restricted stock units are granted pursuant to the Plan were granted consistent with the Plan and the Award Agreements;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(e)          with respect to our opinion set forth in paragraph 3 above, (i) the Company received in full the consideration for the Other Secondary Shares set forth in the applicable resolutions of the Board of Directors of the Company approving the issuance of all such Other Secondary Shares, and (ii) the issuance of the Other Secondary Shares did not violate or conflict with any agreement or instrument binding on the Company (except that we do not make this assumption with respect to the Certificate of Incorporation or the Bylaws or those agreements or instruments expressed to be governed by the laws of the State of New York which are listed in Part II of the Registration Statement or the Company’s Annual Report on Form 10-K for the year ended December 31, 2023).</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jc w:val="left"/>
        <w:rPr>
          <w:color w:val="000000"/>
        </w:rPr>
      </w:pPr>
      <w:r>
        <w:rPr>
          <w:color w:val="000000"/>
        </w:rPr>
        <w:t xml:space="preserve">  </w:t>
      </w:r>
      <w:bookmarkStart w:id="227" w:name="z988eba814da64bf088e76cc9ea28c881"/>
      <w:bookmarkEnd w:id="227"/>
    </w:p>
    <w:tbl>
      <w:tblPr>
        <w:tblW w:w="5110" w:type="dxa"/>
        <w:jc w:val="left"/>
        <w:tblInd w:w="0" w:type="dxa"/>
        <w:tblLayout w:type="fixed"/>
        <w:tblCellMar>
          <w:top w:w="0" w:type="dxa"/>
          <w:left w:w="0" w:type="dxa"/>
          <w:bottom w:w="0" w:type="dxa"/>
          <w:right w:w="0" w:type="dxa"/>
        </w:tblCellMar>
      </w:tblPr>
      <w:tblGrid>
        <w:gridCol w:w="455"/>
        <w:gridCol w:w="60"/>
        <w:gridCol w:w="4595"/>
      </w:tblGrid>
      <w:tr>
        <w:trPr/>
        <w:tc>
          <w:tcPr>
            <w:tcW w:w="4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59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Very truly yours,</w:t>
            </w:r>
          </w:p>
        </w:tc>
      </w:tr>
      <w:tr>
        <w:trPr/>
        <w:tc>
          <w:tcPr>
            <w:tcW w:w="4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595" w:type="dxa"/>
            <w:tcBorders/>
            <w:vAlign w:val="center"/>
          </w:tcPr>
          <w:p>
            <w:pPr>
              <w:pStyle w:val="TableContents"/>
              <w:bidi w:val="0"/>
              <w:spacing w:before="0" w:after="0"/>
              <w:jc w:val="left"/>
              <w:rPr/>
            </w:pPr>
            <w:r>
              <w:rPr/>
              <w:t> </w:t>
            </w:r>
          </w:p>
        </w:tc>
      </w:tr>
      <w:tr>
        <w:trPr/>
        <w:tc>
          <w:tcPr>
            <w:tcW w:w="45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MJS</w:t>
            </w:r>
          </w:p>
        </w:tc>
        <w:tc>
          <w:tcPr>
            <w:tcW w:w="60" w:type="dxa"/>
            <w:tcBorders/>
            <w:vAlign w:val="center"/>
          </w:tcPr>
          <w:p>
            <w:pPr>
              <w:pStyle w:val="TableContents"/>
              <w:bidi w:val="0"/>
              <w:spacing w:before="0" w:after="0"/>
              <w:jc w:val="left"/>
              <w:rPr/>
            </w:pPr>
            <w:r>
              <w:rPr/>
              <w:t> </w:t>
            </w:r>
          </w:p>
        </w:tc>
        <w:tc>
          <w:tcPr>
            <w:tcW w:w="4595" w:type="dxa"/>
            <w:tcBorders/>
            <w:vAlign w:val="center"/>
          </w:tcPr>
          <w:p>
            <w:pPr>
              <w:pStyle w:val="TableContents"/>
              <w:bidi w:val="0"/>
              <w:spacing w:before="0" w:after="0"/>
              <w:jc w:val="left"/>
              <w:rPr/>
            </w:pPr>
            <w:r>
              <w:rPr/>
              <w:t xml:space="preserve">/s/ Skadden, Arps, Slate, Meagher &amp; Flom LLP </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60" w:after="60"/>
        <w:jc w:val="left"/>
        <w:rPr>
          <w:caps w:val="false"/>
          <w:smallCaps w:val="false"/>
          <w:bdr w:val="single" w:sz="32" w:space="1" w:color="000000"/>
        </w:rPr>
      </w:pPr>
      <w:bookmarkStart w:id="228" w:name="ny20022010x1_ex23-1.htm"/>
      <w:bookmarkStart w:id="229" w:name="ksny20022010x1_ex231"/>
      <w:bookmarkEnd w:id="228"/>
      <w:bookmarkEnd w:id="229"/>
      <w:r>
        <w:rPr>
          <w:caps w:val="false"/>
          <w:smallCaps w:val="false"/>
          <w:bdr w:val="single" w:sz="32"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Exhibit 23.1</w:t>
      </w:r>
    </w:p>
    <w:p>
      <w:pPr>
        <w:pStyle w:val="TextBody"/>
        <w:bidi w:val="0"/>
        <w:spacing w:before="0" w:after="0"/>
        <w:ind w:left="0" w:right="0" w:hanging="0"/>
        <w:jc w:val="center"/>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Consent of Independent Registered Public Accounting Firm</w:t>
      </w:r>
    </w:p>
    <w:p>
      <w:pPr>
        <w:pStyle w:val="TextBody"/>
        <w:bidi w:val="0"/>
        <w:spacing w:before="0" w:after="0"/>
        <w:ind w:left="0" w:right="0" w:hanging="0"/>
        <w:jc w:val="center"/>
        <w:rPr>
          <w:caps w:val="false"/>
          <w:smallCaps w:val="false"/>
          <w:color w:val="333333"/>
        </w:rPr>
      </w:pPr>
      <w:r>
        <w:rPr>
          <w:caps w:val="false"/>
          <w:smallCaps w:val="false"/>
          <w:color w:val="333333"/>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New Fortress Energy Inc. for the registration of Class A Common Stock, Preferred Stock, Depositary Shares, Debt Securities, Warrants and 114,670,972 Shares of Class A Common Stock Offered by Selling Stockholders and to the incorporation by reference therein of our reports dated February 29, 2024, with respect to the consolidated financial statements of New Fortress Energy Inc., and the effectiveness of internal control over financial reporting of New Fortress Energy Inc. included in its Annual Report (Form 10-K) for the year ended December 31,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2024</w:t>
      </w:r>
    </w:p>
    <w:p>
      <w:pPr>
        <w:pStyle w:val="TextBody"/>
        <w:bidi w:val="0"/>
        <w:spacing w:before="0" w:after="0"/>
        <w:ind w:left="0" w:right="0" w:hanging="0"/>
        <w:jc w:val="left"/>
        <w:rPr>
          <w:sz w:val="20"/>
        </w:rPr>
      </w:pPr>
      <w:r>
        <w:rPr>
          <w:sz w:val="20"/>
        </w:rPr>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TextBody"/>
        <w:bidi w:val="0"/>
        <w:spacing w:before="60" w:after="283"/>
        <w:jc w:val="left"/>
        <w:rPr>
          <w:caps w:val="false"/>
          <w:smallCaps w:val="false"/>
          <w:bdr w:val="single" w:sz="32" w:space="1" w:color="000000"/>
        </w:rPr>
      </w:pPr>
      <w:bookmarkStart w:id="230" w:name="ny20022010x1_ex25-1.htm"/>
      <w:bookmarkStart w:id="231" w:name="ksny20022010x1_ex251"/>
      <w:bookmarkEnd w:id="230"/>
      <w:bookmarkEnd w:id="231"/>
      <w:r>
        <w:rPr>
          <w:caps w:val="false"/>
          <w:smallCaps w:val="false"/>
          <w:bdr w:val="single" w:sz="32" w:space="1" w:color="000000"/>
        </w:rPr>
        <w:t> </w:t>
      </w:r>
      <w:r>
        <w:br w:type="page"/>
      </w:r>
    </w:p>
    <w:p>
      <w:pPr>
        <w:pStyle w:val="TextBody"/>
        <w:bidi w:val="0"/>
        <w:spacing w:before="0" w:after="0"/>
        <w:jc w:val="right"/>
        <w:rPr>
          <w:caps w:val="false"/>
          <w:smallCaps w:val="false"/>
        </w:rPr>
      </w:pPr>
      <w:r>
        <w:rPr>
          <w:caps w:val="false"/>
          <w:smallCaps w:val="false"/>
        </w:rPr>
        <w:t> </w:t>
      </w:r>
      <w:r>
        <w:rPr>
          <w:rFonts w:ascii="Times New Roman;Times;Serif" w:hAnsi="Times New Roman;Times;Serif"/>
          <w:b/>
          <w:i w:val="false"/>
          <w:caps w:val="false"/>
          <w:smallCaps w:val="false"/>
          <w:sz w:val="20"/>
        </w:rPr>
        <w:t>Exhibit 25.1</w:t>
      </w:r>
    </w:p>
    <w:p>
      <w:pPr>
        <w:pStyle w:val="TextBody"/>
        <w:bidi w:val="0"/>
        <w:spacing w:before="0" w:after="0"/>
        <w:jc w:val="center"/>
        <w:rPr>
          <w:caps w:val="false"/>
          <w:smallCaps w:val="false"/>
        </w:rPr>
      </w:pPr>
      <w:r>
        <w:rPr>
          <w:caps w:val="false"/>
          <w:smallCaps w:val="false"/>
        </w:rPr>
        <w:t> </w:t>
      </w:r>
    </w:p>
    <w:p>
      <w:pPr>
        <w:pStyle w:val="TextBody"/>
        <w:bidi w:val="0"/>
        <w:spacing w:before="60" w:after="283"/>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32"/>
        </w:rPr>
      </w:pPr>
      <w:r>
        <w:rPr>
          <w:rFonts w:ascii="Times New Roman;Times;Serif" w:hAnsi="Times New Roman;Times;Serif"/>
          <w:b/>
          <w:i w:val="false"/>
          <w:smallCaps/>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Statement of Eligibility Under</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The Trust Indenture Act of 1939 of a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Corporation Designated to Act as Trustee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Identification No.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tbl>
      <w:tblPr>
        <w:tblW w:w="4135" w:type="dxa"/>
        <w:jc w:val="left"/>
        <w:tblInd w:w="-10" w:type="dxa"/>
        <w:tblLayout w:type="fixed"/>
        <w:tblCellMar>
          <w:top w:w="28" w:type="dxa"/>
          <w:left w:w="28" w:type="dxa"/>
          <w:bottom w:w="28" w:type="dxa"/>
          <w:right w:w="2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Nicollet Mall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55402 </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Bonfig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Paul, MN 55107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 466-6619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New Fortress Energy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tbl>
      <w:tblPr>
        <w:tblW w:w="7795" w:type="dxa"/>
        <w:jc w:val="left"/>
        <w:tblInd w:w="-10" w:type="dxa"/>
        <w:tblLayout w:type="fixed"/>
        <w:tblCellMar>
          <w:top w:w="28" w:type="dxa"/>
          <w:left w:w="28" w:type="dxa"/>
          <w:bottom w:w="28" w:type="dxa"/>
          <w:right w:w="2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83-1482060</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4195" w:type="dxa"/>
        <w:jc w:val="left"/>
        <w:tblInd w:w="-10" w:type="dxa"/>
        <w:tblLayout w:type="fixed"/>
        <w:tblCellMar>
          <w:top w:w="28" w:type="dxa"/>
          <w:left w:w="28" w:type="dxa"/>
          <w:bottom w:w="28" w:type="dxa"/>
          <w:right w:w="28" w:type="dxa"/>
        </w:tblCellMar>
      </w:tblPr>
      <w:tblGrid>
        <w:gridCol w:w="3275"/>
        <w:gridCol w:w="920"/>
      </w:tblGrid>
      <w:tr>
        <w:trPr/>
        <w:tc>
          <w:tcPr>
            <w:tcW w:w="32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 19th Street, 8th Floor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10011</w:t>
            </w:r>
          </w:p>
        </w:tc>
      </w:tr>
      <w:tr>
        <w:trPr/>
        <w:tc>
          <w:tcPr>
            <w:tcW w:w="32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ind w:left="2160" w:right="0" w:hanging="207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jc w:val="center"/>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5"/>
        <w:gridCol w:w="6710"/>
      </w:tblGrid>
      <w:tr>
        <w:trPr/>
        <w:tc>
          <w:tcPr>
            <w:tcW w:w="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GENERAL INFORMATION</w:t>
            </w:r>
            <w:r>
              <w:rPr>
                <w:rFonts w:ascii="Times New Roman;Times;Serif" w:hAnsi="Times New Roman;Times;Serif"/>
                <w:b/>
                <w:i/>
                <w:sz w:val="20"/>
              </w:rPr>
              <w:t>.</w:t>
            </w:r>
            <w:r>
              <w:rPr>
                <w:rFonts w:ascii="Times New Roman;Times;Serif" w:hAnsi="Times New Roman;Times;Serif"/>
                <w:sz w:val="20"/>
              </w:rPr>
              <w:t xml:space="preserve"> Furnish the following information as to the Trustee.</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5"/>
        <w:gridCol w:w="9906"/>
      </w:tblGrid>
      <w:tr>
        <w:trPr/>
        <w:tc>
          <w:tcPr>
            <w:tcW w:w="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and address of each examining or supervising authority to which it is subject.</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720" w:right="0" w:firstLine="144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8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8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Whether it is authorized to exercise corporate trust powers.</w:t>
            </w:r>
          </w:p>
        </w:tc>
      </w:tr>
    </w:tbl>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firstLine="72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35"/>
        <w:gridCol w:w="9485"/>
      </w:tblGrid>
      <w:tr>
        <w:trPr/>
        <w:tc>
          <w:tcPr>
            <w:tcW w:w="635" w:type="dxa"/>
            <w:tcBorders/>
            <w:vAlign w:val="center"/>
          </w:tcPr>
          <w:p>
            <w:pPr>
              <w:pStyle w:val="TableContents"/>
              <w:bidi w:val="0"/>
              <w:spacing w:before="0" w:after="283"/>
              <w:jc w:val="left"/>
              <w:rPr/>
            </w:pPr>
            <w:r>
              <w:rPr>
                <w:rFonts w:ascii="Times New Roman;Times;Serif" w:hAnsi="Times New Roman;Times;Serif"/>
                <w:b/>
                <w:sz w:val="20"/>
              </w:rPr>
              <w:t xml:space="preserve">Item </w:t>
            </w:r>
            <w:r>
              <w:rPr>
                <w:b/>
              </w:rPr>
              <w:t>2.</w:t>
            </w:r>
          </w:p>
        </w:tc>
        <w:tc>
          <w:tcPr>
            <w:tcW w:w="9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AFFILIATIONS WITH THE OBLIGOR. </w:t>
            </w:r>
            <w:r>
              <w:rPr>
                <w:rFonts w:ascii="Times New Roman;Times;Serif" w:hAnsi="Times New Roman;Times;Serif"/>
                <w:i/>
                <w:sz w:val="20"/>
              </w:rPr>
              <w:t>If the obligor is an affiliate of the Trustee, describe each such affiliation.</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
        <w:gridCol w:w="9433"/>
      </w:tblGrid>
      <w:tr>
        <w:trPr/>
        <w:tc>
          <w:tcPr>
            <w:tcW w:w="7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Items 3-15</w:t>
            </w:r>
          </w:p>
        </w:tc>
        <w:tc>
          <w:tcPr>
            <w:tcW w:w="943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Items 3-15 are not applicable because to the best of the Trustee's knowledge, the obligor is not in default under any Indenture for which the Trustee acts as Trustee.</w:t>
            </w:r>
          </w:p>
        </w:tc>
      </w:tr>
    </w:tbl>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7"/>
        <w:gridCol w:w="9508"/>
      </w:tblGrid>
      <w:tr>
        <w:trPr/>
        <w:tc>
          <w:tcPr>
            <w:tcW w:w="697" w:type="dxa"/>
            <w:tcBorders/>
            <w:vAlign w:val="center"/>
          </w:tcPr>
          <w:p>
            <w:pPr>
              <w:pStyle w:val="TableContents"/>
              <w:bidi w:val="0"/>
              <w:spacing w:before="0" w:after="283"/>
              <w:jc w:val="left"/>
              <w:rPr/>
            </w:pPr>
            <w:r>
              <w:rPr>
                <w:rFonts w:ascii="Times New Roman;Times;Serif" w:hAnsi="Times New Roman;Times;Serif"/>
                <w:b/>
                <w:sz w:val="20"/>
              </w:rPr>
              <w:t>Item</w:t>
            </w:r>
            <w:r>
              <w:rPr/>
              <w:t xml:space="preserve"> </w:t>
            </w:r>
            <w:r>
              <w:rPr>
                <w:rFonts w:ascii="Times New Roman;Times;Serif" w:hAnsi="Times New Roman;Times;Serif"/>
                <w:b/>
                <w:i w:val="false"/>
                <w:caps w:val="false"/>
                <w:smallCaps w:val="false"/>
                <w:sz w:val="20"/>
              </w:rPr>
              <w:t>16.</w:t>
            </w:r>
          </w:p>
        </w:tc>
        <w:tc>
          <w:tcPr>
            <w:tcW w:w="9508" w:type="dxa"/>
            <w:tcBorders/>
            <w:vAlign w:val="center"/>
          </w:tcPr>
          <w:p>
            <w:pPr>
              <w:pStyle w:val="TableContents"/>
              <w:bidi w:val="0"/>
              <w:spacing w:before="0" w:after="283"/>
              <w:jc w:val="left"/>
              <w:rPr/>
            </w:pPr>
            <w:r>
              <w:rPr>
                <w:b/>
              </w:rPr>
              <w:t>LIST OF EXHIBITS:</w:t>
            </w:r>
            <w:r>
              <w:rPr/>
              <w:t xml:space="preserve"> </w:t>
            </w:r>
            <w:r>
              <w:rPr>
                <w:i/>
              </w:rPr>
              <w:t xml:space="preserve">List below all exhibits filed as a part of this statement of eligibility and qualification. </w:t>
            </w:r>
          </w:p>
        </w:tc>
      </w:tr>
    </w:tbl>
    <w:p>
      <w:pPr>
        <w:pStyle w:val="TextBody"/>
        <w:bidi w:val="0"/>
        <w:spacing w:before="0" w:after="0"/>
        <w:ind w:left="1080" w:right="0" w:hanging="108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Articles of Association of the Trustee, attached as Exhibit 1.</w:t>
            </w:r>
          </w:p>
        </w:tc>
      </w:tr>
    </w:tbl>
    <w:p>
      <w:pPr>
        <w:pStyle w:val="TextBody"/>
        <w:bidi w:val="0"/>
        <w:spacing w:before="0" w:after="0"/>
        <w:ind w:left="1440" w:right="0" w:hanging="36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certificate of authority of the Trustee to commence business, attached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170"/>
        <w:gridCol w:w="8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authorization of the Trustee to exercise corporate trust powers, included as Exhibit 2.</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the existing bylaws of the Trustee, attached as Exhibit 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copy of each Indenture referred to in Item 4. 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consent of the Trustee required by Section 321(b) of the Trust Indenture Act of 1939, attached as Exhibit 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 of Condition of the Trustee as of December 31, 2023, published pursuant to law or the requirements of its supervising or examining authority, attached as Exhibit 7.</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1st of March, 2024.</w:t>
      </w:r>
    </w:p>
    <w:p>
      <w:pPr>
        <w:pStyle w:val="TextBody"/>
        <w:bidi w:val="0"/>
        <w:spacing w:before="0" w:after="0"/>
        <w:ind w:left="0" w:right="0" w:firstLine="72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320"/>
        <w:gridCol w:w="1580"/>
        <w:gridCol w:w="6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Brandon Bonfig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Brandon Bonfig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S. BANK TRUST COMPANY, NATIONAL ASSOCIATION</w:t>
      </w:r>
    </w:p>
    <w:p>
      <w:pPr>
        <w:pStyle w:val="TextBody"/>
        <w:bidi w:val="0"/>
        <w:spacing w:before="0" w:after="0"/>
        <w:ind w:left="1436" w:right="0" w:hanging="0"/>
        <w:jc w:val="left"/>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firstLine="6"/>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- 1 -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firstLine="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firstLine="7"/>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firstLine="11"/>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firstLine="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- 2 -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7"/>
        <w:jc w:val="both"/>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45"/>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 the duties of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Delegate the performance of its duties, but not the responsibility for its duties, to the officers, employees, and agents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compensation and enter employment contracts with its officers and employees upon reasonable terms and conditions consistent with applicable law.</w:t>
            </w:r>
          </w:p>
        </w:tc>
      </w:tr>
    </w:tbl>
    <w:p>
      <w:pPr>
        <w:pStyle w:val="TextBody"/>
        <w:bidi w:val="0"/>
        <w:spacing w:before="0" w:after="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Dismiss officers and employees.</w:t>
            </w:r>
          </w:p>
        </w:tc>
      </w:tr>
    </w:tbl>
    <w:p>
      <w:pPr>
        <w:pStyle w:val="TextBody"/>
        <w:bidi w:val="0"/>
        <w:spacing w:before="0" w:after="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245"/>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 bonds from officers and employees and to fix the penalty thereof.</w:t>
            </w:r>
          </w:p>
        </w:tc>
      </w:tr>
    </w:tbl>
    <w:p>
      <w:pPr>
        <w:pStyle w:val="TextBody"/>
        <w:bidi w:val="0"/>
        <w:spacing w:before="0" w:after="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4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Ratify written policies authorized by the Association's management or committees of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- 3 -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45"/>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 and administer the business and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Adopt initial Bylaws, not inconsistent with law or the Articles of Association, for managing the business and regulating the affairs of the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 or repeal Bylaws, except to the extent that the Articles of Association reserve this power in whole or in part to the shareholders.</w:t>
            </w:r>
          </w:p>
        </w:tc>
      </w:tr>
    </w:tbl>
    <w:p>
      <w:pPr>
        <w:pStyle w:val="TextBody"/>
        <w:bidi w:val="0"/>
        <w:spacing w:before="0" w:after="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35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 contracts.</w:t>
            </w:r>
          </w:p>
        </w:tc>
      </w:tr>
    </w:tbl>
    <w:p>
      <w:pPr>
        <w:pStyle w:val="TextBody"/>
        <w:bidi w:val="0"/>
        <w:spacing w:before="0" w:after="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35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Generally perform all acts that are legal for a board of directors to perform.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firstLine="3"/>
        <w:jc w:val="both"/>
        <w:rPr>
          <w:caps w:val="false"/>
          <w:smallCaps w:val="false"/>
        </w:rPr>
      </w:pPr>
      <w:r>
        <w:rPr>
          <w:caps w:val="false"/>
          <w:smallCaps w:val="false"/>
        </w:rPr>
        <w:t> </w:t>
      </w:r>
    </w:p>
    <w:p>
      <w:pPr>
        <w:pStyle w:val="TextBody"/>
        <w:bidi w:val="0"/>
        <w:spacing w:before="0" w:after="0"/>
        <w:ind w:left="0" w:right="0" w:hanging="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3"/>
        <w:jc w:val="both"/>
        <w:rPr>
          <w:caps w:val="false"/>
          <w:smallCaps w:val="false"/>
        </w:rPr>
      </w:pPr>
      <w:r>
        <w:rPr>
          <w:caps w:val="false"/>
          <w:smallCaps w:val="false"/>
        </w:rPr>
        <w:t> </w:t>
      </w:r>
    </w:p>
    <w:p>
      <w:pPr>
        <w:pStyle w:val="TextBody"/>
        <w:bidi w:val="0"/>
        <w:spacing w:before="0" w:after="0"/>
        <w:ind w:left="0" w:right="0" w:firstLine="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- 4 -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we have hereunto set our hands </w:t>
      </w:r>
      <w:r>
        <w:rPr>
          <w:rFonts w:ascii="Times New Roman;Times;Serif" w:hAnsi="Times New Roman;Times;Serif"/>
          <w:b w:val="false"/>
          <w:i w:val="false"/>
          <w:caps w:val="false"/>
          <w:smallCaps w:val="false"/>
          <w:spacing w:val="17"/>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11th </w:t>
      </w:r>
      <w:r>
        <w:rPr>
          <w:rFonts w:ascii="Times New Roman;Times;Serif" w:hAnsi="Times New Roman;Times;Serif"/>
          <w:b w:val="false"/>
          <w:i w:val="false"/>
          <w:caps w:val="false"/>
          <w:smallCaps w:val="false"/>
          <w:sz w:val="20"/>
        </w:rPr>
        <w:t>of June, 1997.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2828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381250" cy="2828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6667500" cy="6762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61D32"/>
          <w:sz w:val="20"/>
        </w:rPr>
      </w:pPr>
      <w:r>
        <w:rPr>
          <w:rFonts w:ascii="Times New Roman;Times;Serif" w:hAnsi="Times New Roman;Times;Serif"/>
          <w:b/>
          <w:i w:val="false"/>
          <w:caps w:val="false"/>
          <w:smallCaps w:val="false"/>
          <w:color w:val="000000"/>
          <w:sz w:val="20"/>
        </w:rPr>
        <w:t xml:space="preserve">CERTIFICATE </w:t>
      </w:r>
      <w:r>
        <w:rPr>
          <w:rFonts w:ascii="Times New Roman;Times;Serif" w:hAnsi="Times New Roman;Times;Serif"/>
          <w:b/>
          <w:i w:val="false"/>
          <w:caps w:val="false"/>
          <w:smallCaps w:val="false"/>
          <w:color w:val="261D32"/>
          <w:sz w:val="20"/>
        </w:rPr>
        <w:t xml:space="preserve">OF </w:t>
      </w:r>
      <w:r>
        <w:rPr>
          <w:rFonts w:ascii="Times New Roman;Times;Serif" w:hAnsi="Times New Roman;Times;Serif"/>
          <w:b/>
          <w:i w:val="false"/>
          <w:caps w:val="false"/>
          <w:smallCaps w:val="false"/>
          <w:color w:val="000000"/>
          <w:sz w:val="20"/>
        </w:rPr>
        <w:t>CORPORATE EXISTENCE AND FIDUCIARY POWERS</w:t>
      </w:r>
    </w:p>
    <w:p>
      <w:pPr>
        <w:pStyle w:val="TextBody"/>
        <w:bidi w:val="0"/>
        <w:spacing w:before="0" w:after="0"/>
        <w:ind w:left="0" w:right="0" w:hanging="0"/>
        <w:jc w:val="left"/>
        <w:rPr>
          <w:caps w:val="false"/>
          <w:smallCaps w:val="false"/>
          <w:color w:val="261D32"/>
        </w:rPr>
      </w:pPr>
      <w:r>
        <w:rPr>
          <w:caps w:val="false"/>
          <w:smallCaps w:val="false"/>
          <w:color w:val="261D32"/>
        </w:rPr>
        <w:t> </w:t>
      </w:r>
    </w:p>
    <w:p>
      <w:pPr>
        <w:pStyle w:val="TextBody"/>
        <w:bidi w:val="0"/>
        <w:spacing w:before="0" w:after="0"/>
        <w:jc w:val="left"/>
        <w:rPr>
          <w:rFonts w:ascii="Times New Roman;Times;Serif" w:hAnsi="Times New Roman;Times;Serif"/>
          <w:b w:val="false"/>
          <w:i w:val="false"/>
          <w:caps w:val="false"/>
          <w:smallCaps w:val="false"/>
          <w:color w:val="261D32"/>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color w:val="261D32"/>
          <w:sz w:val="20"/>
        </w:rPr>
        <w:t>Michael J. Hsu, Acting Comptroller of die Currency, do hereby certify that:</w:t>
      </w:r>
    </w:p>
    <w:p>
      <w:pPr>
        <w:pStyle w:val="TextBody"/>
        <w:bidi w:val="0"/>
        <w:spacing w:before="0" w:after="0"/>
        <w:jc w:val="left"/>
        <w:rPr>
          <w:caps w:val="false"/>
          <w:smallCaps w:val="false"/>
          <w:color w:val="261D32"/>
        </w:rPr>
      </w:pPr>
      <w:r>
        <w:rPr>
          <w:caps w:val="false"/>
          <w:smallCaps w:val="false"/>
          <w:color w:val="261D32"/>
        </w:rPr>
        <w:t> </w:t>
      </w:r>
    </w:p>
    <w:p>
      <w:pPr>
        <w:pStyle w:val="TextBody"/>
        <w:bidi w:val="0"/>
        <w:spacing w:before="0" w:after="0"/>
        <w:jc w:val="left"/>
        <w:rPr>
          <w:rFonts w:ascii="Times New Roman;Times;Serif" w:hAnsi="Times New Roman;Times;Serif"/>
          <w:b w:val="false"/>
          <w:i w:val="false"/>
          <w:caps w:val="false"/>
          <w:smallCaps w:val="false"/>
          <w:color w:val="261D32"/>
          <w:sz w:val="20"/>
        </w:rPr>
      </w:pPr>
      <w:r>
        <w:rPr>
          <w:rFonts w:ascii="Times New Roman;Times;Serif" w:hAnsi="Times New Roman;Times;Serif"/>
          <w:b w:val="false"/>
          <w:i w:val="false"/>
          <w:caps w:val="false"/>
          <w:smallCaps w:val="false"/>
          <w:color w:val="261D32"/>
          <w:sz w:val="20"/>
        </w:rPr>
        <w:t>1. The Comptroller of the Currency, pursuant to Revised Statutes 324, et seq, as amended, and 12 USC 1, et seq, as amended, has possession, custody, and control of all records pertaining to the chartering, regulation. and supervision of all national banking associations.</w:t>
      </w:r>
    </w:p>
    <w:p>
      <w:pPr>
        <w:pStyle w:val="TextBody"/>
        <w:bidi w:val="0"/>
        <w:spacing w:before="0" w:after="0"/>
        <w:jc w:val="left"/>
        <w:rPr>
          <w:caps w:val="false"/>
          <w:smallCaps w:val="false"/>
          <w:color w:val="261D32"/>
        </w:rPr>
      </w:pPr>
      <w:r>
        <w:rPr>
          <w:caps w:val="false"/>
          <w:smallCaps w:val="false"/>
          <w:color w:val="261D32"/>
        </w:rPr>
        <w:t> </w:t>
      </w:r>
    </w:p>
    <w:p>
      <w:pPr>
        <w:pStyle w:val="TextBody"/>
        <w:bidi w:val="0"/>
        <w:spacing w:before="0" w:after="0"/>
        <w:jc w:val="left"/>
        <w:rPr>
          <w:rFonts w:ascii="Times New Roman;Times;Serif" w:hAnsi="Times New Roman;Times;Serif"/>
          <w:b w:val="false"/>
          <w:i w:val="false"/>
          <w:caps w:val="false"/>
          <w:smallCaps w:val="false"/>
          <w:color w:val="261D32"/>
          <w:sz w:val="20"/>
        </w:rPr>
      </w:pPr>
      <w:r>
        <w:rPr>
          <w:rFonts w:ascii="Times New Roman;Times;Serif" w:hAnsi="Times New Roman;Times;Serif"/>
          <w:b w:val="false"/>
          <w:i w:val="false"/>
          <w:caps w:val="false"/>
          <w:smallCaps w:val="false"/>
          <w:color w:val="261D32"/>
          <w:sz w:val="20"/>
        </w:rPr>
        <w:t>2. "U.S. Bank Trust Company, National Association," Portland, Oregon (Charter No. 23412), is a national banking association formed under the laws of the United States and is authorized thereunder to transact the business of banking and exercise fiduciary powers on the date of this certificate.</w:t>
      </w:r>
    </w:p>
    <w:p>
      <w:pPr>
        <w:pStyle w:val="TextBody"/>
        <w:bidi w:val="0"/>
        <w:spacing w:before="0" w:after="0"/>
        <w:jc w:val="left"/>
        <w:rPr>
          <w:caps w:val="false"/>
          <w:smallCaps w:val="false"/>
          <w:color w:val="261D32"/>
        </w:rPr>
      </w:pPr>
      <w:r>
        <w:rPr>
          <w:caps w:val="false"/>
          <w:smallCaps w:val="false"/>
          <w:color w:val="261D32"/>
        </w:rPr>
        <w:t> </w:t>
      </w:r>
    </w:p>
    <w:p>
      <w:pPr>
        <w:pStyle w:val="TextBody"/>
        <w:bidi w:val="0"/>
        <w:spacing w:before="0" w:after="0"/>
        <w:jc w:val="left"/>
        <w:rPr>
          <w:rFonts w:ascii="Times New Roman;Times;Serif" w:hAnsi="Times New Roman;Times;Serif"/>
          <w:b w:val="false"/>
          <w:i w:val="false"/>
          <w:caps w:val="false"/>
          <w:smallCaps w:val="false"/>
          <w:color w:val="261D32"/>
          <w:sz w:val="20"/>
        </w:rPr>
      </w:pPr>
      <w:r>
        <w:rPr>
          <w:rFonts w:ascii="Times New Roman;Times;Serif" w:hAnsi="Times New Roman;Times;Serif"/>
          <w:b w:val="false"/>
          <w:i w:val="false"/>
          <w:caps w:val="false"/>
          <w:smallCaps w:val="false"/>
          <w:color w:val="261D32"/>
          <w:sz w:val="20"/>
        </w:rPr>
        <w:t>IN TESTIMONY WHEREOF, today, December 13, 2023, I have hereunto subscribed my name and caused my seal of office to be affixed to these presents at the U.S. Department of the Treasury, in the City of Washington, District of Columbia. </w:t>
      </w:r>
    </w:p>
    <w:tbl>
      <w:tblPr>
        <w:tblW w:w="3870" w:type="dxa"/>
        <w:jc w:val="left"/>
        <w:tblInd w:w="0" w:type="dxa"/>
        <w:tblLayout w:type="fixed"/>
        <w:tblCellMar>
          <w:top w:w="0" w:type="dxa"/>
          <w:left w:w="0" w:type="dxa"/>
          <w:bottom w:w="0" w:type="dxa"/>
          <w:right w:w="0" w:type="dxa"/>
        </w:tblCellMar>
      </w:tblPr>
      <w:tblGrid>
        <w:gridCol w:w="75"/>
        <w:gridCol w:w="3720"/>
        <w:gridCol w:w="75"/>
      </w:tblGrid>
      <w:tr>
        <w:trPr/>
        <w:tc>
          <w:tcPr>
            <w:tcW w:w="75" w:type="dxa"/>
            <w:tcBorders/>
            <w:vAlign w:val="center"/>
          </w:tcPr>
          <w:p>
            <w:pPr>
              <w:pStyle w:val="TableContents"/>
              <w:bidi w:val="0"/>
              <w:spacing w:before="0" w:after="283"/>
              <w:jc w:val="left"/>
              <w:rPr/>
            </w:pPr>
            <w:r>
              <w:rPr/>
              <w:t> </w:t>
            </w:r>
          </w:p>
        </w:tc>
        <w:tc>
          <w:tcPr>
            <w:tcW w:w="3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0" w:type="dxa"/>
            <w:tcBorders>
              <w:bottom w:val="single" w:sz="8" w:space="0" w:color="000000"/>
            </w:tcBorders>
            <w:tcMar>
              <w:bottom w:w="28" w:type="dxa"/>
            </w:tcMar>
            <w:vAlign w:val="center"/>
          </w:tcPr>
          <w:p>
            <w:pPr>
              <w:pStyle w:val="TableContents"/>
              <w:bidi w:val="0"/>
              <w:spacing w:before="0" w:after="283"/>
              <w:jc w:val="center"/>
              <w:rPr/>
            </w:pPr>
            <w:r>
              <w:rPr/>
              <w:t> </w:t>
            </w:r>
            <w:r>
              <w:rPr/>
              <w:drawing>
                <wp:inline distT="0" distB="0" distL="0" distR="0">
                  <wp:extent cx="232410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2324100" cy="69532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20" w:type="dxa"/>
            <w:tcBorders/>
            <w:vAlign w:val="center"/>
          </w:tcPr>
          <w:p>
            <w:pPr>
              <w:pStyle w:val="TableContents"/>
              <w:bidi w:val="0"/>
              <w:spacing w:before="0" w:after="283"/>
              <w:jc w:val="center"/>
              <w:rPr/>
            </w:pPr>
            <w:r>
              <w:rPr/>
              <w:t>Acting Comptroller of the Currency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261D32"/>
        </w:rPr>
      </w:pPr>
      <w:r>
        <w:rPr>
          <w:caps w:val="false"/>
          <w:smallCaps w:val="false"/>
          <w:color w:val="261D32"/>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000250" cy="2085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2000250" cy="2085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ind w:left="0" w:right="0" w:hanging="119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xml:space="preserve">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 Every such special meeting, unless otherwise provided by law, shall be called upon not less than ten (10) days nor more than sixty (60) days prior notice stating the purpose of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   </w:t>
      </w:r>
      <w:r>
        <w:rPr>
          <w:rFonts w:ascii="Times New Roman;Times;Serif" w:hAnsi="Times New Roman;Times;Serif"/>
          <w:b w:val="false"/>
          <w:i w:val="false"/>
          <w:caps w:val="false"/>
          <w:smallCaps w:val="false"/>
          <w:sz w:val="20"/>
        </w:rPr>
        <w:t>Must not include any officers of the Association or an affiliate who participate significantly in the administration of the Association’s fiduciary activities;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(2)   </w:t>
      </w:r>
      <w:r>
        <w:rPr>
          <w:rFonts w:ascii="Times New Roman;Times;Serif" w:hAnsi="Times New Roman;Times;Serif"/>
          <w:b w:val="false"/>
          <w:i w:val="false"/>
          <w:caps w:val="false"/>
          <w:smallCaps w:val="false"/>
          <w:sz w:val="20"/>
        </w:rPr>
        <w:t>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IV</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Tenure of Office</w:t>
      </w:r>
      <w:r>
        <w:rPr>
          <w:rFonts w:ascii="Times New Roman;Times;Serif" w:hAnsi="Times New Roman;Times;Serif"/>
          <w:b w:val="false"/>
          <w:i w:val="false"/>
          <w:caps w:val="false"/>
          <w:smallCaps w:val="false"/>
          <w:sz w:val="20"/>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Except where specified otherwise in these Bylaws, prior notice shall be proper if given not more than 30 days nor less than 10 days prior to the event for which notice is given.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IX</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X</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8, 2021)</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1, 2024</w:t>
      </w:r>
    </w:p>
    <w:p>
      <w:pPr>
        <w:pStyle w:val="TextBody"/>
        <w:bidi w:val="0"/>
        <w:spacing w:before="0" w:after="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60"/>
        <w:gridCol w:w="320"/>
        <w:gridCol w:w="1580"/>
        <w:gridCol w:w="6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Brandon Bonfig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Brandon Bonfig</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Condition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12/31/2023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($000’s) </w:t>
      </w:r>
    </w:p>
    <w:p>
      <w:pPr>
        <w:pStyle w:val="TextBody"/>
        <w:bidi w:val="0"/>
        <w:spacing w:before="0" w:after="0"/>
        <w:jc w:val="center"/>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5075"/>
        <w:gridCol w:w="60"/>
        <w:gridCol w:w="140"/>
        <w:gridCol w:w="980"/>
        <w:gridCol w:w="75"/>
      </w:tblGrid>
      <w:tr>
        <w:trPr/>
        <w:tc>
          <w:tcPr>
            <w:tcW w:w="50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ind w:left="0" w:right="0" w:hanging="180"/>
              <w:jc w:val="left"/>
              <w:rPr>
                <w:b/>
              </w:rPr>
            </w:pPr>
            <w:r>
              <w:rPr>
                <w:b/>
              </w:rPr>
              <w:t>12/31/2023</w:t>
            </w:r>
          </w:p>
        </w:tc>
      </w:tr>
      <w:tr>
        <w:trPr/>
        <w:tc>
          <w:tcPr>
            <w:tcW w:w="507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Cash and Balances Due From Depository Institutions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1,171,838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Federal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Loans &amp; Lease Financing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578,492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218,268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1,974,448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Fed Funds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Treasury Demand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Trading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Other Borrowed Money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Acceptances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Subordinated Notes and Debentures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255,900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255,900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Common and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Surplus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1,171,635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pPr>
            <w:r>
              <w:rPr/>
              <w:t>Undivided Profits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546,713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Minority Interest in Subsidiaries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Total Equity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1,718,548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75" w:type="dxa"/>
            <w:tcBorders/>
            <w:shd w:fill="FFFFFF" w:val="clear"/>
            <w:vAlign w:val="center"/>
          </w:tcPr>
          <w:p>
            <w:pPr>
              <w:pStyle w:val="TableContents"/>
              <w:bidi w:val="0"/>
              <w:spacing w:before="0" w:after="283"/>
              <w:jc w:val="left"/>
              <w:rPr>
                <w:b/>
              </w:rPr>
            </w:pPr>
            <w:r>
              <w:rPr>
                <w:b/>
              </w:rPr>
              <w:t>Total Liabilities and Equity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1,974,448</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60" w:after="60"/>
        <w:jc w:val="left"/>
        <w:rPr>
          <w:caps w:val="false"/>
          <w:smallCaps w:val="false"/>
          <w:bdr w:val="single" w:sz="16" w:space="1" w:color="000000"/>
        </w:rPr>
      </w:pPr>
      <w:r>
        <w:rPr>
          <w:caps w:val="false"/>
          <w:smallCaps w:val="false"/>
          <w:bdr w:val="single" w:sz="16" w:space="1" w:color="000000"/>
        </w:rPr>
        <w:t> </w:t>
      </w:r>
    </w:p>
    <w:p>
      <w:pPr>
        <w:pStyle w:val="HorizontalLine"/>
        <w:pBdr>
          <w:bottom w:val="single" w:sz="12" w:space="0" w:color="808080"/>
        </w:pBdr>
        <w:bidi w:val="0"/>
        <w:jc w:val="left"/>
        <w:rPr/>
      </w:pPr>
      <w:r>
        <w:rPr/>
      </w:r>
      <w:bookmarkStart w:id="232" w:name="ny20022010x1_ex107.htm"/>
      <w:bookmarkStart w:id="233" w:name="ksny20022010x1_ex107"/>
      <w:bookmarkStart w:id="234" w:name="ny20022010x1_ex107.htm"/>
      <w:bookmarkStart w:id="235" w:name="ksny20022010x1_ex107"/>
      <w:bookmarkEnd w:id="234"/>
      <w:bookmarkEnd w:id="23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107</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Calculation of Filing Fee Tables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u w:val="single"/>
        </w:rPr>
        <w:t>Form S-3</w:t>
      </w:r>
      <w:r>
        <w:rPr>
          <w:rFonts w:ascii="Times New Roman;Times;serif" w:hAnsi="Times New Roman;Times;serif"/>
          <w:color w:val="000000"/>
          <w:sz w:val="20"/>
        </w:rPr>
        <w:br/>
        <w:t>(Form Type)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New Fortress Energy Inc.</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(Exact Name of Registrant as Specified in its Charter)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Table 1: Newly Registered and Carry Forward Securities</w:t>
      </w:r>
    </w:p>
    <w:p>
      <w:pPr>
        <w:pStyle w:val="Normal"/>
        <w:bidi w:val="0"/>
        <w:spacing w:before="0" w:after="0"/>
        <w:jc w:val="left"/>
        <w:rPr>
          <w:sz w:val="4"/>
          <w:szCs w:val="4"/>
        </w:rPr>
      </w:pPr>
      <w:r>
        <w:rPr>
          <w:sz w:val="4"/>
          <w:szCs w:val="4"/>
        </w:rPr>
      </w:r>
      <w:bookmarkStart w:id="236" w:name="z328c572e8e384b7da9b46de359c425a0"/>
      <w:bookmarkStart w:id="237" w:name="z328c572e8e384b7da9b46de359c425a0"/>
      <w:bookmarkEnd w:id="237"/>
    </w:p>
    <w:tbl>
      <w:tblPr>
        <w:tblW w:w="14480" w:type="dxa"/>
        <w:jc w:val="left"/>
        <w:tblInd w:w="0" w:type="dxa"/>
        <w:tblLayout w:type="fixed"/>
        <w:tblCellMar>
          <w:top w:w="0" w:type="dxa"/>
          <w:left w:w="0" w:type="dxa"/>
          <w:bottom w:w="0" w:type="dxa"/>
          <w:right w:w="0" w:type="dxa"/>
        </w:tblCellMar>
      </w:tblPr>
      <w:tblGrid>
        <w:gridCol w:w="770"/>
        <w:gridCol w:w="60"/>
        <w:gridCol w:w="590"/>
        <w:gridCol w:w="60"/>
        <w:gridCol w:w="3515"/>
        <w:gridCol w:w="60"/>
        <w:gridCol w:w="800"/>
        <w:gridCol w:w="60"/>
        <w:gridCol w:w="920"/>
        <w:gridCol w:w="60"/>
        <w:gridCol w:w="740"/>
        <w:gridCol w:w="60"/>
        <w:gridCol w:w="1370"/>
        <w:gridCol w:w="60"/>
        <w:gridCol w:w="320"/>
        <w:gridCol w:w="60"/>
        <w:gridCol w:w="845"/>
        <w:gridCol w:w="60"/>
        <w:gridCol w:w="605"/>
        <w:gridCol w:w="60"/>
        <w:gridCol w:w="890"/>
        <w:gridCol w:w="60"/>
        <w:gridCol w:w="1145"/>
        <w:gridCol w:w="60"/>
        <w:gridCol w:w="1175"/>
        <w:gridCol w:w="75"/>
      </w:tblGrid>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59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Security</w:t>
            </w:r>
          </w:p>
          <w:p>
            <w:pPr>
              <w:pStyle w:val="TableContents"/>
              <w:bidi w:val="0"/>
              <w:spacing w:before="0" w:after="0"/>
              <w:jc w:val="center"/>
              <w:rPr>
                <w:color w:val="000000"/>
                <w:sz w:val="16"/>
              </w:rPr>
            </w:pPr>
            <w:r>
              <w:rPr>
                <w:color w:val="000000"/>
                <w:sz w:val="16"/>
              </w:rPr>
              <w:t>Type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51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Security Class Title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80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Fee Calculation</w:t>
              <w:br/>
              <w:t>or Carry Forward Rule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92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Amount Registered</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74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Proposed Maximum</w:t>
              <w:br/>
              <w:t>Offering Price Per Unit</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37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Maximum Aggregate Offering Price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2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Fee Rate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84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Amount of Registration</w:t>
              <w:br/>
              <w:t>Fee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60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Carry Forward</w:t>
              <w:br/>
              <w:t>Form Type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890"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Carry Forward</w:t>
              <w:br/>
              <w:t>File Number</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14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Carry Forward</w:t>
              <w:br/>
              <w:t>Initial Effective Date</w:t>
            </w:r>
          </w:p>
        </w:tc>
        <w:tc>
          <w:tcPr>
            <w:tcW w:w="60" w:type="dxa"/>
            <w:tcBorders>
              <w:top w:val="single" w:sz="12" w:space="0" w:color="000000"/>
              <w:left w:val="single" w:sz="12"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175" w:type="dxa"/>
            <w:tcBorders>
              <w:top w:val="single" w:sz="12" w:space="0" w:color="000000"/>
              <w:bottom w:val="single" w:sz="12" w:space="0" w:color="000000"/>
              <w:right w:val="single" w:sz="12" w:space="0" w:color="000000"/>
            </w:tcBorders>
            <w:tcMar>
              <w:top w:w="28" w:type="dxa"/>
              <w:bottom w:w="28" w:type="dxa"/>
              <w:right w:w="28" w:type="dxa"/>
            </w:tcMar>
            <w:vAlign w:val="center"/>
          </w:tcPr>
          <w:p>
            <w:pPr>
              <w:pStyle w:val="TableContents"/>
              <w:bidi w:val="0"/>
              <w:spacing w:before="0" w:after="0"/>
              <w:jc w:val="center"/>
              <w:rPr>
                <w:color w:val="000000"/>
                <w:sz w:val="16"/>
              </w:rPr>
            </w:pPr>
            <w:r>
              <w:rPr>
                <w:color w:val="000000"/>
                <w:sz w:val="16"/>
              </w:rPr>
              <w:t>Filing Fee Previously Paid In Connection with Unsold Securities to be Carried Forward</w:t>
            </w:r>
          </w:p>
        </w:tc>
        <w:tc>
          <w:tcPr>
            <w:tcW w:w="75" w:type="dxa"/>
            <w:tcBorders/>
            <w:vAlign w:val="center"/>
          </w:tcPr>
          <w:p>
            <w:pPr>
              <w:pStyle w:val="TableContents"/>
              <w:bidi w:val="0"/>
              <w:spacing w:before="0" w:after="283"/>
              <w:jc w:val="left"/>
              <w:rPr/>
            </w:pPr>
            <w:r>
              <w:rPr/>
              <w:t> </w:t>
            </w:r>
          </w:p>
        </w:tc>
      </w:tr>
      <w:tr>
        <w:trPr/>
        <w:tc>
          <w:tcPr>
            <w:tcW w:w="14480" w:type="dxa"/>
            <w:gridSpan w:val="26"/>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0"/>
              <w:jc w:val="center"/>
              <w:rPr>
                <w:color w:val="000000"/>
                <w:sz w:val="16"/>
              </w:rPr>
            </w:pPr>
            <w:r>
              <w:rPr>
                <w:color w:val="000000"/>
                <w:sz w:val="16"/>
              </w:rPr>
              <w:t>Newly Registered Securities</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center"/>
              <w:rPr>
                <w:color w:val="000000"/>
                <w:sz w:val="16"/>
              </w:rPr>
            </w:pPr>
            <w:r>
              <w:rPr>
                <w:color w:val="000000"/>
                <w:sz w:val="16"/>
              </w:rPr>
              <w:t>Fees to Be Paid</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Equity</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51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Class A Common Stock, par value $0.01 per share</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80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457(r)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9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r>
          </w:p>
        </w:tc>
        <w:tc>
          <w:tcPr>
            <w:tcW w:w="74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r>
          </w:p>
        </w:tc>
        <w:tc>
          <w:tcPr>
            <w:tcW w:w="8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center"/>
              <w:rPr>
                <w:color w:val="000000"/>
                <w:sz w:val="16"/>
              </w:rPr>
            </w:pPr>
            <w:r>
              <w:rPr>
                <w:color w:val="000000"/>
                <w:sz w:val="16"/>
              </w:rPr>
              <w:t>Fees to Be Paid</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Equity</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51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Preferred Stock, par value $0.01 per share</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80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457(r)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r>
          </w:p>
        </w:tc>
        <w:tc>
          <w:tcPr>
            <w:tcW w:w="74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8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center"/>
              <w:rPr>
                <w:color w:val="000000"/>
                <w:sz w:val="16"/>
              </w:rPr>
            </w:pPr>
            <w:r>
              <w:rPr>
                <w:color w:val="000000"/>
                <w:sz w:val="16"/>
              </w:rPr>
              <w:t>Fees to Be Paid</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Other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51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Depositary Shares</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457(r)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9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74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8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center"/>
              <w:rPr>
                <w:color w:val="000000"/>
                <w:sz w:val="16"/>
              </w:rPr>
            </w:pPr>
            <w:r>
              <w:rPr>
                <w:color w:val="000000"/>
                <w:sz w:val="16"/>
              </w:rPr>
              <w:t>Fees to Be Paid</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Debt</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51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Debt Securities</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80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457(r)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9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74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8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0"/>
              <w:jc w:val="center"/>
              <w:rPr>
                <w:color w:val="000000"/>
                <w:sz w:val="16"/>
              </w:rPr>
            </w:pPr>
            <w:r>
              <w:rPr>
                <w:color w:val="000000"/>
                <w:sz w:val="16"/>
              </w:rPr>
              <w:t>Fees to Be Paid</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Other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51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Warrants</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457(r)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9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74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 (2)</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3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r>
          </w:p>
        </w:tc>
        <w:tc>
          <w:tcPr>
            <w:tcW w:w="8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w:t>
            </w:r>
          </w:p>
        </w:tc>
        <w:tc>
          <w:tcPr>
            <w:tcW w:w="6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5"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right w:val="single" w:sz="12" w:space="0" w:color="000000"/>
            </w:tcBorders>
            <w:tcMar>
              <w:left w:w="28" w:type="dxa"/>
              <w:right w:w="28" w:type="dxa"/>
            </w:tcMar>
            <w:vAlign w:val="center"/>
          </w:tcPr>
          <w:p>
            <w:pPr>
              <w:pStyle w:val="TableContents"/>
              <w:bidi w:val="0"/>
              <w:spacing w:before="0" w:after="0"/>
              <w:jc w:val="center"/>
              <w:rPr>
                <w:color w:val="000000"/>
                <w:sz w:val="16"/>
              </w:rPr>
            </w:pPr>
            <w:r>
              <w:rPr>
                <w:color w:val="000000"/>
                <w:sz w:val="16"/>
              </w:rPr>
              <w:t>Fees Previously Paid</w:t>
            </w:r>
          </w:p>
        </w:tc>
        <w:tc>
          <w:tcPr>
            <w:tcW w:w="60" w:type="dxa"/>
            <w:tcBorders/>
            <w:vAlign w:val="center"/>
          </w:tcPr>
          <w:p>
            <w:pPr>
              <w:pStyle w:val="TableContents"/>
              <w:bidi w:val="0"/>
              <w:spacing w:before="0" w:after="283"/>
              <w:jc w:val="left"/>
              <w:rPr/>
            </w:pPr>
            <w:r>
              <w:rPr/>
              <w:t> </w:t>
            </w:r>
          </w:p>
        </w:tc>
        <w:tc>
          <w:tcPr>
            <w:tcW w:w="590" w:type="dxa"/>
            <w:tcBorders>
              <w:right w:val="single" w:sz="12" w:space="0" w:color="000000"/>
            </w:tcBorders>
            <w:tcMar>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vAlign w:val="center"/>
          </w:tcPr>
          <w:p>
            <w:pPr>
              <w:pStyle w:val="TableContents"/>
              <w:bidi w:val="0"/>
              <w:spacing w:before="0" w:after="283"/>
              <w:jc w:val="left"/>
              <w:rPr/>
            </w:pPr>
            <w:r>
              <w:rPr/>
              <w:t> </w:t>
            </w:r>
          </w:p>
        </w:tc>
        <w:tc>
          <w:tcPr>
            <w:tcW w:w="3515" w:type="dxa"/>
            <w:tcBorders>
              <w:right w:val="single" w:sz="12" w:space="0" w:color="000000"/>
            </w:tcBorders>
            <w:tcMar>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vAlign w:val="center"/>
          </w:tcPr>
          <w:p>
            <w:pPr>
              <w:pStyle w:val="TableContents"/>
              <w:bidi w:val="0"/>
              <w:spacing w:before="0" w:after="283"/>
              <w:jc w:val="left"/>
              <w:rPr/>
            </w:pPr>
            <w:r>
              <w:rPr/>
              <w:t> </w:t>
            </w:r>
          </w:p>
        </w:tc>
        <w:tc>
          <w:tcPr>
            <w:tcW w:w="800" w:type="dxa"/>
            <w:tcBorders>
              <w:right w:val="single" w:sz="12" w:space="0" w:color="000000"/>
            </w:tcBorders>
            <w:tcMar>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vAlign w:val="center"/>
          </w:tcPr>
          <w:p>
            <w:pPr>
              <w:pStyle w:val="TableContents"/>
              <w:bidi w:val="0"/>
              <w:spacing w:before="0" w:after="283"/>
              <w:jc w:val="left"/>
              <w:rPr/>
            </w:pPr>
            <w:r>
              <w:rPr/>
              <w:t> </w:t>
            </w:r>
          </w:p>
        </w:tc>
        <w:tc>
          <w:tcPr>
            <w:tcW w:w="920" w:type="dxa"/>
            <w:tcBorders>
              <w:right w:val="single" w:sz="12" w:space="0" w:color="000000"/>
            </w:tcBorders>
            <w:tcMar>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vAlign w:val="center"/>
          </w:tcPr>
          <w:p>
            <w:pPr>
              <w:pStyle w:val="TableContents"/>
              <w:bidi w:val="0"/>
              <w:spacing w:before="0" w:after="0"/>
              <w:jc w:val="center"/>
              <w:rPr>
                <w:color w:val="000000"/>
                <w:sz w:val="16"/>
              </w:rPr>
            </w:pPr>
            <w:r>
              <w:rPr>
                <w:color w:val="000000"/>
                <w:sz w:val="16"/>
              </w:rPr>
            </w:r>
          </w:p>
        </w:tc>
        <w:tc>
          <w:tcPr>
            <w:tcW w:w="740" w:type="dxa"/>
            <w:tcBorders>
              <w:right w:val="single" w:sz="12" w:space="0" w:color="000000"/>
            </w:tcBorders>
            <w:tcMar>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vAlign w:val="center"/>
          </w:tcPr>
          <w:p>
            <w:pPr>
              <w:pStyle w:val="TableContents"/>
              <w:bidi w:val="0"/>
              <w:spacing w:before="0" w:after="0"/>
              <w:jc w:val="center"/>
              <w:rPr>
                <w:color w:val="000000"/>
                <w:sz w:val="16"/>
              </w:rPr>
            </w:pPr>
            <w:r>
              <w:rPr>
                <w:color w:val="000000"/>
                <w:sz w:val="16"/>
              </w:rPr>
            </w:r>
          </w:p>
        </w:tc>
        <w:tc>
          <w:tcPr>
            <w:tcW w:w="1370" w:type="dxa"/>
            <w:tcBorders>
              <w:right w:val="single" w:sz="12" w:space="0" w:color="000000"/>
            </w:tcBorders>
            <w:tcMar>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vAlign w:val="center"/>
          </w:tcPr>
          <w:p>
            <w:pPr>
              <w:pStyle w:val="TableContents"/>
              <w:bidi w:val="0"/>
              <w:spacing w:before="0" w:after="283"/>
              <w:jc w:val="left"/>
              <w:rPr/>
            </w:pPr>
            <w:r>
              <w:rPr/>
              <w:t> </w:t>
            </w:r>
          </w:p>
        </w:tc>
        <w:tc>
          <w:tcPr>
            <w:tcW w:w="32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right w:val="single" w:sz="12" w:space="0" w:color="000000"/>
            </w:tcBorders>
            <w:tcMar>
              <w:right w:w="28" w:type="dxa"/>
            </w:tcMar>
            <w:vAlign w:val="center"/>
          </w:tcPr>
          <w:p>
            <w:pPr>
              <w:pStyle w:val="TableContents"/>
              <w:bidi w:val="0"/>
              <w:spacing w:before="0" w:after="0"/>
              <w:jc w:val="center"/>
              <w:rPr>
                <w:color w:val="000000"/>
                <w:sz w:val="16"/>
              </w:rPr>
            </w:pPr>
            <w:r>
              <w:rPr>
                <w:color w:val="000000"/>
                <w:sz w:val="16"/>
              </w:rPr>
              <w:t>N/A</w:t>
            </w:r>
          </w:p>
        </w:tc>
        <w:tc>
          <w:tcPr>
            <w:tcW w:w="60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right w:val="single" w:sz="12"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80" w:type="dxa"/>
            <w:gridSpan w:val="26"/>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pPr>
              <w:pStyle w:val="TableContents"/>
              <w:bidi w:val="0"/>
              <w:spacing w:before="0" w:after="0"/>
              <w:jc w:val="center"/>
              <w:rPr>
                <w:color w:val="000000"/>
                <w:sz w:val="16"/>
              </w:rPr>
            </w:pPr>
            <w:r>
              <w:rPr>
                <w:color w:val="000000"/>
                <w:sz w:val="16"/>
              </w:rPr>
              <w:t>Carry Forward Securities</w:t>
            </w:r>
          </w:p>
        </w:tc>
      </w:tr>
      <w:tr>
        <w:trPr/>
        <w:tc>
          <w:tcPr>
            <w:tcW w:w="770" w:type="dxa"/>
            <w:tcBorders>
              <w:left w:val="single" w:sz="12" w:space="0" w:color="000000"/>
              <w:bottom w:val="single" w:sz="12" w:space="0" w:color="000000"/>
            </w:tcBorders>
            <w:tcMar>
              <w:left w:w="28" w:type="dxa"/>
              <w:bottom w:w="28" w:type="dxa"/>
            </w:tcMar>
            <w:vAlign w:val="center"/>
          </w:tcPr>
          <w:p>
            <w:pPr>
              <w:pStyle w:val="TableContents"/>
              <w:bidi w:val="0"/>
              <w:spacing w:before="0" w:after="0"/>
              <w:jc w:val="center"/>
              <w:rPr>
                <w:color w:val="000000"/>
                <w:sz w:val="16"/>
              </w:rPr>
            </w:pPr>
            <w:r>
              <w:rPr>
                <w:color w:val="000000"/>
                <w:sz w:val="16"/>
              </w:rPr>
              <w:t>Carry Forward Securities</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Equity</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51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Class A Common Stock, par value $0.01 per share</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415(a)(6)</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108,312,773</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$1,501,215,033.78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S-3ASR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333-254469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March 18, 2021</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lineRule="auto" w:line="240" w:before="0" w:after="0"/>
              <w:jc w:val="center"/>
              <w:rPr>
                <w:color w:val="000000"/>
                <w:sz w:val="16"/>
              </w:rPr>
            </w:pPr>
            <w:r>
              <w:rPr>
                <w:color w:val="000000"/>
                <w:sz w:val="16"/>
              </w:rPr>
              <w:t>$194,857.72 (4)</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5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415(a)(6)</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6,358,199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$275,437,180.68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S-3ASR</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333-254469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March 18, 2021</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lineRule="auto" w:line="240" w:before="0" w:after="0"/>
              <w:jc w:val="center"/>
              <w:rPr>
                <w:color w:val="000000"/>
                <w:sz w:val="16"/>
              </w:rPr>
            </w:pPr>
            <w:r>
              <w:rPr>
                <w:color w:val="000000"/>
                <w:sz w:val="16"/>
              </w:rPr>
              <w:t>$30,050.20 (4)</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05" w:type="dxa"/>
            <w:gridSpan w:val="7"/>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Total Offering Amounts</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$1,776,652,214.46</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0"/>
              <w:jc w:val="center"/>
              <w:rPr>
                <w:color w:val="000000"/>
                <w:sz w:val="16"/>
              </w:rPr>
            </w:pPr>
            <w:r>
              <w:rPr>
                <w:color w:val="000000"/>
                <w:sz w:val="16"/>
              </w:rPr>
              <w:t>N/A</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05" w:type="dxa"/>
            <w:gridSpan w:val="7"/>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color w:val="000000"/>
                <w:sz w:val="16"/>
              </w:rPr>
            </w:pPr>
            <w:r>
              <w:rPr>
                <w:color w:val="000000"/>
                <w:sz w:val="16"/>
              </w:rPr>
              <w:t>Total Fees Previously Paid</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74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37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45"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05" w:type="dxa"/>
            <w:gridSpan w:val="7"/>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color w:val="000000"/>
                <w:sz w:val="16"/>
              </w:rPr>
            </w:pPr>
            <w:r>
              <w:rPr>
                <w:color w:val="000000"/>
                <w:sz w:val="16"/>
              </w:rPr>
              <w:t>Total Fee Offsets</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74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37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45"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7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05" w:type="dxa"/>
            <w:gridSpan w:val="7"/>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color w:val="000000"/>
                <w:sz w:val="16"/>
              </w:rPr>
            </w:pPr>
            <w:r>
              <w:rPr>
                <w:color w:val="000000"/>
                <w:sz w:val="16"/>
              </w:rPr>
              <w:t>Net Fee Due</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74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37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45" w:type="dxa"/>
            <w:tcBorders>
              <w:bottom w:val="single" w:sz="12" w:space="0" w:color="000000"/>
              <w:right w:val="single" w:sz="12" w:space="0" w:color="000000"/>
            </w:tcBorders>
            <w:tcMar>
              <w:bottom w:w="28" w:type="dxa"/>
              <w:right w:w="28" w:type="dxa"/>
            </w:tcMar>
            <w:vAlign w:val="center"/>
          </w:tcPr>
          <w:p>
            <w:pPr>
              <w:pStyle w:val="TableContents"/>
              <w:bidi w:val="0"/>
              <w:spacing w:before="0" w:after="0"/>
              <w:jc w:val="center"/>
              <w:rPr>
                <w:color w:val="000000"/>
                <w:sz w:val="16"/>
              </w:rPr>
            </w:pPr>
            <w:r>
              <w:rPr>
                <w:color w:val="000000"/>
                <w:sz w:val="16"/>
              </w:rPr>
              <w:t>N/A</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60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9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4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8" w:name="z5d8fa1d3c05443608e3f96fcda12b504"/>
      <w:bookmarkStart w:id="239" w:name="z5d8fa1d3c05443608e3f96fcda12b504"/>
      <w:bookmarkEnd w:id="239"/>
    </w:p>
    <w:tbl>
      <w:tblPr>
        <w:tblW w:w="8170" w:type="dxa"/>
        <w:jc w:val="left"/>
        <w:tblInd w:w="0" w:type="dxa"/>
        <w:tblLayout w:type="fixed"/>
        <w:tblCellMar>
          <w:top w:w="0" w:type="dxa"/>
          <w:left w:w="0" w:type="dxa"/>
          <w:bottom w:w="0" w:type="dxa"/>
          <w:right w:w="0" w:type="dxa"/>
        </w:tblCellMar>
      </w:tblPr>
      <w:tblGrid>
        <w:gridCol w:w="245"/>
        <w:gridCol w:w="7925"/>
      </w:tblGrid>
      <w:tr>
        <w:trPr/>
        <w:tc>
          <w:tcPr>
            <w:tcW w:w="245" w:type="dxa"/>
            <w:tcBorders/>
            <w:vAlign w:val="center"/>
          </w:tcPr>
          <w:p>
            <w:pPr>
              <w:pStyle w:val="TableContents"/>
              <w:bidi w:val="0"/>
              <w:spacing w:before="0" w:after="0"/>
              <w:jc w:val="left"/>
              <w:rPr>
                <w:sz w:val="16"/>
              </w:rPr>
            </w:pPr>
            <w:r>
              <w:rPr>
                <w:sz w:val="16"/>
              </w:rPr>
              <w:t>(1)</w:t>
            </w:r>
          </w:p>
        </w:tc>
        <w:tc>
          <w:tcPr>
            <w:tcW w:w="7925" w:type="dxa"/>
            <w:tcBorders/>
            <w:vAlign w:val="center"/>
          </w:tcPr>
          <w:p>
            <w:pPr>
              <w:pStyle w:val="TableContents"/>
              <w:bidi w:val="0"/>
              <w:spacing w:before="0" w:after="0"/>
              <w:jc w:val="left"/>
              <w:rPr>
                <w:sz w:val="16"/>
              </w:rPr>
            </w:pPr>
            <w:r>
              <w:rPr>
                <w:sz w:val="16"/>
              </w:rPr>
              <w:t>Omitted pursuant to Form S-3 Instructions to the Calculation of Filing Fee Tables and Related Disclosure 2.A.iii.c.</w:t>
            </w:r>
          </w:p>
        </w:tc>
      </w:tr>
    </w:tbl>
    <w:p>
      <w:pPr>
        <w:pStyle w:val="Normal"/>
        <w:bidi w:val="0"/>
        <w:spacing w:before="0" w:after="0"/>
        <w:jc w:val="left"/>
        <w:rPr>
          <w:sz w:val="4"/>
          <w:szCs w:val="4"/>
        </w:rPr>
      </w:pPr>
      <w:r>
        <w:rPr>
          <w:sz w:val="4"/>
          <w:szCs w:val="4"/>
        </w:rPr>
      </w:r>
      <w:bookmarkStart w:id="240" w:name="z5847d2b28b314267a55773033597e2cd"/>
      <w:bookmarkStart w:id="241" w:name="z5847d2b28b314267a55773033597e2cd"/>
      <w:bookmarkEnd w:id="241"/>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sz w:val="16"/>
              </w:rPr>
            </w:pPr>
            <w:r>
              <w:rPr>
                <w:sz w:val="16"/>
              </w:rPr>
              <w:t>(2)</w:t>
            </w:r>
          </w:p>
        </w:tc>
        <w:tc>
          <w:tcPr>
            <w:tcW w:w="10000" w:type="dxa"/>
            <w:tcBorders/>
            <w:vAlign w:val="center"/>
          </w:tcPr>
          <w:p>
            <w:pPr>
              <w:pStyle w:val="TableContents"/>
              <w:bidi w:val="0"/>
              <w:spacing w:before="0" w:after="0"/>
              <w:jc w:val="left"/>
              <w:rPr>
                <w:sz w:val="16"/>
              </w:rPr>
            </w:pPr>
            <w:r>
              <w:rPr>
                <w:sz w:val="16"/>
              </w:rPr>
              <w:t>An indeterminate aggregate initial offering price, principal amount or number of the securities of each identified class is being registered as may from time to time be offered at indeterminate prices or upon conversion, exchange or exercise of other securities. Separate consideration may or may not be received for securities that are issuable on exercise, conversion or exchange of other securities.</w:t>
            </w:r>
          </w:p>
        </w:tc>
      </w:tr>
    </w:tbl>
    <w:p>
      <w:pPr>
        <w:pStyle w:val="Normal"/>
        <w:bidi w:val="0"/>
        <w:spacing w:before="0" w:after="0"/>
        <w:jc w:val="left"/>
        <w:rPr>
          <w:sz w:val="4"/>
          <w:szCs w:val="4"/>
        </w:rPr>
      </w:pPr>
      <w:r>
        <w:rPr>
          <w:sz w:val="4"/>
          <w:szCs w:val="4"/>
        </w:rPr>
      </w:r>
      <w:bookmarkStart w:id="242" w:name="z98b9ef293aa344f782b80b77aaa77702"/>
      <w:bookmarkStart w:id="243" w:name="z98b9ef293aa344f782b80b77aaa77702"/>
      <w:bookmarkEnd w:id="243"/>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sz w:val="16"/>
              </w:rPr>
            </w:pPr>
            <w:r>
              <w:rPr>
                <w:sz w:val="16"/>
              </w:rPr>
              <w:t>(3)</w:t>
            </w:r>
          </w:p>
        </w:tc>
        <w:tc>
          <w:tcPr>
            <w:tcW w:w="10004" w:type="dxa"/>
            <w:tcBorders/>
            <w:vAlign w:val="center"/>
          </w:tcPr>
          <w:p>
            <w:pPr>
              <w:pStyle w:val="TableContents"/>
              <w:bidi w:val="0"/>
              <w:spacing w:before="0" w:after="0"/>
              <w:jc w:val="left"/>
              <w:rPr>
                <w:sz w:val="16"/>
              </w:rPr>
            </w:pPr>
            <w:r>
              <w:rPr>
                <w:sz w:val="16"/>
              </w:rPr>
              <w:t>The Registrant is relying on Rule 456(b) and Rule 457(r) under the Securities Act of 1933 (the “Securities Act”) to defer payment of all registration fees. In connection with the securities offered hereby, the Registrant will “pay-as-you-go” in accordance with Rule 456(b). The Registrant will calculate the registration fee applicable to an offer of securities pursuant to this Registration Statement based on the fee payment rate in effect on the date of such fee payment.</w:t>
            </w:r>
          </w:p>
        </w:tc>
      </w:tr>
    </w:tbl>
    <w:p>
      <w:pPr>
        <w:pStyle w:val="Normal"/>
        <w:bidi w:val="0"/>
        <w:spacing w:before="0" w:after="0"/>
        <w:jc w:val="left"/>
        <w:rPr>
          <w:sz w:val="4"/>
          <w:szCs w:val="4"/>
        </w:rPr>
      </w:pPr>
      <w:r>
        <w:rPr>
          <w:sz w:val="4"/>
          <w:szCs w:val="4"/>
        </w:rPr>
      </w:r>
      <w:bookmarkStart w:id="244" w:name="z187a1e57296f4f0b8458b76815738383"/>
      <w:bookmarkStart w:id="245" w:name="z187a1e57296f4f0b8458b76815738383"/>
      <w:bookmarkEnd w:id="245"/>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sz w:val="16"/>
              </w:rPr>
            </w:pPr>
            <w:r>
              <w:rPr>
                <w:sz w:val="16"/>
              </w:rPr>
              <w:t>(4)</w:t>
            </w:r>
          </w:p>
        </w:tc>
        <w:tc>
          <w:tcPr>
            <w:tcW w:w="10012"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As discussed below, pursuant to Rule 415(a)(6) under the Securities Act, this Registration Statement includes</w:t>
            </w:r>
            <w:r>
              <w:rPr>
                <w:rFonts w:ascii="Times New Roman;Times;serif" w:hAnsi="Times New Roman;Times;serif"/>
                <w:color w:val="000000"/>
                <w:sz w:val="16"/>
              </w:rPr>
              <w:t xml:space="preserve"> 114,670,972 shares of Class A Common Stock that were previously registered and remain unsold (the “Unsold Securities”).</w:t>
            </w:r>
            <w:r>
              <w:rPr>
                <w:rFonts w:ascii="Times New Roman;Times;serif" w:hAnsi="Times New Roman;Times;serif"/>
                <w:sz w:val="16"/>
              </w:rPr>
              <w:t xml:space="preserve"> Accordingly, no registration fee is due. </w:t>
            </w:r>
          </w:p>
          <w:p>
            <w:pPr>
              <w:pStyle w:val="TableContents"/>
              <w:bidi w:val="0"/>
              <w:spacing w:before="0" w:after="0"/>
              <w:jc w:val="left"/>
              <w:rPr>
                <w:color w:val="000000"/>
              </w:rPr>
            </w:pPr>
            <w:r>
              <w:rPr>
                <w:color w:val="000000"/>
              </w:rPr>
            </w:r>
          </w:p>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Pursuant to Rule 415(a)(6), this Registration Statement includes 108,312,773 shares of Unsold Securities previously registered pursuant to the registration statement on Form S-3 (File No. 333-236921), which was declared effective on May 6, 2020 (the “Initial Registration Statement”) and subsequently pursuant to the registration statement on Form S-3ASR (File No. 333-254469), which was automatically effective on March 18, 2021 (the “Expiring Registration Statement”).</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Initial Registration Statement registered 145,050,664 shares of common stock with a proposed maximum aggregate offering price of $2,010,402,203.04, in respect of which the Registrant paid an aggregate registration fee of $260,950.21 (the “Initial Filing Fee”). A total of 138,692,465 unsold shares of common stock were subsequently registered under the Expiring Registration Statement and the Initial Filing Fee in respect of such shares of unsold shares of common stock was carried forward to the Expiring Registration Statement. In addition, 6,358,199 new shares of Class A Common Stock with an aggregate offering price of $275,437,180.68 were registered under the Expiring Registration Statement, in respect of which the Registrant paid an aggregate registration fee of $30,050.20, which shares remain unsold (the “Subsequent Filing Fee”).</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Pursuant to Rule 415(a)(6), $194,857.72 of the Initial Filing Fee is hereby applied to the 108,312,773 shares of Unsold Securities carried forward and registered hereunder and $30,050.20 of the Subsequent Filing Fee is hereby applied to the 6,358,199 shares of Unsold Securities carried forward and registered hereunder and, as a result, no additional filing fee is due in respect of such Unsold Securities. In accordance with Rule 415(a)(6), the offering of securities registered under the Expiring Registration Statement will be terminated as of the time of filing of this Registration Statement.</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83"/>
        <w:jc w:val="left"/>
        <w:rPr>
          <w:color w:val="000000"/>
        </w:rPr>
      </w:pPr>
      <w:r>
        <w:rPr>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49723/000174972324000011/nfe-20231231.htm" TargetMode="External"/><Relationship Id="rId4" Type="http://schemas.openxmlformats.org/officeDocument/2006/relationships/hyperlink" Target="https://www.sec.gov/Archives/edgar/data/1749723/000114036120017741/brhc10014200_8a12ba.htm" TargetMode="External"/><Relationship Id="rId5" Type="http://schemas.openxmlformats.org/officeDocument/2006/relationships/hyperlink" Target="https://www.sec.gov/ix?doc=/Archives/edgar/data/1749723/000174972323000025/nfe-20230405.htm" TargetMode="External"/><Relationship Id="rId6" Type="http://schemas.openxmlformats.org/officeDocument/2006/relationships/hyperlink" Target="https://www.sec.gov/Archives/edgar/data/1749723/000114036120017367/brhc10013767_ex99-3.htm" TargetMode="External"/><Relationship Id="rId7" Type="http://schemas.openxmlformats.org/officeDocument/2006/relationships/hyperlink" Target="https://www.sec.gov/Archives/edgar/data/1749723/000114036120017367/brhc10013767_ex99-4.htm" TargetMode="External"/><Relationship Id="rId8" Type="http://schemas.openxmlformats.org/officeDocument/2006/relationships/hyperlink" Target="https://www.sec.gov/Archives/edgar/data/1749723/000114036120004975/nt10009547x1_ex4-2.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31679</Words>
  <Characters>165193</Characters>
  <CharactersWithSpaces>197332</CharactersWithSpaces>
  <Paragraphs>2413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