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EDENS WESLEY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111 W.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New Fortress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NFE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2"/>
                <w:szCs w:val="2"/>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00" w:type="dxa"/>
            <w:vAlign w:val="bottom"/>
          </w:tcPr>
          <w:p>
            <w:pPr>
              <w:spacing w:after="0"/>
              <w:rPr>
                <w:sz w:val="10"/>
                <w:szCs w:val="10"/>
                <w:color w:val="auto"/>
              </w:rPr>
            </w:pPr>
          </w:p>
        </w:tc>
        <w:tc>
          <w:tcPr>
            <w:tcW w:w="35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Edens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gridSpan w:val="3"/>
            <w:vMerge w:val="restart"/>
          </w:tcPr>
          <w:p>
            <w:pPr>
              <w:ind w:left="860"/>
              <w:spacing w:after="0"/>
              <w:rPr>
                <w:sz w:val="20"/>
                <w:szCs w:val="20"/>
                <w:color w:val="auto"/>
              </w:rPr>
            </w:pPr>
            <w:r>
              <w:rPr>
                <w:rFonts w:ascii="Times New Roman" w:cs="Times New Roman" w:eastAsia="Times New Roman" w:hAnsi="Times New Roman"/>
                <w:sz w:val="17"/>
                <w:szCs w:val="17"/>
                <w:color w:val="0000FF"/>
              </w:rPr>
              <w:t>03/12/2025</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100,000</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18"/>
                <w:szCs w:val="18"/>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9.07</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36,021,915</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80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purchased in open market transactions on March 12, 2025.</w:t>
      </w:r>
    </w:p>
    <w:p>
      <w:pPr>
        <w:spacing w:after="0" w:line="5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purchased in multiple transactions and the price reported is a weighted average. The purchase price ranged from $9.00 to $9.16. The reporting person undertakes to provide New Fortress Energy Inc.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except to the extent of his pecuniary interest therein.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Wesley R. Edens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03/12/2025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124460" TargetMode="External"/><Relationship Id="rId14"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2025-03-12T11:27:42Z</dcterms:created>
  <dcterms:modified xsi:type="dcterms:W3CDTF">2025-03-12T11:27:42Z</dcterms:modified>
</cp:coreProperties>
</file>