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247015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August 12, 2019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219075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219075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154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001-38790</w:t>
      </w:r>
      <w:r>
        <w:rPr>
          <w:sz w:val="20"/>
          <w:szCs w:val="20"/>
          <w:color w:val="auto"/>
        </w:rPr>
        <w:tab/>
      </w:r>
      <w:r>
        <w:rPr>
          <w:rFonts w:ascii="Arial" w:cs="Arial" w:eastAsia="Arial" w:hAnsi="Arial"/>
          <w:sz w:val="16"/>
          <w:szCs w:val="16"/>
          <w:b w:val="1"/>
          <w:bCs w:val="1"/>
          <w:color w:val="auto"/>
        </w:rPr>
        <w:t>83-1482060</w:t>
      </w:r>
    </w:p>
    <w:p>
      <w:pPr>
        <w:spacing w:after="0" w:line="27" w:lineRule="exact"/>
        <w:rPr>
          <w:sz w:val="24"/>
          <w:szCs w:val="24"/>
          <w:color w:val="auto"/>
        </w:rPr>
      </w:pPr>
    </w:p>
    <w:p>
      <w:pPr>
        <w:ind w:left="300"/>
        <w:spacing w:after="0"/>
        <w:tabs>
          <w:tab w:leader="none" w:pos="4740" w:val="left"/>
          <w:tab w:leader="none" w:pos="830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125"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111 W. 19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3260"/>
        <w:spacing w:after="0"/>
        <w:tabs>
          <w:tab w:leader="none" w:pos="9280" w:val="left"/>
        </w:tabs>
        <w:rPr>
          <w:sz w:val="20"/>
          <w:szCs w:val="20"/>
          <w:color w:val="auto"/>
        </w:rPr>
      </w:pPr>
      <w:r>
        <w:rPr>
          <w:rFonts w:ascii="Arial" w:cs="Arial" w:eastAsia="Arial" w:hAnsi="Arial"/>
          <w:sz w:val="18"/>
          <w:szCs w:val="18"/>
          <w:b w:val="1"/>
          <w:bCs w:val="1"/>
          <w:color w:val="auto"/>
        </w:rPr>
        <w:t>New York, NY</w:t>
      </w:r>
      <w:r>
        <w:rPr>
          <w:sz w:val="20"/>
          <w:szCs w:val="20"/>
          <w:color w:val="auto"/>
        </w:rPr>
        <w:tab/>
      </w:r>
      <w:r>
        <w:rPr>
          <w:rFonts w:ascii="Arial" w:cs="Arial" w:eastAsia="Arial" w:hAnsi="Arial"/>
          <w:sz w:val="15"/>
          <w:szCs w:val="15"/>
          <w:b w:val="1"/>
          <w:bCs w:val="1"/>
          <w:color w:val="auto"/>
        </w:rPr>
        <w:t>10011</w:t>
      </w:r>
    </w:p>
    <w:p>
      <w:pPr>
        <w:spacing w:after="0" w:line="7" w:lineRule="exact"/>
        <w:rPr>
          <w:sz w:val="24"/>
          <w:szCs w:val="24"/>
          <w:color w:val="auto"/>
        </w:rPr>
      </w:pPr>
    </w:p>
    <w:p>
      <w:pPr>
        <w:ind w:left="2340"/>
        <w:spacing w:after="0"/>
        <w:tabs>
          <w:tab w:leader="none" w:pos="910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234315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234315</wp:posOffset>
            </wp:positionV>
            <wp:extent cx="1449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Pr>
          <w:p>
            <w:pPr>
              <w:spacing w:after="0"/>
              <w:rPr>
                <w:sz w:val="18"/>
                <w:szCs w:val="18"/>
                <w:color w:val="auto"/>
              </w:rPr>
            </w:pPr>
          </w:p>
        </w:tc>
        <w:tc>
          <w:tcPr>
            <w:tcW w:w="2380" w:type="dxa"/>
            <w:vAlign w:val="bottom"/>
            <w:gridSpan w:val="2"/>
          </w:tcPr>
          <w:p>
            <w:pPr>
              <w:jc w:val="center"/>
              <w:ind w:right="102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58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8"/>
              </w:rPr>
              <w:t>Class A shares, representing limited liability company interests</w:t>
            </w:r>
          </w:p>
        </w:tc>
        <w:tc>
          <w:tcPr>
            <w:tcW w:w="238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9"/>
              </w:rPr>
              <w:t>“NFE”</w:t>
            </w:r>
          </w:p>
        </w:tc>
        <w:tc>
          <w:tcPr>
            <w:tcW w:w="3180" w:type="dxa"/>
            <w:vAlign w:val="bottom"/>
          </w:tcPr>
          <w:p>
            <w:pPr>
              <w:ind w:left="46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2" w:lineRule="exact"/>
        <w:rPr>
          <w:sz w:val="24"/>
          <w:szCs w:val="24"/>
          <w:color w:val="auto"/>
        </w:rPr>
      </w:pPr>
    </w:p>
    <w:p>
      <w:pPr>
        <w:ind w:right="4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ectPr>
          <w:pgSz w:w="11900" w:h="16838" w:orient="portrait"/>
          <w:cols w:equalWidth="0" w:num="1">
            <w:col w:w="11380"/>
          </w:cols>
          <w:pgMar w:left="240" w:top="535" w:right="279" w:bottom="1440" w:gutter="0" w:footer="0" w:header="0"/>
        </w:sectPr>
      </w:pPr>
    </w:p>
    <w:p>
      <w:pPr>
        <w:spacing w:after="0" w:line="245" w:lineRule="exact"/>
        <w:rPr>
          <w:sz w:val="24"/>
          <w:szCs w:val="24"/>
          <w:color w:val="auto"/>
        </w:rPr>
      </w:pPr>
    </w:p>
    <w:p>
      <w:pPr>
        <w:ind w:right="28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jc w:val="both"/>
        <w:ind w:right="80" w:firstLine="324"/>
        <w:spacing w:after="0" w:line="238" w:lineRule="auto"/>
        <w:rPr>
          <w:sz w:val="20"/>
          <w:szCs w:val="20"/>
          <w:color w:val="auto"/>
        </w:rPr>
      </w:pPr>
      <w:r>
        <w:rPr>
          <w:rFonts w:ascii="Arial" w:cs="Arial" w:eastAsia="Arial" w:hAnsi="Arial"/>
          <w:sz w:val="22"/>
          <w:szCs w:val="22"/>
          <w:color w:val="auto"/>
        </w:rPr>
        <w:t>On August 12, 2019, New Fortress Energy LLC (“NFE” or the “Company”) issued a press release announcing the Company’s financial and operating results for its fiscal quarter ended June 30, 2019. A copy of the Company’s press release is attached to this Current Report on Form 8-K (the “Current Report”) as Exhibit 99.1 and is incorporated herein solely for purposes of this Item 2.02 disclosure.</w:t>
      </w:r>
    </w:p>
    <w:p>
      <w:pPr>
        <w:spacing w:after="0" w:line="212" w:lineRule="exact"/>
        <w:rPr>
          <w:sz w:val="20"/>
          <w:szCs w:val="20"/>
          <w:color w:val="auto"/>
        </w:rPr>
      </w:pPr>
    </w:p>
    <w:p>
      <w:pPr>
        <w:ind w:right="220" w:firstLine="324"/>
        <w:spacing w:after="0" w:line="287" w:lineRule="auto"/>
        <w:rPr>
          <w:sz w:val="20"/>
          <w:szCs w:val="20"/>
          <w:color w:val="auto"/>
        </w:rPr>
      </w:pPr>
      <w:r>
        <w:rPr>
          <w:rFonts w:ascii="Arial" w:cs="Arial" w:eastAsia="Arial" w:hAnsi="Arial"/>
          <w:sz w:val="19"/>
          <w:szCs w:val="19"/>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10040" w:type="dxa"/>
            <w:vAlign w:val="bottom"/>
          </w:tcPr>
          <w:p>
            <w:pPr>
              <w:spacing w:after="0"/>
              <w:rPr>
                <w:sz w:val="18"/>
                <w:szCs w:val="18"/>
                <w:color w:val="auto"/>
              </w:rPr>
            </w:pPr>
          </w:p>
        </w:tc>
      </w:tr>
      <w:tr>
        <w:trPr>
          <w:trHeight w:val="241"/>
        </w:trPr>
        <w:tc>
          <w:tcPr>
            <w:tcW w:w="420" w:type="dxa"/>
            <w:vAlign w:val="bottom"/>
          </w:tcPr>
          <w:p>
            <w:pPr>
              <w:spacing w:after="0"/>
              <w:rPr>
                <w:sz w:val="20"/>
                <w:szCs w:val="20"/>
                <w:color w:val="auto"/>
              </w:rPr>
            </w:pPr>
          </w:p>
        </w:tc>
        <w:tc>
          <w:tcPr>
            <w:tcW w:w="9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10040" w:type="dxa"/>
            <w:vAlign w:val="bottom"/>
          </w:tcPr>
          <w:p>
            <w:pPr>
              <w:jc w:val="right"/>
              <w:ind w:right="4496"/>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60" w:type="dxa"/>
            <w:vAlign w:val="bottom"/>
            <w:tcBorders>
              <w:top w:val="single" w:sz="8" w:color="auto"/>
            </w:tcBorders>
            <w:gridSpan w:val="3"/>
          </w:tcPr>
          <w:p>
            <w:pPr>
              <w:jc w:val="cente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220" w:type="dxa"/>
            <w:vAlign w:val="bottom"/>
          </w:tcPr>
          <w:p>
            <w:pPr>
              <w:spacing w:after="0"/>
              <w:rPr>
                <w:sz w:val="15"/>
                <w:szCs w:val="15"/>
                <w:color w:val="auto"/>
              </w:rPr>
            </w:pPr>
          </w:p>
        </w:tc>
        <w:tc>
          <w:tcPr>
            <w:tcW w:w="10040" w:type="dxa"/>
            <w:vAlign w:val="bottom"/>
            <w:tcBorders>
              <w:top w:val="single" w:sz="8" w:color="auto"/>
            </w:tcBorders>
          </w:tcPr>
          <w:p>
            <w:pPr>
              <w:jc w:val="right"/>
              <w:ind w:right="4516"/>
              <w:spacing w:after="0" w:line="176" w:lineRule="exact"/>
              <w:rPr>
                <w:sz w:val="20"/>
                <w:szCs w:val="20"/>
                <w:color w:val="auto"/>
              </w:rPr>
            </w:pPr>
            <w:r>
              <w:rPr>
                <w:rFonts w:ascii="Arial" w:cs="Arial" w:eastAsia="Arial" w:hAnsi="Arial"/>
                <w:sz w:val="18"/>
                <w:szCs w:val="18"/>
                <w:color w:val="auto"/>
                <w:w w:val="89"/>
              </w:rPr>
              <w:t>Press Release, dated August 12, 2019, issued by New Fortress Energy LLC</w:t>
            </w:r>
          </w:p>
        </w:tc>
      </w:tr>
      <w:tr>
        <w:trPr>
          <w:trHeight w:val="603"/>
        </w:trPr>
        <w:tc>
          <w:tcPr>
            <w:tcW w:w="4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jc w:val="right"/>
              <w:ind w:right="5596"/>
              <w:spacing w:after="0"/>
              <w:rPr>
                <w:sz w:val="20"/>
                <w:szCs w:val="20"/>
                <w:color w:val="auto"/>
              </w:rPr>
            </w:pPr>
            <w:r>
              <w:rPr>
                <w:rFonts w:ascii="Arial" w:cs="Arial" w:eastAsia="Arial" w:hAnsi="Arial"/>
                <w:sz w:val="14"/>
                <w:szCs w:val="14"/>
                <w:color w:val="auto"/>
              </w:rPr>
              <w:t>2</w:t>
            </w:r>
          </w:p>
        </w:tc>
      </w:tr>
      <w:tr>
        <w:trPr>
          <w:trHeight w:val="46"/>
        </w:trPr>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2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b w:val="1"/>
                <w:bCs w:val="1"/>
                <w:color w:val="auto"/>
              </w:rPr>
              <w:t>NEW FORTRESS ENERGY LLC</w:t>
            </w: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August 12, 2019</w:t>
            </w:r>
          </w:p>
        </w:tc>
        <w:tc>
          <w:tcPr>
            <w:tcW w:w="2840" w:type="dxa"/>
            <w:vAlign w:val="bottom"/>
          </w:tcPr>
          <w:p>
            <w:pPr>
              <w:ind w:left="22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440" w:type="dxa"/>
            <w:vAlign w:val="bottom"/>
          </w:tcPr>
          <w:p>
            <w:pPr>
              <w:spacing w:after="0"/>
              <w:rPr>
                <w:sz w:val="17"/>
                <w:szCs w:val="17"/>
                <w:color w:val="auto"/>
              </w:rPr>
            </w:pPr>
          </w:p>
        </w:tc>
        <w:tc>
          <w:tcPr>
            <w:tcW w:w="284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44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0"/>
        </w:trPr>
        <w:tc>
          <w:tcPr>
            <w:tcW w:w="3440" w:type="dxa"/>
            <w:vAlign w:val="bottom"/>
          </w:tcPr>
          <w:p>
            <w:pPr>
              <w:spacing w:after="0"/>
              <w:rPr>
                <w:sz w:val="24"/>
                <w:szCs w:val="24"/>
                <w:color w:val="auto"/>
              </w:rPr>
            </w:pPr>
          </w:p>
        </w:tc>
        <w:tc>
          <w:tcPr>
            <w:tcW w:w="2840" w:type="dxa"/>
            <w:vAlign w:val="bottom"/>
          </w:tcPr>
          <w:p>
            <w:pPr>
              <w:ind w:left="2240"/>
              <w:spacing w:after="0"/>
              <w:rPr>
                <w:sz w:val="20"/>
                <w:szCs w:val="20"/>
                <w:color w:val="auto"/>
              </w:rPr>
            </w:pPr>
            <w:r>
              <w:rPr>
                <w:rFonts w:ascii="Arial" w:cs="Arial" w:eastAsia="Arial" w:hAnsi="Arial"/>
                <w:sz w:val="14"/>
                <w:szCs w:val="14"/>
                <w:color w:val="auto"/>
              </w:rPr>
              <w:t>3</w:t>
            </w:r>
          </w:p>
        </w:tc>
        <w:tc>
          <w:tcPr>
            <w:tcW w:w="5140" w:type="dxa"/>
            <w:vAlign w:val="bottom"/>
          </w:tcPr>
          <w:p>
            <w:pPr>
              <w:spacing w:after="0"/>
              <w:rPr>
                <w:sz w:val="24"/>
                <w:szCs w:val="24"/>
                <w:color w:val="auto"/>
              </w:rPr>
            </w:pPr>
          </w:p>
        </w:tc>
      </w:tr>
      <w:tr>
        <w:trPr>
          <w:trHeight w:val="100"/>
        </w:trPr>
        <w:tc>
          <w:tcPr>
            <w:tcW w:w="344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4368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Announces Second Quarter 2019 Results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August 12, 2019</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NEW YORK -- New Fortress Energy LLC (NASDAQ: NFE) (“New Fortress Energy” or the “Company”) today reported its financial results for the second quarter ending June 30, 2019.</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Highlights</w:t>
      </w:r>
    </w:p>
    <w:p>
      <w:pPr>
        <w:spacing w:after="0" w:line="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w:t>
      </w:r>
    </w:p>
    <w:p>
      <w:pPr>
        <w:ind w:left="1300" w:hanging="320"/>
        <w:spacing w:after="0" w:line="18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Committed volumes of 2.6mm gallons per day (“GPD”) as of Q2 2019, an increase from 1.0mm GPD in Q2 2018</w:t>
      </w:r>
      <w:r>
        <w:rPr>
          <w:rFonts w:ascii="Arial" w:cs="Arial" w:eastAsia="Arial" w:hAnsi="Arial"/>
          <w:sz w:val="26"/>
          <w:szCs w:val="26"/>
          <w:color w:val="auto"/>
          <w:vertAlign w:val="superscript"/>
        </w:rPr>
        <w:t>(1)</w:t>
      </w:r>
    </w:p>
    <w:p>
      <w:pPr>
        <w:ind w:left="1300" w:hanging="320"/>
        <w:spacing w:after="0" w:line="180"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In Discussion volumes of 16.0mm GPD as of Q2 2019, an increase from 9.1mm GPD in Q2 2018</w:t>
      </w:r>
      <w:r>
        <w:rPr>
          <w:rFonts w:ascii="Arial" w:cs="Arial" w:eastAsia="Arial" w:hAnsi="Arial"/>
          <w:sz w:val="25"/>
          <w:szCs w:val="25"/>
          <w:color w:val="auto"/>
          <w:vertAlign w:val="superscript"/>
        </w:rPr>
        <w:t>(2)</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w:t>
      </w:r>
    </w:p>
    <w:p>
      <w:pPr>
        <w:ind w:left="1300" w:hanging="320"/>
        <w:spacing w:after="0" w:line="18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NFE had 14 projects under development with total remaining project cost of ~$282mm, as of Q2 2019</w:t>
      </w:r>
      <w:r>
        <w:rPr>
          <w:rFonts w:ascii="Arial" w:cs="Arial" w:eastAsia="Arial" w:hAnsi="Arial"/>
          <w:sz w:val="26"/>
          <w:szCs w:val="26"/>
          <w:color w:val="auto"/>
          <w:vertAlign w:val="superscript"/>
        </w:rPr>
        <w:t>(3),(4)</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Old Harbour terminal in Jamaica commenced commercial operations in Q2 2019</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micro fuel handling facility in San Juan, Puerto Rico is expected to commence commercial operations in Q4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Fully underwritten commitment for $180mm in financing to complete the construction of the Jamalco CHP Plant</w:t>
      </w:r>
    </w:p>
    <w:p>
      <w:pPr>
        <w:spacing w:after="0" w:line="9" w:lineRule="exact"/>
        <w:rPr>
          <w:rFonts w:ascii="Arial" w:cs="Arial" w:eastAsia="Arial" w:hAnsi="Arial"/>
          <w:sz w:val="18"/>
          <w:szCs w:val="18"/>
          <w:color w:val="auto"/>
        </w:rPr>
      </w:pPr>
    </w:p>
    <w:p>
      <w:pPr>
        <w:ind w:left="1300" w:hanging="320"/>
        <w:spacing w:after="0" w:line="288"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Cash on hand, including restricted cash, as of June 30, 2019 was $258mm which, combined with expected cash flows from operations and expected new financing to complete the Jamalco CHP Plant, is expected to fully fund all downstream Committed project costs</w:t>
      </w:r>
      <w:r>
        <w:rPr>
          <w:rFonts w:ascii="Arial" w:cs="Arial" w:eastAsia="Arial" w:hAnsi="Arial"/>
          <w:sz w:val="28"/>
          <w:szCs w:val="28"/>
          <w:color w:val="auto"/>
          <w:vertAlign w:val="superscript"/>
        </w:rPr>
        <w:t>(5)</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Overview</w:t>
      </w:r>
    </w:p>
    <w:p>
      <w:pPr>
        <w:spacing w:after="0" w:line="19" w:lineRule="exact"/>
        <w:rPr>
          <w:sz w:val="20"/>
          <w:szCs w:val="20"/>
          <w:color w:val="auto"/>
        </w:rPr>
      </w:pPr>
    </w:p>
    <w:p>
      <w:pPr>
        <w:ind w:left="660" w:right="20" w:hanging="328"/>
        <w:spacing w:after="0" w:line="18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for Q2 2019 increased vs. Q2 2018 due to revenue generated from the Old Harbour terminal, added volumes sold through our Montego Bay facility to the Bogue power plant, and new commercial and industrial customer contracts coming online</w:t>
      </w:r>
      <w:r>
        <w:rPr>
          <w:rFonts w:ascii="Arial" w:cs="Arial" w:eastAsia="Arial" w:hAnsi="Arial"/>
          <w:sz w:val="30"/>
          <w:szCs w:val="30"/>
          <w:color w:val="auto"/>
          <w:vertAlign w:val="superscript"/>
        </w:rPr>
        <w:t>(6)</w:t>
      </w:r>
    </w:p>
    <w:p>
      <w:pPr>
        <w:spacing w:after="0" w:line="2" w:lineRule="exact"/>
        <w:rPr>
          <w:rFonts w:ascii="Arial" w:cs="Arial" w:eastAsia="Arial" w:hAnsi="Arial"/>
          <w:sz w:val="18"/>
          <w:szCs w:val="18"/>
          <w:color w:val="auto"/>
        </w:rPr>
      </w:pPr>
    </w:p>
    <w:p>
      <w:pPr>
        <w:ind w:left="660" w:hanging="328"/>
        <w:spacing w:after="0" w:line="28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of goods sold was higher due to LNG costs associated with a spot market cargo purchase that was fully consumed during Q1 and Q2 2019. Due to these higher LNG costs, our weighted average cost of gas increased from $0.69 per gallon in Q2 2018 to $0.83 per gallon in Q2 2019</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 and maintenance cost was higher during Q2 2019 due to additional costs associated with operating our charter vessels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for Q2 2019 was higher than Q2 2018 largely due to increased costs associated with headcount, professional fees, as well as non-cash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For the three months ended June 30,</w:t>
            </w: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Average Volumes (k GPD)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740" w:right="720" w:hanging="116"/>
        <w:spacing w:after="0" w:line="277" w:lineRule="auto"/>
        <w:rPr>
          <w:sz w:val="20"/>
          <w:szCs w:val="20"/>
          <w:color w:val="auto"/>
        </w:rPr>
      </w:pPr>
      <w:r>
        <w:rPr>
          <w:rFonts w:ascii="Arial" w:cs="Arial" w:eastAsia="Arial" w:hAnsi="Arial"/>
          <w:sz w:val="18"/>
          <w:szCs w:val="18"/>
          <w:i w:val="1"/>
          <w:iCs w:val="1"/>
          <w:color w:val="auto"/>
        </w:rPr>
        <w:t>*Operating margin is a non-GAAP financial measure. For definitions and reconciliations of non-GAAP results please refer to the exhibit to this press release.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refer to our Q2 2019 Investor Presentation for further information about the following terms:</w:t>
      </w:r>
    </w:p>
    <w:p>
      <w:pPr>
        <w:spacing w:after="0" w:line="8" w:lineRule="exact"/>
        <w:rPr>
          <w:sz w:val="20"/>
          <w:szCs w:val="20"/>
          <w:color w:val="auto"/>
        </w:rPr>
      </w:pPr>
    </w:p>
    <w:p>
      <w:pPr>
        <w:ind w:right="120" w:firstLine="8"/>
        <w:spacing w:after="0" w:line="267" w:lineRule="auto"/>
        <w:tabs>
          <w:tab w:leader="none" w:pos="234" w:val="left"/>
        </w:tabs>
        <w:numPr>
          <w:ilvl w:val="0"/>
          <w:numId w:val="6"/>
        </w:numPr>
        <w:rPr>
          <w:rFonts w:ascii="Arial" w:cs="Arial" w:eastAsia="Arial" w:hAnsi="Arial"/>
          <w:sz w:val="19"/>
          <w:szCs w:val="19"/>
          <w:i w:val="1"/>
          <w:iCs w:val="1"/>
          <w:color w:val="auto"/>
        </w:rPr>
      </w:pPr>
      <w:r>
        <w:rPr>
          <w:rFonts w:ascii="Arial" w:cs="Arial" w:eastAsia="Arial" w:hAnsi="Arial"/>
          <w:sz w:val="19"/>
          <w:szCs w:val="19"/>
          <w:i w:val="1"/>
          <w:iCs w:val="1"/>
          <w:color w:val="auto"/>
        </w:rPr>
        <w:t>“Committed Volumes” means our expected volumes to be sold to customers under binding contracts, non-binding letters of intent, non-binding memorandums of understanding, binding or non-binding term sheets or have been officially selected as the winning provider in a request for proposals or competitive bid process. We cannot assure you if or when we will enter into binding definitive agreements for the sales of volumes under non-binding letters of intent, non-binding memorandums of understanding, non-binding term sheets or based on our selection as the winning provider under a request for proposals or competitive bid process. Some but not all of our contracts contain minimum volume commitments, and our expected volumes to be sold to customers reflected in our “committed volumes” is substantially in excess of such minimum volume commitments.</w:t>
      </w:r>
    </w:p>
    <w:p>
      <w:pPr>
        <w:ind w:right="120" w:firstLine="8"/>
        <w:spacing w:after="0" w:line="230" w:lineRule="auto"/>
        <w:tabs>
          <w:tab w:leader="none" w:pos="234"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is substantially in excess of potential minimum volume commitments.</w:t>
      </w:r>
    </w:p>
    <w:p>
      <w:pPr>
        <w:spacing w:after="0" w:line="4" w:lineRule="exact"/>
        <w:rPr>
          <w:rFonts w:ascii="Arial" w:cs="Arial" w:eastAsia="Arial" w:hAnsi="Arial"/>
          <w:sz w:val="22"/>
          <w:szCs w:val="22"/>
          <w:i w:val="1"/>
          <w:iCs w:val="1"/>
          <w:color w:val="auto"/>
        </w:rPr>
      </w:pPr>
    </w:p>
    <w:p>
      <w:pPr>
        <w:ind w:right="20" w:firstLine="8"/>
        <w:spacing w:after="0" w:line="267" w:lineRule="auto"/>
        <w:tabs>
          <w:tab w:leader="none" w:pos="234" w:val="left"/>
        </w:tabs>
        <w:numPr>
          <w:ilvl w:val="0"/>
          <w:numId w:val="6"/>
        </w:numPr>
        <w:rPr>
          <w:rFonts w:ascii="Arial" w:cs="Arial" w:eastAsia="Arial" w:hAnsi="Arial"/>
          <w:sz w:val="19"/>
          <w:szCs w:val="19"/>
          <w:i w:val="1"/>
          <w:iCs w:val="1"/>
          <w:color w:val="auto"/>
        </w:rPr>
      </w:pPr>
      <w:r>
        <w:rPr>
          <w:rFonts w:ascii="Arial" w:cs="Arial" w:eastAsia="Arial" w:hAnsi="Arial"/>
          <w:sz w:val="19"/>
          <w:szCs w:val="19"/>
          <w:i w:val="1"/>
          <w:iCs w:val="1"/>
          <w:color w:val="auto"/>
        </w:rPr>
        <w:t>“In Development” or similar statuses means that we have taken steps and invested money to develop a facility, including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w:t>
      </w:r>
    </w:p>
    <w:p>
      <w:pPr>
        <w:ind w:right="340" w:firstLine="8"/>
        <w:spacing w:after="0" w:line="241" w:lineRule="auto"/>
        <w:tabs>
          <w:tab w:leader="none" w:pos="234" w:val="left"/>
        </w:tabs>
        <w:numPr>
          <w:ilvl w:val="0"/>
          <w:numId w:val="6"/>
        </w:numPr>
        <w:rPr>
          <w:rFonts w:ascii="Arial" w:cs="Arial" w:eastAsia="Arial" w:hAnsi="Arial"/>
          <w:sz w:val="21"/>
          <w:szCs w:val="21"/>
          <w:i w:val="1"/>
          <w:iCs w:val="1"/>
          <w:color w:val="auto"/>
        </w:rPr>
      </w:pPr>
      <w:r>
        <w:rPr>
          <w:rFonts w:ascii="Arial" w:cs="Arial" w:eastAsia="Arial" w:hAnsi="Arial"/>
          <w:sz w:val="21"/>
          <w:szCs w:val="21"/>
          <w:i w:val="1"/>
          <w:iCs w:val="1"/>
          <w:color w:val="auto"/>
        </w:rPr>
        <w:t>“Remaining project cost” and similar terms mean the remaining project budget that we estimate the referenced development project or projects will require in order to reach “operational” status or full commercial operations, as of a particular date. References to a particular quarter mean the last day of that quarter and references to a particular date mean that date. Such project cost is an estimate based on our contracts for each development project, negotiations in progress for the work related to such development project, and our experience developing other similar projects.</w:t>
      </w:r>
    </w:p>
    <w:p>
      <w:pPr>
        <w:spacing w:after="0" w:line="3" w:lineRule="exact"/>
        <w:rPr>
          <w:rFonts w:ascii="Arial" w:cs="Arial" w:eastAsia="Arial" w:hAnsi="Arial"/>
          <w:sz w:val="21"/>
          <w:szCs w:val="21"/>
          <w:i w:val="1"/>
          <w:iCs w:val="1"/>
          <w:color w:val="auto"/>
        </w:rPr>
      </w:pPr>
    </w:p>
    <w:p>
      <w:pPr>
        <w:ind w:firstLine="8"/>
        <w:spacing w:after="0" w:line="230" w:lineRule="auto"/>
        <w:tabs>
          <w:tab w:leader="none" w:pos="234"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Committed projects include the San Juan Facility, the La Paz Terminal, the Jamalco CHP Plant as well as expected expenditures to serve new small-scale customers.</w:t>
      </w:r>
    </w:p>
    <w:p>
      <w:pPr>
        <w:spacing w:after="0" w:line="1" w:lineRule="exact"/>
        <w:rPr>
          <w:rFonts w:ascii="Arial" w:cs="Arial" w:eastAsia="Arial" w:hAnsi="Arial"/>
          <w:sz w:val="22"/>
          <w:szCs w:val="22"/>
          <w:i w:val="1"/>
          <w:iCs w:val="1"/>
          <w:color w:val="auto"/>
        </w:rPr>
      </w:pPr>
    </w:p>
    <w:p>
      <w:pPr>
        <w:ind w:right="260" w:firstLine="8"/>
        <w:spacing w:after="0" w:line="237" w:lineRule="auto"/>
        <w:tabs>
          <w:tab w:leader="none" w:pos="234"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Please note that commercial and industrial customer contracts are the same as the “small scale” customers we refer to in our periodic filings, including our forthcoming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Additional Information</w:t>
      </w:r>
    </w:p>
    <w:p>
      <w:pPr>
        <w:spacing w:after="0" w:line="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For additional information that management believes to be useful for investors, please refer to the presentation posted on the Investor Relations section of New Fortress Energy’s website, www.newfortressenergy.com, and the Company’s most recent Quarterly Report on Form 10-Q or Annual Report on Form 10-K, which will be available on the Company’s website. Nothing on our website is included or incorporated by reference herein.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Conference Call</w:t>
      </w:r>
    </w:p>
    <w:p>
      <w:pPr>
        <w:spacing w:after="0" w:line="14"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New Fortress Energy’s management will host a conference call on Tuesday, August 13, 2019 at 8:00 A.M. Eastern Time. A copy of the earnings release will be posted to the Investor Relations section of New Fortress Energy’s website, www.newfortressenergy.com.</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interested parties are welcome to participate on the live call. The conference call may be accessed by dialing (866) 953-0778 (from within the U.S.) or (630) 652-5853 (from outside of the U.S.) ten minutes prior to the scheduled start of the call; please reference access code “New Fortress Energy Second Quarter Earnings Call”.</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telephonic replay of the conference call will also be available from 12:00 P.M. Eastern Time on Tuesday, August 13, 2019 through midnight Eastern Time on Tuesday, August 20, 2019 by dialing (855) 859-2056 (from within the U.S.) or (404) 537-3406 (from outside of the U.S.); please reference access code “5563214”.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New Fortress Energy LLC</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Measure</w:t>
      </w:r>
    </w:p>
    <w:p>
      <w:pPr>
        <w:spacing w:after="0" w:line="14"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Operating margin is not a measurement of financial performance under GAAP and should not be considered in isolation or as an alternative to operating income (loss), net income (loss), cash flow from continuing operating activities or any other measure of performance or liquidity derived in accordance with GAAP. We believe this non-GAAP measure, as we have defined it, provides a supplemental measure of financial performance of our current liquefaction and regasification operations. This measure excludes items that have little or no significance on day-to-day performance of our current liquefaction and regasification operations, including our corporate SG&amp;A and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right="120"/>
        <w:spacing w:after="0" w:line="282" w:lineRule="auto"/>
        <w:rPr>
          <w:sz w:val="20"/>
          <w:szCs w:val="20"/>
          <w:color w:val="auto"/>
        </w:rPr>
      </w:pPr>
      <w:r>
        <w:rPr>
          <w:rFonts w:ascii="Arial" w:cs="Arial" w:eastAsia="Arial" w:hAnsi="Arial"/>
          <w:sz w:val="19"/>
          <w:szCs w:val="19"/>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achieve optimal financial performance of our current liquefaction and regasification operations.</w:t>
      </w:r>
    </w:p>
    <w:p>
      <w:pPr>
        <w:spacing w:after="0" w:line="17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principal limitation of this non-GAAP measure is that it excludes significant expenses and income that are required by GAAP to be recorded in our financial statements. A reconciliation is provided for the non-GAAP financial measure to our GAAP net income (loss). Investors are encouraged to review the related GAAP financial measures and the reconciliation of the non-GAAP financial measure to our GAAP net income (loss), and not to rely on any single financial measure to evaluate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Cautionary Statement Concerning Forward-Looking Statements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Certain statements contained in this press release constitute “forward-looking statements” including the expected ramp up of volumes in our Old Harbour terminal, our expected cash flows (and the underlying committed volumes), our expected funding of downstream committed project costs, our expectations about downstream committed project costs, the expected commercial operations date of the San Juan, Puerto Rico micro fuel handling facility, and the expected financing of the Jamalco CHP Plant.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construction or commissioning schedules will take longer than we expect, the risk that our expectations about the price at which we sell LNG, the cost at which we produce, ship and deliver LNG, and the margin that we receive for the LNG that we sell are not in line with our expectations, risks that our operating or other costs will increase and our expected funding of projects may not be possible, and risks that our downstream committed projects costs are greater than we expect so the expected funding of such projects may not be possible, and risks that the financing of the Jamalco CHP Plant financing cannot close because of factors within or outside of our control, including receipt of all documents and approvals required for closing. Accordingly, readers should not place undue reliance on forward-looking statements as a prediction of actual results.</w:t>
      </w: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Andreini</w:t>
      </w:r>
    </w:p>
    <w:p>
      <w:pPr>
        <w:spacing w:after="0" w:line="6" w:lineRule="exact"/>
        <w:rPr>
          <w:sz w:val="20"/>
          <w:szCs w:val="20"/>
          <w:color w:val="auto"/>
        </w:rPr>
      </w:pPr>
    </w:p>
    <w:p>
      <w:pPr>
        <w:ind w:right="8139" w:firstLine="8"/>
        <w:spacing w:after="0" w:line="308" w:lineRule="auto"/>
        <w:tabs>
          <w:tab w:leader="none" w:pos="522" w:val="left"/>
        </w:tabs>
        <w:numPr>
          <w:ilvl w:val="0"/>
          <w:numId w:val="7"/>
        </w:numPr>
        <w:rPr>
          <w:rFonts w:ascii="Arial" w:cs="Arial" w:eastAsia="Arial" w:hAnsi="Arial"/>
          <w:sz w:val="19"/>
          <w:szCs w:val="19"/>
          <w:color w:val="auto"/>
        </w:rPr>
      </w:pPr>
      <w:r>
        <w:rPr>
          <w:rFonts w:ascii="Arial" w:cs="Arial" w:eastAsia="Arial" w:hAnsi="Arial"/>
          <w:sz w:val="19"/>
          <w:szCs w:val="19"/>
          <w:color w:val="auto"/>
        </w:rPr>
        <w:t>798-6128 aandreini@fortress.com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6" w:lineRule="exact"/>
        <w:rPr>
          <w:sz w:val="20"/>
          <w:szCs w:val="20"/>
          <w:color w:val="auto"/>
        </w:rPr>
      </w:pPr>
    </w:p>
    <w:p>
      <w:pPr>
        <w:ind w:right="7559" w:firstLine="8"/>
        <w:spacing w:after="0" w:line="308" w:lineRule="auto"/>
        <w:tabs>
          <w:tab w:leader="none" w:pos="522"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268-7403 </w:t>
      </w:r>
      <w:r>
        <w:rPr>
          <w:rFonts w:ascii="Arial" w:cs="Arial" w:eastAsia="Arial" w:hAnsi="Arial"/>
          <w:sz w:val="19"/>
          <w:szCs w:val="19"/>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Exhibits –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June 30, 2019 and December 31, 2018</w:t>
      </w:r>
    </w:p>
    <w:p>
      <w:pPr>
        <w:spacing w:after="0"/>
        <w:rPr>
          <w:sz w:val="20"/>
          <w:szCs w:val="20"/>
          <w:color w:val="auto"/>
        </w:rPr>
      </w:pPr>
      <w:r>
        <w:rPr>
          <w:rFonts w:ascii="Arial" w:cs="Arial" w:eastAsia="Arial" w:hAnsi="Arial"/>
          <w:sz w:val="22"/>
          <w:szCs w:val="22"/>
          <w:b w:val="1"/>
          <w:bCs w:val="1"/>
          <w:color w:val="auto"/>
        </w:rPr>
        <w:t>(Unaudited, in thousands of U.S. dollars,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200,306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 of allowances of $0 and $257, respectively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Finance leases,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35,231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equity securities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38,460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facility</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490,523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16,282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574,402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Deferred tax liability,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589,737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416,755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contingences (Note 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Members’ capital, no par value, 500,000,000 shares authorized, 67,983,095 shares issued and outstanding as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ind w:left="160"/>
              <w:spacing w:after="0" w:line="201" w:lineRule="exact"/>
              <w:rPr>
                <w:sz w:val="20"/>
                <w:szCs w:val="20"/>
                <w:color w:val="auto"/>
              </w:rPr>
            </w:pPr>
            <w:r>
              <w:rPr>
                <w:rFonts w:ascii="Arial" w:cs="Arial" w:eastAsia="Arial" w:hAnsi="Arial"/>
                <w:sz w:val="18"/>
                <w:szCs w:val="18"/>
                <w:color w:val="auto"/>
                <w:w w:val="89"/>
              </w:rPr>
              <w:t>Class A shares, 20,837,272 shares, issued and outstanding as of June 30, 2019; 0 shares issued and outstanding as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111,236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8"/>
              </w:rPr>
              <w:t>Class B shares, 147,058,824 shares, issued and outstanding as of June 30, 2019; 0 shares issued and outstanding as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(31,757)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79,479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387,661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467,140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282,647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Condensed Consolidated Statements of Operations and Comprehensive Loss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three and six months ended June 30, 2019 and 2018</w:t>
      </w:r>
    </w:p>
    <w:p>
      <w:pPr>
        <w:spacing w:after="0"/>
        <w:rPr>
          <w:sz w:val="20"/>
          <w:szCs w:val="20"/>
          <w:color w:val="auto"/>
        </w:rPr>
      </w:pPr>
      <w:r>
        <w:rPr>
          <w:rFonts w:ascii="Arial" w:cs="Arial" w:eastAsia="Arial" w:hAnsi="Arial"/>
          <w:sz w:val="22"/>
          <w:szCs w:val="22"/>
          <w:b w:val="1"/>
          <w:bCs w:val="1"/>
          <w:color w:val="auto"/>
        </w:rPr>
        <w:t>(Unaudited, in thousands of U.S. dollars,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220" w:type="dxa"/>
            <w:vAlign w:val="bottom"/>
          </w:tcPr>
          <w:p>
            <w:pPr>
              <w:spacing w:after="0"/>
              <w:rPr>
                <w:sz w:val="20"/>
                <w:szCs w:val="20"/>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57,876</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4,146</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25,766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77,392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15,535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81,918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83,725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173,013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Tax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91,782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loss attributable to stockholders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22,114,002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18,154,939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(51,233)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(18,825)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(111,525)</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investment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(19,021)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(111,525)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(6,186)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(19,021)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(19,743)</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six months ended June 30, 2019 and 2018</w:t>
      </w:r>
    </w:p>
    <w:p>
      <w:pPr>
        <w:spacing w:after="0"/>
        <w:rPr>
          <w:sz w:val="20"/>
          <w:szCs w:val="20"/>
          <w:color w:val="auto"/>
        </w:rPr>
      </w:pPr>
      <w:r>
        <w:rPr>
          <w:rFonts w:ascii="Arial" w:cs="Arial" w:eastAsia="Arial" w:hAnsi="Arial"/>
          <w:sz w:val="22"/>
          <w:szCs w:val="22"/>
          <w:b w:val="1"/>
          <w:bCs w:val="1"/>
          <w:color w:val="auto"/>
        </w:rPr>
        <w:t>(Unaudited, in thousands of U.S.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Adjustments for: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Change in value of Investment in equity securities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receivables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(Increase) in inventories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other assets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Increase in accounts payable/accrued liabilities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amounts due to affiliates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Increase in other liabilities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(232,348)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received on finance lease, net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8"/>
                <w:szCs w:val="18"/>
                <w:b w:val="1"/>
                <w:bCs w:val="1"/>
                <w:color w:val="auto"/>
              </w:rPr>
              <w:t>Net cash used in investing activities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(231,877)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(76,002)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borrowings of debt</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Payment of deferred financing costs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Proceeds from IPO</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274,948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offering costs</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Capital contributed from Members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Collection of subscription receivable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481,110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258,018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81,460</w:t>
            </w:r>
          </w:p>
        </w:tc>
        <w:tc>
          <w:tcPr>
            <w:tcW w:w="0" w:type="dxa"/>
            <w:vAlign w:val="bottom"/>
          </w:tcPr>
          <w:p>
            <w:pPr>
              <w:spacing w:after="0"/>
              <w:rPr>
                <w:sz w:val="1"/>
                <w:szCs w:val="1"/>
                <w:color w:val="auto"/>
              </w:rPr>
            </w:pPr>
          </w:p>
        </w:tc>
      </w:tr>
      <w:tr>
        <w:trPr>
          <w:trHeight w:val="21"/>
        </w:trPr>
        <w:tc>
          <w:tcPr>
            <w:tcW w:w="74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ind w:right="5580"/>
        <w:spacing w:after="0" w:line="257" w:lineRule="auto"/>
        <w:rPr>
          <w:sz w:val="20"/>
          <w:szCs w:val="20"/>
          <w:color w:val="auto"/>
        </w:rPr>
      </w:pPr>
      <w:r>
        <w:rPr>
          <w:rFonts w:ascii="Arial" w:cs="Arial" w:eastAsia="Arial" w:hAnsi="Arial"/>
          <w:sz w:val="22"/>
          <w:szCs w:val="22"/>
          <w:b w:val="1"/>
          <w:bCs w:val="1"/>
          <w:color w:val="auto"/>
        </w:rPr>
        <w:t>Non-GAAP Operating Loss and Non-GAAP Operating Margin (Unaudited, in thousands of U.S. dollars)</w:t>
      </w:r>
    </w:p>
    <w:p>
      <w:pPr>
        <w:spacing w:after="0" w:line="194"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We define non-GAAP operating margin as GAAP net loss, adjusted for selling, general and administrative expense, depreciation and amortization, interest expense, other (income) expense, net and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900" w:type="dxa"/>
            <w:vAlign w:val="bottom"/>
            <w:gridSpan w:val="7"/>
          </w:tcPr>
          <w:p>
            <w:pPr>
              <w:spacing w:after="0"/>
              <w:rPr>
                <w:sz w:val="20"/>
                <w:szCs w:val="20"/>
                <w:color w:val="auto"/>
              </w:rPr>
            </w:pPr>
            <w:r>
              <w:rPr>
                <w:rFonts w:ascii="Arial" w:cs="Arial" w:eastAsia="Arial" w:hAnsi="Arial"/>
                <w:sz w:val="18"/>
                <w:szCs w:val="18"/>
                <w:b w:val="1"/>
                <w:bCs w:val="1"/>
                <w:color w:val="auto"/>
                <w:w w:val="91"/>
              </w:rPr>
              <w:t>For the three months ended June 30,</w:t>
            </w:r>
          </w:p>
        </w:tc>
      </w:tr>
      <w:tr>
        <w:trPr>
          <w:trHeight w:val="241"/>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32,169</w:t>
            </w: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(9,680)</w:t>
            </w: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12"/>
    </w:lvl>
  </w:abstractNum>
  <w:abstractNum w:abstractNumId="7">
    <w:nsid w:val="7545E146"/>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2019-12-28T07:11:53Z</dcterms:created>
  <dcterms:modified xsi:type="dcterms:W3CDTF">2019-12-28T07:11:53Z</dcterms:modified>
</cp:coreProperties>
</file>