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New Fortress Energy LLC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shares</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644393100</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2019</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644393100</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7023"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1,831,381</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1,831,381</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800" w:hanging="423"/>
        <w:spacing w:after="0" w:line="237" w:lineRule="auto"/>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1,831,381</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7.9%</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644393100</w:t>
      </w:r>
      <w:r>
        <w:rPr>
          <w:sz w:val="20"/>
          <w:szCs w:val="20"/>
          <w:color w:val="auto"/>
        </w:rPr>
        <w:tab/>
      </w:r>
      <w:r>
        <w:rPr>
          <w:rFonts w:ascii="Courier New" w:cs="Courier New" w:eastAsia="Courier New" w:hAnsi="Courier New"/>
          <w:sz w:val="16"/>
          <w:szCs w:val="16"/>
          <w:color w:val="auto"/>
        </w:rPr>
        <w:t>Page 2 of 5</w:t>
      </w:r>
    </w:p>
    <w:p>
      <w:pPr>
        <w:sectPr>
          <w:pgSz w:w="11900" w:h="16838" w:orient="portrait"/>
          <w:cols w:equalWidth="0" w:num="1">
            <w:col w:w="10219"/>
          </w:cols>
          <w:pgMar w:left="240" w:top="344" w:right="1440" w:bottom="1440" w:gutter="0" w:footer="0" w:header="0"/>
        </w:sectPr>
      </w:pPr>
    </w:p>
    <w:bookmarkStart w:id="2" w:name="page3"/>
    <w:bookmarkEnd w:id="2"/>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New Fortress Energy LLC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111 W. 19TH STREET</w:t>
      </w:r>
    </w:p>
    <w:p>
      <w:pPr>
        <w:ind w:left="740"/>
        <w:spacing w:after="0"/>
        <w:rPr>
          <w:sz w:val="20"/>
          <w:szCs w:val="20"/>
          <w:color w:val="auto"/>
        </w:rPr>
      </w:pPr>
      <w:r>
        <w:rPr>
          <w:rFonts w:ascii="Courier New" w:cs="Courier New" w:eastAsia="Courier New" w:hAnsi="Courier New"/>
          <w:sz w:val="18"/>
          <w:szCs w:val="18"/>
          <w:color w:val="auto"/>
        </w:rPr>
        <w:t>8TH FLOOR</w:t>
      </w:r>
    </w:p>
    <w:p>
      <w:pPr>
        <w:ind w:left="740"/>
        <w:spacing w:after="0" w:line="237" w:lineRule="auto"/>
        <w:rPr>
          <w:sz w:val="20"/>
          <w:szCs w:val="20"/>
          <w:color w:val="auto"/>
        </w:rPr>
      </w:pPr>
      <w:r>
        <w:rPr>
          <w:rFonts w:ascii="Courier New" w:cs="Courier New" w:eastAsia="Courier New" w:hAnsi="Courier New"/>
          <w:sz w:val="18"/>
          <w:szCs w:val="18"/>
          <w:color w:val="auto"/>
        </w:rPr>
        <w:t>NEW YORK NY 10011</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shares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644393100</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Capital World Investors divisions of CRMC and Capital</w:t>
      </w:r>
    </w:p>
    <w:p>
      <w:pPr>
        <w:ind w:left="740"/>
        <w:spacing w:after="0" w:line="238" w:lineRule="auto"/>
        <w:rPr>
          <w:sz w:val="20"/>
          <w:szCs w:val="20"/>
          <w:color w:val="auto"/>
        </w:rPr>
      </w:pPr>
      <w:r>
        <w:rPr>
          <w:rFonts w:ascii="Courier New" w:cs="Courier New" w:eastAsia="Courier New" w:hAnsi="Courier New"/>
          <w:sz w:val="18"/>
          <w:szCs w:val="18"/>
          <w:color w:val="auto"/>
        </w:rPr>
        <w:t>International Limited collectively provide investment</w:t>
      </w:r>
    </w:p>
    <w:p>
      <w:pPr>
        <w:ind w:left="740"/>
        <w:spacing w:after="0"/>
        <w:rPr>
          <w:sz w:val="20"/>
          <w:szCs w:val="20"/>
          <w:color w:val="auto"/>
        </w:rPr>
      </w:pPr>
      <w:r>
        <w:rPr>
          <w:rFonts w:ascii="Courier New" w:cs="Courier New" w:eastAsia="Courier New" w:hAnsi="Courier New"/>
          <w:sz w:val="18"/>
          <w:szCs w:val="18"/>
          <w:color w:val="auto"/>
        </w:rPr>
        <w:t>management services under the name Capital World Investors.</w:t>
      </w:r>
    </w:p>
    <w:p>
      <w:pPr>
        <w:ind w:left="740"/>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w:t>
      </w:r>
    </w:p>
    <w:p>
      <w:pPr>
        <w:ind w:left="740"/>
        <w:spacing w:after="0" w:line="238" w:lineRule="auto"/>
        <w:rPr>
          <w:sz w:val="20"/>
          <w:szCs w:val="20"/>
          <w:color w:val="auto"/>
        </w:rPr>
      </w:pPr>
      <w:r>
        <w:rPr>
          <w:rFonts w:ascii="Courier New" w:cs="Courier New" w:eastAsia="Courier New" w:hAnsi="Courier New"/>
          <w:sz w:val="18"/>
          <w:szCs w:val="18"/>
          <w:color w:val="auto"/>
        </w:rPr>
        <w:t>1,831,381 shares or 7.9% of the 22,892,293 shares believed to</w:t>
      </w:r>
    </w:p>
    <w:p>
      <w:pPr>
        <w:ind w:left="740"/>
        <w:spacing w:after="0"/>
        <w:rPr>
          <w:sz w:val="20"/>
          <w:szCs w:val="20"/>
          <w:color w:val="auto"/>
        </w:rPr>
      </w:pPr>
      <w:r>
        <w:rPr>
          <w:rFonts w:ascii="Courier New" w:cs="Courier New" w:eastAsia="Courier New" w:hAnsi="Courier New"/>
          <w:sz w:val="18"/>
          <w:szCs w:val="18"/>
          <w:color w:val="auto"/>
        </w:rPr>
        <w:t>be outstanding.</w:t>
      </w:r>
    </w:p>
    <w:p>
      <w:pPr>
        <w:spacing w:after="0"/>
        <w:tabs>
          <w:tab w:leader="none" w:pos="6720" w:val="left"/>
        </w:tabs>
        <w:rPr>
          <w:sz w:val="20"/>
          <w:szCs w:val="20"/>
          <w:color w:val="auto"/>
        </w:rPr>
      </w:pPr>
      <w:r>
        <w:rPr>
          <w:rFonts w:ascii="Courier New" w:cs="Courier New" w:eastAsia="Courier New" w:hAnsi="Courier New"/>
          <w:sz w:val="18"/>
          <w:szCs w:val="18"/>
          <w:color w:val="auto"/>
        </w:rPr>
        <w:t>CUSIP: 644393100</w:t>
      </w:r>
      <w:r>
        <w:rPr>
          <w:sz w:val="20"/>
          <w:szCs w:val="20"/>
          <w:color w:val="auto"/>
        </w:rPr>
        <w:tab/>
      </w:r>
      <w:r>
        <w:rPr>
          <w:rFonts w:ascii="Courier New" w:cs="Courier New" w:eastAsia="Courier New" w:hAnsi="Courier New"/>
          <w:sz w:val="16"/>
          <w:szCs w:val="16"/>
          <w:color w:val="auto"/>
        </w:rPr>
        <w:t>Page 3 of 5</w:t>
      </w:r>
    </w:p>
    <w:p>
      <w:pPr>
        <w:sectPr>
          <w:pgSz w:w="11900" w:h="16838" w:orient="portrait"/>
          <w:cols w:equalWidth="0" w:num="1">
            <w:col w:w="10219"/>
          </w:cols>
          <w:pgMar w:left="240" w:top="717" w:right="1440" w:bottom="1440" w:gutter="0" w:footer="0" w:header="0"/>
        </w:sectPr>
      </w:pPr>
    </w:p>
    <w:bookmarkStart w:id="3" w:name="page4"/>
    <w:bookmarkEnd w:id="3"/>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One or more clients of Capital World Investors have the right to receive or the power to direct the receipt of dividends from, or the proceeds from the sale of, the Class A shares of New Fortress Energy LLC. Capital World Investors holds more than five percent of the outstanding Class A shares of New Fortress Energy LLC as of December 31, 2019 on behalf of each of the following client(s):</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SMALLCAP World Fund, Inc.</w:t>
      </w:r>
    </w:p>
    <w:p>
      <w:pPr>
        <w:spacing w:after="0" w:line="207"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380" w:type="dxa"/>
            <w:vAlign w:val="bottom"/>
          </w:tcPr>
          <w:p>
            <w:pPr>
              <w:ind w:left="220"/>
              <w:spacing w:after="0"/>
              <w:rPr>
                <w:sz w:val="20"/>
                <w:szCs w:val="20"/>
                <w:color w:val="auto"/>
              </w:rPr>
            </w:pPr>
            <w:r>
              <w:rPr>
                <w:rFonts w:ascii="Courier New" w:cs="Courier New" w:eastAsia="Courier New" w:hAnsi="Courier New"/>
                <w:sz w:val="18"/>
                <w:szCs w:val="18"/>
                <w:color w:val="auto"/>
              </w:rPr>
              <w:t>February 12, 2020</w:t>
            </w:r>
          </w:p>
        </w:tc>
        <w:tc>
          <w:tcPr>
            <w:tcW w:w="1940" w:type="dxa"/>
            <w:vAlign w:val="bottom"/>
          </w:tcPr>
          <w:p>
            <w:pPr>
              <w:spacing w:after="0"/>
              <w:rPr>
                <w:sz w:val="17"/>
                <w:szCs w:val="17"/>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 Michael J. Triessl</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Michael J. Triessl -</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Senior Vice</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President and Senior</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Counsel, Fund</w:t>
            </w:r>
          </w:p>
        </w:tc>
      </w:tr>
      <w:tr>
        <w:trPr>
          <w:trHeight w:val="203"/>
        </w:trPr>
        <w:tc>
          <w:tcPr>
            <w:tcW w:w="1360" w:type="dxa"/>
            <w:vAlign w:val="bottom"/>
          </w:tcPr>
          <w:p>
            <w:pPr>
              <w:spacing w:after="0"/>
              <w:rPr>
                <w:sz w:val="17"/>
                <w:szCs w:val="17"/>
                <w:color w:val="auto"/>
              </w:rPr>
            </w:pPr>
          </w:p>
        </w:tc>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 Management Group</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Capital Research 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Management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644393100</w:t>
      </w:r>
      <w:r>
        <w:rPr>
          <w:sz w:val="20"/>
          <w:szCs w:val="20"/>
          <w:color w:val="auto"/>
        </w:rPr>
        <w:tab/>
      </w:r>
      <w:r>
        <w:rPr>
          <w:rFonts w:ascii="Courier New" w:cs="Courier New" w:eastAsia="Courier New" w:hAnsi="Courier New"/>
          <w:sz w:val="16"/>
          <w:szCs w:val="16"/>
          <w:color w:val="auto"/>
        </w:rPr>
        <w:t>Page 4 of 5</w:t>
      </w:r>
    </w:p>
    <w:p>
      <w:pPr>
        <w:sectPr>
          <w:pgSz w:w="11900" w:h="16838" w:orient="portrait"/>
          <w:cols w:equalWidth="0" w:num="1">
            <w:col w:w="10219"/>
          </w:cols>
          <w:pgMar w:left="240" w:top="52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644393100</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2020-02-14T05:09:39Z</dcterms:created>
  <dcterms:modified xsi:type="dcterms:W3CDTF">2020-02-14T05:09:39Z</dcterms:modified>
</cp:coreProperties>
</file>