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5244465</wp:posOffset>
            </wp:positionH>
            <wp:positionV relativeFrom="paragraph">
              <wp:posOffset>-582930</wp:posOffset>
            </wp:positionV>
            <wp:extent cx="7620" cy="5835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356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-591185</wp:posOffset>
            </wp:positionV>
            <wp:extent cx="762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182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-567055</wp:posOffset>
            </wp:positionV>
            <wp:extent cx="1270000" cy="544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4419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31115</wp:posOffset>
            </wp:positionV>
            <wp:extent cx="6972935" cy="1553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553845"/>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180" w:space="480"/>
            <w:col w:w="842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gridSpan w:val="4"/>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20" w:type="dxa"/>
            <w:vAlign w:val="bottom"/>
            <w:gridSpan w:val="10"/>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3"/>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MACK JOHN J</w:t>
              </w:r>
            </w:hyperlink>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4"/>
          </w:tcPr>
          <w:p>
            <w:pPr>
              <w:ind w:left="60"/>
              <w:spacing w:after="0" w:line="100"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New Fortress Energy LLC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NFE</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5"/>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5"/>
                <w:szCs w:val="5"/>
                <w:color w:val="auto"/>
              </w:rPr>
            </w:pPr>
          </w:p>
        </w:tc>
        <w:tc>
          <w:tcPr>
            <w:tcW w:w="1460" w:type="dxa"/>
            <w:vAlign w:val="bottom"/>
            <w:gridSpan w:val="5"/>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Arial" w:cs="Arial" w:eastAsia="Arial" w:hAnsi="Arial"/>
                <w:sz w:val="12"/>
                <w:szCs w:val="12"/>
                <w:color w:val="auto"/>
              </w:rPr>
              <w:t>(Last)</w:t>
            </w:r>
          </w:p>
        </w:tc>
        <w:tc>
          <w:tcPr>
            <w:tcW w:w="54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080" w:type="dxa"/>
            <w:vAlign w:val="bottom"/>
            <w:gridSpan w:val="2"/>
          </w:tcPr>
          <w:p>
            <w:pPr>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gridSpan w:val="4"/>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ind w:left="12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6"/>
                <w:szCs w:val="16"/>
                <w:color w:val="0000FF"/>
                <w:w w:val="92"/>
              </w:rPr>
              <w:t>111 W. 19TH STREET, 8TH FLOOR</w:t>
            </w: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4"/>
          </w:tcPr>
          <w:p>
            <w:pPr>
              <w:ind w:left="260"/>
              <w:spacing w:after="0"/>
              <w:rPr>
                <w:sz w:val="20"/>
                <w:szCs w:val="20"/>
                <w:color w:val="auto"/>
              </w:rPr>
            </w:pPr>
            <w:r>
              <w:rPr>
                <w:rFonts w:ascii="Arial" w:cs="Arial" w:eastAsia="Arial" w:hAnsi="Arial"/>
                <w:sz w:val="16"/>
                <w:szCs w:val="16"/>
                <w:color w:val="0000FF"/>
              </w:rPr>
              <w:t>06/09/2020</w:t>
            </w: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Borders>
              <w:bottom w:val="single" w:sz="8" w:color="9A9A9A"/>
            </w:tcBorders>
          </w:tcPr>
          <w:p>
            <w:pPr>
              <w:spacing w:after="0"/>
              <w:rPr>
                <w:sz w:val="21"/>
                <w:szCs w:val="21"/>
                <w:color w:val="auto"/>
              </w:rPr>
            </w:pPr>
          </w:p>
        </w:tc>
        <w:tc>
          <w:tcPr>
            <w:tcW w:w="54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104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3540" w:type="dxa"/>
            <w:vAlign w:val="bottom"/>
            <w:tcBorders>
              <w:bottom w:val="single" w:sz="8" w:color="2C2C2C"/>
            </w:tcBorders>
            <w:gridSpan w:val="5"/>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880" w:type="dxa"/>
            <w:vAlign w:val="bottom"/>
            <w:tcBorders>
              <w:bottom w:val="single" w:sz="8" w:color="2C2C2C"/>
            </w:tcBorders>
            <w:gridSpan w:val="6"/>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5"/>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16"/>
                <w:szCs w:val="16"/>
                <w:color w:val="auto"/>
              </w:rPr>
            </w:pPr>
          </w:p>
        </w:tc>
        <w:tc>
          <w:tcPr>
            <w:tcW w:w="3420" w:type="dxa"/>
            <w:vAlign w:val="bottom"/>
            <w:gridSpan w:val="10"/>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260" w:type="dxa"/>
            <w:vAlign w:val="bottom"/>
          </w:tcPr>
          <w:p>
            <w:pPr>
              <w:ind w:left="20"/>
              <w:spacing w:after="0"/>
              <w:rPr>
                <w:sz w:val="20"/>
                <w:szCs w:val="20"/>
                <w:color w:val="auto"/>
              </w:rPr>
            </w:pPr>
            <w:r>
              <w:rPr>
                <w:rFonts w:ascii="Arial" w:cs="Arial" w:eastAsia="Arial" w:hAnsi="Arial"/>
                <w:sz w:val="16"/>
                <w:szCs w:val="16"/>
                <w:color w:val="0000FF"/>
                <w:w w:val="98"/>
              </w:rPr>
              <w:t>NY</w:t>
            </w: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6"/>
                <w:szCs w:val="16"/>
                <w:color w:val="0000FF"/>
              </w:rPr>
              <w:t>10011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8"/>
          </w:tcPr>
          <w:p>
            <w:pPr>
              <w:ind w:left="14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80" w:type="dxa"/>
            <w:vAlign w:val="bottom"/>
            <w:gridSpan w:val="2"/>
          </w:tcPr>
          <w:p>
            <w:pPr>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6"/>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200" w:type="dxa"/>
            <w:vAlign w:val="bottom"/>
            <w:tcBorders>
              <w:top w:val="single" w:sz="8" w:color="2C2C2C"/>
            </w:tcBorders>
            <w:gridSpan w:val="14"/>
          </w:tcPr>
          <w:p>
            <w:pPr>
              <w:ind w:left="8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gridSpan w:val="2"/>
          </w:tcPr>
          <w:p>
            <w:pPr>
              <w:ind w:left="800"/>
              <w:spacing w:after="0" w:line="121"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6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0" w:type="dxa"/>
            <w:vAlign w:val="bottom"/>
            <w:gridSpan w:val="5"/>
          </w:tcPr>
          <w:p>
            <w:pPr>
              <w:ind w:left="80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80" w:type="dxa"/>
            <w:vAlign w:val="bottom"/>
            <w:vMerge w:val="restart"/>
          </w:tcPr>
          <w:p>
            <w:pPr>
              <w:jc w:val="right"/>
              <w:ind w:right="1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0000FF"/>
              </w:rPr>
              <w:t>Class A Shares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0" w:type="dxa"/>
            <w:vAlign w:val="bottom"/>
            <w:gridSpan w:val="5"/>
          </w:tcPr>
          <w:p>
            <w:pPr>
              <w:ind w:left="900"/>
              <w:spacing w:after="0"/>
              <w:rPr>
                <w:sz w:val="20"/>
                <w:szCs w:val="20"/>
                <w:color w:val="auto"/>
              </w:rPr>
            </w:pPr>
            <w:r>
              <w:rPr>
                <w:rFonts w:ascii="Arial" w:cs="Arial" w:eastAsia="Arial" w:hAnsi="Arial"/>
                <w:sz w:val="16"/>
                <w:szCs w:val="16"/>
                <w:color w:val="0000FF"/>
              </w:rPr>
              <w:t>06/09/2020</w:t>
            </w:r>
          </w:p>
        </w:tc>
        <w:tc>
          <w:tcPr>
            <w:tcW w:w="104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X</w:t>
            </w:r>
          </w:p>
        </w:tc>
        <w:tc>
          <w:tcPr>
            <w:tcW w:w="740" w:type="dxa"/>
            <w:vAlign w:val="bottom"/>
          </w:tcPr>
          <w:p>
            <w:pPr>
              <w:ind w:left="100"/>
              <w:spacing w:after="0"/>
              <w:rPr>
                <w:sz w:val="20"/>
                <w:szCs w:val="20"/>
                <w:color w:val="auto"/>
              </w:rPr>
            </w:pPr>
            <w:r>
              <w:rPr>
                <w:rFonts w:ascii="Arial" w:cs="Arial" w:eastAsia="Arial" w:hAnsi="Arial"/>
                <w:sz w:val="16"/>
                <w:szCs w:val="16"/>
                <w:color w:val="0000FF"/>
                <w:w w:val="87"/>
              </w:rPr>
              <w:t>1,081,584</w:t>
            </w:r>
          </w:p>
        </w:tc>
        <w:tc>
          <w:tcPr>
            <w:tcW w:w="480" w:type="dxa"/>
            <w:vAlign w:val="bottom"/>
          </w:tcPr>
          <w:p>
            <w:pPr>
              <w:ind w:left="300"/>
              <w:spacing w:after="0"/>
              <w:rPr>
                <w:sz w:val="20"/>
                <w:szCs w:val="20"/>
                <w:color w:val="auto"/>
              </w:rPr>
            </w:pPr>
            <w:r>
              <w:rPr>
                <w:rFonts w:ascii="Arial" w:cs="Arial" w:eastAsia="Arial" w:hAnsi="Arial"/>
                <w:sz w:val="16"/>
                <w:szCs w:val="16"/>
                <w:color w:val="0000FF"/>
              </w:rPr>
              <w:t>A</w:t>
            </w:r>
          </w:p>
        </w:tc>
        <w:tc>
          <w:tcPr>
            <w:tcW w:w="700" w:type="dxa"/>
            <w:vAlign w:val="bottom"/>
            <w:gridSpan w:val="2"/>
          </w:tcPr>
          <w:p>
            <w:pPr>
              <w:ind w:left="300"/>
              <w:spacing w:after="0"/>
              <w:rPr>
                <w:sz w:val="20"/>
                <w:szCs w:val="20"/>
                <w:color w:val="auto"/>
              </w:rPr>
            </w:pPr>
            <w:r>
              <w:rPr>
                <w:rFonts w:ascii="Arial" w:cs="Arial" w:eastAsia="Arial" w:hAnsi="Arial"/>
                <w:sz w:val="10"/>
                <w:szCs w:val="10"/>
                <w:color w:val="008000"/>
              </w:rPr>
              <w:t>(1)(2)</w:t>
            </w:r>
          </w:p>
        </w:tc>
        <w:tc>
          <w:tcPr>
            <w:tcW w:w="40" w:type="dxa"/>
            <w:vAlign w:val="bottom"/>
          </w:tcPr>
          <w:p>
            <w:pPr>
              <w:spacing w:after="0"/>
              <w:rPr>
                <w:sz w:val="21"/>
                <w:szCs w:val="21"/>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color w:val="0000FF"/>
              </w:rPr>
              <w:t>1,263,013</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10"/>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0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6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3"/>
                <w:szCs w:val="13"/>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Underlying</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7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color w:val="0000FF"/>
              </w:rPr>
              <w:t>New</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40" w:type="dxa"/>
            <w:vAlign w:val="bottom"/>
            <w:gridSpan w:val="2"/>
          </w:tcPr>
          <w:p>
            <w:pPr>
              <w:ind w:left="60"/>
              <w:spacing w:after="0" w:line="137" w:lineRule="exact"/>
              <w:rPr>
                <w:sz w:val="20"/>
                <w:szCs w:val="20"/>
                <w:color w:val="auto"/>
              </w:rPr>
            </w:pPr>
            <w:r>
              <w:rPr>
                <w:rFonts w:ascii="Arial" w:cs="Arial" w:eastAsia="Arial" w:hAnsi="Arial"/>
                <w:sz w:val="12"/>
                <w:szCs w:val="12"/>
                <w:color w:val="0000FF"/>
              </w:rPr>
              <w:t>Fortress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vMerge w:val="restart"/>
          </w:tcPr>
          <w:p>
            <w:pPr>
              <w:ind w:left="380"/>
              <w:spacing w:after="0"/>
              <w:rPr>
                <w:sz w:val="20"/>
                <w:szCs w:val="20"/>
                <w:color w:val="auto"/>
              </w:rPr>
            </w:pPr>
            <w:r>
              <w:rPr>
                <w:rFonts w:ascii="Arial" w:cs="Arial" w:eastAsia="Arial" w:hAnsi="Arial"/>
                <w:sz w:val="12"/>
                <w:szCs w:val="12"/>
                <w:color w:val="0000FF"/>
                <w:w w:val="91"/>
              </w:rPr>
              <w:t>1,081,584</w:t>
            </w:r>
            <w:r>
              <w:rPr>
                <w:rFonts w:ascii="Arial" w:cs="Arial" w:eastAsia="Arial" w:hAnsi="Arial"/>
                <w:sz w:val="20"/>
                <w:szCs w:val="20"/>
                <w:color w:val="008000"/>
                <w:w w:val="91"/>
                <w:vertAlign w:val="superscript"/>
              </w:rPr>
              <w:t>(3)</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jc w:val="right"/>
              <w:ind w:right="100"/>
              <w:spacing w:after="0" w:line="137" w:lineRule="exact"/>
              <w:rPr>
                <w:sz w:val="20"/>
                <w:szCs w:val="20"/>
                <w:color w:val="auto"/>
              </w:rPr>
            </w:pPr>
            <w:r>
              <w:rPr>
                <w:rFonts w:ascii="Arial" w:cs="Arial" w:eastAsia="Arial" w:hAnsi="Arial"/>
                <w:sz w:val="12"/>
                <w:szCs w:val="12"/>
                <w:color w:val="0000FF"/>
                <w:w w:val="99"/>
              </w:rPr>
              <w:t>Class</w:t>
            </w:r>
          </w:p>
        </w:tc>
        <w:tc>
          <w:tcPr>
            <w:tcW w:w="700" w:type="dxa"/>
            <w:vAlign w:val="bottom"/>
            <w:gridSpan w:val="2"/>
            <w:vMerge w:val="restart"/>
          </w:tcPr>
          <w:p>
            <w:pPr>
              <w:spacing w:after="0"/>
              <w:rPr>
                <w:sz w:val="20"/>
                <w:szCs w:val="20"/>
                <w:color w:val="auto"/>
              </w:rPr>
            </w:pPr>
            <w:r>
              <w:rPr>
                <w:rFonts w:ascii="Arial" w:cs="Arial" w:eastAsia="Arial" w:hAnsi="Arial"/>
                <w:sz w:val="16"/>
                <w:szCs w:val="16"/>
                <w:color w:val="0000FF"/>
                <w:w w:val="95"/>
              </w:rPr>
              <w:t>1,081,584</w:t>
            </w:r>
          </w:p>
        </w:tc>
        <w:tc>
          <w:tcPr>
            <w:tcW w:w="40" w:type="dxa"/>
            <w:vAlign w:val="bottom"/>
          </w:tcPr>
          <w:p>
            <w:pPr>
              <w:spacing w:after="0"/>
              <w:rPr>
                <w:sz w:val="11"/>
                <w:szCs w:val="11"/>
                <w:color w:val="auto"/>
              </w:rPr>
            </w:pPr>
          </w:p>
        </w:tc>
        <w:tc>
          <w:tcPr>
            <w:tcW w:w="640" w:type="dxa"/>
            <w:vAlign w:val="bottom"/>
            <w:vMerge w:val="restart"/>
          </w:tcPr>
          <w:p>
            <w:pPr>
              <w:ind w:left="120"/>
              <w:spacing w:after="0"/>
              <w:rPr>
                <w:sz w:val="20"/>
                <w:szCs w:val="20"/>
                <w:color w:val="auto"/>
              </w:rPr>
            </w:pPr>
            <w:r>
              <w:rPr>
                <w:rFonts w:ascii="Arial" w:cs="Arial" w:eastAsia="Arial" w:hAnsi="Arial"/>
                <w:sz w:val="22"/>
                <w:szCs w:val="22"/>
                <w:color w:val="000000"/>
                <w:vertAlign w:val="subscript"/>
              </w:rPr>
              <w:t>$</w:t>
            </w:r>
            <w:r>
              <w:rPr>
                <w:rFonts w:ascii="Arial" w:cs="Arial" w:eastAsia="Arial" w:hAnsi="Arial"/>
                <w:sz w:val="24"/>
                <w:szCs w:val="24"/>
                <w:color w:val="0000FF"/>
                <w:vertAlign w:val="subscript"/>
              </w:rPr>
              <w:t>0</w:t>
            </w:r>
            <w:r>
              <w:rPr>
                <w:rFonts w:ascii="Arial" w:cs="Arial" w:eastAsia="Arial" w:hAnsi="Arial"/>
                <w:sz w:val="10"/>
                <w:szCs w:val="10"/>
                <w:color w:val="008000"/>
              </w:rPr>
              <w:t>(1)(2)</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color w:val="0000FF"/>
                <w:w w:val="98"/>
              </w:rPr>
              <w:t>Intermediate</w:t>
            </w:r>
          </w:p>
        </w:tc>
        <w:tc>
          <w:tcPr>
            <w:tcW w:w="540" w:type="dxa"/>
            <w:vAlign w:val="bottom"/>
          </w:tcPr>
          <w:p>
            <w:pPr>
              <w:ind w:left="320"/>
              <w:spacing w:after="0"/>
              <w:rPr>
                <w:sz w:val="20"/>
                <w:szCs w:val="20"/>
                <w:color w:val="auto"/>
              </w:rPr>
            </w:pPr>
            <w:r>
              <w:rPr>
                <w:rFonts w:ascii="Arial" w:cs="Arial" w:eastAsia="Arial" w:hAnsi="Arial"/>
                <w:sz w:val="10"/>
                <w:szCs w:val="10"/>
                <w:color w:val="008000"/>
              </w:rPr>
              <w:t>(1)</w:t>
            </w:r>
          </w:p>
        </w:tc>
        <w:tc>
          <w:tcPr>
            <w:tcW w:w="260" w:type="dxa"/>
            <w:vAlign w:val="bottom"/>
          </w:tcPr>
          <w:p>
            <w:pPr>
              <w:spacing w:after="0"/>
              <w:rPr>
                <w:sz w:val="12"/>
                <w:szCs w:val="12"/>
                <w:color w:val="auto"/>
              </w:rPr>
            </w:pPr>
          </w:p>
        </w:tc>
        <w:tc>
          <w:tcPr>
            <w:tcW w:w="1000" w:type="dxa"/>
            <w:vAlign w:val="bottom"/>
          </w:tcPr>
          <w:p>
            <w:pPr>
              <w:ind w:left="200"/>
              <w:spacing w:after="0"/>
              <w:rPr>
                <w:sz w:val="20"/>
                <w:szCs w:val="20"/>
                <w:color w:val="auto"/>
              </w:rPr>
            </w:pPr>
            <w:r>
              <w:rPr>
                <w:rFonts w:ascii="Arial" w:cs="Arial" w:eastAsia="Arial" w:hAnsi="Arial"/>
                <w:sz w:val="12"/>
                <w:szCs w:val="12"/>
                <w:color w:val="0000FF"/>
              </w:rPr>
              <w:t>06/09/2020</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0000FF"/>
              </w:rPr>
              <w:t>X</w:t>
            </w:r>
          </w:p>
        </w:tc>
        <w:tc>
          <w:tcPr>
            <w:tcW w:w="1040" w:type="dxa"/>
            <w:vAlign w:val="bottom"/>
            <w:vMerge w:val="continue"/>
          </w:tcPr>
          <w:p>
            <w:pPr>
              <w:spacing w:after="0"/>
              <w:rPr>
                <w:sz w:val="12"/>
                <w:szCs w:val="12"/>
                <w:color w:val="auto"/>
              </w:rPr>
            </w:pPr>
          </w:p>
        </w:tc>
        <w:tc>
          <w:tcPr>
            <w:tcW w:w="760" w:type="dxa"/>
            <w:vAlign w:val="bottom"/>
          </w:tcPr>
          <w:p>
            <w:pPr>
              <w:ind w:left="340"/>
              <w:spacing w:after="0"/>
              <w:rPr>
                <w:sz w:val="20"/>
                <w:szCs w:val="20"/>
                <w:color w:val="auto"/>
              </w:rPr>
            </w:pPr>
            <w:r>
              <w:rPr>
                <w:rFonts w:ascii="Arial" w:cs="Arial" w:eastAsia="Arial" w:hAnsi="Arial"/>
                <w:sz w:val="10"/>
                <w:szCs w:val="10"/>
                <w:color w:val="008000"/>
              </w:rPr>
              <w:t>(1)</w:t>
            </w:r>
          </w:p>
        </w:tc>
        <w:tc>
          <w:tcPr>
            <w:tcW w:w="740" w:type="dxa"/>
            <w:vAlign w:val="bottom"/>
          </w:tcPr>
          <w:p>
            <w:pPr>
              <w:ind w:left="300"/>
              <w:spacing w:after="0"/>
              <w:rPr>
                <w:sz w:val="20"/>
                <w:szCs w:val="20"/>
                <w:color w:val="auto"/>
              </w:rPr>
            </w:pPr>
            <w:r>
              <w:rPr>
                <w:rFonts w:ascii="Arial" w:cs="Arial" w:eastAsia="Arial" w:hAnsi="Arial"/>
                <w:sz w:val="10"/>
                <w:szCs w:val="10"/>
                <w:color w:val="008000"/>
              </w:rPr>
              <w:t>(1)</w:t>
            </w:r>
          </w:p>
        </w:tc>
        <w:tc>
          <w:tcPr>
            <w:tcW w:w="480" w:type="dxa"/>
            <w:vAlign w:val="bottom"/>
          </w:tcPr>
          <w:p>
            <w:pPr>
              <w:ind w:left="140"/>
              <w:spacing w:after="0"/>
              <w:rPr>
                <w:sz w:val="20"/>
                <w:szCs w:val="20"/>
                <w:color w:val="auto"/>
              </w:rPr>
            </w:pPr>
            <w:r>
              <w:rPr>
                <w:rFonts w:ascii="Arial" w:cs="Arial" w:eastAsia="Arial" w:hAnsi="Arial"/>
                <w:sz w:val="12"/>
                <w:szCs w:val="12"/>
                <w:color w:val="0000FF"/>
              </w:rPr>
              <w:t>A</w:t>
            </w:r>
          </w:p>
        </w:tc>
        <w:tc>
          <w:tcPr>
            <w:tcW w:w="7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60" w:type="dxa"/>
            <w:vAlign w:val="bottom"/>
          </w:tcPr>
          <w:p>
            <w:pPr>
              <w:ind w:left="420"/>
              <w:spacing w:after="0"/>
              <w:rPr>
                <w:sz w:val="20"/>
                <w:szCs w:val="20"/>
                <w:color w:val="auto"/>
              </w:rPr>
            </w:pPr>
            <w:r>
              <w:rPr>
                <w:rFonts w:ascii="Arial" w:cs="Arial" w:eastAsia="Arial" w:hAnsi="Arial"/>
                <w:sz w:val="12"/>
                <w:szCs w:val="12"/>
                <w:color w:val="0000FF"/>
              </w:rPr>
              <w:t>0</w:t>
            </w:r>
          </w:p>
        </w:tc>
        <w:tc>
          <w:tcPr>
            <w:tcW w:w="300" w:type="dxa"/>
            <w:vAlign w:val="bottom"/>
          </w:tcPr>
          <w:p>
            <w:pPr>
              <w:spacing w:after="0"/>
              <w:rPr>
                <w:sz w:val="12"/>
                <w:szCs w:val="12"/>
                <w:color w:val="auto"/>
              </w:rPr>
            </w:pPr>
          </w:p>
        </w:tc>
        <w:tc>
          <w:tcPr>
            <w:tcW w:w="640" w:type="dxa"/>
            <w:vAlign w:val="bottom"/>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LLC</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2" w:lineRule="exact"/>
              <w:rPr>
                <w:sz w:val="20"/>
                <w:szCs w:val="20"/>
                <w:color w:val="auto"/>
              </w:rPr>
            </w:pPr>
            <w:r>
              <w:rPr>
                <w:rFonts w:ascii="Arial" w:cs="Arial" w:eastAsia="Arial" w:hAnsi="Arial"/>
                <w:sz w:val="12"/>
                <w:szCs w:val="12"/>
                <w:color w:val="0000FF"/>
              </w:rPr>
              <w:t>Shares</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-2622550</wp:posOffset>
            </wp:positionV>
            <wp:extent cx="7036435" cy="2776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27768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0000FF"/>
        </w:rPr>
        <w:t>Units</w:t>
      </w:r>
      <w:r>
        <w:rPr>
          <w:rFonts w:ascii="Arial" w:cs="Arial" w:eastAsia="Arial" w:hAnsi="Arial"/>
          <w:sz w:val="20"/>
          <w:szCs w:val="20"/>
          <w:color w:val="008000"/>
          <w:vertAlign w:val="superscript"/>
        </w:rPr>
        <w:t>(1)</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40" w:right="160" w:hanging="3"/>
        <w:spacing w:after="0" w:line="245"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Amended and Restated Limited Liability Company Agreement of New Fortress Intermediate LLC ("NFI") provides certain holders common units ("NFI LLC Units") of NFI with certain rights to cause NFI or New Fortress Energy LLC (the "Issuer") to acquire all or a portion of the NFI LLC Units and an equal number of non-economic Class B common shares (the "Class B Shares") of the Issuer (the "Redemption Right") for, at its election, (a) Class A common shares ("Class A Shares") of the Issuer at a redemption ratio of one Class A Share for each NFI LLC Unit redeemed, subject to conversion rate adjustments for any equity split, equity distribution, reclassification or other similar transaction, or (b) an equivalent amount of cash based on the trading price of a Class A Share on the trading day that is immediately prior to the date of the redemption. The Redemption Right has no expiration date.</w:t>
      </w:r>
    </w:p>
    <w:p>
      <w:pPr>
        <w:spacing w:after="0" w:line="28"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has exercised his Redemption Right, pursuant to which, the Issuer will acquire these NFI LLC Units and an equal number of Class B Shares in exchange for Class A Shares.</w:t>
      </w:r>
    </w:p>
    <w:p>
      <w:pPr>
        <w:spacing w:after="0" w:line="48"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New Fortress Energy Holdings LLC previously distributed these NFI LLC Units to the reporting person on a pro rata basis, together with an equal number of Class B Shares.</w:t>
      </w:r>
    </w:p>
    <w:p>
      <w:pPr>
        <w:spacing w:after="0" w:line="73"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/s/ John Mack, by Cameron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-8255</wp:posOffset>
            </wp:positionV>
            <wp:extent cx="12560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6"/>
          <w:szCs w:val="16"/>
          <w:color w:val="0000FF"/>
        </w:rPr>
        <w:t>MacDoungall as Attorney-in-</w:t>
      </w:r>
      <w:r>
        <w:rPr>
          <w:sz w:val="20"/>
          <w:szCs w:val="20"/>
          <w:color w:val="auto"/>
        </w:rPr>
        <w:tab/>
      </w:r>
      <w:r>
        <w:rPr>
          <w:rFonts w:ascii="Arial" w:cs="Arial" w:eastAsia="Arial" w:hAnsi="Arial"/>
          <w:sz w:val="14"/>
          <w:szCs w:val="14"/>
          <w:color w:val="0000FF"/>
        </w:rPr>
        <w:t>06/10/2020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-12700</wp:posOffset>
            </wp:positionV>
            <wp:extent cx="18630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6309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-12700</wp:posOffset>
            </wp:positionV>
            <wp:extent cx="1765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6530" cy="7620"/>
                    </a:xfrm>
                    <a:prstGeom prst="rect">
                      <a:avLst/>
                    </a:prstGeom>
                    <a:noFill/>
                  </pic:spPr>
                </pic:pic>
              </a:graphicData>
            </a:graphic>
          </wp:anchor>
        </w:drawing>
      </w:r>
    </w:p>
    <w:p>
      <w:pPr>
        <w:spacing w:after="0" w:line="4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880" w:hanging="3"/>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2147" TargetMode="External"/><Relationship Id="rId14"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2020-06-10T15:36:20Z</dcterms:created>
  <dcterms:modified xsi:type="dcterms:W3CDTF">2020-06-10T15:36:20Z</dcterms:modified>
</cp:coreProperties>
</file>