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147955</wp:posOffset>
            </wp:positionH>
            <wp:positionV relativeFrom="page">
              <wp:posOffset>147955</wp:posOffset>
            </wp:positionV>
            <wp:extent cx="726567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29210"/>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251460</wp:posOffset>
            </wp:positionV>
            <wp:extent cx="7265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7620"/>
                    </a:xfrm>
                    <a:prstGeom prst="rect">
                      <a:avLst/>
                    </a:prstGeom>
                    <a:noFill/>
                  </pic:spPr>
                </pic:pic>
              </a:graphicData>
            </a:graphic>
          </wp:anchor>
        </w:drawing>
        <w:t>UNITED STATES</w:t>
      </w:r>
    </w:p>
    <w:p>
      <w:pPr>
        <w:spacing w:after="0" w:line="22" w:lineRule="exact"/>
        <w:rPr>
          <w:sz w:val="24"/>
          <w:szCs w:val="24"/>
          <w:color w:val="auto"/>
        </w:rPr>
      </w:pPr>
    </w:p>
    <w:p>
      <w:pPr>
        <w:jc w:val="center"/>
        <w:ind w:right="1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
        <w:spacing w:after="0" w:line="228" w:lineRule="auto"/>
        <w:rPr>
          <w:sz w:val="20"/>
          <w:szCs w:val="20"/>
          <w:color w:val="auto"/>
        </w:rPr>
      </w:pPr>
      <w:r>
        <w:rPr>
          <w:rFonts w:ascii="Arial" w:cs="Arial" w:eastAsia="Arial" w:hAnsi="Arial"/>
          <w:sz w:val="19"/>
          <w:szCs w:val="19"/>
          <w:b w:val="1"/>
          <w:bCs w:val="1"/>
          <w:color w:val="auto"/>
        </w:rPr>
        <w:t>WASHINGTON, DC 20549</w:t>
      </w:r>
    </w:p>
    <w:p>
      <w:pPr>
        <w:jc w:val="center"/>
        <w:ind w:right="13"/>
        <w:spacing w:after="0"/>
        <w:rPr>
          <w:sz w:val="20"/>
          <w:szCs w:val="20"/>
          <w:color w:val="auto"/>
        </w:rPr>
      </w:pPr>
      <w:r>
        <w:rPr>
          <w:rFonts w:ascii="Arial" w:cs="Arial" w:eastAsia="Arial" w:hAnsi="Arial"/>
          <w:sz w:val="28"/>
          <w:szCs w:val="28"/>
          <w:b w:val="1"/>
          <w:bCs w:val="1"/>
          <w:color w:val="auto"/>
        </w:rPr>
        <w:t>FORM 10-K</w:t>
      </w:r>
    </w:p>
    <w:p>
      <w:pPr>
        <w:spacing w:after="0" w:line="189" w:lineRule="exact"/>
        <w:rPr>
          <w:sz w:val="24"/>
          <w:szCs w:val="24"/>
          <w:color w:val="auto"/>
        </w:rPr>
      </w:pPr>
    </w:p>
    <w:p>
      <w:pPr>
        <w:ind w:left="287" w:hanging="287"/>
        <w:spacing w:after="0"/>
        <w:tabs>
          <w:tab w:leader="none" w:pos="287"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w:t>
      </w:r>
    </w:p>
    <w:p>
      <w:pPr>
        <w:spacing w:after="0" w:line="216" w:lineRule="exact"/>
        <w:rPr>
          <w:sz w:val="24"/>
          <w:szCs w:val="24"/>
          <w:color w:val="auto"/>
        </w:rPr>
      </w:pPr>
    </w:p>
    <w:p>
      <w:pPr>
        <w:jc w:val="center"/>
        <w:ind w:right="13"/>
        <w:spacing w:after="0"/>
        <w:rPr>
          <w:sz w:val="20"/>
          <w:szCs w:val="20"/>
          <w:color w:val="auto"/>
        </w:rPr>
      </w:pPr>
      <w:r>
        <w:rPr>
          <w:rFonts w:ascii="Arial" w:cs="Arial" w:eastAsia="Arial" w:hAnsi="Arial"/>
          <w:sz w:val="19"/>
          <w:szCs w:val="19"/>
          <w:b w:val="1"/>
          <w:bCs w:val="1"/>
          <w:color w:val="auto"/>
        </w:rPr>
        <w:t>For the year ended December 31, 2019</w:t>
      </w:r>
    </w:p>
    <w:p>
      <w:pPr>
        <w:spacing w:after="0" w:line="11" w:lineRule="exact"/>
        <w:rPr>
          <w:sz w:val="24"/>
          <w:szCs w:val="24"/>
          <w:color w:val="auto"/>
        </w:rPr>
      </w:pPr>
    </w:p>
    <w:p>
      <w:pPr>
        <w:jc w:val="center"/>
        <w:ind w:right="13"/>
        <w:spacing w:after="0"/>
        <w:rPr>
          <w:sz w:val="20"/>
          <w:szCs w:val="20"/>
          <w:color w:val="auto"/>
        </w:rPr>
      </w:pPr>
      <w:r>
        <w:rPr>
          <w:rFonts w:ascii="Arial" w:cs="Arial" w:eastAsia="Arial" w:hAnsi="Arial"/>
          <w:sz w:val="19"/>
          <w:szCs w:val="19"/>
          <w:b w:val="1"/>
          <w:bCs w:val="1"/>
          <w:color w:val="auto"/>
        </w:rPr>
        <w:t>OR</w:t>
      </w:r>
    </w:p>
    <w:p>
      <w:pPr>
        <w:spacing w:after="0" w:line="186" w:lineRule="exact"/>
        <w:rPr>
          <w:sz w:val="24"/>
          <w:szCs w:val="24"/>
          <w:color w:val="auto"/>
        </w:rPr>
      </w:pPr>
    </w:p>
    <w:p>
      <w:pPr>
        <w:ind w:left="287" w:hanging="287"/>
        <w:spacing w:after="0"/>
        <w:tabs>
          <w:tab w:leader="none" w:pos="287"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95" w:lineRule="exact"/>
        <w:rPr>
          <w:sz w:val="24"/>
          <w:szCs w:val="24"/>
          <w:color w:val="auto"/>
        </w:rPr>
      </w:pPr>
    </w:p>
    <w:tbl>
      <w:tblPr>
        <w:tblLayout w:type="fixed"/>
        <w:tblInd w:w="107" w:type="dxa"/>
        <w:tblCellMar>
          <w:top w:w="0" w:type="dxa"/>
          <w:left w:w="0" w:type="dxa"/>
          <w:bottom w:w="0" w:type="dxa"/>
          <w:right w:w="0" w:type="dxa"/>
        </w:tblCellMar>
      </w:tblPr>
      <w:tr>
        <w:trPr>
          <w:trHeight w:val="218"/>
        </w:trPr>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60" w:type="dxa"/>
            <w:vAlign w:val="bottom"/>
            <w:gridSpan w:val="2"/>
          </w:tcPr>
          <w:p>
            <w:pPr>
              <w:ind w:left="20"/>
              <w:spacing w:after="0"/>
              <w:rPr>
                <w:sz w:val="20"/>
                <w:szCs w:val="20"/>
                <w:color w:val="auto"/>
              </w:rPr>
            </w:pPr>
            <w:r>
              <w:rPr>
                <w:rFonts w:ascii="Arial" w:cs="Arial" w:eastAsia="Arial" w:hAnsi="Arial"/>
                <w:sz w:val="19"/>
                <w:szCs w:val="19"/>
                <w:b w:val="1"/>
                <w:bCs w:val="1"/>
                <w:color w:val="auto"/>
                <w:w w:val="90"/>
              </w:rPr>
              <w:t>For the transition period from</w:t>
            </w:r>
          </w:p>
        </w:tc>
        <w:tc>
          <w:tcPr>
            <w:tcW w:w="700" w:type="dxa"/>
            <w:vAlign w:val="bottom"/>
            <w:tcBorders>
              <w:bottom w:val="single" w:sz="8" w:color="auto"/>
            </w:tcBorders>
            <w:gridSpan w:val="2"/>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9"/>
                <w:szCs w:val="19"/>
                <w:b w:val="1"/>
                <w:bCs w:val="1"/>
                <w:color w:val="auto"/>
              </w:rPr>
              <w:t>to_______</w:t>
            </w:r>
          </w:p>
        </w:tc>
        <w:tc>
          <w:tcPr>
            <w:tcW w:w="0" w:type="dxa"/>
            <w:vAlign w:val="bottom"/>
          </w:tcPr>
          <w:p>
            <w:pPr>
              <w:spacing w:after="0"/>
              <w:rPr>
                <w:sz w:val="1"/>
                <w:szCs w:val="1"/>
                <w:color w:val="auto"/>
              </w:rPr>
            </w:pPr>
          </w:p>
        </w:tc>
      </w:tr>
      <w:tr>
        <w:trPr>
          <w:trHeight w:val="188"/>
        </w:trPr>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180" w:type="dxa"/>
            <w:vAlign w:val="bottom"/>
            <w:gridSpan w:val="8"/>
          </w:tcPr>
          <w:p>
            <w:pPr>
              <w:jc w:val="center"/>
              <w:ind w:right="3200"/>
              <w:spacing w:after="0" w:line="188" w:lineRule="exact"/>
              <w:rPr>
                <w:sz w:val="20"/>
                <w:szCs w:val="20"/>
                <w:color w:val="auto"/>
              </w:rPr>
            </w:pPr>
            <w:r>
              <w:rPr>
                <w:rFonts w:ascii="Arial" w:cs="Arial" w:eastAsia="Arial" w:hAnsi="Arial"/>
                <w:sz w:val="19"/>
                <w:szCs w:val="19"/>
                <w:b w:val="1"/>
                <w:bCs w:val="1"/>
                <w:color w:val="auto"/>
                <w:w w:val="88"/>
              </w:rPr>
              <w:t>Commission File Number: 001-38790</w:t>
            </w:r>
          </w:p>
        </w:tc>
        <w:tc>
          <w:tcPr>
            <w:tcW w:w="0" w:type="dxa"/>
            <w:vAlign w:val="bottom"/>
          </w:tcPr>
          <w:p>
            <w:pPr>
              <w:spacing w:after="0"/>
              <w:rPr>
                <w:sz w:val="1"/>
                <w:szCs w:val="1"/>
                <w:color w:val="auto"/>
              </w:rPr>
            </w:pPr>
          </w:p>
        </w:tc>
      </w:tr>
      <w:tr>
        <w:trPr>
          <w:trHeight w:val="443"/>
        </w:trPr>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9"/>
          </w:tcPr>
          <w:p>
            <w:pPr>
              <w:jc w:val="center"/>
              <w:ind w:right="1940"/>
              <w:spacing w:after="0"/>
              <w:rPr>
                <w:sz w:val="20"/>
                <w:szCs w:val="20"/>
                <w:color w:val="auto"/>
              </w:rPr>
            </w:pPr>
            <w:r>
              <w:rPr>
                <w:rFonts w:ascii="Arial" w:cs="Arial" w:eastAsia="Arial" w:hAnsi="Arial"/>
                <w:sz w:val="37"/>
                <w:szCs w:val="37"/>
                <w:b w:val="1"/>
                <w:bCs w:val="1"/>
                <w:color w:val="auto"/>
                <w:w w:val="93"/>
              </w:rPr>
              <w:t>New Fortress Energy LLC</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40" w:type="dxa"/>
            <w:vAlign w:val="bottom"/>
            <w:gridSpan w:val="9"/>
          </w:tcPr>
          <w:p>
            <w:pPr>
              <w:jc w:val="center"/>
              <w:ind w:right="1920"/>
              <w:spacing w:after="0"/>
              <w:rPr>
                <w:sz w:val="20"/>
                <w:szCs w:val="20"/>
                <w:color w:val="auto"/>
              </w:rPr>
            </w:pPr>
            <w:r>
              <w:rPr>
                <w:rFonts w:ascii="Arial" w:cs="Arial" w:eastAsia="Arial" w:hAnsi="Arial"/>
                <w:sz w:val="19"/>
                <w:szCs w:val="19"/>
                <w:b w:val="1"/>
                <w:bCs w:val="1"/>
                <w:color w:val="auto"/>
                <w:w w:val="88"/>
              </w:rPr>
              <w:t>(Exact Name of Registrant as Specified in its Charter)</w:t>
            </w:r>
          </w:p>
        </w:tc>
        <w:tc>
          <w:tcPr>
            <w:tcW w:w="0" w:type="dxa"/>
            <w:vAlign w:val="bottom"/>
          </w:tcPr>
          <w:p>
            <w:pPr>
              <w:spacing w:after="0"/>
              <w:rPr>
                <w:sz w:val="1"/>
                <w:szCs w:val="1"/>
                <w:color w:val="auto"/>
              </w:rPr>
            </w:pPr>
          </w:p>
        </w:tc>
      </w:tr>
      <w:tr>
        <w:trPr>
          <w:trHeight w:val="375"/>
        </w:trPr>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center"/>
              <w:ind w:right="472"/>
              <w:spacing w:after="0"/>
              <w:rPr>
                <w:sz w:val="20"/>
                <w:szCs w:val="20"/>
                <w:color w:val="auto"/>
              </w:rPr>
            </w:pPr>
            <w:r>
              <w:rPr>
                <w:rFonts w:ascii="Arial" w:cs="Arial" w:eastAsia="Arial" w:hAnsi="Arial"/>
                <w:sz w:val="15"/>
                <w:szCs w:val="15"/>
                <w:b w:val="1"/>
                <w:bCs w:val="1"/>
                <w:color w:val="auto"/>
                <w:w w:val="97"/>
              </w:rPr>
              <w:t>Delaware</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3"/>
          </w:tcPr>
          <w:p>
            <w:pPr>
              <w:jc w:val="right"/>
              <w:ind w:right="1063"/>
              <w:spacing w:after="0"/>
              <w:rPr>
                <w:sz w:val="20"/>
                <w:szCs w:val="20"/>
                <w:color w:val="auto"/>
              </w:rPr>
            </w:pPr>
            <w:r>
              <w:rPr>
                <w:rFonts w:ascii="Arial" w:cs="Arial" w:eastAsia="Arial" w:hAnsi="Arial"/>
                <w:sz w:val="15"/>
                <w:szCs w:val="15"/>
                <w:b w:val="1"/>
                <w:bCs w:val="1"/>
                <w:color w:val="auto"/>
              </w:rPr>
              <w:t>83-1482060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80" w:type="dxa"/>
            <w:vAlign w:val="bottom"/>
            <w:gridSpan w:val="9"/>
          </w:tcPr>
          <w:p>
            <w:pPr>
              <w:jc w:val="center"/>
              <w:ind w:right="1400"/>
              <w:spacing w:after="0"/>
              <w:rPr>
                <w:sz w:val="20"/>
                <w:szCs w:val="20"/>
                <w:color w:val="auto"/>
              </w:rPr>
            </w:pPr>
            <w:r>
              <w:rPr>
                <w:rFonts w:ascii="Arial" w:cs="Arial" w:eastAsia="Arial" w:hAnsi="Arial"/>
                <w:sz w:val="15"/>
                <w:szCs w:val="15"/>
                <w:color w:val="auto"/>
                <w:w w:val="95"/>
              </w:rPr>
              <w:t>(State or other jurisdiction of incorporation or organization)</w:t>
            </w:r>
          </w:p>
        </w:tc>
        <w:tc>
          <w:tcPr>
            <w:tcW w:w="4020" w:type="dxa"/>
            <w:vAlign w:val="bottom"/>
            <w:gridSpan w:val="4"/>
          </w:tcPr>
          <w:p>
            <w:pPr>
              <w:jc w:val="center"/>
              <w:ind w:right="500"/>
              <w:spacing w:after="0"/>
              <w:rPr>
                <w:sz w:val="20"/>
                <w:szCs w:val="20"/>
                <w:color w:val="auto"/>
              </w:rPr>
            </w:pPr>
            <w:r>
              <w:rPr>
                <w:rFonts w:ascii="Arial" w:cs="Arial" w:eastAsia="Arial" w:hAnsi="Arial"/>
                <w:sz w:val="15"/>
                <w:szCs w:val="15"/>
                <w:color w:val="auto"/>
                <w:w w:val="96"/>
              </w:rPr>
              <w:t>(I.R.S. Employer Identification No.)</w:t>
            </w:r>
          </w:p>
        </w:tc>
        <w:tc>
          <w:tcPr>
            <w:tcW w:w="0" w:type="dxa"/>
            <w:vAlign w:val="bottom"/>
          </w:tcPr>
          <w:p>
            <w:pPr>
              <w:spacing w:after="0"/>
              <w:rPr>
                <w:sz w:val="1"/>
                <w:szCs w:val="1"/>
                <w:color w:val="auto"/>
              </w:rPr>
            </w:pPr>
          </w:p>
        </w:tc>
      </w:tr>
      <w:tr>
        <w:trPr>
          <w:trHeight w:val="379"/>
        </w:trPr>
        <w:tc>
          <w:tcPr>
            <w:tcW w:w="1220" w:type="dxa"/>
            <w:vAlign w:val="bottom"/>
          </w:tcPr>
          <w:p>
            <w:pPr>
              <w:spacing w:after="0"/>
              <w:rPr>
                <w:sz w:val="24"/>
                <w:szCs w:val="24"/>
                <w:color w:val="auto"/>
              </w:rPr>
            </w:pPr>
          </w:p>
        </w:tc>
        <w:tc>
          <w:tcPr>
            <w:tcW w:w="2400" w:type="dxa"/>
            <w:vAlign w:val="bottom"/>
            <w:gridSpan w:val="4"/>
          </w:tcPr>
          <w:p>
            <w:pPr>
              <w:jc w:val="center"/>
              <w:ind w:left="483"/>
              <w:spacing w:after="0"/>
              <w:rPr>
                <w:sz w:val="20"/>
                <w:szCs w:val="20"/>
                <w:color w:val="auto"/>
              </w:rPr>
            </w:pPr>
            <w:r>
              <w:rPr>
                <w:rFonts w:ascii="Arial" w:cs="Arial" w:eastAsia="Arial" w:hAnsi="Arial"/>
                <w:sz w:val="15"/>
                <w:szCs w:val="15"/>
                <w:b w:val="1"/>
                <w:bCs w:val="1"/>
                <w:color w:val="auto"/>
                <w:w w:val="89"/>
              </w:rPr>
              <w:t>111 W. 19</w:t>
            </w:r>
            <w:r>
              <w:rPr>
                <w:rFonts w:ascii="Arial" w:cs="Arial" w:eastAsia="Arial" w:hAnsi="Arial"/>
                <w:sz w:val="25"/>
                <w:szCs w:val="25"/>
                <w:b w:val="1"/>
                <w:bCs w:val="1"/>
                <w:color w:val="auto"/>
                <w:w w:val="89"/>
                <w:vertAlign w:val="superscript"/>
              </w:rPr>
              <w:t>th</w:t>
            </w:r>
            <w:r>
              <w:rPr>
                <w:rFonts w:ascii="Arial" w:cs="Arial" w:eastAsia="Arial" w:hAnsi="Arial"/>
                <w:sz w:val="15"/>
                <w:szCs w:val="15"/>
                <w:b w:val="1"/>
                <w:bCs w:val="1"/>
                <w:color w:val="auto"/>
                <w:w w:val="89"/>
              </w:rPr>
              <w:t xml:space="preserve"> Street, 8</w:t>
            </w:r>
            <w:r>
              <w:rPr>
                <w:rFonts w:ascii="Arial" w:cs="Arial" w:eastAsia="Arial" w:hAnsi="Arial"/>
                <w:sz w:val="25"/>
                <w:szCs w:val="25"/>
                <w:b w:val="1"/>
                <w:bCs w:val="1"/>
                <w:color w:val="auto"/>
                <w:w w:val="89"/>
                <w:vertAlign w:val="superscript"/>
              </w:rPr>
              <w:t>th</w:t>
            </w:r>
            <w:r>
              <w:rPr>
                <w:rFonts w:ascii="Arial" w:cs="Arial" w:eastAsia="Arial" w:hAnsi="Arial"/>
                <w:sz w:val="15"/>
                <w:szCs w:val="15"/>
                <w:b w:val="1"/>
                <w:bCs w:val="1"/>
                <w:color w:val="auto"/>
                <w:w w:val="89"/>
              </w:rPr>
              <w:t xml:space="preserve"> Floor</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gridSpan w:val="3"/>
          </w:tcPr>
          <w:p>
            <w:pPr>
              <w:jc w:val="center"/>
              <w:ind w:right="252"/>
              <w:spacing w:after="0"/>
              <w:rPr>
                <w:sz w:val="20"/>
                <w:szCs w:val="20"/>
                <w:color w:val="auto"/>
              </w:rPr>
            </w:pPr>
            <w:r>
              <w:rPr>
                <w:rFonts w:ascii="Arial" w:cs="Arial" w:eastAsia="Arial" w:hAnsi="Arial"/>
                <w:sz w:val="15"/>
                <w:szCs w:val="15"/>
                <w:b w:val="1"/>
                <w:bCs w:val="1"/>
                <w:color w:val="auto"/>
                <w:w w:val="98"/>
              </w:rPr>
              <w:t>New York, NY</w:t>
            </w: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4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10011</w:t>
            </w: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5560" w:type="dxa"/>
            <w:vAlign w:val="bottom"/>
            <w:gridSpan w:val="8"/>
          </w:tcPr>
          <w:p>
            <w:pPr>
              <w:jc w:val="center"/>
              <w:ind w:right="2600"/>
              <w:spacing w:after="0"/>
              <w:rPr>
                <w:sz w:val="20"/>
                <w:szCs w:val="20"/>
                <w:color w:val="auto"/>
              </w:rPr>
            </w:pPr>
            <w:r>
              <w:rPr>
                <w:rFonts w:ascii="Arial" w:cs="Arial" w:eastAsia="Arial" w:hAnsi="Arial"/>
                <w:sz w:val="15"/>
                <w:szCs w:val="15"/>
                <w:color w:val="auto"/>
                <w:w w:val="95"/>
              </w:rPr>
              <w:t>(Address of principal executive offices)</w:t>
            </w:r>
          </w:p>
        </w:tc>
        <w:tc>
          <w:tcPr>
            <w:tcW w:w="1280" w:type="dxa"/>
            <w:vAlign w:val="bottom"/>
          </w:tcPr>
          <w:p>
            <w:pPr>
              <w:spacing w:after="0"/>
              <w:rPr>
                <w:sz w:val="17"/>
                <w:szCs w:val="17"/>
                <w:color w:val="auto"/>
              </w:rPr>
            </w:pPr>
          </w:p>
        </w:tc>
        <w:tc>
          <w:tcPr>
            <w:tcW w:w="2740" w:type="dxa"/>
            <w:vAlign w:val="bottom"/>
            <w:gridSpan w:val="3"/>
          </w:tcPr>
          <w:p>
            <w:pPr>
              <w:jc w:val="center"/>
              <w:ind w:right="1780"/>
              <w:spacing w:after="0"/>
              <w:rPr>
                <w:sz w:val="20"/>
                <w:szCs w:val="20"/>
                <w:color w:val="auto"/>
              </w:rPr>
            </w:pPr>
            <w:r>
              <w:rPr>
                <w:rFonts w:ascii="Arial" w:cs="Arial" w:eastAsia="Arial" w:hAnsi="Arial"/>
                <w:sz w:val="15"/>
                <w:szCs w:val="15"/>
                <w:color w:val="auto"/>
                <w:w w:val="95"/>
              </w:rPr>
              <w:t>(Zip Code)</w:t>
            </w:r>
          </w:p>
        </w:tc>
        <w:tc>
          <w:tcPr>
            <w:tcW w:w="0" w:type="dxa"/>
            <w:vAlign w:val="bottom"/>
          </w:tcPr>
          <w:p>
            <w:pPr>
              <w:spacing w:after="0"/>
              <w:rPr>
                <w:sz w:val="1"/>
                <w:szCs w:val="1"/>
                <w:color w:val="auto"/>
              </w:rPr>
            </w:pPr>
          </w:p>
        </w:tc>
      </w:tr>
      <w:tr>
        <w:trPr>
          <w:trHeight w:val="396"/>
        </w:trPr>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9"/>
          </w:tcPr>
          <w:p>
            <w:pPr>
              <w:jc w:val="center"/>
              <w:ind w:right="1940"/>
              <w:spacing w:after="0"/>
              <w:rPr>
                <w:sz w:val="20"/>
                <w:szCs w:val="20"/>
                <w:color w:val="auto"/>
              </w:rPr>
            </w:pPr>
            <w:r>
              <w:rPr>
                <w:rFonts w:ascii="Arial" w:cs="Arial" w:eastAsia="Arial" w:hAnsi="Arial"/>
                <w:sz w:val="19"/>
                <w:szCs w:val="19"/>
                <w:b w:val="1"/>
                <w:bCs w:val="1"/>
                <w:color w:val="auto"/>
                <w:w w:val="87"/>
              </w:rPr>
              <w:t>Registrant’s telephone number, including area code: (516) 268-7400</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40" w:type="dxa"/>
            <w:vAlign w:val="bottom"/>
            <w:gridSpan w:val="9"/>
          </w:tcPr>
          <w:p>
            <w:pPr>
              <w:jc w:val="center"/>
              <w:ind w:right="1940"/>
              <w:spacing w:after="0"/>
              <w:rPr>
                <w:sz w:val="20"/>
                <w:szCs w:val="20"/>
                <w:color w:val="auto"/>
              </w:rPr>
            </w:pPr>
            <w:r>
              <w:rPr>
                <w:rFonts w:ascii="Arial" w:cs="Arial" w:eastAsia="Arial" w:hAnsi="Arial"/>
                <w:sz w:val="19"/>
                <w:szCs w:val="19"/>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351"/>
        </w:trPr>
        <w:tc>
          <w:tcPr>
            <w:tcW w:w="1220" w:type="dxa"/>
            <w:vAlign w:val="bottom"/>
            <w:vMerge w:val="restart"/>
          </w:tcPr>
          <w:p>
            <w:pPr>
              <w:spacing w:after="0"/>
              <w:rPr>
                <w:sz w:val="24"/>
                <w:szCs w:val="2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5"/>
                <w:szCs w:val="15"/>
                <w:color w:val="auto"/>
                <w:w w:val="93"/>
              </w:rPr>
              <w:t>Title of each class</w:t>
            </w:r>
          </w:p>
        </w:tc>
        <w:tc>
          <w:tcPr>
            <w:tcW w:w="2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2"/>
              </w:rPr>
              <w:t>Name of each exchange on which registered</w:t>
            </w:r>
          </w:p>
        </w:tc>
        <w:tc>
          <w:tcPr>
            <w:tcW w:w="0" w:type="dxa"/>
            <w:vAlign w:val="bottom"/>
          </w:tcPr>
          <w:p>
            <w:pPr>
              <w:spacing w:after="0"/>
              <w:rPr>
                <w:sz w:val="1"/>
                <w:szCs w:val="1"/>
                <w:color w:val="auto"/>
              </w:rPr>
            </w:pPr>
          </w:p>
        </w:tc>
      </w:tr>
      <w:tr>
        <w:trPr>
          <w:trHeight w:val="78"/>
        </w:trPr>
        <w:tc>
          <w:tcPr>
            <w:tcW w:w="1220" w:type="dxa"/>
            <w:vAlign w:val="bottom"/>
            <w:vMerge w:val="continue"/>
          </w:tcPr>
          <w:p>
            <w:pPr>
              <w:spacing w:after="0"/>
              <w:rPr>
                <w:sz w:val="6"/>
                <w:szCs w:val="6"/>
                <w:color w:val="auto"/>
              </w:rPr>
            </w:pPr>
          </w:p>
        </w:tc>
        <w:tc>
          <w:tcPr>
            <w:tcW w:w="1120" w:type="dxa"/>
            <w:vAlign w:val="bottom"/>
            <w:tcBorders>
              <w:bottom w:val="single" w:sz="8" w:color="auto"/>
            </w:tcBorders>
            <w:gridSpan w:val="2"/>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760" w:type="dxa"/>
            <w:vAlign w:val="bottom"/>
            <w:gridSpan w:val="3"/>
            <w:vMerge w:val="restart"/>
          </w:tcPr>
          <w:p>
            <w:pPr>
              <w:jc w:val="center"/>
              <w:ind w:right="600"/>
              <w:spacing w:after="0" w:line="166" w:lineRule="exact"/>
              <w:rPr>
                <w:sz w:val="20"/>
                <w:szCs w:val="20"/>
                <w:color w:val="auto"/>
              </w:rPr>
            </w:pPr>
            <w:r>
              <w:rPr>
                <w:rFonts w:ascii="Arial" w:cs="Arial" w:eastAsia="Arial" w:hAnsi="Arial"/>
                <w:sz w:val="15"/>
                <w:szCs w:val="15"/>
                <w:color w:val="auto"/>
                <w:w w:val="94"/>
              </w:rPr>
              <w:t>Trading Symbol(s)</w:t>
            </w:r>
          </w:p>
        </w:tc>
        <w:tc>
          <w:tcPr>
            <w:tcW w:w="1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80" w:type="dxa"/>
            <w:vAlign w:val="bottom"/>
            <w:gridSpan w:val="2"/>
            <w:vMerge w:val="restart"/>
          </w:tcPr>
          <w:p>
            <w:pPr>
              <w:jc w:val="center"/>
              <w:ind w:right="760"/>
              <w:spacing w:after="0" w:line="166" w:lineRule="exact"/>
              <w:rPr>
                <w:sz w:val="20"/>
                <w:szCs w:val="20"/>
                <w:color w:val="auto"/>
              </w:rPr>
            </w:pPr>
            <w:r>
              <w:rPr>
                <w:rFonts w:ascii="Arial" w:cs="Arial" w:eastAsia="Arial" w:hAnsi="Arial"/>
                <w:sz w:val="15"/>
                <w:szCs w:val="15"/>
                <w:color w:val="auto"/>
                <w:w w:val="93"/>
              </w:rPr>
              <w:t>on which registered</w:t>
            </w:r>
          </w:p>
        </w:tc>
        <w:tc>
          <w:tcPr>
            <w:tcW w:w="0" w:type="dxa"/>
            <w:vAlign w:val="bottom"/>
          </w:tcPr>
          <w:p>
            <w:pPr>
              <w:spacing w:after="0"/>
              <w:rPr>
                <w:sz w:val="1"/>
                <w:szCs w:val="1"/>
                <w:color w:val="auto"/>
              </w:rPr>
            </w:pPr>
          </w:p>
        </w:tc>
      </w:tr>
      <w:tr>
        <w:trPr>
          <w:trHeight w:val="73"/>
        </w:trPr>
        <w:tc>
          <w:tcPr>
            <w:tcW w:w="3620" w:type="dxa"/>
            <w:vAlign w:val="bottom"/>
            <w:gridSpan w:val="5"/>
            <w:vMerge w:val="restart"/>
          </w:tcPr>
          <w:p>
            <w:pPr>
              <w:jc w:val="center"/>
              <w:spacing w:after="0"/>
              <w:rPr>
                <w:sz w:val="20"/>
                <w:szCs w:val="20"/>
                <w:color w:val="auto"/>
              </w:rPr>
            </w:pPr>
            <w:r>
              <w:rPr>
                <w:rFonts w:ascii="Arial" w:cs="Arial" w:eastAsia="Arial" w:hAnsi="Arial"/>
                <w:sz w:val="15"/>
                <w:szCs w:val="15"/>
                <w:b w:val="1"/>
                <w:bCs w:val="1"/>
                <w:color w:val="auto"/>
                <w:w w:val="92"/>
              </w:rPr>
              <w:t>Class A shares, representing limited liability company</w:t>
            </w:r>
          </w:p>
        </w:tc>
        <w:tc>
          <w:tcPr>
            <w:tcW w:w="140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20" w:type="dxa"/>
            <w:vAlign w:val="bottom"/>
            <w:gridSpan w:val="5"/>
            <w:vMerge w:val="continu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20" w:type="dxa"/>
            <w:vAlign w:val="bottom"/>
            <w:gridSpan w:val="5"/>
            <w:vMerge w:val="continue"/>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NFE</w:t>
            </w:r>
          </w:p>
        </w:tc>
        <w:tc>
          <w:tcPr>
            <w:tcW w:w="600" w:type="dxa"/>
            <w:vAlign w:val="bottom"/>
            <w:vMerge w:val="restart"/>
          </w:tcPr>
          <w:p>
            <w:pPr>
              <w:spacing w:after="0"/>
              <w:rPr>
                <w:sz w:val="16"/>
                <w:szCs w:val="16"/>
                <w:color w:val="auto"/>
              </w:rPr>
            </w:pPr>
          </w:p>
        </w:tc>
        <w:tc>
          <w:tcPr>
            <w:tcW w:w="1280" w:type="dxa"/>
            <w:vAlign w:val="bottom"/>
          </w:tcPr>
          <w:p>
            <w:pPr>
              <w:spacing w:after="0"/>
              <w:rPr>
                <w:sz w:val="16"/>
                <w:szCs w:val="16"/>
                <w:color w:val="auto"/>
              </w:rPr>
            </w:pPr>
          </w:p>
        </w:tc>
        <w:tc>
          <w:tcPr>
            <w:tcW w:w="274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96"/>
              </w:rPr>
              <w:t>NASDAQ Global Select Market</w:t>
            </w:r>
          </w:p>
        </w:tc>
        <w:tc>
          <w:tcPr>
            <w:tcW w:w="0" w:type="dxa"/>
            <w:vAlign w:val="bottom"/>
          </w:tcPr>
          <w:p>
            <w:pPr>
              <w:spacing w:after="0"/>
              <w:rPr>
                <w:sz w:val="1"/>
                <w:szCs w:val="1"/>
                <w:color w:val="auto"/>
              </w:rPr>
            </w:pPr>
          </w:p>
        </w:tc>
      </w:tr>
      <w:tr>
        <w:trPr>
          <w:trHeight w:val="109"/>
        </w:trPr>
        <w:tc>
          <w:tcPr>
            <w:tcW w:w="1220" w:type="dxa"/>
            <w:vAlign w:val="bottom"/>
          </w:tcPr>
          <w:p>
            <w:pPr>
              <w:spacing w:after="0"/>
              <w:rPr>
                <w:sz w:val="9"/>
                <w:szCs w:val="9"/>
                <w:color w:val="auto"/>
              </w:rPr>
            </w:pPr>
          </w:p>
        </w:tc>
        <w:tc>
          <w:tcPr>
            <w:tcW w:w="920" w:type="dxa"/>
            <w:vAlign w:val="bottom"/>
            <w:vMerge w:val="restart"/>
          </w:tcPr>
          <w:p>
            <w:pPr>
              <w:jc w:val="center"/>
              <w:ind w:left="123"/>
              <w:spacing w:after="0"/>
              <w:rPr>
                <w:sz w:val="20"/>
                <w:szCs w:val="20"/>
                <w:color w:val="auto"/>
              </w:rPr>
            </w:pPr>
            <w:r>
              <w:rPr>
                <w:rFonts w:ascii="Arial" w:cs="Arial" w:eastAsia="Arial" w:hAnsi="Arial"/>
                <w:sz w:val="15"/>
                <w:szCs w:val="15"/>
                <w:b w:val="1"/>
                <w:bCs w:val="1"/>
                <w:color w:val="auto"/>
                <w:w w:val="89"/>
              </w:rPr>
              <w:t>interests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2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2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jc w:val="center"/>
        <w:ind w:right="73"/>
        <w:spacing w:after="0"/>
        <w:rPr>
          <w:sz w:val="20"/>
          <w:szCs w:val="20"/>
          <w:color w:val="auto"/>
        </w:rPr>
      </w:pPr>
      <w:r>
        <w:rPr>
          <w:rFonts w:ascii="Arial" w:cs="Arial" w:eastAsia="Arial" w:hAnsi="Arial"/>
          <w:sz w:val="19"/>
          <w:szCs w:val="19"/>
          <w:b w:val="1"/>
          <w:bCs w:val="1"/>
          <w:color w:val="auto"/>
        </w:rPr>
        <w:t xml:space="preserve">Securities registered pursuant to Section 12(g) of the Act: </w:t>
      </w:r>
      <w:r>
        <w:rPr>
          <w:rFonts w:ascii="Arial" w:cs="Arial" w:eastAsia="Arial" w:hAnsi="Arial"/>
          <w:sz w:val="19"/>
          <w:szCs w:val="19"/>
          <w:color w:val="auto"/>
        </w:rPr>
        <w:t>None</w:t>
      </w:r>
    </w:p>
    <w:p>
      <w:pPr>
        <w:spacing w:after="0" w:line="180" w:lineRule="exact"/>
        <w:rPr>
          <w:sz w:val="24"/>
          <w:szCs w:val="24"/>
          <w:color w:val="auto"/>
        </w:rPr>
      </w:pPr>
    </w:p>
    <w:p>
      <w:pPr>
        <w:ind w:left="287" w:right="1220"/>
        <w:spacing w:after="0" w:line="361"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left="7" w:right="280" w:firstLine="279"/>
        <w:spacing w:after="0" w:line="229"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62" w:lineRule="exact"/>
        <w:rPr>
          <w:sz w:val="24"/>
          <w:szCs w:val="24"/>
          <w:color w:val="auto"/>
        </w:rPr>
      </w:pPr>
    </w:p>
    <w:p>
      <w:pPr>
        <w:jc w:val="both"/>
        <w:ind w:left="7" w:right="140" w:firstLine="279"/>
        <w:spacing w:after="0" w:line="229" w:lineRule="exact"/>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62" w:lineRule="exact"/>
        <w:rPr>
          <w:sz w:val="24"/>
          <w:szCs w:val="24"/>
          <w:color w:val="auto"/>
        </w:rPr>
      </w:pPr>
    </w:p>
    <w:p>
      <w:pPr>
        <w:jc w:val="both"/>
        <w:ind w:left="7" w:right="240" w:firstLine="279"/>
        <w:spacing w:after="0"/>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7"/>
          </w:cols>
          <w:pgMar w:left="233" w:top="480" w:right="219" w:bottom="1440" w:gutter="0" w:footer="0" w:header="0"/>
        </w:sectPr>
      </w:pPr>
    </w:p>
    <w:p>
      <w:pPr>
        <w:spacing w:after="0" w:line="160" w:lineRule="exact"/>
        <w:rPr>
          <w:sz w:val="24"/>
          <w:szCs w:val="24"/>
          <w:color w:val="auto"/>
        </w:rPr>
      </w:pPr>
    </w:p>
    <w:p>
      <w:pPr>
        <w:ind w:left="7"/>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67" w:lineRule="exact"/>
        <w:rPr>
          <w:sz w:val="24"/>
          <w:szCs w:val="24"/>
          <w:color w:val="auto"/>
        </w:rPr>
      </w:pPr>
    </w:p>
    <w:p>
      <w:pPr>
        <w:ind w:left="7"/>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5"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827" w:space="720"/>
            <w:col w:w="1900"/>
          </w:cols>
          <w:pgMar w:left="233" w:top="480" w:right="219" w:bottom="1440" w:gutter="0" w:footer="0" w:header="0"/>
          <w:type w:val="continuous"/>
        </w:sectPr>
      </w:pPr>
    </w:p>
    <w:p>
      <w:pPr>
        <w:spacing w:after="0" w:line="14" w:lineRule="exact"/>
        <w:rPr>
          <w:sz w:val="24"/>
          <w:szCs w:val="24"/>
          <w:color w:val="auto"/>
        </w:rPr>
      </w:pPr>
    </w:p>
    <w:p>
      <w:pPr>
        <w:ind w:left="7" w:right="100" w:firstLine="279"/>
        <w:spacing w:after="0" w:line="239"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39" w:lineRule="exact"/>
        <w:rPr>
          <w:sz w:val="24"/>
          <w:szCs w:val="24"/>
          <w:color w:val="auto"/>
        </w:rPr>
      </w:pPr>
    </w:p>
    <w:p>
      <w:pPr>
        <w:ind w:left="287"/>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235" w:lineRule="exact"/>
        <w:rPr>
          <w:sz w:val="24"/>
          <w:szCs w:val="24"/>
          <w:color w:val="auto"/>
        </w:rPr>
      </w:pPr>
    </w:p>
    <w:p>
      <w:pPr>
        <w:ind w:left="7" w:right="260" w:firstLine="279"/>
        <w:spacing w:after="0"/>
        <w:rPr>
          <w:sz w:val="20"/>
          <w:szCs w:val="20"/>
          <w:color w:val="auto"/>
        </w:rPr>
      </w:pPr>
      <w:r>
        <w:rPr>
          <w:rFonts w:ascii="Arial" w:cs="Arial" w:eastAsia="Arial" w:hAnsi="Arial"/>
          <w:sz w:val="19"/>
          <w:szCs w:val="19"/>
          <w:color w:val="auto"/>
        </w:rPr>
        <w:t>The aggregate market value of the voting and non-voting common equity held by non-affiliates of the registrant computed as of June 28, 2019 (the last business day of the registrant’s most recently completed second fiscal quarter), based on the closing price of the Class A shares on the Nasdaq Global Select Market, was $165.9 million.</w:t>
      </w:r>
    </w:p>
    <w:p>
      <w:pPr>
        <w:spacing w:after="0" w:line="181" w:lineRule="exact"/>
        <w:rPr>
          <w:sz w:val="24"/>
          <w:szCs w:val="24"/>
          <w:color w:val="auto"/>
        </w:rPr>
      </w:pPr>
    </w:p>
    <w:p>
      <w:pPr>
        <w:ind w:left="287"/>
        <w:spacing w:after="0"/>
        <w:rPr>
          <w:sz w:val="20"/>
          <w:szCs w:val="20"/>
          <w:color w:val="auto"/>
        </w:rPr>
      </w:pPr>
      <w:r>
        <w:rPr>
          <w:rFonts w:ascii="Arial" w:cs="Arial" w:eastAsia="Arial" w:hAnsi="Arial"/>
          <w:sz w:val="19"/>
          <w:szCs w:val="19"/>
          <w:color w:val="auto"/>
        </w:rPr>
        <w:t>At February 27, 2020, the registrant had 23,607,096 Class A shares and 144,342,572 Class B shares outstanding.</w:t>
      </w:r>
    </w:p>
    <w:p>
      <w:pPr>
        <w:spacing w:after="0" w:line="200" w:lineRule="exact"/>
        <w:rPr>
          <w:sz w:val="24"/>
          <w:szCs w:val="24"/>
          <w:color w:val="auto"/>
        </w:rPr>
      </w:pPr>
    </w:p>
    <w:p>
      <w:pPr>
        <w:jc w:val="center"/>
        <w:ind w:right="13"/>
        <w:spacing w:after="0"/>
        <w:rPr>
          <w:sz w:val="20"/>
          <w:szCs w:val="20"/>
          <w:color w:val="auto"/>
        </w:rPr>
      </w:pPr>
      <w:r>
        <w:rPr>
          <w:rFonts w:ascii="Arial" w:cs="Arial" w:eastAsia="Arial" w:hAnsi="Arial"/>
          <w:sz w:val="19"/>
          <w:szCs w:val="19"/>
          <w:u w:val="single" w:color="auto"/>
          <w:color w:val="auto"/>
        </w:rPr>
        <w:t>Documents Incorporated by Reference</w:t>
      </w:r>
      <w:r>
        <w:rPr>
          <w:rFonts w:ascii="Arial" w:cs="Arial" w:eastAsia="Arial" w:hAnsi="Arial"/>
          <w:sz w:val="19"/>
          <w:szCs w:val="19"/>
          <w:color w:val="auto"/>
        </w:rPr>
        <w:t>:</w:t>
      </w:r>
    </w:p>
    <w:p>
      <w:pPr>
        <w:spacing w:after="0" w:line="200" w:lineRule="exact"/>
        <w:rPr>
          <w:sz w:val="24"/>
          <w:szCs w:val="24"/>
          <w:color w:val="auto"/>
        </w:rPr>
      </w:pPr>
    </w:p>
    <w:p>
      <w:pPr>
        <w:jc w:val="center"/>
        <w:ind w:left="320" w:right="320"/>
        <w:spacing w:after="0" w:line="250" w:lineRule="auto"/>
        <w:rPr>
          <w:sz w:val="20"/>
          <w:szCs w:val="20"/>
          <w:color w:val="auto"/>
        </w:rPr>
      </w:pPr>
      <w:r>
        <w:rPr>
          <w:rFonts w:ascii="Arial" w:cs="Arial" w:eastAsia="Arial" w:hAnsi="Arial"/>
          <w:sz w:val="19"/>
          <w:szCs w:val="19"/>
          <w:color w:val="auto"/>
        </w:rPr>
        <w:t>Portions of the registrant’s definitive proxy statement for the registrant’s 2020 annual meeting, to be filed within 120 days after the close of the registrant’s fiscal year, are incorporated by reference into Parts II and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2656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261620</wp:posOffset>
            </wp:positionV>
            <wp:extent cx="7265670" cy="29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670" cy="292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386715</wp:posOffset>
            </wp:positionV>
            <wp:extent cx="726567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480"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40" w:type="dxa"/>
            <w:vAlign w:val="bottom"/>
            <w:gridSpan w:val="7"/>
          </w:tcPr>
          <w:p>
            <w:pPr>
              <w:ind w:left="220"/>
              <w:spacing w:after="0"/>
              <w:rPr>
                <w:sz w:val="20"/>
                <w:szCs w:val="20"/>
                <w:color w:val="auto"/>
              </w:rPr>
            </w:pPr>
            <w:r>
              <w:rPr>
                <w:rFonts w:ascii="Arial" w:cs="Arial" w:eastAsia="Arial" w:hAnsi="Arial"/>
                <w:sz w:val="19"/>
                <w:szCs w:val="19"/>
                <w:b w:val="1"/>
                <w:bCs w:val="1"/>
                <w:color w:val="auto"/>
              </w:rPr>
              <w:t>Table of Contents</w:t>
            </w: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00" w:type="dxa"/>
            <w:vAlign w:val="bottom"/>
            <w:tcBorders>
              <w:bottom w:val="single" w:sz="8" w:color="0000EE"/>
            </w:tcBorders>
            <w:gridSpan w:val="5"/>
            <w:shd w:val="clear" w:color="auto" w:fill="CCEEFF"/>
          </w:tcPr>
          <w:p>
            <w:pPr>
              <w:spacing w:after="0" w:line="151" w:lineRule="exact"/>
              <w:rPr>
                <w:rFonts w:ascii="Arial" w:cs="Arial" w:eastAsia="Arial" w:hAnsi="Arial"/>
                <w:sz w:val="15"/>
                <w:szCs w:val="15"/>
                <w:color w:val="0000EE"/>
                <w:w w:val="96"/>
              </w:rPr>
            </w:pPr>
            <w:hyperlink w:anchor="page3">
              <w:r>
                <w:rPr>
                  <w:rFonts w:ascii="Arial" w:cs="Arial" w:eastAsia="Arial" w:hAnsi="Arial"/>
                  <w:sz w:val="15"/>
                  <w:szCs w:val="15"/>
                  <w:color w:val="0000EE"/>
                  <w:w w:val="96"/>
                </w:rPr>
                <w:t>GLOSSARY OF TERMS</w:t>
              </w:r>
            </w:hyperlink>
          </w:p>
        </w:tc>
        <w:tc>
          <w:tcPr>
            <w:tcW w:w="8400" w:type="dxa"/>
            <w:vAlign w:val="bottom"/>
            <w:tcBorders>
              <w:bottom w:val="single" w:sz="8" w:color="CCEEFF"/>
            </w:tcBorders>
            <w:gridSpan w:val="16"/>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0000" w:type="dxa"/>
            <w:vAlign w:val="bottom"/>
            <w:gridSpan w:val="21"/>
          </w:tcPr>
          <w:p>
            <w:pPr>
              <w:spacing w:after="0" w:line="151" w:lineRule="exact"/>
              <w:rPr>
                <w:rFonts w:ascii="Arial" w:cs="Arial" w:eastAsia="Arial" w:hAnsi="Arial"/>
                <w:sz w:val="15"/>
                <w:szCs w:val="15"/>
                <w:color w:val="0000EE"/>
              </w:rPr>
            </w:pPr>
            <w:hyperlink w:anchor="page4">
              <w:r>
                <w:rPr>
                  <w:rFonts w:ascii="Arial" w:cs="Arial" w:eastAsia="Arial" w:hAnsi="Arial"/>
                  <w:sz w:val="15"/>
                  <w:szCs w:val="15"/>
                  <w:color w:val="0000EE"/>
                </w:rPr>
                <w:t>CAUTIONARY STATEMENT ON FORWARD-LOOKING STATEMENTS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0" w:type="dxa"/>
            <w:vAlign w:val="bottom"/>
            <w:tcBorders>
              <w:top w:val="single" w:sz="8" w:color="0000EE"/>
              <w:bottom w:val="single" w:sz="8" w:color="0000EE"/>
              <w:right w:val="single" w:sz="8" w:color="CCEEFF"/>
            </w:tcBorders>
            <w:shd w:val="clear" w:color="auto" w:fill="CCEEFF"/>
          </w:tcPr>
          <w:p>
            <w:pPr>
              <w:spacing w:after="0" w:line="166" w:lineRule="exact"/>
              <w:rPr>
                <w:rFonts w:ascii="Arial" w:cs="Arial" w:eastAsia="Arial" w:hAnsi="Arial"/>
                <w:sz w:val="15"/>
                <w:szCs w:val="15"/>
                <w:color w:val="0000EE"/>
              </w:rPr>
            </w:pPr>
            <w:hyperlink w:anchor="page5">
              <w:r>
                <w:rPr>
                  <w:rFonts w:ascii="Arial" w:cs="Arial" w:eastAsia="Arial" w:hAnsi="Arial"/>
                  <w:sz w:val="15"/>
                  <w:szCs w:val="15"/>
                  <w:color w:val="0000EE"/>
                </w:rPr>
                <w:t>PART I</w:t>
              </w:r>
            </w:hyperlink>
          </w:p>
        </w:tc>
        <w:tc>
          <w:tcPr>
            <w:tcW w:w="74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200" w:type="dxa"/>
            <w:vAlign w:val="bottom"/>
            <w:tcBorders>
              <w:top w:val="single" w:sz="8" w:color="0000EE"/>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660" w:type="dxa"/>
            <w:vAlign w:val="bottom"/>
            <w:tcBorders>
              <w:top w:val="single" w:sz="8" w:color="0000EE"/>
              <w:bottom w:val="single" w:sz="8" w:color="CCEEFF"/>
            </w:tcBorders>
            <w:shd w:val="clear" w:color="auto" w:fill="CCEEFF"/>
          </w:tcPr>
          <w:p>
            <w:pPr>
              <w:spacing w:after="0"/>
              <w:rPr>
                <w:sz w:val="15"/>
                <w:szCs w:val="15"/>
                <w:color w:val="auto"/>
              </w:rPr>
            </w:pPr>
          </w:p>
        </w:tc>
        <w:tc>
          <w:tcPr>
            <w:tcW w:w="42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60" w:type="dxa"/>
            <w:vAlign w:val="bottom"/>
            <w:tcBorders>
              <w:top w:val="single" w:sz="8" w:color="0000EE"/>
              <w:bottom w:val="single" w:sz="8" w:color="CCEEFF"/>
            </w:tcBorders>
            <w:shd w:val="clear" w:color="auto" w:fill="CCEEFF"/>
          </w:tcPr>
          <w:p>
            <w:pPr>
              <w:spacing w:after="0"/>
              <w:rPr>
                <w:sz w:val="15"/>
                <w:szCs w:val="15"/>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0000EE"/>
              <w:bottom w:val="single" w:sz="8" w:color="CCEEFF"/>
            </w:tcBorders>
            <w:shd w:val="clear" w:color="auto" w:fill="CCEEFF"/>
          </w:tcPr>
          <w:p>
            <w:pPr>
              <w:spacing w:after="0"/>
              <w:rPr>
                <w:sz w:val="15"/>
                <w:szCs w:val="15"/>
                <w:color w:val="auto"/>
              </w:rPr>
            </w:pPr>
          </w:p>
        </w:tc>
        <w:tc>
          <w:tcPr>
            <w:tcW w:w="72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380" w:type="dxa"/>
            <w:vAlign w:val="bottom"/>
            <w:tcBorders>
              <w:top w:val="single" w:sz="8" w:color="0000EE"/>
              <w:bottom w:val="single" w:sz="8" w:color="CCEEFF"/>
            </w:tcBorders>
            <w:shd w:val="clear" w:color="auto" w:fill="CCEEFF"/>
          </w:tcPr>
          <w:p>
            <w:pPr>
              <w:spacing w:after="0"/>
              <w:rPr>
                <w:sz w:val="15"/>
                <w:szCs w:val="15"/>
                <w:color w:val="auto"/>
              </w:rPr>
            </w:pPr>
          </w:p>
        </w:tc>
        <w:tc>
          <w:tcPr>
            <w:tcW w:w="360" w:type="dxa"/>
            <w:vAlign w:val="bottom"/>
            <w:tcBorders>
              <w:top w:val="single" w:sz="8" w:color="0000EE"/>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left w:val="single" w:sz="8" w:color="CCEEFF"/>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Items 1 and 2.</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5">
              <w:r>
                <w:rPr>
                  <w:rFonts w:ascii="Arial" w:cs="Arial" w:eastAsia="Arial" w:hAnsi="Arial"/>
                  <w:sz w:val="15"/>
                  <w:szCs w:val="15"/>
                  <w:color w:val="0000EE"/>
                </w:rPr>
                <w:t>Business and Properties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1A.</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17">
              <w:r>
                <w:rPr>
                  <w:rFonts w:ascii="Arial" w:cs="Arial" w:eastAsia="Arial" w:hAnsi="Arial"/>
                  <w:sz w:val="15"/>
                  <w:szCs w:val="15"/>
                  <w:color w:val="0000EE"/>
                </w:rPr>
                <w:t>Risk Factors</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1B.</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47">
              <w:r>
                <w:rPr>
                  <w:rFonts w:ascii="Arial" w:cs="Arial" w:eastAsia="Arial" w:hAnsi="Arial"/>
                  <w:sz w:val="15"/>
                  <w:szCs w:val="15"/>
                  <w:color w:val="0000EE"/>
                </w:rPr>
                <w:t>Unresolved Staff Comments.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3.</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47">
              <w:r>
                <w:rPr>
                  <w:rFonts w:ascii="Arial" w:cs="Arial" w:eastAsia="Arial" w:hAnsi="Arial"/>
                  <w:sz w:val="15"/>
                  <w:szCs w:val="15"/>
                  <w:color w:val="0000EE"/>
                </w:rPr>
                <w:t>Legal Proceedings.</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4.</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47">
              <w:r>
                <w:rPr>
                  <w:rFonts w:ascii="Arial" w:cs="Arial" w:eastAsia="Arial" w:hAnsi="Arial"/>
                  <w:sz w:val="15"/>
                  <w:szCs w:val="15"/>
                  <w:color w:val="0000EE"/>
                </w:rPr>
                <w:t>Mine Safety Disclosures.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00" w:type="dxa"/>
            <w:vAlign w:val="bottom"/>
            <w:gridSpan w:val="3"/>
            <w:shd w:val="clear" w:color="auto" w:fill="CCEEFF"/>
          </w:tcPr>
          <w:p>
            <w:pPr>
              <w:spacing w:after="0" w:line="159" w:lineRule="exact"/>
              <w:rPr>
                <w:rFonts w:ascii="Arial" w:cs="Arial" w:eastAsia="Arial" w:hAnsi="Arial"/>
                <w:sz w:val="15"/>
                <w:szCs w:val="15"/>
                <w:color w:val="0000EE"/>
              </w:rPr>
            </w:pPr>
            <w:hyperlink w:anchor="page48">
              <w:r>
                <w:rPr>
                  <w:rFonts w:ascii="Arial" w:cs="Arial" w:eastAsia="Arial" w:hAnsi="Arial"/>
                  <w:sz w:val="15"/>
                  <w:szCs w:val="15"/>
                  <w:color w:val="0000EE"/>
                </w:rPr>
                <w:t>PART II</w:t>
              </w:r>
            </w:hyperlink>
          </w:p>
        </w:tc>
        <w:tc>
          <w:tcPr>
            <w:tcW w:w="200" w:type="dxa"/>
            <w:vAlign w:val="bottom"/>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660" w:type="dxa"/>
            <w:vAlign w:val="bottom"/>
            <w:tcBorders>
              <w:top w:val="single" w:sz="8" w:color="0000EE"/>
            </w:tcBorders>
            <w:shd w:val="clear" w:color="auto" w:fill="CCEEFF"/>
          </w:tcPr>
          <w:p>
            <w:pPr>
              <w:spacing w:after="0"/>
              <w:rPr>
                <w:sz w:val="13"/>
                <w:szCs w:val="13"/>
                <w:color w:val="auto"/>
              </w:rPr>
            </w:pPr>
          </w:p>
        </w:tc>
        <w:tc>
          <w:tcPr>
            <w:tcW w:w="420" w:type="dxa"/>
            <w:vAlign w:val="bottom"/>
            <w:tcBorders>
              <w:top w:val="single" w:sz="8" w:color="0000EE"/>
              <w:right w:val="single" w:sz="8" w:color="CCEEFF"/>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20" w:type="dxa"/>
            <w:vAlign w:val="bottom"/>
            <w:tcBorders>
              <w:lef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5.</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48">
              <w:r>
                <w:rPr>
                  <w:rFonts w:ascii="Arial" w:cs="Arial" w:eastAsia="Arial" w:hAnsi="Arial"/>
                  <w:sz w:val="15"/>
                  <w:szCs w:val="15"/>
                  <w:color w:val="0000EE"/>
                </w:rPr>
                <w:t>Market for the Registrant’s Common Equity, Related Shareholder Matters and Issuer Purchases of Equity Securities.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720" w:type="dxa"/>
            <w:vAlign w:val="bottom"/>
            <w:tcBorders>
              <w:left w:val="single" w:sz="8" w:color="0000EE"/>
            </w:tcBorders>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6.</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49">
              <w:r>
                <w:rPr>
                  <w:rFonts w:ascii="Arial" w:cs="Arial" w:eastAsia="Arial" w:hAnsi="Arial"/>
                  <w:sz w:val="15"/>
                  <w:szCs w:val="15"/>
                  <w:color w:val="0000EE"/>
                </w:rPr>
                <w:t>Selected Financial Data.</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7.</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51">
              <w:r>
                <w:rPr>
                  <w:rFonts w:ascii="Arial" w:cs="Arial" w:eastAsia="Arial" w:hAnsi="Arial"/>
                  <w:sz w:val="15"/>
                  <w:szCs w:val="15"/>
                  <w:color w:val="0000EE"/>
                </w:rPr>
                <w:t>Management’s Discussion and Analysis of Financial Condition and Results of Operations.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7A.</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2">
              <w:r>
                <w:rPr>
                  <w:rFonts w:ascii="Arial" w:cs="Arial" w:eastAsia="Arial" w:hAnsi="Arial"/>
                  <w:sz w:val="15"/>
                  <w:szCs w:val="15"/>
                  <w:color w:val="0000EE"/>
                </w:rPr>
                <w:t>Quantitative and Qualitative Disclosures About Market Risk.</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8.</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62">
              <w:r>
                <w:rPr>
                  <w:rFonts w:ascii="Arial" w:cs="Arial" w:eastAsia="Arial" w:hAnsi="Arial"/>
                  <w:sz w:val="15"/>
                  <w:szCs w:val="15"/>
                  <w:color w:val="0000EE"/>
                </w:rPr>
                <w:t>Financial Statements and Supplementary Data.</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9.</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2">
              <w:r>
                <w:rPr>
                  <w:rFonts w:ascii="Arial" w:cs="Arial" w:eastAsia="Arial" w:hAnsi="Arial"/>
                  <w:sz w:val="15"/>
                  <w:szCs w:val="15"/>
                  <w:color w:val="0000EE"/>
                </w:rPr>
                <w:t>Changes in and Disagreements With Accountants on Accounting and Financial Disclosure.</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720" w:type="dxa"/>
            <w:vAlign w:val="bottom"/>
            <w:tcBorders>
              <w:left w:val="single" w:sz="8" w:color="0000EE"/>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9A.</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62">
              <w:r>
                <w:rPr>
                  <w:rFonts w:ascii="Arial" w:cs="Arial" w:eastAsia="Arial" w:hAnsi="Arial"/>
                  <w:sz w:val="15"/>
                  <w:szCs w:val="15"/>
                  <w:color w:val="0000EE"/>
                </w:rPr>
                <w:t>Controls and Procedures.</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9B.</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3">
              <w:r>
                <w:rPr>
                  <w:rFonts w:ascii="Arial" w:cs="Arial" w:eastAsia="Arial" w:hAnsi="Arial"/>
                  <w:sz w:val="15"/>
                  <w:szCs w:val="15"/>
                  <w:color w:val="0000EE"/>
                </w:rPr>
                <w:t>Other Information.</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60" w:type="dxa"/>
            <w:vAlign w:val="bottom"/>
            <w:tcBorders>
              <w:top w:val="single" w:sz="8" w:color="CCEEFF"/>
              <w:bottom w:val="single" w:sz="8" w:color="0000EE"/>
            </w:tcBorders>
          </w:tcPr>
          <w:p>
            <w:pPr>
              <w:spacing w:after="0" w:line="151" w:lineRule="exact"/>
              <w:rPr>
                <w:rFonts w:ascii="Arial" w:cs="Arial" w:eastAsia="Arial" w:hAnsi="Arial"/>
                <w:sz w:val="15"/>
                <w:szCs w:val="15"/>
                <w:color w:val="0000EE"/>
                <w:w w:val="91"/>
              </w:rPr>
            </w:pPr>
            <w:hyperlink w:anchor="page64">
              <w:r>
                <w:rPr>
                  <w:rFonts w:ascii="Arial" w:cs="Arial" w:eastAsia="Arial" w:hAnsi="Arial"/>
                  <w:sz w:val="15"/>
                  <w:szCs w:val="15"/>
                  <w:color w:val="0000EE"/>
                  <w:w w:val="91"/>
                </w:rPr>
                <w:t>PART III</w:t>
              </w:r>
            </w:hyperlink>
          </w:p>
        </w:tc>
        <w:tc>
          <w:tcPr>
            <w:tcW w:w="740" w:type="dxa"/>
            <w:vAlign w:val="bottom"/>
            <w:tcBorders>
              <w:top w:val="single" w:sz="8" w:color="CCEEFF"/>
            </w:tcBorders>
            <w:gridSpan w:val="2"/>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300" w:type="dxa"/>
            <w:vAlign w:val="bottom"/>
            <w:tcBorders>
              <w:top w:val="single" w:sz="8" w:color="CCEEFF"/>
            </w:tcBorders>
          </w:tcPr>
          <w:p>
            <w:pPr>
              <w:spacing w:after="0"/>
              <w:rPr>
                <w:sz w:val="13"/>
                <w:szCs w:val="13"/>
                <w:color w:val="auto"/>
              </w:rPr>
            </w:pPr>
          </w:p>
        </w:tc>
        <w:tc>
          <w:tcPr>
            <w:tcW w:w="1440" w:type="dxa"/>
            <w:vAlign w:val="bottom"/>
            <w:tcBorders>
              <w:top w:val="single" w:sz="8" w:color="CCEEFF"/>
            </w:tcBorders>
          </w:tcPr>
          <w:p>
            <w:pPr>
              <w:jc w:val="right"/>
              <w:spacing w:after="0" w:line="151"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10.</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4">
              <w:r>
                <w:rPr>
                  <w:rFonts w:ascii="Arial" w:cs="Arial" w:eastAsia="Arial" w:hAnsi="Arial"/>
                  <w:sz w:val="15"/>
                  <w:szCs w:val="15"/>
                  <w:color w:val="0000EE"/>
                </w:rPr>
                <w:t>Directors, Executive Officers and Corporate Governance.</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11.</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64">
              <w:r>
                <w:rPr>
                  <w:rFonts w:ascii="Arial" w:cs="Arial" w:eastAsia="Arial" w:hAnsi="Arial"/>
                  <w:sz w:val="15"/>
                  <w:szCs w:val="15"/>
                  <w:color w:val="0000EE"/>
                </w:rPr>
                <w:t>Executive Compensation</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12.</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4">
              <w:r>
                <w:rPr>
                  <w:rFonts w:ascii="Arial" w:cs="Arial" w:eastAsia="Arial" w:hAnsi="Arial"/>
                  <w:sz w:val="15"/>
                  <w:szCs w:val="15"/>
                  <w:color w:val="0000EE"/>
                </w:rPr>
                <w:t>Security Ownership of Certain Beneficial Owners and Management and Related Stockholder Matters.</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720" w:type="dxa"/>
            <w:vAlign w:val="bottom"/>
            <w:tcBorders>
              <w:left w:val="single" w:sz="8" w:color="0000EE"/>
            </w:tcBorders>
            <w:shd w:val="clear" w:color="auto" w:fill="0000EE"/>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13.</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64">
              <w:r>
                <w:rPr>
                  <w:rFonts w:ascii="Arial" w:cs="Arial" w:eastAsia="Arial" w:hAnsi="Arial"/>
                  <w:sz w:val="15"/>
                  <w:szCs w:val="15"/>
                  <w:color w:val="0000EE"/>
                </w:rPr>
                <w:t>Certain Relationships and Related Transactions, and Director Independence.</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14.</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4">
              <w:r>
                <w:rPr>
                  <w:rFonts w:ascii="Arial" w:cs="Arial" w:eastAsia="Arial" w:hAnsi="Arial"/>
                  <w:sz w:val="15"/>
                  <w:szCs w:val="15"/>
                  <w:color w:val="0000EE"/>
                </w:rPr>
                <w:t>Principal Accounting Fees and Services.</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00" w:type="dxa"/>
            <w:vAlign w:val="bottom"/>
            <w:tcBorders>
              <w:top w:val="single" w:sz="8" w:color="CCEEFF"/>
            </w:tcBorders>
            <w:gridSpan w:val="3"/>
          </w:tcPr>
          <w:p>
            <w:pPr>
              <w:spacing w:after="0" w:line="151" w:lineRule="exact"/>
              <w:rPr>
                <w:rFonts w:ascii="Arial" w:cs="Arial" w:eastAsia="Arial" w:hAnsi="Arial"/>
                <w:sz w:val="15"/>
                <w:szCs w:val="15"/>
                <w:color w:val="0000EE"/>
              </w:rPr>
            </w:pPr>
            <w:hyperlink w:anchor="page65">
              <w:r>
                <w:rPr>
                  <w:rFonts w:ascii="Arial" w:cs="Arial" w:eastAsia="Arial" w:hAnsi="Arial"/>
                  <w:sz w:val="15"/>
                  <w:szCs w:val="15"/>
                  <w:color w:val="0000EE"/>
                </w:rPr>
                <w:t>PART IV</w:t>
              </w:r>
            </w:hyperlink>
          </w:p>
        </w:tc>
        <w:tc>
          <w:tcPr>
            <w:tcW w:w="200" w:type="dxa"/>
            <w:vAlign w:val="bottom"/>
            <w:tcBorders>
              <w:top w:val="single" w:sz="8" w:color="CCEEFF"/>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900" w:type="dxa"/>
            <w:vAlign w:val="bottom"/>
            <w:tcBorders>
              <w:top w:val="single" w:sz="8" w:color="CCEEFF"/>
            </w:tcBorders>
          </w:tcPr>
          <w:p>
            <w:pPr>
              <w:spacing w:after="0"/>
              <w:rPr>
                <w:sz w:val="13"/>
                <w:szCs w:val="13"/>
                <w:color w:val="auto"/>
              </w:rPr>
            </w:pPr>
          </w:p>
        </w:tc>
        <w:tc>
          <w:tcPr>
            <w:tcW w:w="1300" w:type="dxa"/>
            <w:vAlign w:val="bottom"/>
            <w:tcBorders>
              <w:top w:val="single" w:sz="8" w:color="CCEEFF"/>
            </w:tcBorders>
          </w:tcPr>
          <w:p>
            <w:pPr>
              <w:spacing w:after="0"/>
              <w:rPr>
                <w:sz w:val="13"/>
                <w:szCs w:val="13"/>
                <w:color w:val="auto"/>
              </w:rPr>
            </w:pPr>
          </w:p>
        </w:tc>
        <w:tc>
          <w:tcPr>
            <w:tcW w:w="1440" w:type="dxa"/>
            <w:vAlign w:val="bottom"/>
            <w:tcBorders>
              <w:top w:val="single" w:sz="8" w:color="CCEEFF"/>
            </w:tcBorders>
          </w:tcPr>
          <w:p>
            <w:pPr>
              <w:jc w:val="right"/>
              <w:spacing w:after="0" w:line="151" w:lineRule="exact"/>
              <w:rPr>
                <w:sz w:val="20"/>
                <w:szCs w:val="20"/>
                <w:color w:val="auto"/>
              </w:rPr>
            </w:pPr>
            <w:r>
              <w:rPr>
                <w:rFonts w:ascii="Arial" w:cs="Arial" w:eastAsia="Arial" w:hAnsi="Arial"/>
                <w:sz w:val="15"/>
                <w:szCs w:val="15"/>
                <w:color w:val="auto"/>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shd w:val="clear" w:color="auto" w:fill="CCEEFF"/>
          </w:tcPr>
          <w:p>
            <w:pPr>
              <w:ind w:left="220"/>
              <w:spacing w:after="0" w:line="159" w:lineRule="exact"/>
              <w:rPr>
                <w:sz w:val="20"/>
                <w:szCs w:val="20"/>
                <w:color w:val="auto"/>
              </w:rPr>
            </w:pPr>
            <w:r>
              <w:rPr>
                <w:rFonts w:ascii="Arial" w:cs="Arial" w:eastAsia="Arial" w:hAnsi="Arial"/>
                <w:sz w:val="15"/>
                <w:szCs w:val="15"/>
                <w:color w:val="auto"/>
              </w:rPr>
              <w:t>Item 15.</w:t>
            </w:r>
          </w:p>
        </w:tc>
        <w:tc>
          <w:tcPr>
            <w:tcW w:w="8700" w:type="dxa"/>
            <w:vAlign w:val="bottom"/>
            <w:gridSpan w:val="18"/>
            <w:shd w:val="clear" w:color="auto" w:fill="CCEEFF"/>
          </w:tcPr>
          <w:p>
            <w:pPr>
              <w:ind w:left="200"/>
              <w:spacing w:after="0" w:line="159" w:lineRule="exact"/>
              <w:rPr>
                <w:rFonts w:ascii="Arial" w:cs="Arial" w:eastAsia="Arial" w:hAnsi="Arial"/>
                <w:sz w:val="15"/>
                <w:szCs w:val="15"/>
                <w:color w:val="0000EE"/>
              </w:rPr>
            </w:pPr>
            <w:hyperlink w:anchor="page65">
              <w:r>
                <w:rPr>
                  <w:rFonts w:ascii="Arial" w:cs="Arial" w:eastAsia="Arial" w:hAnsi="Arial"/>
                  <w:sz w:val="15"/>
                  <w:szCs w:val="15"/>
                  <w:color w:val="0000EE"/>
                </w:rPr>
                <w:t>Exhibits, Financial Statement Schedules.</w:t>
              </w:r>
            </w:hyperlink>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720" w:type="dxa"/>
            <w:vAlign w:val="bottom"/>
            <w:tcBorders>
              <w:left w:val="single" w:sz="8" w:color="CCEEFF"/>
            </w:tcBorders>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1300" w:type="dxa"/>
            <w:vAlign w:val="bottom"/>
            <w:gridSpan w:val="3"/>
          </w:tcPr>
          <w:p>
            <w:pPr>
              <w:ind w:left="220"/>
              <w:spacing w:after="0" w:line="151" w:lineRule="exact"/>
              <w:rPr>
                <w:sz w:val="20"/>
                <w:szCs w:val="20"/>
                <w:color w:val="auto"/>
              </w:rPr>
            </w:pPr>
            <w:r>
              <w:rPr>
                <w:rFonts w:ascii="Arial" w:cs="Arial" w:eastAsia="Arial" w:hAnsi="Arial"/>
                <w:sz w:val="15"/>
                <w:szCs w:val="15"/>
                <w:color w:val="auto"/>
              </w:rPr>
              <w:t>Item 16</w:t>
            </w:r>
          </w:p>
        </w:tc>
        <w:tc>
          <w:tcPr>
            <w:tcW w:w="8700" w:type="dxa"/>
            <w:vAlign w:val="bottom"/>
            <w:gridSpan w:val="18"/>
          </w:tcPr>
          <w:p>
            <w:pPr>
              <w:ind w:left="200"/>
              <w:spacing w:after="0" w:line="151" w:lineRule="exact"/>
              <w:rPr>
                <w:rFonts w:ascii="Arial" w:cs="Arial" w:eastAsia="Arial" w:hAnsi="Arial"/>
                <w:sz w:val="15"/>
                <w:szCs w:val="15"/>
                <w:color w:val="0000EE"/>
              </w:rPr>
            </w:pPr>
            <w:hyperlink w:anchor="page67">
              <w:r>
                <w:rPr>
                  <w:rFonts w:ascii="Arial" w:cs="Arial" w:eastAsia="Arial" w:hAnsi="Arial"/>
                  <w:sz w:val="15"/>
                  <w:szCs w:val="15"/>
                  <w:color w:val="0000EE"/>
                </w:rPr>
                <w:t>Form 10-K Summary</w:t>
              </w:r>
            </w:hyperlink>
          </w:p>
        </w:tc>
        <w:tc>
          <w:tcPr>
            <w:tcW w:w="1440" w:type="dxa"/>
            <w:vAlign w:val="bottom"/>
          </w:tcPr>
          <w:p>
            <w:pPr>
              <w:jc w:val="right"/>
              <w:spacing w:after="0" w:line="151" w:lineRule="exact"/>
              <w:rPr>
                <w:sz w:val="20"/>
                <w:szCs w:val="20"/>
                <w:color w:val="auto"/>
              </w:rPr>
            </w:pPr>
            <w:r>
              <w:rPr>
                <w:rFonts w:ascii="Arial" w:cs="Arial" w:eastAsia="Arial" w:hAnsi="Arial"/>
                <w:sz w:val="15"/>
                <w:szCs w:val="15"/>
                <w:color w:val="auto"/>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40" w:type="dxa"/>
            <w:vAlign w:val="bottom"/>
            <w:tcBorders>
              <w:bottom w:val="single" w:sz="8" w:color="0000EE"/>
            </w:tcBorders>
            <w:gridSpan w:val="2"/>
            <w:shd w:val="clear" w:color="auto" w:fill="CCEEFF"/>
          </w:tcPr>
          <w:p>
            <w:pPr>
              <w:spacing w:after="0" w:line="159" w:lineRule="exact"/>
              <w:rPr>
                <w:rFonts w:ascii="Arial" w:cs="Arial" w:eastAsia="Arial" w:hAnsi="Arial"/>
                <w:sz w:val="15"/>
                <w:szCs w:val="15"/>
                <w:color w:val="0000EE"/>
                <w:w w:val="94"/>
              </w:rPr>
            </w:pPr>
            <w:hyperlink w:anchor="page68">
              <w:r>
                <w:rPr>
                  <w:rFonts w:ascii="Arial" w:cs="Arial" w:eastAsia="Arial" w:hAnsi="Arial"/>
                  <w:sz w:val="15"/>
                  <w:szCs w:val="15"/>
                  <w:color w:val="0000EE"/>
                  <w:w w:val="94"/>
                </w:rPr>
                <w:t>SIGNATURES</w:t>
              </w:r>
            </w:hyperlink>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0000EE"/>
              <w:bottom w:val="single" w:sz="8" w:color="CCEEFF"/>
            </w:tcBorders>
            <w:shd w:val="clear" w:color="auto" w:fill="CCEEFF"/>
          </w:tcPr>
          <w:p>
            <w:pPr>
              <w:spacing w:after="0"/>
              <w:rPr>
                <w:sz w:val="15"/>
                <w:szCs w:val="15"/>
                <w:color w:val="auto"/>
              </w:rPr>
            </w:pPr>
          </w:p>
        </w:tc>
        <w:tc>
          <w:tcPr>
            <w:tcW w:w="660" w:type="dxa"/>
            <w:vAlign w:val="bottom"/>
            <w:tcBorders>
              <w:top w:val="single" w:sz="8" w:color="0000EE"/>
              <w:bottom w:val="single" w:sz="8" w:color="CCEEFF"/>
            </w:tcBorders>
            <w:shd w:val="clear" w:color="auto" w:fill="CCEEFF"/>
          </w:tcPr>
          <w:p>
            <w:pPr>
              <w:spacing w:after="0"/>
              <w:rPr>
                <w:sz w:val="15"/>
                <w:szCs w:val="15"/>
                <w:color w:val="auto"/>
              </w:rPr>
            </w:pPr>
          </w:p>
        </w:tc>
        <w:tc>
          <w:tcPr>
            <w:tcW w:w="420" w:type="dxa"/>
            <w:vAlign w:val="bottom"/>
            <w:tcBorders>
              <w:top w:val="single" w:sz="8" w:color="0000EE"/>
              <w:bottom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left w:val="single" w:sz="8" w:color="CCEEFF"/>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 w:name="page3"/>
    <w:bookmarkEnd w:id="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GLOSSARY OF TERMS</w:t>
      </w:r>
    </w:p>
    <w:p>
      <w:pPr>
        <w:spacing w:after="0" w:line="204" w:lineRule="exact"/>
        <w:rPr>
          <w:sz w:val="20"/>
          <w:szCs w:val="20"/>
          <w:color w:val="auto"/>
        </w:rPr>
      </w:pPr>
    </w:p>
    <w:p>
      <w:pPr>
        <w:ind w:right="100" w:firstLine="279"/>
        <w:spacing w:after="0" w:line="250" w:lineRule="auto"/>
        <w:rPr>
          <w:sz w:val="20"/>
          <w:szCs w:val="20"/>
          <w:color w:val="auto"/>
        </w:rPr>
      </w:pPr>
      <w:r>
        <w:rPr>
          <w:rFonts w:ascii="Arial" w:cs="Arial" w:eastAsia="Arial" w:hAnsi="Arial"/>
          <w:sz w:val="19"/>
          <w:szCs w:val="19"/>
          <w:color w:val="auto"/>
        </w:rPr>
        <w:t>As commonly used in the liquefied natural gas industry, to the extent applicable and as used in this Annual Report on Form 10-K (“Annual Report”), the terms listed below have the following meanings: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Pr>
          <w:p>
            <w:pPr>
              <w:spacing w:after="0"/>
              <w:rPr>
                <w:sz w:val="20"/>
                <w:szCs w:val="20"/>
                <w:color w:val="auto"/>
              </w:rPr>
            </w:pPr>
            <w:r>
              <w:rPr>
                <w:rFonts w:ascii="Arial" w:cs="Arial" w:eastAsia="Arial" w:hAnsi="Arial"/>
                <w:sz w:val="15"/>
                <w:szCs w:val="15"/>
                <w:color w:val="auto"/>
              </w:rPr>
              <w:t>ADO</w:t>
            </w:r>
          </w:p>
        </w:tc>
        <w:tc>
          <w:tcPr>
            <w:tcW w:w="10000" w:type="dxa"/>
            <w:vAlign w:val="bottom"/>
          </w:tcPr>
          <w:p>
            <w:pPr>
              <w:ind w:left="280"/>
              <w:spacing w:after="0"/>
              <w:rPr>
                <w:sz w:val="20"/>
                <w:szCs w:val="20"/>
                <w:color w:val="auto"/>
              </w:rPr>
            </w:pPr>
            <w:r>
              <w:rPr>
                <w:rFonts w:ascii="Arial" w:cs="Arial" w:eastAsia="Arial" w:hAnsi="Arial"/>
                <w:sz w:val="15"/>
                <w:szCs w:val="15"/>
                <w:color w:val="auto"/>
              </w:rPr>
              <w:t>automotive diesel oil</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Bcf/yr</w:t>
            </w:r>
          </w:p>
        </w:tc>
        <w:tc>
          <w:tcPr>
            <w:tcW w:w="10000" w:type="dxa"/>
            <w:vAlign w:val="bottom"/>
          </w:tcPr>
          <w:p>
            <w:pPr>
              <w:ind w:left="280"/>
              <w:spacing w:after="0"/>
              <w:rPr>
                <w:sz w:val="20"/>
                <w:szCs w:val="20"/>
                <w:color w:val="auto"/>
              </w:rPr>
            </w:pPr>
            <w:r>
              <w:rPr>
                <w:rFonts w:ascii="Arial" w:cs="Arial" w:eastAsia="Arial" w:hAnsi="Arial"/>
                <w:sz w:val="15"/>
                <w:szCs w:val="15"/>
                <w:color w:val="auto"/>
              </w:rPr>
              <w:t>billion cubic feet per year</w:t>
            </w:r>
          </w:p>
        </w:tc>
      </w:tr>
      <w:tr>
        <w:trPr>
          <w:trHeight w:val="362"/>
        </w:trPr>
        <w:tc>
          <w:tcPr>
            <w:tcW w:w="1440" w:type="dxa"/>
            <w:vAlign w:val="bottom"/>
          </w:tcPr>
          <w:p>
            <w:pPr>
              <w:spacing w:after="0"/>
              <w:rPr>
                <w:sz w:val="20"/>
                <w:szCs w:val="20"/>
                <w:color w:val="auto"/>
              </w:rPr>
            </w:pPr>
            <w:r>
              <w:rPr>
                <w:rFonts w:ascii="Arial" w:cs="Arial" w:eastAsia="Arial" w:hAnsi="Arial"/>
                <w:sz w:val="15"/>
                <w:szCs w:val="15"/>
                <w:color w:val="auto"/>
              </w:rPr>
              <w:t>Btu</w:t>
            </w:r>
          </w:p>
        </w:tc>
        <w:tc>
          <w:tcPr>
            <w:tcW w:w="10000" w:type="dxa"/>
            <w:vAlign w:val="bottom"/>
          </w:tcPr>
          <w:p>
            <w:pPr>
              <w:ind w:left="280"/>
              <w:spacing w:after="0"/>
              <w:rPr>
                <w:sz w:val="20"/>
                <w:szCs w:val="20"/>
                <w:color w:val="auto"/>
              </w:rPr>
            </w:pPr>
            <w:r>
              <w:rPr>
                <w:rFonts w:ascii="Arial" w:cs="Arial" w:eastAsia="Arial" w:hAnsi="Arial"/>
                <w:sz w:val="15"/>
                <w:szCs w:val="15"/>
                <w:color w:val="auto"/>
                <w:w w:val="95"/>
              </w:rPr>
              <w:t>the amount of heat required to raise the temperature of one avoirdupois pound of pure water from 59 degrees Fahrenheit to 60 degrees Fahrenheit at an</w:t>
            </w:r>
          </w:p>
        </w:tc>
      </w:tr>
      <w:tr>
        <w:trPr>
          <w:trHeight w:val="196"/>
        </w:trPr>
        <w:tc>
          <w:tcPr>
            <w:tcW w:w="1440" w:type="dxa"/>
            <w:vAlign w:val="bottom"/>
          </w:tcPr>
          <w:p>
            <w:pPr>
              <w:spacing w:after="0"/>
              <w:rPr>
                <w:sz w:val="17"/>
                <w:szCs w:val="17"/>
                <w:color w:val="auto"/>
              </w:rPr>
            </w:pPr>
          </w:p>
        </w:tc>
        <w:tc>
          <w:tcPr>
            <w:tcW w:w="10000" w:type="dxa"/>
            <w:vAlign w:val="bottom"/>
          </w:tcPr>
          <w:p>
            <w:pPr>
              <w:ind w:left="280"/>
              <w:spacing w:after="0"/>
              <w:rPr>
                <w:sz w:val="20"/>
                <w:szCs w:val="20"/>
                <w:color w:val="auto"/>
              </w:rPr>
            </w:pPr>
            <w:r>
              <w:rPr>
                <w:rFonts w:ascii="Arial" w:cs="Arial" w:eastAsia="Arial" w:hAnsi="Arial"/>
                <w:sz w:val="15"/>
                <w:szCs w:val="15"/>
                <w:color w:val="auto"/>
              </w:rPr>
              <w:t>absolute pressure of 14.696 pounds per square inch gage</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CAA</w:t>
            </w:r>
          </w:p>
        </w:tc>
        <w:tc>
          <w:tcPr>
            <w:tcW w:w="10000" w:type="dxa"/>
            <w:vAlign w:val="bottom"/>
          </w:tcPr>
          <w:p>
            <w:pPr>
              <w:ind w:left="280"/>
              <w:spacing w:after="0"/>
              <w:rPr>
                <w:sz w:val="20"/>
                <w:szCs w:val="20"/>
                <w:color w:val="auto"/>
              </w:rPr>
            </w:pPr>
            <w:r>
              <w:rPr>
                <w:rFonts w:ascii="Arial" w:cs="Arial" w:eastAsia="Arial" w:hAnsi="Arial"/>
                <w:sz w:val="15"/>
                <w:szCs w:val="15"/>
                <w:color w:val="auto"/>
              </w:rPr>
              <w:t>Clean Air Act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CERCLA</w:t>
            </w:r>
          </w:p>
        </w:tc>
        <w:tc>
          <w:tcPr>
            <w:tcW w:w="10000" w:type="dxa"/>
            <w:vAlign w:val="bottom"/>
          </w:tcPr>
          <w:p>
            <w:pPr>
              <w:ind w:left="280"/>
              <w:spacing w:after="0"/>
              <w:rPr>
                <w:sz w:val="20"/>
                <w:szCs w:val="20"/>
                <w:color w:val="auto"/>
              </w:rPr>
            </w:pPr>
            <w:r>
              <w:rPr>
                <w:rFonts w:ascii="Arial" w:cs="Arial" w:eastAsia="Arial" w:hAnsi="Arial"/>
                <w:sz w:val="15"/>
                <w:szCs w:val="15"/>
                <w:color w:val="auto"/>
              </w:rPr>
              <w:t>Comprehensive Environmental Response, Compensation and Liability Act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CWA</w:t>
            </w:r>
          </w:p>
        </w:tc>
        <w:tc>
          <w:tcPr>
            <w:tcW w:w="10000" w:type="dxa"/>
            <w:vAlign w:val="bottom"/>
          </w:tcPr>
          <w:p>
            <w:pPr>
              <w:ind w:left="280"/>
              <w:spacing w:after="0"/>
              <w:rPr>
                <w:sz w:val="20"/>
                <w:szCs w:val="20"/>
                <w:color w:val="auto"/>
              </w:rPr>
            </w:pPr>
            <w:r>
              <w:rPr>
                <w:rFonts w:ascii="Arial" w:cs="Arial" w:eastAsia="Arial" w:hAnsi="Arial"/>
                <w:sz w:val="15"/>
                <w:szCs w:val="15"/>
                <w:color w:val="auto"/>
              </w:rPr>
              <w:t>Clean Water Act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DOE</w:t>
            </w:r>
          </w:p>
        </w:tc>
        <w:tc>
          <w:tcPr>
            <w:tcW w:w="10000" w:type="dxa"/>
            <w:vAlign w:val="bottom"/>
          </w:tcPr>
          <w:p>
            <w:pPr>
              <w:ind w:left="280"/>
              <w:spacing w:after="0"/>
              <w:rPr>
                <w:sz w:val="20"/>
                <w:szCs w:val="20"/>
                <w:color w:val="auto"/>
              </w:rPr>
            </w:pPr>
            <w:r>
              <w:rPr>
                <w:rFonts w:ascii="Arial" w:cs="Arial" w:eastAsia="Arial" w:hAnsi="Arial"/>
                <w:sz w:val="15"/>
                <w:szCs w:val="15"/>
                <w:color w:val="auto"/>
              </w:rPr>
              <w:t>U.S. Department of Energy</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DOT</w:t>
            </w:r>
          </w:p>
        </w:tc>
        <w:tc>
          <w:tcPr>
            <w:tcW w:w="10000" w:type="dxa"/>
            <w:vAlign w:val="bottom"/>
          </w:tcPr>
          <w:p>
            <w:pPr>
              <w:ind w:left="280"/>
              <w:spacing w:after="0"/>
              <w:rPr>
                <w:sz w:val="20"/>
                <w:szCs w:val="20"/>
                <w:color w:val="auto"/>
              </w:rPr>
            </w:pPr>
            <w:r>
              <w:rPr>
                <w:rFonts w:ascii="Arial" w:cs="Arial" w:eastAsia="Arial" w:hAnsi="Arial"/>
                <w:sz w:val="15"/>
                <w:szCs w:val="15"/>
                <w:color w:val="auto"/>
              </w:rPr>
              <w:t>U.S. Department of Transportation</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EPA</w:t>
            </w:r>
          </w:p>
        </w:tc>
        <w:tc>
          <w:tcPr>
            <w:tcW w:w="10000" w:type="dxa"/>
            <w:vAlign w:val="bottom"/>
          </w:tcPr>
          <w:p>
            <w:pPr>
              <w:ind w:left="280"/>
              <w:spacing w:after="0"/>
              <w:rPr>
                <w:sz w:val="20"/>
                <w:szCs w:val="20"/>
                <w:color w:val="auto"/>
              </w:rPr>
            </w:pPr>
            <w:r>
              <w:rPr>
                <w:rFonts w:ascii="Arial" w:cs="Arial" w:eastAsia="Arial" w:hAnsi="Arial"/>
                <w:sz w:val="15"/>
                <w:szCs w:val="15"/>
                <w:color w:val="auto"/>
              </w:rPr>
              <w:t>U.S. Environmental Protection Agency</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FTA countries</w:t>
            </w:r>
          </w:p>
        </w:tc>
        <w:tc>
          <w:tcPr>
            <w:tcW w:w="10000" w:type="dxa"/>
            <w:vAlign w:val="bottom"/>
          </w:tcPr>
          <w:p>
            <w:pPr>
              <w:ind w:left="280"/>
              <w:spacing w:after="0"/>
              <w:rPr>
                <w:sz w:val="20"/>
                <w:szCs w:val="20"/>
                <w:color w:val="auto"/>
              </w:rPr>
            </w:pPr>
            <w:r>
              <w:rPr>
                <w:rFonts w:ascii="Arial" w:cs="Arial" w:eastAsia="Arial" w:hAnsi="Arial"/>
                <w:sz w:val="15"/>
                <w:szCs w:val="15"/>
                <w:color w:val="auto"/>
              </w:rPr>
              <w:t>countries with which the United States has a free trade agreement providing for national treatment for trade in natural gas</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GAAP</w:t>
            </w:r>
          </w:p>
        </w:tc>
        <w:tc>
          <w:tcPr>
            <w:tcW w:w="10000" w:type="dxa"/>
            <w:vAlign w:val="bottom"/>
          </w:tcPr>
          <w:p>
            <w:pPr>
              <w:ind w:left="280"/>
              <w:spacing w:after="0"/>
              <w:rPr>
                <w:sz w:val="20"/>
                <w:szCs w:val="20"/>
                <w:color w:val="auto"/>
              </w:rPr>
            </w:pPr>
            <w:r>
              <w:rPr>
                <w:rFonts w:ascii="Arial" w:cs="Arial" w:eastAsia="Arial" w:hAnsi="Arial"/>
                <w:sz w:val="15"/>
                <w:szCs w:val="15"/>
                <w:color w:val="auto"/>
              </w:rPr>
              <w:t>generally accepted accounting principles in the United States</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GHG</w:t>
            </w:r>
          </w:p>
        </w:tc>
        <w:tc>
          <w:tcPr>
            <w:tcW w:w="10000" w:type="dxa"/>
            <w:vAlign w:val="bottom"/>
          </w:tcPr>
          <w:p>
            <w:pPr>
              <w:ind w:left="280"/>
              <w:spacing w:after="0"/>
              <w:rPr>
                <w:sz w:val="20"/>
                <w:szCs w:val="20"/>
                <w:color w:val="auto"/>
              </w:rPr>
            </w:pPr>
            <w:r>
              <w:rPr>
                <w:rFonts w:ascii="Arial" w:cs="Arial" w:eastAsia="Arial" w:hAnsi="Arial"/>
                <w:sz w:val="15"/>
                <w:szCs w:val="15"/>
                <w:color w:val="auto"/>
              </w:rPr>
              <w:t>greenhouse gases</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GSA</w:t>
            </w:r>
          </w:p>
        </w:tc>
        <w:tc>
          <w:tcPr>
            <w:tcW w:w="10000" w:type="dxa"/>
            <w:vAlign w:val="bottom"/>
          </w:tcPr>
          <w:p>
            <w:pPr>
              <w:ind w:left="280"/>
              <w:spacing w:after="0"/>
              <w:rPr>
                <w:sz w:val="20"/>
                <w:szCs w:val="20"/>
                <w:color w:val="auto"/>
              </w:rPr>
            </w:pPr>
            <w:r>
              <w:rPr>
                <w:rFonts w:ascii="Arial" w:cs="Arial" w:eastAsia="Arial" w:hAnsi="Arial"/>
                <w:sz w:val="15"/>
                <w:szCs w:val="15"/>
                <w:color w:val="auto"/>
              </w:rPr>
              <w:t>gas sales agreement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Henry Hub</w:t>
            </w:r>
          </w:p>
        </w:tc>
        <w:tc>
          <w:tcPr>
            <w:tcW w:w="10000" w:type="dxa"/>
            <w:vAlign w:val="bottom"/>
          </w:tcPr>
          <w:p>
            <w:pPr>
              <w:ind w:left="280"/>
              <w:spacing w:after="0"/>
              <w:rPr>
                <w:sz w:val="20"/>
                <w:szCs w:val="20"/>
                <w:color w:val="auto"/>
              </w:rPr>
            </w:pPr>
            <w:r>
              <w:rPr>
                <w:rFonts w:ascii="Arial" w:cs="Arial" w:eastAsia="Arial" w:hAnsi="Arial"/>
                <w:sz w:val="15"/>
                <w:szCs w:val="15"/>
                <w:color w:val="auto"/>
                <w:w w:val="96"/>
              </w:rPr>
              <w:t>a natural gas pipeline located in Erath, Louisiana that serves as the official delivery location for futures contracts on the New York Mercantile Exchange</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ISO container</w:t>
            </w:r>
          </w:p>
        </w:tc>
        <w:tc>
          <w:tcPr>
            <w:tcW w:w="10000" w:type="dxa"/>
            <w:vAlign w:val="bottom"/>
          </w:tcPr>
          <w:p>
            <w:pPr>
              <w:ind w:left="280"/>
              <w:spacing w:after="0"/>
              <w:rPr>
                <w:sz w:val="20"/>
                <w:szCs w:val="20"/>
                <w:color w:val="auto"/>
              </w:rPr>
            </w:pPr>
            <w:r>
              <w:rPr>
                <w:rFonts w:ascii="Arial" w:cs="Arial" w:eastAsia="Arial" w:hAnsi="Arial"/>
                <w:sz w:val="15"/>
                <w:szCs w:val="15"/>
                <w:color w:val="auto"/>
              </w:rPr>
              <w:t>International Organization of Standardization, an intermodal container</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LNG</w:t>
            </w:r>
          </w:p>
        </w:tc>
        <w:tc>
          <w:tcPr>
            <w:tcW w:w="10000" w:type="dxa"/>
            <w:vAlign w:val="bottom"/>
          </w:tcPr>
          <w:p>
            <w:pPr>
              <w:ind w:left="280"/>
              <w:spacing w:after="0"/>
              <w:rPr>
                <w:sz w:val="20"/>
                <w:szCs w:val="20"/>
                <w:color w:val="auto"/>
              </w:rPr>
            </w:pPr>
            <w:r>
              <w:rPr>
                <w:rFonts w:ascii="Arial" w:cs="Arial" w:eastAsia="Arial" w:hAnsi="Arial"/>
                <w:sz w:val="15"/>
                <w:szCs w:val="15"/>
                <w:color w:val="auto"/>
              </w:rPr>
              <w:t>natural gas in its liquid state at or below its boiling point at or near atmospheric pressure</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MMBtu</w:t>
            </w:r>
          </w:p>
        </w:tc>
        <w:tc>
          <w:tcPr>
            <w:tcW w:w="10000" w:type="dxa"/>
            <w:vAlign w:val="bottom"/>
          </w:tcPr>
          <w:p>
            <w:pPr>
              <w:ind w:left="280"/>
              <w:spacing w:after="0"/>
              <w:rPr>
                <w:sz w:val="20"/>
                <w:szCs w:val="20"/>
                <w:color w:val="auto"/>
              </w:rPr>
            </w:pPr>
            <w:r>
              <w:rPr>
                <w:rFonts w:ascii="Arial" w:cs="Arial" w:eastAsia="Arial" w:hAnsi="Arial"/>
                <w:sz w:val="15"/>
                <w:szCs w:val="15"/>
                <w:color w:val="auto"/>
              </w:rPr>
              <w:t>one million Btus, which corresponds to approximately 12.1 LNG gallons</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mtpa</w:t>
            </w:r>
          </w:p>
        </w:tc>
        <w:tc>
          <w:tcPr>
            <w:tcW w:w="10000" w:type="dxa"/>
            <w:vAlign w:val="bottom"/>
          </w:tcPr>
          <w:p>
            <w:pPr>
              <w:ind w:left="280"/>
              <w:spacing w:after="0"/>
              <w:rPr>
                <w:sz w:val="20"/>
                <w:szCs w:val="20"/>
                <w:color w:val="auto"/>
              </w:rPr>
            </w:pPr>
            <w:r>
              <w:rPr>
                <w:rFonts w:ascii="Arial" w:cs="Arial" w:eastAsia="Arial" w:hAnsi="Arial"/>
                <w:sz w:val="15"/>
                <w:szCs w:val="15"/>
                <w:color w:val="auto"/>
              </w:rPr>
              <w:t>million tons per annum</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MW</w:t>
            </w:r>
          </w:p>
        </w:tc>
        <w:tc>
          <w:tcPr>
            <w:tcW w:w="10000" w:type="dxa"/>
            <w:vAlign w:val="bottom"/>
          </w:tcPr>
          <w:p>
            <w:pPr>
              <w:ind w:left="280"/>
              <w:spacing w:after="0"/>
              <w:rPr>
                <w:sz w:val="20"/>
                <w:szCs w:val="20"/>
                <w:color w:val="auto"/>
              </w:rPr>
            </w:pPr>
            <w:r>
              <w:rPr>
                <w:rFonts w:ascii="Arial" w:cs="Arial" w:eastAsia="Arial" w:hAnsi="Arial"/>
                <w:sz w:val="15"/>
                <w:szCs w:val="15"/>
                <w:color w:val="auto"/>
              </w:rPr>
              <w:t>megawatt. We estimate 2,500 LNG gallons would be required to produce one megawatt.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NGA</w:t>
            </w:r>
          </w:p>
        </w:tc>
        <w:tc>
          <w:tcPr>
            <w:tcW w:w="10000" w:type="dxa"/>
            <w:vAlign w:val="bottom"/>
          </w:tcPr>
          <w:p>
            <w:pPr>
              <w:ind w:left="280"/>
              <w:spacing w:after="0"/>
              <w:rPr>
                <w:sz w:val="20"/>
                <w:szCs w:val="20"/>
                <w:color w:val="auto"/>
              </w:rPr>
            </w:pPr>
            <w:r>
              <w:rPr>
                <w:rFonts w:ascii="Arial" w:cs="Arial" w:eastAsia="Arial" w:hAnsi="Arial"/>
                <w:sz w:val="15"/>
                <w:szCs w:val="15"/>
                <w:color w:val="auto"/>
              </w:rPr>
              <w:t>Natural Gas Act of 1938, as amended</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non-FTA countries</w:t>
            </w:r>
          </w:p>
        </w:tc>
        <w:tc>
          <w:tcPr>
            <w:tcW w:w="10000" w:type="dxa"/>
            <w:vAlign w:val="bottom"/>
          </w:tcPr>
          <w:p>
            <w:pPr>
              <w:ind w:left="280"/>
              <w:spacing w:after="0"/>
              <w:rPr>
                <w:sz w:val="20"/>
                <w:szCs w:val="20"/>
                <w:color w:val="auto"/>
              </w:rPr>
            </w:pPr>
            <w:r>
              <w:rPr>
                <w:rFonts w:ascii="Arial" w:cs="Arial" w:eastAsia="Arial" w:hAnsi="Arial"/>
                <w:sz w:val="15"/>
                <w:szCs w:val="15"/>
                <w:color w:val="auto"/>
                <w:w w:val="96"/>
              </w:rPr>
              <w:t>countries without a free trade agreement with the United States providing for national treatment for trade in natural gas and with which trade is permitted</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OPA</w:t>
            </w:r>
          </w:p>
        </w:tc>
        <w:tc>
          <w:tcPr>
            <w:tcW w:w="10000" w:type="dxa"/>
            <w:vAlign w:val="bottom"/>
          </w:tcPr>
          <w:p>
            <w:pPr>
              <w:ind w:left="280"/>
              <w:spacing w:after="0"/>
              <w:rPr>
                <w:sz w:val="20"/>
                <w:szCs w:val="20"/>
                <w:color w:val="auto"/>
              </w:rPr>
            </w:pPr>
            <w:r>
              <w:rPr>
                <w:rFonts w:ascii="Arial" w:cs="Arial" w:eastAsia="Arial" w:hAnsi="Arial"/>
                <w:sz w:val="15"/>
                <w:szCs w:val="15"/>
                <w:color w:val="auto"/>
              </w:rPr>
              <w:t>Oil Pollution Act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OUR</w:t>
            </w:r>
          </w:p>
        </w:tc>
        <w:tc>
          <w:tcPr>
            <w:tcW w:w="10000" w:type="dxa"/>
            <w:vAlign w:val="bottom"/>
          </w:tcPr>
          <w:p>
            <w:pPr>
              <w:ind w:left="280"/>
              <w:spacing w:after="0"/>
              <w:rPr>
                <w:sz w:val="20"/>
                <w:szCs w:val="20"/>
                <w:color w:val="auto"/>
              </w:rPr>
            </w:pPr>
            <w:r>
              <w:rPr>
                <w:rFonts w:ascii="Arial" w:cs="Arial" w:eastAsia="Arial" w:hAnsi="Arial"/>
                <w:sz w:val="15"/>
                <w:szCs w:val="15"/>
                <w:color w:val="auto"/>
              </w:rPr>
              <w:t>Office of Utilities Regulation (Jamaica)</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PHMSA</w:t>
            </w:r>
          </w:p>
        </w:tc>
        <w:tc>
          <w:tcPr>
            <w:tcW w:w="10000" w:type="dxa"/>
            <w:vAlign w:val="bottom"/>
          </w:tcPr>
          <w:p>
            <w:pPr>
              <w:ind w:left="280"/>
              <w:spacing w:after="0"/>
              <w:rPr>
                <w:sz w:val="20"/>
                <w:szCs w:val="20"/>
                <w:color w:val="auto"/>
              </w:rPr>
            </w:pPr>
            <w:r>
              <w:rPr>
                <w:rFonts w:ascii="Arial" w:cs="Arial" w:eastAsia="Arial" w:hAnsi="Arial"/>
                <w:sz w:val="15"/>
                <w:szCs w:val="15"/>
                <w:color w:val="auto"/>
              </w:rPr>
              <w:t>Pipeline and Hazardous Materials Safety Administration</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PPA</w:t>
            </w:r>
          </w:p>
        </w:tc>
        <w:tc>
          <w:tcPr>
            <w:tcW w:w="10000" w:type="dxa"/>
            <w:vAlign w:val="bottom"/>
          </w:tcPr>
          <w:p>
            <w:pPr>
              <w:ind w:left="280"/>
              <w:spacing w:after="0"/>
              <w:rPr>
                <w:sz w:val="20"/>
                <w:szCs w:val="20"/>
                <w:color w:val="auto"/>
              </w:rPr>
            </w:pPr>
            <w:r>
              <w:rPr>
                <w:rFonts w:ascii="Arial" w:cs="Arial" w:eastAsia="Arial" w:hAnsi="Arial"/>
                <w:sz w:val="15"/>
                <w:szCs w:val="15"/>
                <w:color w:val="auto"/>
              </w:rPr>
              <w:t>power purchase agreement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SSA</w:t>
            </w:r>
          </w:p>
        </w:tc>
        <w:tc>
          <w:tcPr>
            <w:tcW w:w="10000" w:type="dxa"/>
            <w:vAlign w:val="bottom"/>
          </w:tcPr>
          <w:p>
            <w:pPr>
              <w:ind w:left="280"/>
              <w:spacing w:after="0"/>
              <w:rPr>
                <w:sz w:val="20"/>
                <w:szCs w:val="20"/>
                <w:color w:val="auto"/>
              </w:rPr>
            </w:pPr>
            <w:r>
              <w:rPr>
                <w:rFonts w:ascii="Arial" w:cs="Arial" w:eastAsia="Arial" w:hAnsi="Arial"/>
                <w:sz w:val="15"/>
                <w:szCs w:val="15"/>
                <w:color w:val="auto"/>
              </w:rPr>
              <w:t>steam supply agreement</w:t>
            </w:r>
          </w:p>
        </w:tc>
      </w:tr>
      <w:tr>
        <w:trPr>
          <w:trHeight w:val="372"/>
        </w:trPr>
        <w:tc>
          <w:tcPr>
            <w:tcW w:w="1440" w:type="dxa"/>
            <w:vAlign w:val="bottom"/>
          </w:tcPr>
          <w:p>
            <w:pPr>
              <w:spacing w:after="0"/>
              <w:rPr>
                <w:sz w:val="20"/>
                <w:szCs w:val="20"/>
                <w:color w:val="auto"/>
              </w:rPr>
            </w:pPr>
            <w:r>
              <w:rPr>
                <w:rFonts w:ascii="Arial" w:cs="Arial" w:eastAsia="Arial" w:hAnsi="Arial"/>
                <w:sz w:val="15"/>
                <w:szCs w:val="15"/>
                <w:color w:val="auto"/>
              </w:rPr>
              <w:t>TBtu</w:t>
            </w:r>
          </w:p>
        </w:tc>
        <w:tc>
          <w:tcPr>
            <w:tcW w:w="10000" w:type="dxa"/>
            <w:vAlign w:val="bottom"/>
          </w:tcPr>
          <w:p>
            <w:pPr>
              <w:ind w:left="280"/>
              <w:spacing w:after="0"/>
              <w:rPr>
                <w:sz w:val="20"/>
                <w:szCs w:val="20"/>
                <w:color w:val="auto"/>
              </w:rPr>
            </w:pPr>
            <w:r>
              <w:rPr>
                <w:rFonts w:ascii="Arial" w:cs="Arial" w:eastAsia="Arial" w:hAnsi="Arial"/>
                <w:sz w:val="15"/>
                <w:szCs w:val="15"/>
                <w:color w:val="auto"/>
              </w:rPr>
              <w:t>one trillion Btus, which corresponds to approximately 12,100,000 LNG gallons</w:t>
            </w:r>
          </w:p>
        </w:tc>
      </w:tr>
      <w:tr>
        <w:trPr>
          <w:trHeight w:val="513"/>
        </w:trPr>
        <w:tc>
          <w:tcPr>
            <w:tcW w:w="1440" w:type="dxa"/>
            <w:vAlign w:val="bottom"/>
          </w:tcPr>
          <w:p>
            <w:pPr>
              <w:spacing w:after="0"/>
              <w:rPr>
                <w:sz w:val="24"/>
                <w:szCs w:val="24"/>
                <w:color w:val="auto"/>
              </w:rPr>
            </w:pPr>
          </w:p>
        </w:tc>
        <w:tc>
          <w:tcPr>
            <w:tcW w:w="10000" w:type="dxa"/>
            <w:vAlign w:val="bottom"/>
          </w:tcPr>
          <w:p>
            <w:pPr>
              <w:ind w:left="4240"/>
              <w:spacing w:after="0"/>
              <w:rPr>
                <w:sz w:val="20"/>
                <w:szCs w:val="20"/>
                <w:color w:val="auto"/>
              </w:rPr>
            </w:pPr>
            <w:r>
              <w:rPr>
                <w:rFonts w:ascii="Arial" w:cs="Arial" w:eastAsia="Arial" w:hAnsi="Arial"/>
                <w:sz w:val="12"/>
                <w:szCs w:val="12"/>
                <w:color w:val="auto"/>
              </w:rPr>
              <w:t>1</w:t>
            </w:r>
          </w:p>
        </w:tc>
      </w:tr>
      <w:tr>
        <w:trPr>
          <w:trHeight w:val="37"/>
        </w:trPr>
        <w:tc>
          <w:tcPr>
            <w:tcW w:w="1440" w:type="dxa"/>
            <w:vAlign w:val="bottom"/>
            <w:tcBorders>
              <w:bottom w:val="single" w:sz="8" w:color="auto"/>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3" w:name="page4"/>
    <w:bookmarkEnd w:id="3"/>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ind w:right="-186"/>
        <w:spacing w:after="0"/>
        <w:rPr>
          <w:sz w:val="20"/>
          <w:szCs w:val="20"/>
          <w:color w:val="auto"/>
        </w:rPr>
      </w:pPr>
      <w:r>
        <w:rPr>
          <w:rFonts w:ascii="Arial" w:cs="Arial" w:eastAsia="Arial" w:hAnsi="Arial"/>
          <w:sz w:val="19"/>
          <w:szCs w:val="19"/>
          <w:b w:val="1"/>
          <w:bCs w:val="1"/>
          <w:color w:val="auto"/>
        </w:rPr>
        <w:t>CAUTIONARY STATEMENT ON FORWARD-LOOKING STATEMENTS</w:t>
      </w:r>
    </w:p>
    <w:p>
      <w:pPr>
        <w:spacing w:after="0" w:line="204" w:lineRule="exact"/>
        <w:rPr>
          <w:sz w:val="20"/>
          <w:szCs w:val="20"/>
          <w:color w:val="auto"/>
        </w:rPr>
      </w:pPr>
    </w:p>
    <w:p>
      <w:pPr>
        <w:ind w:left="7" w:firstLine="279"/>
        <w:spacing w:after="0" w:line="246" w:lineRule="auto"/>
        <w:rPr>
          <w:sz w:val="20"/>
          <w:szCs w:val="20"/>
          <w:color w:val="auto"/>
        </w:rPr>
      </w:pPr>
      <w:r>
        <w:rPr>
          <w:rFonts w:ascii="Arial" w:cs="Arial" w:eastAsia="Arial" w:hAnsi="Arial"/>
          <w:sz w:val="18"/>
          <w:szCs w:val="18"/>
          <w:color w:val="auto"/>
        </w:rPr>
        <w:t>This Annual Report on Form 10-K for the year ended December 31, 2019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90" w:lineRule="exact"/>
        <w:rPr>
          <w:sz w:val="20"/>
          <w:szCs w:val="20"/>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limited operating history;</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loss of one or more of our customers;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procure LNG on a fixed-price basis, or otherwise to manage LNG price risks, including hedging arrangements;</w:t>
      </w:r>
    </w:p>
    <w:p>
      <w:pPr>
        <w:spacing w:after="0" w:line="222" w:lineRule="exact"/>
        <w:rPr>
          <w:rFonts w:ascii="Arial" w:cs="Arial" w:eastAsia="Arial" w:hAnsi="Arial"/>
          <w:sz w:val="15"/>
          <w:szCs w:val="15"/>
          <w:color w:val="auto"/>
        </w:rPr>
      </w:pPr>
    </w:p>
    <w:p>
      <w:pPr>
        <w:ind w:left="287" w:right="120" w:hanging="287"/>
        <w:spacing w:after="0" w:line="291" w:lineRule="auto"/>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completion of construction on our LNG terminals, facilities, power plants or Liquefaction Facilities and the terms of our construction contracts for the completion of these assets;</w:t>
      </w:r>
    </w:p>
    <w:p>
      <w:pPr>
        <w:spacing w:after="0" w:line="162" w:lineRule="exact"/>
        <w:rPr>
          <w:rFonts w:ascii="Arial" w:cs="Arial" w:eastAsia="Arial" w:hAnsi="Arial"/>
          <w:sz w:val="15"/>
          <w:szCs w:val="15"/>
          <w:color w:val="auto"/>
        </w:rPr>
      </w:pPr>
    </w:p>
    <w:p>
      <w:pPr>
        <w:ind w:left="287" w:right="40" w:hanging="287"/>
        <w:spacing w:after="0" w:line="291" w:lineRule="auto"/>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16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obtain additional financing to effect our strategy;</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produce or purchase sufficient amounts of LNG or natural gas at favorable prices to meet customer demand;</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hurricanes or other natural or manmade disasters;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obtain and maintain approvals and permits from governmental and regulatory agencies;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operational, regulatory, environmental, political, legal and economic risks pertaining to the construction and operation of our facilities;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contract with suppliers and tankers to facilitate the delivery of LNG on their chartered LNG tankers;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cyclical or other changes in the demand for and price of LNG and natural gas;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of natural gas to be a competitive source of energy in the markets in which we operate, and seek to operate;</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competition from third parties in our business;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re-finance our outstanding indebtedness;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to environmental and similar laws and governmental regulations that are adverse to our operations;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enter into favorable agreements and obtain necessary regulatory approvals;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tax treatment of us or of an investment in our Class A shares;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a major health and safety incident relating to our business;</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increased labor costs, and the unavailability of skilled workers or our failure to attract and retain qualified personnel; and</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the jurisdictions in which we do, or seek to do, business, particularly Florida, Jamaica, Puerto Rico, Angola, Nicaragua and other jurisdictions in the Caribbean.</w:t>
      </w:r>
    </w:p>
    <w:p>
      <w:pPr>
        <w:spacing w:after="0" w:line="226" w:lineRule="exact"/>
        <w:rPr>
          <w:sz w:val="20"/>
          <w:szCs w:val="20"/>
          <w:color w:val="auto"/>
        </w:rPr>
      </w:pPr>
    </w:p>
    <w:p>
      <w:pPr>
        <w:ind w:left="7" w:right="40" w:firstLine="279"/>
        <w:spacing w:after="0" w:line="235" w:lineRule="auto"/>
        <w:rPr>
          <w:sz w:val="20"/>
          <w:szCs w:val="20"/>
          <w:color w:val="auto"/>
        </w:rPr>
      </w:pPr>
      <w:r>
        <w:rPr>
          <w:rFonts w:ascii="Arial" w:cs="Arial" w:eastAsia="Arial" w:hAnsi="Arial"/>
          <w:sz w:val="19"/>
          <w:szCs w:val="19"/>
          <w:color w:val="auto"/>
        </w:rPr>
        <w:t>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51" w:lineRule="exact"/>
        <w:rPr>
          <w:sz w:val="20"/>
          <w:szCs w:val="20"/>
          <w:color w:val="auto"/>
        </w:rPr>
      </w:pPr>
    </w:p>
    <w:p>
      <w:pPr>
        <w:jc w:val="center"/>
        <w:ind w:right="-266"/>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187"/>
          </w:cols>
          <w:pgMar w:left="233" w:top="124" w:right="479" w:bottom="1440" w:gutter="0" w:footer="0" w:header="0"/>
        </w:sectPr>
      </w:pPr>
    </w:p>
    <w:bookmarkStart w:id="4" w:name="page5"/>
    <w:bookmarkEnd w:id="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1 and 2. Business and Properties</w:t>
      </w:r>
    </w:p>
    <w:p>
      <w:pPr>
        <w:spacing w:after="0" w:line="220" w:lineRule="exact"/>
        <w:rPr>
          <w:sz w:val="20"/>
          <w:szCs w:val="20"/>
          <w:color w:val="auto"/>
        </w:rPr>
      </w:pPr>
    </w:p>
    <w:p>
      <w:pPr>
        <w:ind w:right="200" w:firstLine="279"/>
        <w:spacing w:after="0" w:line="269" w:lineRule="auto"/>
        <w:rPr>
          <w:sz w:val="20"/>
          <w:szCs w:val="20"/>
          <w:color w:val="auto"/>
        </w:rPr>
      </w:pPr>
      <w:r>
        <w:rPr>
          <w:rFonts w:ascii="Arial" w:cs="Arial" w:eastAsia="Arial" w:hAnsi="Arial"/>
          <w:sz w:val="17"/>
          <w:szCs w:val="17"/>
          <w:i w:val="1"/>
          <w:iCs w:val="1"/>
          <w:color w:val="auto"/>
        </w:rPr>
        <w:t>Unless the context otherwise requires, references in this Annual Report to the “Company,” “NFE,” “we,” “our,” “us” or like terms refer to New Fortress Energy LLC and its subsidiaries. When used in a historical context, “our,” “us,” “we” or like terms refer to New Fortress Energy Holdings LLC, a Delaware limited liability company (“New Fortress Energy Holdings”), our predecessor for financial reporting purposes. References in this Annual Report to “NFI” refer to New Fortress Intermediate Holdings LLC, which following the closing of the initial public offering (the “IPO”), owns our operating subsidiaries, as well as limited assets or liabilities of New Fortress Energy Holdings held prior to the completion of the IPO.</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04" w:lineRule="exact"/>
        <w:rPr>
          <w:sz w:val="20"/>
          <w:szCs w:val="20"/>
          <w:color w:val="auto"/>
        </w:rPr>
      </w:pPr>
    </w:p>
    <w:p>
      <w:pPr>
        <w:ind w:right="20" w:firstLine="279"/>
        <w:spacing w:after="0" w:line="269"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below under “Toward a Carbon-Free Future”.</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We deliver targeted energy solutions by employing a four-part integrated LNG supply and delivery model:</w:t>
      </w:r>
    </w:p>
    <w:p>
      <w:pPr>
        <w:spacing w:after="0" w:line="200" w:lineRule="exact"/>
        <w:rPr>
          <w:sz w:val="20"/>
          <w:szCs w:val="20"/>
          <w:color w:val="auto"/>
        </w:rPr>
      </w:pPr>
    </w:p>
    <w:p>
      <w:pPr>
        <w:ind w:right="320" w:firstLine="279"/>
        <w:spacing w:after="0"/>
        <w:rPr>
          <w:sz w:val="20"/>
          <w:szCs w:val="20"/>
          <w:color w:val="auto"/>
        </w:rPr>
      </w:pPr>
      <w:r>
        <w:rPr>
          <w:rFonts w:ascii="Arial" w:cs="Arial" w:eastAsia="Arial" w:hAnsi="Arial"/>
          <w:sz w:val="19"/>
          <w:szCs w:val="19"/>
          <w:i w:val="1"/>
          <w:iCs w:val="1"/>
          <w:color w:val="auto"/>
        </w:rPr>
        <w:t xml:space="preserve">LNG Supply and Liquefaction </w:t>
      </w:r>
      <w:r>
        <w:rPr>
          <w:rFonts w:ascii="Arial" w:cs="Arial" w:eastAsia="Arial" w:hAnsi="Arial"/>
          <w:sz w:val="19"/>
          <w:szCs w:val="19"/>
          <w:color w:val="auto"/>
        </w:rPr>
        <w:t>– We supply LNG to our customers by entering into long-term, largely fixed-price LNG supply contracts. We have</w:t>
      </w:r>
      <w:r>
        <w:rPr>
          <w:rFonts w:ascii="Arial" w:cs="Arial" w:eastAsia="Arial" w:hAnsi="Arial"/>
          <w:sz w:val="19"/>
          <w:szCs w:val="19"/>
          <w:i w:val="1"/>
          <w:iCs w:val="1"/>
          <w:color w:val="auto"/>
        </w:rPr>
        <w:t xml:space="preserve"> </w:t>
      </w:r>
      <w:r>
        <w:rPr>
          <w:rFonts w:ascii="Arial" w:cs="Arial" w:eastAsia="Arial" w:hAnsi="Arial"/>
          <w:sz w:val="19"/>
          <w:szCs w:val="19"/>
          <w:color w:val="auto"/>
        </w:rPr>
        <w:t>successfully capitalized on current market conditions to secure long-term LNG contracts with attractive terms. In addition, we supply LNG to our customers from our existing liquefaction and storage facility in Miami, Florida (the “Miami Facility”).</w:t>
      </w:r>
    </w:p>
    <w:p>
      <w:pPr>
        <w:spacing w:after="0" w:line="181" w:lineRule="exact"/>
        <w:rPr>
          <w:sz w:val="20"/>
          <w:szCs w:val="20"/>
          <w:color w:val="auto"/>
        </w:rPr>
      </w:pPr>
    </w:p>
    <w:p>
      <w:pPr>
        <w:ind w:right="200" w:firstLine="279"/>
        <w:spacing w:after="0" w:line="277"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(“LNGCs”) and floating storage and regasification units (“FSRUs”). These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transport LNG from ports to our downstream terminals and gasify LNG for ultimate delivery to our customers.</w:t>
      </w:r>
    </w:p>
    <w:p>
      <w:pPr>
        <w:spacing w:after="0" w:line="149" w:lineRule="exact"/>
        <w:rPr>
          <w:sz w:val="20"/>
          <w:szCs w:val="20"/>
          <w:color w:val="auto"/>
        </w:rPr>
      </w:pPr>
    </w:p>
    <w:p>
      <w:pPr>
        <w:ind w:right="320" w:firstLine="279"/>
        <w:spacing w:after="0" w:line="250" w:lineRule="auto"/>
        <w:rPr>
          <w:sz w:val="20"/>
          <w:szCs w:val="20"/>
          <w:color w:val="auto"/>
        </w:rPr>
      </w:pPr>
      <w:r>
        <w:rPr>
          <w:rFonts w:ascii="Arial" w:cs="Arial" w:eastAsia="Arial" w:hAnsi="Arial"/>
          <w:sz w:val="19"/>
          <w:szCs w:val="19"/>
          <w:i w:val="1"/>
          <w:iCs w:val="1"/>
          <w:color w:val="auto"/>
        </w:rPr>
        <w:t xml:space="preserve">Logistics </w:t>
      </w:r>
      <w:r>
        <w:rPr>
          <w:rFonts w:ascii="Arial" w:cs="Arial" w:eastAsia="Arial" w:hAnsi="Arial"/>
          <w:sz w:val="19"/>
          <w:szCs w:val="19"/>
          <w:color w:val="auto"/>
        </w:rPr>
        <w:t>– We own or control the logistics assets necessary to deliver LNG to our customers through our “logistics pipeline”, which enables us to</w:t>
      </w:r>
      <w:r>
        <w:rPr>
          <w:rFonts w:ascii="Arial" w:cs="Arial" w:eastAsia="Arial" w:hAnsi="Arial"/>
          <w:sz w:val="19"/>
          <w:szCs w:val="19"/>
          <w:i w:val="1"/>
          <w:iCs w:val="1"/>
          <w:color w:val="auto"/>
        </w:rPr>
        <w:t xml:space="preserve"> </w:t>
      </w:r>
      <w:r>
        <w:rPr>
          <w:rFonts w:ascii="Arial" w:cs="Arial" w:eastAsia="Arial" w:hAnsi="Arial"/>
          <w:sz w:val="19"/>
          <w:szCs w:val="19"/>
          <w:color w:val="auto"/>
        </w:rPr>
        <w:t>transport LNG from our downstream terminals and facilities to our customers.</w:t>
      </w:r>
    </w:p>
    <w:p>
      <w:pPr>
        <w:spacing w:after="0" w:line="172" w:lineRule="exact"/>
        <w:rPr>
          <w:sz w:val="20"/>
          <w:szCs w:val="20"/>
          <w:color w:val="auto"/>
        </w:rPr>
      </w:pPr>
    </w:p>
    <w:p>
      <w:pPr>
        <w:ind w:firstLine="279"/>
        <w:spacing w:after="0"/>
        <w:rPr>
          <w:sz w:val="20"/>
          <w:szCs w:val="20"/>
          <w:color w:val="auto"/>
        </w:rPr>
      </w:pPr>
      <w:r>
        <w:rPr>
          <w:rFonts w:ascii="Arial" w:cs="Arial" w:eastAsia="Arial" w:hAnsi="Arial"/>
          <w:sz w:val="19"/>
          <w:szCs w:val="19"/>
          <w:i w:val="1"/>
          <w:iCs w:val="1"/>
          <w:color w:val="auto"/>
        </w:rPr>
        <w:t xml:space="preserve">Terminals </w:t>
      </w:r>
      <w:r>
        <w:rPr>
          <w:rFonts w:ascii="Arial" w:cs="Arial" w:eastAsia="Arial" w:hAnsi="Arial"/>
          <w:sz w:val="19"/>
          <w:szCs w:val="19"/>
          <w:color w:val="auto"/>
        </w:rPr>
        <w:t>– Through our network of current and planned downstream terminals and facilities, we are strategically positioned to deliver gas and power</w:t>
      </w:r>
      <w:r>
        <w:rPr>
          <w:rFonts w:ascii="Arial" w:cs="Arial" w:eastAsia="Arial" w:hAnsi="Arial"/>
          <w:sz w:val="19"/>
          <w:szCs w:val="19"/>
          <w:i w:val="1"/>
          <w:iCs w:val="1"/>
          <w:color w:val="auto"/>
        </w:rPr>
        <w:t xml:space="preserve"> </w:t>
      </w:r>
      <w:r>
        <w:rPr>
          <w:rFonts w:ascii="Arial" w:cs="Arial" w:eastAsia="Arial" w:hAnsi="Arial"/>
          <w:sz w:val="19"/>
          <w:szCs w:val="19"/>
          <w:color w:val="auto"/>
        </w:rPr>
        <w:t>solutions to our customers seeking either to transition from environmentally dirtier distillate fuels such as ADO and heavy fuel oil (“HFO”) or to purchase natural gas to meet their current fuel needs.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Model</w:t>
      </w:r>
    </w:p>
    <w:p>
      <w:pPr>
        <w:spacing w:after="0" w:line="204" w:lineRule="exact"/>
        <w:rPr>
          <w:sz w:val="20"/>
          <w:szCs w:val="20"/>
          <w:color w:val="auto"/>
        </w:rPr>
      </w:pPr>
    </w:p>
    <w:p>
      <w:pPr>
        <w:ind w:right="180" w:firstLine="279"/>
        <w:spacing w:after="0" w:line="234" w:lineRule="auto"/>
        <w:rPr>
          <w:sz w:val="20"/>
          <w:szCs w:val="20"/>
          <w:color w:val="auto"/>
        </w:rPr>
      </w:pPr>
      <w:r>
        <w:rPr>
          <w:rFonts w:ascii="Arial" w:cs="Arial" w:eastAsia="Arial" w:hAnsi="Arial"/>
          <w:sz w:val="19"/>
          <w:szCs w:val="19"/>
          <w:color w:val="auto"/>
        </w:rPr>
        <w:t>As an integrated gas-to-power energy infrastructure company, our business model spans the entire production and delivery chain from natural gas procurement and liquefaction to logistics, shipping, terminals and conversion or development of natural gas-fired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this business model, we have the capability to build or arrange any necessary infrastructure ourselves without reliance on multilateral financing sources or traditional project finance structures, so that we maintain our strategic flexibility.</w:t>
      </w:r>
    </w:p>
    <w:p>
      <w:pPr>
        <w:spacing w:after="0" w:line="186" w:lineRule="exact"/>
        <w:rPr>
          <w:sz w:val="20"/>
          <w:szCs w:val="20"/>
          <w:color w:val="auto"/>
        </w:rPr>
      </w:pPr>
    </w:p>
    <w:p>
      <w:pPr>
        <w:ind w:right="120" w:firstLine="279"/>
        <w:spacing w:after="0" w:line="249" w:lineRule="auto"/>
        <w:rPr>
          <w:sz w:val="20"/>
          <w:szCs w:val="20"/>
          <w:color w:val="auto"/>
        </w:rPr>
      </w:pPr>
      <w:r>
        <w:rPr>
          <w:rFonts w:ascii="Arial" w:cs="Arial" w:eastAsia="Arial" w:hAnsi="Arial"/>
          <w:sz w:val="18"/>
          <w:szCs w:val="18"/>
          <w:color w:val="auto"/>
        </w:rPr>
        <w:t>We currently conduct our operations at our LNG storage and regasification terminal at the Port of Montego Bay, Jamaica (the “Montego Bay Terminal”), our marine LNG storage and regasification terminal in Old Harbour, Jamaica (the “Old Harbour Terminal” and, together with the Montego Bay Terminal, the “Jamaica Terminals”), and at our Miami Facility. In addition, we are currently developing Terminals in Puerto Rico, Mexico, Ireland, Nicaragua and Angola, as described below in more detail.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Terminals</w:t>
      </w:r>
    </w:p>
    <w:p>
      <w:pPr>
        <w:spacing w:after="0" w:line="204" w:lineRule="exact"/>
        <w:rPr>
          <w:sz w:val="20"/>
          <w:szCs w:val="20"/>
          <w:color w:val="auto"/>
        </w:rPr>
      </w:pPr>
    </w:p>
    <w:p>
      <w:pPr>
        <w:ind w:right="260" w:firstLine="279"/>
        <w:spacing w:after="0" w:line="250" w:lineRule="auto"/>
        <w:rPr>
          <w:sz w:val="20"/>
          <w:szCs w:val="20"/>
          <w:color w:val="auto"/>
        </w:rPr>
      </w:pPr>
      <w:r>
        <w:rPr>
          <w:rFonts w:ascii="Arial" w:cs="Arial" w:eastAsia="Arial" w:hAnsi="Arial"/>
          <w:sz w:val="19"/>
          <w:szCs w:val="19"/>
          <w:color w:val="auto"/>
        </w:rPr>
        <w:t>Downstream, we have seven terminals and fuel handling facilities operational or under development. Our Terminals (defined herein) position us to acquire and supply LNG to customers in a number of attractive markets around the world.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 w:name="page6"/>
    <w:bookmarkEnd w:id="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80" w:firstLine="279"/>
        <w:spacing w:after="0" w:line="260" w:lineRule="auto"/>
        <w:rPr>
          <w:sz w:val="20"/>
          <w:szCs w:val="20"/>
          <w:color w:val="auto"/>
        </w:rPr>
      </w:pPr>
      <w:r>
        <w:rPr>
          <w:rFonts w:ascii="Arial" w:cs="Arial" w:eastAsia="Arial" w:hAnsi="Arial"/>
          <w:sz w:val="18"/>
          <w:szCs w:val="18"/>
          <w:color w:val="auto"/>
        </w:rPr>
        <w:t>We look to build terminals in locations where the need for LNG is significant.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64" w:lineRule="exact"/>
        <w:rPr>
          <w:sz w:val="20"/>
          <w:szCs w:val="20"/>
          <w:color w:val="auto"/>
        </w:rPr>
      </w:pPr>
    </w:p>
    <w:p>
      <w:pPr>
        <w:ind w:right="40" w:firstLine="279"/>
        <w:spacing w:after="0" w:line="273" w:lineRule="auto"/>
        <w:rPr>
          <w:sz w:val="20"/>
          <w:szCs w:val="20"/>
          <w:color w:val="auto"/>
        </w:rPr>
      </w:pPr>
      <w:r>
        <w:rPr>
          <w:rFonts w:ascii="Arial" w:cs="Arial" w:eastAsia="Arial" w:hAnsi="Arial"/>
          <w:sz w:val="17"/>
          <w:szCs w:val="17"/>
          <w:color w:val="auto"/>
        </w:rPr>
        <w:t>We currently have two operational terminals and five under development, as described below. We design and construct terminals to meet the supply and demand specifications of our current and potential future customers in the applicable region. Our Terminals currently operating or under development are expected to be capable of receiving between 740,000 and 6 million LNG gallons (61,000 and 500,000 MMBtu) per day depending upon the needs of our customers and potential demand in the region. Set forth below is additional detail regarding each terminal:</w:t>
      </w:r>
    </w:p>
    <w:p>
      <w:pPr>
        <w:spacing w:after="0" w:line="156" w:lineRule="exact"/>
        <w:rPr>
          <w:sz w:val="20"/>
          <w:szCs w:val="20"/>
          <w:color w:val="auto"/>
        </w:rPr>
      </w:pPr>
    </w:p>
    <w:p>
      <w:pPr>
        <w:ind w:right="80" w:firstLine="279"/>
        <w:spacing w:after="0" w:line="246" w:lineRule="auto"/>
        <w:rPr>
          <w:sz w:val="20"/>
          <w:szCs w:val="20"/>
          <w:color w:val="auto"/>
        </w:rPr>
      </w:pPr>
      <w:r>
        <w:rPr>
          <w:rFonts w:ascii="Arial" w:cs="Arial" w:eastAsia="Arial" w:hAnsi="Arial"/>
          <w:sz w:val="18"/>
          <w:szCs w:val="18"/>
          <w:i w:val="1"/>
          <w:iCs w:val="1"/>
          <w:color w:val="auto"/>
        </w:rPr>
        <w:t xml:space="preserve">Montego Bay, Jamaica </w:t>
      </w:r>
      <w:r>
        <w:rPr>
          <w:rFonts w:ascii="Arial" w:cs="Arial" w:eastAsia="Arial" w:hAnsi="Arial"/>
          <w:sz w:val="18"/>
          <w:szCs w:val="18"/>
          <w:color w:val="auto"/>
        </w:rPr>
        <w:t>– Our Montego Bay Terminal commenced commercial operations in October 2016. The Montego Bay Terminal is 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up to 740,000 LNG gallons (61,000 MMBtu) per day and features approximately 7,000 cubic meters of onsite storage. It supplies natural gas to the 145 MW power station operated by Jamaican Public Service Company Limited (“JPS”) pursuant to a long-term contract for natural gas equivalent to approximately 310,000 gallons of LNG (25,600 MMBtu) per day. The Montego Bay Terminal also supplies numerous on-island industrial users with natural gas or LNG pursuant to numerous offtake contracts of various durations, some of which contain take-or-pay provisions. We have total aggregate contracted volumes of approximately 405,000 gallons of LNG (33,470 MMBtu) per day at our Montego Bay Terminal with a weighted average remaining contract length of 16.2 years as of December 31, 2019. We have the ability to service other potential customers with the excess capacity of the Montego Bay Terminal, and we are seeking to enter into long-term contracts with new customers for such purposes. We deliver LNG to the Montego Bay Terminal via small LNGCs.</w:t>
      </w:r>
    </w:p>
    <w:p>
      <w:pPr>
        <w:spacing w:after="0" w:line="182" w:lineRule="exact"/>
        <w:rPr>
          <w:sz w:val="20"/>
          <w:szCs w:val="20"/>
          <w:color w:val="auto"/>
        </w:rPr>
      </w:pPr>
    </w:p>
    <w:p>
      <w:pPr>
        <w:ind w:firstLine="279"/>
        <w:spacing w:after="0" w:line="262" w:lineRule="auto"/>
        <w:rPr>
          <w:sz w:val="20"/>
          <w:szCs w:val="20"/>
          <w:color w:val="auto"/>
        </w:rPr>
      </w:pPr>
      <w:r>
        <w:rPr>
          <w:rFonts w:ascii="Arial" w:cs="Arial" w:eastAsia="Arial" w:hAnsi="Arial"/>
          <w:sz w:val="17"/>
          <w:szCs w:val="17"/>
          <w:i w:val="1"/>
          <w:iCs w:val="1"/>
          <w:color w:val="auto"/>
        </w:rPr>
        <w:t xml:space="preserve">Old Harbour, Jamaica </w:t>
      </w:r>
      <w:r>
        <w:rPr>
          <w:rFonts w:ascii="Arial" w:cs="Arial" w:eastAsia="Arial" w:hAnsi="Arial"/>
          <w:sz w:val="17"/>
          <w:szCs w:val="17"/>
          <w:color w:val="auto"/>
        </w:rPr>
        <w:t>– Our Old Harbour Terminal commenced commercial operations in June 2019. It is capable of processing approximately 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gallons of LNG (500,000 MMBtu) per day. The Old Harbour Terminal is supplying gas to a new 190 MW Old Harbour gas-fired power plant (the “Old Harbour Power Plant”) operated by South Jamaica Power Company Limited (“JPC”) pursuant to a long-term contract for natural gas equivalent to approximately 380,000 gallons of LNG (31,400 MMBtu) per day. The Old Harbour Terminal is also supplying gas to the dual-fired combined heat and power (“CHP”) facility in Clarendon, Jamaica (the “CHP Plant”) that we constructed and which commenced commercial operations on March 3, 2020. See “—Our Current Customers—Jamalco CHP Plant.” We have total aggregate contracted volumes of approximately 760,000 gallons of LNG (62,810 MMBtu) per day at our Old Harbour Terminal with an average contract length of 20.0 years as of December 31, 2019. We have the ability to service other potential customers with the excess capacity of the Old Harbour Terminal, and we are seeking to enter into long-term contracts with new customers for such purposes. The Old Harbour Terminal is an offshore terminal with storage and regasification equipment provided via FSRU. The offshore design eliminates the need for expensive storage tanks and permanent, onshore infrastructure.</w:t>
      </w:r>
    </w:p>
    <w:p>
      <w:pPr>
        <w:spacing w:after="0" w:line="166" w:lineRule="exact"/>
        <w:rPr>
          <w:sz w:val="20"/>
          <w:szCs w:val="20"/>
          <w:color w:val="auto"/>
        </w:rPr>
      </w:pPr>
    </w:p>
    <w:p>
      <w:pPr>
        <w:jc w:val="both"/>
        <w:ind w:right="20" w:firstLine="279"/>
        <w:spacing w:after="0" w:line="309" w:lineRule="auto"/>
        <w:rPr>
          <w:sz w:val="20"/>
          <w:szCs w:val="20"/>
          <w:color w:val="auto"/>
        </w:rPr>
      </w:pPr>
      <w:r>
        <w:rPr>
          <w:rFonts w:ascii="Arial" w:cs="Arial" w:eastAsia="Arial" w:hAnsi="Arial"/>
          <w:sz w:val="15"/>
          <w:szCs w:val="15"/>
          <w:i w:val="1"/>
          <w:iCs w:val="1"/>
          <w:color w:val="auto"/>
        </w:rPr>
        <w:t xml:space="preserve">San Juan, Puerto Rico </w:t>
      </w:r>
      <w:r>
        <w:rPr>
          <w:rFonts w:ascii="Arial" w:cs="Arial" w:eastAsia="Arial" w:hAnsi="Arial"/>
          <w:sz w:val="15"/>
          <w:szCs w:val="15"/>
          <w:color w:val="auto"/>
        </w:rPr>
        <w:t>– Our San Juan Facility is expected to commence commercial operations in the first quarter of 2020. It is designed as a landed</w:t>
      </w:r>
      <w:r>
        <w:rPr>
          <w:rFonts w:ascii="Arial" w:cs="Arial" w:eastAsia="Arial" w:hAnsi="Arial"/>
          <w:sz w:val="15"/>
          <w:szCs w:val="15"/>
          <w:i w:val="1"/>
          <w:iCs w:val="1"/>
          <w:color w:val="auto"/>
        </w:rPr>
        <w:t xml:space="preserve"> </w:t>
      </w:r>
      <w:r>
        <w:rPr>
          <w:rFonts w:ascii="Arial" w:cs="Arial" w:eastAsia="Arial" w:hAnsi="Arial"/>
          <w:sz w:val="15"/>
          <w:szCs w:val="15"/>
          <w:color w:val="auto"/>
        </w:rPr>
        <w:t>micro-fuel handling facility located in the Port of San Juan, Puerto Rico (the “San Juan Facility”). We have leased the land under a long-term agreement. The San Juan Facility has multiple truck loading bays to provide LNG to on-island industrial users. In addition it will supply natural gas to Units 5 and 6 of the San Juan Combined Cycle Power Plant (the “San Juan Power Plant”), which are owned and operated by the Puerto Rico Electric Power Authority (“PREPA”). We are converting Units 5 and 6, which together have a capacity of 440 MW, to use natural gas as fuel and expect to supply both Units 5 and 6 with approximately 26 TBtu of natural gas per year, which would equal approximately 863,000 gallons of LNG (70,000 MMBtu) per day.</w:t>
      </w:r>
    </w:p>
    <w:p>
      <w:pPr>
        <w:spacing w:after="0" w:line="131" w:lineRule="exact"/>
        <w:rPr>
          <w:sz w:val="20"/>
          <w:szCs w:val="20"/>
          <w:color w:val="auto"/>
        </w:rPr>
      </w:pPr>
    </w:p>
    <w:p>
      <w:pPr>
        <w:ind w:right="140" w:firstLine="279"/>
        <w:spacing w:after="0" w:line="264" w:lineRule="auto"/>
        <w:rPr>
          <w:sz w:val="20"/>
          <w:szCs w:val="20"/>
          <w:color w:val="auto"/>
        </w:rPr>
      </w:pPr>
      <w:r>
        <w:rPr>
          <w:rFonts w:ascii="Arial" w:cs="Arial" w:eastAsia="Arial" w:hAnsi="Arial"/>
          <w:sz w:val="17"/>
          <w:szCs w:val="17"/>
          <w:i w:val="1"/>
          <w:iCs w:val="1"/>
          <w:color w:val="auto"/>
        </w:rPr>
        <w:t xml:space="preserve">La Paz, Baja California Sur, Mexico </w:t>
      </w:r>
      <w:r>
        <w:rPr>
          <w:rFonts w:ascii="Arial" w:cs="Arial" w:eastAsia="Arial" w:hAnsi="Arial"/>
          <w:sz w:val="17"/>
          <w:szCs w:val="17"/>
          <w:color w:val="auto"/>
        </w:rPr>
        <w:t>– We were awarded a public tender to build, own and operate an LNG regasification terminal (the “La Paz</w:t>
      </w:r>
      <w:r>
        <w:rPr>
          <w:rFonts w:ascii="Arial" w:cs="Arial" w:eastAsia="Arial" w:hAnsi="Arial"/>
          <w:sz w:val="17"/>
          <w:szCs w:val="17"/>
          <w:i w:val="1"/>
          <w:iCs w:val="1"/>
          <w:color w:val="auto"/>
        </w:rPr>
        <w:t xml:space="preserve"> </w:t>
      </w:r>
      <w:r>
        <w:rPr>
          <w:rFonts w:ascii="Arial" w:cs="Arial" w:eastAsia="Arial" w:hAnsi="Arial"/>
          <w:sz w:val="17"/>
          <w:szCs w:val="17"/>
          <w:color w:val="auto"/>
        </w:rPr>
        <w:t>Terminal”) on July 18, 2018. Our La Paz Terminal is currently under development and is expected to commence commercial operations in the fourth quarter of 2020. It is being designed as an LNG receiving terminal located at the Port of Pichilingue in Baja California Sur, Mexico, where LNG will be delivered via a small LNGC vessel or barge from a mothership moored nearby. Initially, the La Paz Terminal is expected to supply approximately 332,000 gallons of LNG (27,400 MMBtu) per day under an intercompany GSA for up to 135 MW of power supplied by three gas-fired mobile power units that we plan to develop, own and operate. Similarly, we expect that we will use the La Paz Terminal infrastructure, which includes truckloading bays, to facilitate the conversion of, and supply of approximately 123,000 gallons of LNG (10,165 MMBtu) per day to local power plants owned by the Comisión Federal de Electridad, as well as additional volumes to regional industrial users and hotels.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 w:name="page7"/>
    <w:bookmarkEnd w:id="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i w:val="1"/>
          <w:iCs w:val="1"/>
          <w:color w:val="auto"/>
        </w:rPr>
        <w:t xml:space="preserve">Shannon, Ireland </w:t>
      </w:r>
      <w:r>
        <w:rPr>
          <w:rFonts w:ascii="Arial" w:cs="Arial" w:eastAsia="Arial" w:hAnsi="Arial"/>
          <w:sz w:val="18"/>
          <w:szCs w:val="18"/>
          <w:color w:val="auto"/>
        </w:rPr>
        <w:t>– We have entered into an agreement to purchase all of the ownership interests in a project company that owns the rights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operate an LNG terminal and a CHP plant on the Shannon Estuary near Ballylongford, Ireland. We intend for this terminal to include a storage facility with onshore regasification equipment and pipeline connection into the distribution system of Gas Networks Ireland, Ireland’s national gas network (the “Ireland Terminal” and, together with the Jamaica Terminals, the San Juan Facility, the La Paz Terminal, the Puerto Sandino Terminal, and the Angola Terminal, our “Terminals”). We are in the process of obtaining final planning permission from the Commission for Regulation of Utilities in Ireland and we intend to begin construction of the Ireland Terminal after we have obtained such permission and secured contracts with downstream customers with volumes sufficient to support the development. We plan to deliver LNG to the Ireland Terminal via a traditional size LNGC. The equipment on site is expected to have the capacity to import and regasify more than 6 million gallons of LNG (500,000 MMBtu) per day, which is approximately the equivalent of Ireland’s total foreign natural gas imports. Additionally, we have planning permission approval to build an integrated 500 MW power plant on site with priority dispatch.</w:t>
      </w:r>
    </w:p>
    <w:p>
      <w:pPr>
        <w:spacing w:after="0" w:line="178" w:lineRule="exact"/>
        <w:rPr>
          <w:sz w:val="20"/>
          <w:szCs w:val="20"/>
          <w:color w:val="auto"/>
        </w:rPr>
      </w:pPr>
    </w:p>
    <w:p>
      <w:pPr>
        <w:ind w:right="20" w:firstLine="279"/>
        <w:spacing w:after="0" w:line="235" w:lineRule="auto"/>
        <w:rPr>
          <w:sz w:val="20"/>
          <w:szCs w:val="20"/>
          <w:color w:val="auto"/>
        </w:rPr>
      </w:pPr>
      <w:r>
        <w:rPr>
          <w:rFonts w:ascii="Arial" w:cs="Arial" w:eastAsia="Arial" w:hAnsi="Arial"/>
          <w:sz w:val="19"/>
          <w:szCs w:val="19"/>
          <w:i w:val="1"/>
          <w:iCs w:val="1"/>
          <w:color w:val="auto"/>
        </w:rPr>
        <w:t xml:space="preserve">Puerto Sandino, Nicaragua </w:t>
      </w:r>
      <w:r>
        <w:rPr>
          <w:rFonts w:ascii="Arial" w:cs="Arial" w:eastAsia="Arial" w:hAnsi="Arial"/>
          <w:sz w:val="19"/>
          <w:szCs w:val="19"/>
          <w:color w:val="auto"/>
        </w:rPr>
        <w:t>– We are designing and developing an offshore liquefied natural gas receiving, storage and regasification terminal off the</w:t>
      </w:r>
      <w:r>
        <w:rPr>
          <w:rFonts w:ascii="Arial" w:cs="Arial" w:eastAsia="Arial" w:hAnsi="Arial"/>
          <w:sz w:val="19"/>
          <w:szCs w:val="19"/>
          <w:i w:val="1"/>
          <w:iCs w:val="1"/>
          <w:color w:val="auto"/>
        </w:rPr>
        <w:t xml:space="preserve"> </w:t>
      </w:r>
      <w:r>
        <w:rPr>
          <w:rFonts w:ascii="Arial" w:cs="Arial" w:eastAsia="Arial" w:hAnsi="Arial"/>
          <w:sz w:val="19"/>
          <w:szCs w:val="19"/>
          <w:color w:val="auto"/>
        </w:rPr>
        <w:t>coast of Puerto Sandino, Nicaragua (the “Puerto Sandino Terminal”). The Puerto Sandino Terminal is expected to supply gas to a new approximately 300 MW natural gas-fired power plant (the “Nicaragua Power Plant”) that we will own and operate. We have entered into a 25-year power purchase agreement with Nicaragua’s electricity distribution companies, and under the terms of such agreement we expect to provide approximately 700,000 gallons of LNG (60,000 MMBtu) per day.</w:t>
      </w:r>
    </w:p>
    <w:p>
      <w:pPr>
        <w:spacing w:after="0" w:line="185" w:lineRule="exact"/>
        <w:rPr>
          <w:sz w:val="20"/>
          <w:szCs w:val="20"/>
          <w:color w:val="auto"/>
        </w:rPr>
      </w:pPr>
    </w:p>
    <w:p>
      <w:pPr>
        <w:ind w:right="580" w:firstLine="279"/>
        <w:spacing w:after="0"/>
        <w:rPr>
          <w:sz w:val="20"/>
          <w:szCs w:val="20"/>
          <w:color w:val="auto"/>
        </w:rPr>
      </w:pPr>
      <w:r>
        <w:rPr>
          <w:rFonts w:ascii="Arial" w:cs="Arial" w:eastAsia="Arial" w:hAnsi="Arial"/>
          <w:sz w:val="19"/>
          <w:szCs w:val="19"/>
          <w:i w:val="1"/>
          <w:iCs w:val="1"/>
          <w:color w:val="auto"/>
        </w:rPr>
        <w:t xml:space="preserve">Angola </w:t>
      </w:r>
      <w:r>
        <w:rPr>
          <w:rFonts w:ascii="Arial" w:cs="Arial" w:eastAsia="Arial" w:hAnsi="Arial"/>
          <w:sz w:val="19"/>
          <w:szCs w:val="19"/>
          <w:color w:val="auto"/>
        </w:rPr>
        <w:t>– Our terminal in Angola (the “Angola Terminal”) is under development. In June 2019, we signed a memorandum of understanding to</w:t>
      </w:r>
      <w:r>
        <w:rPr>
          <w:rFonts w:ascii="Arial" w:cs="Arial" w:eastAsia="Arial" w:hAnsi="Arial"/>
          <w:sz w:val="19"/>
          <w:szCs w:val="19"/>
          <w:i w:val="1"/>
          <w:iCs w:val="1"/>
          <w:color w:val="auto"/>
        </w:rPr>
        <w:t xml:space="preserve"> </w:t>
      </w:r>
      <w:r>
        <w:rPr>
          <w:rFonts w:ascii="Arial" w:cs="Arial" w:eastAsia="Arial" w:hAnsi="Arial"/>
          <w:sz w:val="19"/>
          <w:szCs w:val="19"/>
          <w:color w:val="auto"/>
        </w:rPr>
        <w:t>develop the Angola Terminal to supply natural gas to Angola for power generation. We are currently in active discussions to reach a definitive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LNG Supply Contracts and Liquefaction Assets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LNG Supply Contracts</w:t>
      </w:r>
    </w:p>
    <w:p>
      <w:pPr>
        <w:spacing w:after="0" w:line="200" w:lineRule="exact"/>
        <w:rPr>
          <w:sz w:val="20"/>
          <w:szCs w:val="20"/>
          <w:color w:val="auto"/>
        </w:rPr>
      </w:pPr>
    </w:p>
    <w:p>
      <w:pPr>
        <w:jc w:val="both"/>
        <w:ind w:right="20" w:firstLine="279"/>
        <w:spacing w:after="0"/>
        <w:rPr>
          <w:sz w:val="20"/>
          <w:szCs w:val="20"/>
          <w:color w:val="auto"/>
        </w:rPr>
      </w:pPr>
      <w:r>
        <w:rPr>
          <w:rFonts w:ascii="Arial" w:cs="Arial" w:eastAsia="Arial" w:hAnsi="Arial"/>
          <w:sz w:val="19"/>
          <w:szCs w:val="19"/>
          <w:color w:val="auto"/>
        </w:rPr>
        <w:t>On February 7, 2020, we entered into a long-term natural gas supply agreement with an established international gas supplier for the purchase of 27.5 TBtus per annum of liquefied natural gas at a price indexed to Henry Hub. This agreement, together with our existing gas supply agreements, provides us with a long-term committed supply of LNG for our increasing customer LNG demand.</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Liquefaction Assets</w:t>
      </w:r>
    </w:p>
    <w:p>
      <w:pPr>
        <w:spacing w:after="0" w:line="200" w:lineRule="exact"/>
        <w:rPr>
          <w:sz w:val="20"/>
          <w:szCs w:val="20"/>
          <w:color w:val="auto"/>
        </w:rPr>
      </w:pPr>
    </w:p>
    <w:p>
      <w:pPr>
        <w:ind w:right="60" w:firstLine="279"/>
        <w:spacing w:after="0" w:line="269" w:lineRule="auto"/>
        <w:rPr>
          <w:sz w:val="20"/>
          <w:szCs w:val="20"/>
          <w:color w:val="auto"/>
        </w:rPr>
      </w:pPr>
      <w:r>
        <w:rPr>
          <w:rFonts w:ascii="Arial" w:cs="Arial" w:eastAsia="Arial" w:hAnsi="Arial"/>
          <w:sz w:val="17"/>
          <w:szCs w:val="17"/>
          <w:color w:val="auto"/>
        </w:rPr>
        <w:t>We constructed the Miami Facility, which commenced full commercial operations in 2016, in under 12 months at a cost to build of approximately $70 million. The Miami Facility has one liquefaction train, with liquefaction production capacity of approximately 100,000 gallons of LNG (8,300 MMBtu) per day and was 97.7% dispatchable during 2019. The Miami Facility also has three LNG storage tanks, with total capacity of approximately 1,000 cubic meters. The Miami Facility also includes two separate LNG transfer areas capable of serving both truck and rail. We are currently delivering approximately 31,000 gallons of LNG (2,560 MMBtu) per day from the Miami Facility pursuant to long-term, take-or-pay contracts.</w:t>
      </w:r>
    </w:p>
    <w:p>
      <w:pPr>
        <w:spacing w:after="0" w:line="159" w:lineRule="exact"/>
        <w:rPr>
          <w:sz w:val="20"/>
          <w:szCs w:val="20"/>
          <w:color w:val="auto"/>
        </w:rPr>
      </w:pPr>
    </w:p>
    <w:p>
      <w:pPr>
        <w:ind w:right="40" w:firstLine="279"/>
        <w:spacing w:after="0" w:line="269" w:lineRule="auto"/>
        <w:rPr>
          <w:sz w:val="20"/>
          <w:szCs w:val="20"/>
          <w:color w:val="auto"/>
        </w:rPr>
      </w:pPr>
      <w:r>
        <w:rPr>
          <w:rFonts w:ascii="Arial" w:cs="Arial" w:eastAsia="Arial" w:hAnsi="Arial"/>
          <w:sz w:val="17"/>
          <w:szCs w:val="17"/>
          <w:color w:val="auto"/>
        </w:rPr>
        <w:t>We are currently evaluating the timing of the development of a natural gas liquefaction plant on land we have purchased in the Marcellus area of Pennsylvania (the “Pennsylvania Facility”, and together with the Miami Facility, the “Liquefaction Facilities”) and any required amendments to the engineering, procurement and construction contract or other agreements related to the development of the Pennsylvania Facility. In December 2019, the Pipeline and Hazardous Materials Safety Administration granted a special permit to one of our subsidiaries to ship LNG by rail, which would allow us to transport the LNG produced by the Pennsylvania Facility to a port for transloading onto marine vessels.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Current Customers</w:t>
      </w:r>
    </w:p>
    <w:p>
      <w:pPr>
        <w:spacing w:after="0" w:line="204" w:lineRule="exact"/>
        <w:rPr>
          <w:sz w:val="20"/>
          <w:szCs w:val="20"/>
          <w:color w:val="auto"/>
        </w:rPr>
      </w:pPr>
    </w:p>
    <w:p>
      <w:pPr>
        <w:ind w:firstLine="279"/>
        <w:spacing w:after="0" w:line="321" w:lineRule="auto"/>
        <w:rPr>
          <w:sz w:val="20"/>
          <w:szCs w:val="20"/>
          <w:color w:val="auto"/>
        </w:rPr>
      </w:pPr>
      <w:r>
        <w:rPr>
          <w:rFonts w:ascii="Arial" w:cs="Arial" w:eastAsia="Arial" w:hAnsi="Arial"/>
          <w:sz w:val="15"/>
          <w:szCs w:val="15"/>
          <w:color w:val="auto"/>
        </w:rPr>
        <w:t>Our downstream customers are, and we expect future customers to be, a mix of power, transportation and industrial users of natural gas and LNG. We seek to substantially reduce our customers’ fuel costs while providing them with a cleaner-burning, more environmentally 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123" w:lineRule="exact"/>
        <w:rPr>
          <w:sz w:val="20"/>
          <w:szCs w:val="20"/>
          <w:color w:val="auto"/>
        </w:rPr>
      </w:pPr>
    </w:p>
    <w:p>
      <w:pPr>
        <w:ind w:right="240" w:firstLine="279"/>
        <w:spacing w:after="0" w:line="308" w:lineRule="auto"/>
        <w:rPr>
          <w:sz w:val="20"/>
          <w:szCs w:val="20"/>
          <w:color w:val="auto"/>
        </w:rPr>
      </w:pPr>
      <w:r>
        <w:rPr>
          <w:rFonts w:ascii="Arial" w:cs="Arial" w:eastAsia="Arial" w:hAnsi="Arial"/>
          <w:sz w:val="17"/>
          <w:szCs w:val="17"/>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26" w:lineRule="exact"/>
        <w:rPr>
          <w:sz w:val="20"/>
          <w:szCs w:val="20"/>
          <w:color w:val="auto"/>
        </w:rPr>
      </w:pPr>
    </w:p>
    <w:p>
      <w:pPr>
        <w:ind w:right="500" w:firstLine="279"/>
        <w:spacing w:after="0" w:line="250" w:lineRule="auto"/>
        <w:rPr>
          <w:sz w:val="20"/>
          <w:szCs w:val="20"/>
          <w:color w:val="auto"/>
        </w:rPr>
      </w:pPr>
      <w:r>
        <w:rPr>
          <w:rFonts w:ascii="Arial" w:cs="Arial" w:eastAsia="Arial" w:hAnsi="Arial"/>
          <w:sz w:val="19"/>
          <w:szCs w:val="19"/>
          <w:color w:val="auto"/>
        </w:rPr>
        <w:t>A limited number of customers currently represent a large percentage of our income. For the year ended December 31, 2019, revenue from two significant customers constituted 86% of total revenues.</w:t>
      </w:r>
    </w:p>
    <w:p>
      <w:pPr>
        <w:spacing w:after="0" w:line="172" w:lineRule="exact"/>
        <w:rPr>
          <w:sz w:val="20"/>
          <w:szCs w:val="20"/>
          <w:color w:val="auto"/>
        </w:rPr>
      </w:pPr>
    </w:p>
    <w:p>
      <w:pPr>
        <w:ind w:right="160" w:firstLine="279"/>
        <w:spacing w:after="0" w:line="237" w:lineRule="auto"/>
        <w:rPr>
          <w:sz w:val="20"/>
          <w:szCs w:val="20"/>
          <w:color w:val="auto"/>
        </w:rPr>
      </w:pPr>
      <w:r>
        <w:rPr>
          <w:rFonts w:ascii="Arial" w:cs="Arial" w:eastAsia="Arial" w:hAnsi="Arial"/>
          <w:sz w:val="19"/>
          <w:szCs w:val="19"/>
          <w:color w:val="auto"/>
        </w:rPr>
        <w:t>We have several contracts with government affiliated entities in Jamaica, including contracts with JPS, JPC and Jamalco (as defined below and collectively, the “Jamaica GSAs”). The Jamaica GSAs represent approximately 50% of Jamaica’s installed power capacity and sales of approximately 955,000 gallons of LNG (79,000 MMBtu) per day. The Jamaica GSAs have remaining terms of approximately 20 years, with mutual options to extend, subject to certain conditions.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 w:name="page8"/>
    <w:bookmarkEnd w:id="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60" w:firstLine="279"/>
        <w:spacing w:after="0" w:line="250" w:lineRule="auto"/>
        <w:rPr>
          <w:sz w:val="20"/>
          <w:szCs w:val="20"/>
          <w:color w:val="auto"/>
        </w:rPr>
      </w:pPr>
      <w:r>
        <w:rPr>
          <w:rFonts w:ascii="Arial" w:cs="Arial" w:eastAsia="Arial" w:hAnsi="Arial"/>
          <w:sz w:val="19"/>
          <w:szCs w:val="19"/>
          <w:color w:val="auto"/>
        </w:rPr>
        <w:t>The aggregate minimum quantities we are required to deliver, and our counterparties are required to purchase, under the Jamaica GSAs initially, total approximately 56,200 MMBtu per day.</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Bogue Power Plant</w:t>
      </w:r>
    </w:p>
    <w:p>
      <w:pPr>
        <w:spacing w:after="0" w:line="200" w:lineRule="exact"/>
        <w:rPr>
          <w:sz w:val="20"/>
          <w:szCs w:val="20"/>
          <w:color w:val="auto"/>
        </w:rPr>
      </w:pPr>
    </w:p>
    <w:p>
      <w:pPr>
        <w:ind w:right="520" w:firstLine="279"/>
        <w:spacing w:after="0" w:line="250" w:lineRule="auto"/>
        <w:rPr>
          <w:sz w:val="20"/>
          <w:szCs w:val="20"/>
          <w:color w:val="auto"/>
        </w:rPr>
      </w:pPr>
      <w:r>
        <w:rPr>
          <w:rFonts w:ascii="Arial" w:cs="Arial" w:eastAsia="Arial" w:hAnsi="Arial"/>
          <w:sz w:val="19"/>
          <w:szCs w:val="19"/>
          <w:color w:val="auto"/>
        </w:rPr>
        <w:t>We have executed a 22-year agreement to supply JPS’s 145 MW Bogue power plant (the “Bogue Power Plant”) in Montego Bay, Jamaica with natural gas. The Bogue Power Plant has been converted to run on natural gas as well as ADO as backup fuel.</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Old Harbour Power Plant</w:t>
      </w:r>
    </w:p>
    <w:p>
      <w:pPr>
        <w:spacing w:after="0" w:line="200" w:lineRule="exact"/>
        <w:rPr>
          <w:sz w:val="20"/>
          <w:szCs w:val="20"/>
          <w:color w:val="auto"/>
        </w:rPr>
      </w:pPr>
    </w:p>
    <w:p>
      <w:pPr>
        <w:ind w:right="260" w:firstLine="279"/>
        <w:spacing w:after="0" w:line="250" w:lineRule="auto"/>
        <w:rPr>
          <w:sz w:val="20"/>
          <w:szCs w:val="20"/>
          <w:color w:val="auto"/>
        </w:rPr>
      </w:pPr>
      <w:r>
        <w:rPr>
          <w:rFonts w:ascii="Arial" w:cs="Arial" w:eastAsia="Arial" w:hAnsi="Arial"/>
          <w:sz w:val="19"/>
          <w:szCs w:val="19"/>
          <w:color w:val="auto"/>
        </w:rPr>
        <w:t>We have also executed an agreement to supply JPC’s Old Harbour Power Plant in Old Harbour, Jamaica with natural gas and back-up ADO for 20 years. The Old Harbour Power Plant is an approximately 190 MW capacity dual fuel plant owned by JPC.</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Jamalco CHP Plant</w:t>
      </w:r>
    </w:p>
    <w:p>
      <w:pPr>
        <w:spacing w:after="0" w:line="200" w:lineRule="exact"/>
        <w:rPr>
          <w:sz w:val="20"/>
          <w:szCs w:val="20"/>
          <w:color w:val="auto"/>
        </w:rPr>
      </w:pPr>
    </w:p>
    <w:p>
      <w:pPr>
        <w:ind w:right="60" w:firstLine="279"/>
        <w:spacing w:after="0" w:line="273" w:lineRule="auto"/>
        <w:rPr>
          <w:sz w:val="20"/>
          <w:szCs w:val="20"/>
          <w:color w:val="auto"/>
        </w:rPr>
      </w:pPr>
      <w:r>
        <w:rPr>
          <w:rFonts w:ascii="Arial" w:cs="Arial" w:eastAsia="Arial" w:hAnsi="Arial"/>
          <w:sz w:val="17"/>
          <w:szCs w:val="17"/>
          <w:color w:val="auto"/>
        </w:rPr>
        <w:t>We have also executed a suite of agreements, including a 20-year SSA to supply a joint venture between General Alumina Jamaica (“GAJ”), a subsidiary of Noble Group, and Clarendon Alumina Production Limited, an entity owned by the Government of Jamaica, with a focus on bauxite mining and alumina production in Jamaica (“Jamalco”) with steam for use in its alumina refinery operations and a 20-year PPA to supply electricity to JPS. The CHP Plant is a 150 MW capacity combined heat and power plant and is fueled by natural gas with the ability to run on ADO as a backup fuel source.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PREPA San Juan Power Plant</w:t>
      </w:r>
    </w:p>
    <w:p>
      <w:pPr>
        <w:spacing w:after="0" w:line="200" w:lineRule="exact"/>
        <w:rPr>
          <w:sz w:val="20"/>
          <w:szCs w:val="20"/>
          <w:color w:val="auto"/>
        </w:rPr>
      </w:pPr>
    </w:p>
    <w:p>
      <w:pPr>
        <w:ind w:right="280" w:firstLine="279"/>
        <w:spacing w:after="0" w:line="237" w:lineRule="auto"/>
        <w:rPr>
          <w:sz w:val="20"/>
          <w:szCs w:val="20"/>
          <w:color w:val="auto"/>
        </w:rPr>
      </w:pPr>
      <w:r>
        <w:rPr>
          <w:rFonts w:ascii="Arial" w:cs="Arial" w:eastAsia="Arial" w:hAnsi="Arial"/>
          <w:sz w:val="19"/>
          <w:szCs w:val="19"/>
          <w:color w:val="auto"/>
        </w:rPr>
        <w:t>On March 5, 2019 we entered into an agreement with PREPA, under which we are providing development services to convert Units 5 and 6 of the San Juan Power Plant, which together have a capacity of 440 MW, and we are supplying natural gas fuel to Units 5 and 6. The natural gas supply agreement has an initial natural gas supply term of 5 years from the beginning of commercial operations of the Units on natural gas and has three separate 5-year extensions that are exercisable at PREPA’s option.</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Nicaragua Power Plant</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February 13, 2020, we entered into a 25-year power purchase agreement to supply electricity to Nicaragua’s electricity distribution companies.</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Under the terms of the agreement, we will construct a natural gas-fired power plant with a capacity of approximately 300 MW.</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Industrial End-User Sales</w:t>
      </w:r>
    </w:p>
    <w:p>
      <w:pPr>
        <w:spacing w:after="0" w:line="200" w:lineRule="exact"/>
        <w:rPr>
          <w:sz w:val="20"/>
          <w:szCs w:val="20"/>
          <w:color w:val="auto"/>
        </w:rPr>
      </w:pPr>
    </w:p>
    <w:p>
      <w:pPr>
        <w:ind w:right="180" w:firstLine="279"/>
        <w:spacing w:after="0" w:line="260" w:lineRule="auto"/>
        <w:rPr>
          <w:sz w:val="20"/>
          <w:szCs w:val="20"/>
          <w:color w:val="auto"/>
        </w:rPr>
      </w:pPr>
      <w:r>
        <w:rPr>
          <w:rFonts w:ascii="Arial" w:cs="Arial" w:eastAsia="Arial" w:hAnsi="Arial"/>
          <w:sz w:val="18"/>
          <w:szCs w:val="18"/>
          <w:color w:val="auto"/>
        </w:rPr>
        <w:t>We have entered into multiple long-term contracts to sell LNG and natural gas directly to industrial end-users in Jamaica and Puerto Rico. To fulfill the requirements of our end-user customers, we transport LNG through our Terminals (either from our Liquefaction Facilities in the United States or from third parties in market purchases) and deliver such LNG directly to customers’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204" w:lineRule="exact"/>
        <w:rPr>
          <w:sz w:val="20"/>
          <w:szCs w:val="20"/>
          <w:color w:val="auto"/>
        </w:rPr>
      </w:pPr>
    </w:p>
    <w:p>
      <w:pPr>
        <w:ind w:firstLine="279"/>
        <w:spacing w:after="0" w:line="249" w:lineRule="auto"/>
        <w:rPr>
          <w:sz w:val="20"/>
          <w:szCs w:val="20"/>
          <w:color w:val="auto"/>
        </w:rPr>
      </w:pPr>
      <w:r>
        <w:rPr>
          <w:rFonts w:ascii="Arial" w:cs="Arial" w:eastAsia="Arial" w:hAnsi="Arial"/>
          <w:sz w:val="18"/>
          <w:szCs w:val="18"/>
          <w:color w:val="auto"/>
        </w:rPr>
        <w:t>In marketing LNG and natural gas, we compete for sales of LNG and natural gas with a variety of competitors, including: major integrated marketers who have large amounts of capital to support their marketing operations and offer a full-range of services and market numerous products other than natural gas; producer marketers who sell their own natural gas production or the production of an affiliated natural gas production company; small geographically focused marketers who focus on marketing natural gas for the geographic area in which their affiliated distributor operates; and aggregators who gather small volumes of natural gas from various sources, combine them and sell the larger volumes for more favorable prices and terms than would be possible selling the smaller volumes separately.</w:t>
      </w:r>
    </w:p>
    <w:p>
      <w:pPr>
        <w:spacing w:after="0" w:line="175" w:lineRule="exact"/>
        <w:rPr>
          <w:sz w:val="20"/>
          <w:szCs w:val="20"/>
          <w:color w:val="auto"/>
        </w:rPr>
      </w:pPr>
    </w:p>
    <w:p>
      <w:pPr>
        <w:ind w:right="180" w:firstLine="279"/>
        <w:spacing w:after="0" w:line="260" w:lineRule="auto"/>
        <w:rPr>
          <w:sz w:val="20"/>
          <w:szCs w:val="20"/>
          <w:color w:val="auto"/>
        </w:rPr>
      </w:pPr>
      <w:r>
        <w:rPr>
          <w:rFonts w:ascii="Arial" w:cs="Arial" w:eastAsia="Arial" w:hAnsi="Arial"/>
          <w:sz w:val="18"/>
          <w:szCs w:val="18"/>
          <w:color w:val="auto"/>
        </w:rPr>
        <w:t>However, we do not expect to experience significant competition for our LNG logistics services with respect to the Terminals to the extent we have entered into fixed GSAs or other long-term agreements we serve through the Terminals. If and when we have to replace our agreements with our counterparties, we may compete with other then-existing LNG logistics companies for these customers.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There are no other liquefaction terminals currently in operation in Southern Florida.</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In purchasing LNG as part of our logistics business, we will compete for supplies of LNG with: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ind w:left="287" w:right="580" w:hanging="287"/>
        <w:spacing w:after="0" w:line="291" w:lineRule="auto"/>
        <w:tabs>
          <w:tab w:leader="none" w:pos="287" w:val="left"/>
        </w:tabs>
        <w:numPr>
          <w:ilvl w:val="0"/>
          <w:numId w:val="4"/>
        </w:numPr>
        <w:rPr>
          <w:rFonts w:ascii="Arial" w:cs="Arial" w:eastAsia="Arial" w:hAnsi="Arial"/>
          <w:sz w:val="15"/>
          <w:szCs w:val="15"/>
          <w:color w:val="auto"/>
        </w:rPr>
      </w:pPr>
      <w:r>
        <w:rPr>
          <w:rFonts w:ascii="Arial" w:cs="Arial" w:eastAsia="Arial" w:hAnsi="Arial"/>
          <w:sz w:val="15"/>
          <w:szCs w:val="15"/>
          <w:color w:val="auto"/>
        </w:rPr>
        <w:t>large, multinational and national companies with longer operating histories, more development experience, greater name recognition, larger staffs and substantially greater financial, technical and marketing resources;</w:t>
      </w:r>
    </w:p>
    <w:p>
      <w:pPr>
        <w:spacing w:after="0" w:line="162" w:lineRule="exact"/>
        <w:rPr>
          <w:rFonts w:ascii="Arial" w:cs="Arial" w:eastAsia="Arial" w:hAnsi="Arial"/>
          <w:sz w:val="15"/>
          <w:szCs w:val="15"/>
          <w:color w:val="auto"/>
        </w:rPr>
      </w:pPr>
    </w:p>
    <w:p>
      <w:pPr>
        <w:ind w:left="287" w:hanging="287"/>
        <w:spacing w:after="0"/>
        <w:tabs>
          <w:tab w:leader="none" w:pos="287" w:val="left"/>
        </w:tabs>
        <w:numPr>
          <w:ilvl w:val="0"/>
          <w:numId w:val="4"/>
        </w:numPr>
        <w:rPr>
          <w:rFonts w:ascii="Arial" w:cs="Arial" w:eastAsia="Arial" w:hAnsi="Arial"/>
          <w:sz w:val="15"/>
          <w:szCs w:val="15"/>
          <w:color w:val="auto"/>
        </w:rPr>
      </w:pPr>
      <w:r>
        <w:rPr>
          <w:rFonts w:ascii="Arial" w:cs="Arial" w:eastAsia="Arial" w:hAnsi="Arial"/>
          <w:sz w:val="15"/>
          <w:szCs w:val="15"/>
          <w:color w:val="auto"/>
        </w:rPr>
        <w:t>oil and gas producers who sell or control LNG derived from their international oil and gas properties; and</w:t>
      </w:r>
    </w:p>
    <w:p>
      <w:pPr>
        <w:spacing w:after="0" w:line="222" w:lineRule="exact"/>
        <w:rPr>
          <w:rFonts w:ascii="Arial" w:cs="Arial" w:eastAsia="Arial" w:hAnsi="Arial"/>
          <w:sz w:val="15"/>
          <w:szCs w:val="15"/>
          <w:color w:val="auto"/>
        </w:rPr>
      </w:pPr>
    </w:p>
    <w:p>
      <w:pPr>
        <w:ind w:left="287" w:hanging="287"/>
        <w:spacing w:after="0"/>
        <w:tabs>
          <w:tab w:leader="none" w:pos="287" w:val="left"/>
        </w:tabs>
        <w:numPr>
          <w:ilvl w:val="0"/>
          <w:numId w:val="4"/>
        </w:numPr>
        <w:rPr>
          <w:rFonts w:ascii="Arial" w:cs="Arial" w:eastAsia="Arial" w:hAnsi="Arial"/>
          <w:sz w:val="15"/>
          <w:szCs w:val="15"/>
          <w:color w:val="auto"/>
        </w:rPr>
      </w:pPr>
      <w:r>
        <w:rPr>
          <w:rFonts w:ascii="Arial" w:cs="Arial" w:eastAsia="Arial" w:hAnsi="Arial"/>
          <w:sz w:val="15"/>
          <w:szCs w:val="15"/>
          <w:color w:val="auto"/>
        </w:rPr>
        <w:t>purchasers located in other countries where prevailing market prices can be substantially different from those in the United States.</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Government Regulation</w:t>
      </w:r>
    </w:p>
    <w:p>
      <w:pPr>
        <w:spacing w:after="0" w:line="204" w:lineRule="exact"/>
        <w:rPr>
          <w:sz w:val="20"/>
          <w:szCs w:val="20"/>
          <w:color w:val="auto"/>
        </w:rPr>
      </w:pPr>
    </w:p>
    <w:p>
      <w:pPr>
        <w:ind w:left="7" w:right="60" w:firstLine="279"/>
        <w:spacing w:after="0" w:line="269" w:lineRule="auto"/>
        <w:rPr>
          <w:sz w:val="20"/>
          <w:szCs w:val="20"/>
          <w:color w:val="auto"/>
        </w:rPr>
      </w:pPr>
      <w:r>
        <w:rPr>
          <w:rFonts w:ascii="Arial" w:cs="Arial" w:eastAsia="Arial" w:hAnsi="Arial"/>
          <w:sz w:val="17"/>
          <w:szCs w:val="17"/>
          <w:color w:val="auto"/>
        </w:rPr>
        <w:t>Our LNG infrastructure is,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DOE Export</w:t>
      </w:r>
    </w:p>
    <w:p>
      <w:pPr>
        <w:spacing w:after="0" w:line="200" w:lineRule="exact"/>
        <w:rPr>
          <w:sz w:val="20"/>
          <w:szCs w:val="20"/>
          <w:color w:val="auto"/>
        </w:rPr>
      </w:pPr>
    </w:p>
    <w:p>
      <w:pPr>
        <w:ind w:left="7" w:firstLine="279"/>
        <w:spacing w:after="0" w:line="264" w:lineRule="auto"/>
        <w:rPr>
          <w:sz w:val="20"/>
          <w:szCs w:val="20"/>
          <w:color w:val="auto"/>
        </w:rPr>
      </w:pPr>
      <w:r>
        <w:rPr>
          <w:rFonts w:ascii="Arial" w:cs="Arial" w:eastAsia="Arial" w:hAnsi="Arial"/>
          <w:sz w:val="17"/>
          <w:szCs w:val="17"/>
          <w:color w:val="auto"/>
        </w:rPr>
        <w:t>The DOE issued orders authorizing us, through our subsidiary, American LNG Marketing LLC or its designee, to export up to a combined total of the equivalent of 60,000 mtpa (approximately 3.02 Bcf/yr) of domestically produced LNG by tanker from the Miami Facility to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162" w:lineRule="exact"/>
        <w:rPr>
          <w:sz w:val="20"/>
          <w:szCs w:val="20"/>
          <w:color w:val="auto"/>
        </w:rPr>
      </w:pPr>
    </w:p>
    <w:p>
      <w:pPr>
        <w:ind w:left="7" w:firstLine="279"/>
        <w:spacing w:after="0" w:line="273" w:lineRule="auto"/>
        <w:rPr>
          <w:sz w:val="20"/>
          <w:szCs w:val="20"/>
          <w:color w:val="auto"/>
        </w:rPr>
      </w:pPr>
      <w:r>
        <w:rPr>
          <w:rFonts w:ascii="Arial" w:cs="Arial" w:eastAsia="Arial" w:hAnsi="Arial"/>
          <w:sz w:val="17"/>
          <w:szCs w:val="17"/>
          <w:color w:val="auto"/>
        </w:rPr>
        <w:t>Exports of natural gas to FTA countries are “deemed to be consistent with the public interest” and authorization to export LNG to FTA countries shall be granted by the DOE without “modification or delay.” FTA countries that import LNG now or will do so in the near future include Chile, Mexico, Singapore, South Korea and the Dominican Republic. Exports of natural gas to non-FTA countries are considered by the DOE in the context of a comment period whereby interveners are provided the opportunity to assert that such authorization would not be consistent with the public interest.</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9"/>
          <w:szCs w:val="19"/>
          <w:b w:val="1"/>
          <w:bCs w:val="1"/>
          <w:i w:val="1"/>
          <w:iCs w:val="1"/>
          <w:color w:val="auto"/>
        </w:rPr>
        <w:t>Pipelines and Hazardous Materials Safety Administration</w:t>
      </w:r>
    </w:p>
    <w:p>
      <w:pPr>
        <w:spacing w:after="0" w:line="200" w:lineRule="exact"/>
        <w:rPr>
          <w:sz w:val="20"/>
          <w:szCs w:val="20"/>
          <w:color w:val="auto"/>
        </w:rPr>
      </w:pPr>
    </w:p>
    <w:p>
      <w:pPr>
        <w:ind w:left="7" w:right="40" w:firstLine="279"/>
        <w:spacing w:after="0" w:line="264" w:lineRule="auto"/>
        <w:rPr>
          <w:sz w:val="20"/>
          <w:szCs w:val="20"/>
          <w:color w:val="auto"/>
        </w:rPr>
      </w:pPr>
      <w:r>
        <w:rPr>
          <w:rFonts w:ascii="Arial" w:cs="Arial" w:eastAsia="Arial" w:hAnsi="Arial"/>
          <w:sz w:val="17"/>
          <w:szCs w:val="17"/>
          <w:color w:val="auto"/>
        </w:rPr>
        <w:t>Many LNG facilities are also subject to regulation by the DOT, through the PHMSA; PHMSA has established requirements relating to the design, installation, testing, construction, operation, replacement and management of “pipeline facilities,” which PHMSA has defined to include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162" w:lineRule="exact"/>
        <w:rPr>
          <w:sz w:val="20"/>
          <w:szCs w:val="20"/>
          <w:color w:val="auto"/>
        </w:rPr>
      </w:pPr>
    </w:p>
    <w:p>
      <w:pPr>
        <w:ind w:left="7" w:firstLine="279"/>
        <w:spacing w:after="0" w:line="247" w:lineRule="auto"/>
        <w:rPr>
          <w:sz w:val="20"/>
          <w:szCs w:val="20"/>
          <w:color w:val="auto"/>
        </w:rPr>
      </w:pPr>
      <w:r>
        <w:rPr>
          <w:rFonts w:ascii="Arial" w:cs="Arial" w:eastAsia="Arial" w:hAnsi="Arial"/>
          <w:sz w:val="18"/>
          <w:szCs w:val="18"/>
          <w:color w:val="auto"/>
        </w:rPr>
        <w:t>In recent years, PHMSA’s regulation of pipeline facilities has become more stringent. For example, in October 2019, PHMSA published two final rules on gas pipeline safety. The Enhanced Emergency Order Procedures rule (effective December 2, 2019) implements an existing statutory authorization for PHMSA to issue emergency orders related to pipeline safety if unsafe conditions or practices, or a combination thereof, constitutes or causes an imminent hazard. The Safety of Gas Transmission Pipelines rule (effective July 1, 2020) requires operators of certain gas transmission pipelines to reconfirm the Maximum Allowable Operating Pressure of their lines and establishes a new “Moderate Consequence Area” (“MCA”) for determining regulatory requirements for gas transmission pipeline segments outside of HCAs. An MCA for gas pipelines is also based on population totals in addition to the existence of certain principal, high-capacity roadways, but an MCA does not meet the relative higher population totals required to be deemed an HCA and therefore such areas are located outside of HCA coverages.</w:t>
      </w:r>
    </w:p>
    <w:p>
      <w:pPr>
        <w:spacing w:after="0" w:line="34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9" w:name="page10"/>
    <w:bookmarkEnd w:id="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40" w:firstLine="279"/>
        <w:spacing w:after="0" w:line="234" w:lineRule="auto"/>
        <w:rPr>
          <w:sz w:val="20"/>
          <w:szCs w:val="20"/>
          <w:color w:val="auto"/>
        </w:rPr>
      </w:pPr>
      <w:r>
        <w:rPr>
          <w:rFonts w:ascii="Arial" w:cs="Arial" w:eastAsia="Arial" w:hAnsi="Arial"/>
          <w:sz w:val="19"/>
          <w:szCs w:val="19"/>
          <w:color w:val="auto"/>
        </w:rPr>
        <w:t>PHMSA is working on two additional rules related to gas pipeline safety. The rule entitled “Pipeline Safety: Safety of Gas Transmission Pipelines, Repair Criteria, Integrity Management Improvements, Cathodic Protection, Management of Change, and Other Related Amendments” is expected to adjust the repair criteria for pipelines in HCAs, create new criteria for pipelines in non-HCAs, and strengthen integrity management assessment requirements. The rule entitled “Safety of Gas Gathering Pipelines” is expected to require all gas gathering pipeline operators to report incidents and annual pipeline data and to extend regulatory safety requirements to certain gas gathering pipelines in rural areas. These additional rulemakings are expected to be published and effective by mid-2020. Similar to these efforts, PHMSA’s regulation of LNG facilities could become more stringent in the future.</w:t>
      </w:r>
    </w:p>
    <w:p>
      <w:pPr>
        <w:spacing w:after="0" w:line="182" w:lineRule="exact"/>
        <w:rPr>
          <w:sz w:val="20"/>
          <w:szCs w:val="20"/>
          <w:color w:val="auto"/>
        </w:rPr>
      </w:pPr>
    </w:p>
    <w:p>
      <w:pPr>
        <w:ind w:right="260" w:firstLine="279"/>
        <w:spacing w:after="0" w:line="277" w:lineRule="auto"/>
        <w:rPr>
          <w:sz w:val="20"/>
          <w:szCs w:val="20"/>
          <w:color w:val="auto"/>
        </w:rPr>
      </w:pPr>
      <w:r>
        <w:rPr>
          <w:rFonts w:ascii="Arial" w:cs="Arial" w:eastAsia="Arial" w:hAnsi="Arial"/>
          <w:sz w:val="18"/>
          <w:szCs w:val="18"/>
          <w:color w:val="auto"/>
        </w:rPr>
        <w:t>In December 2019, the Pipeline and Hazardous Materials Safety Administration granted a special permit to one of our subsidiaries to ship LNG by rail, which would allow us to ship the LNG produced by the Pennsylvania Facility to a port for transloading onto marine vessels.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w:t>
      </w:r>
    </w:p>
    <w:p>
      <w:pPr>
        <w:spacing w:after="0" w:line="200" w:lineRule="exact"/>
        <w:rPr>
          <w:sz w:val="20"/>
          <w:szCs w:val="20"/>
          <w:color w:val="auto"/>
        </w:rPr>
      </w:pPr>
    </w:p>
    <w:p>
      <w:pPr>
        <w:ind w:right="160" w:firstLine="279"/>
        <w:spacing w:after="0" w:line="248" w:lineRule="auto"/>
        <w:rPr>
          <w:sz w:val="20"/>
          <w:szCs w:val="20"/>
          <w:color w:val="auto"/>
        </w:rPr>
      </w:pPr>
      <w:r>
        <w:rPr>
          <w:rFonts w:ascii="Arial" w:cs="Arial" w:eastAsia="Arial" w:hAnsi="Arial"/>
          <w:sz w:val="18"/>
          <w:szCs w:val="18"/>
          <w:color w:val="auto"/>
        </w:rPr>
        <w:t>Our LNG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Clean Air Act</w:t>
      </w:r>
    </w:p>
    <w:p>
      <w:pPr>
        <w:spacing w:after="0" w:line="200" w:lineRule="exact"/>
        <w:rPr>
          <w:sz w:val="20"/>
          <w:szCs w:val="20"/>
          <w:color w:val="auto"/>
        </w:rPr>
      </w:pPr>
    </w:p>
    <w:p>
      <w:pPr>
        <w:ind w:firstLine="279"/>
        <w:spacing w:after="0" w:line="273" w:lineRule="auto"/>
        <w:rPr>
          <w:sz w:val="20"/>
          <w:szCs w:val="20"/>
          <w:color w:val="auto"/>
        </w:rPr>
      </w:pPr>
      <w:r>
        <w:rPr>
          <w:rFonts w:ascii="Arial" w:cs="Arial" w:eastAsia="Arial" w:hAnsi="Arial"/>
          <w:sz w:val="17"/>
          <w:szCs w:val="17"/>
          <w:color w:val="auto"/>
        </w:rPr>
        <w:t>Our LNG infrastructure is subject to the federal CAA and comparable state and local laws. We may be required to incur certain capital expenditures over the next several years for equipment to control air emissions as a condition to maintaining or obtaining permits and approvals. Alternatively, we may be required to restrict or limit the amount of LNG we produce or ship in order to obtain or maintain a permit. We do not believe, however, that our operations, or the construction and operations of our Liquefaction Facilities, will be materially and adversely affected by any such requirements.</w:t>
      </w:r>
    </w:p>
    <w:p>
      <w:pPr>
        <w:spacing w:after="0" w:line="156" w:lineRule="exact"/>
        <w:rPr>
          <w:sz w:val="20"/>
          <w:szCs w:val="20"/>
          <w:color w:val="auto"/>
        </w:rPr>
      </w:pPr>
    </w:p>
    <w:p>
      <w:pPr>
        <w:ind w:right="100" w:firstLine="279"/>
        <w:spacing w:after="0" w:line="247" w:lineRule="auto"/>
        <w:rPr>
          <w:sz w:val="20"/>
          <w:szCs w:val="20"/>
          <w:color w:val="auto"/>
        </w:rPr>
      </w:pPr>
      <w:r>
        <w:rPr>
          <w:rFonts w:ascii="Arial" w:cs="Arial" w:eastAsia="Arial" w:hAnsi="Arial"/>
          <w:sz w:val="18"/>
          <w:szCs w:val="18"/>
          <w:color w:val="auto"/>
        </w:rPr>
        <w:t>In 2009, the EPA promulgated and finalized the Mandatory Greenhouse Gas Reporting Rule for multiple sections of the economy. This rule requires mandatory reporting of GHG emissions from stationary fuel combustion sources as well as all fugitive emissions throughout LNG infrastructure. From time to time, Congress has considered proposed legislation directed at reducing GHG emissions, and the EPA has defined GHG emissions thresholds for requiring certain permits for new and existing industrial sources. In addition, many states have already taken regulatory action to monitor and/or reduce emissions of GHGs, primarily through the development of GHG emission inventories or regional GHG cap and trade programs. It is not possible at this time to predict how future regulations or legislation may address GHG emissions and impact our business. However, future regulations and laws could result in increased compliance costs or additional operating restrictions and could have a material adverse effect on our business, financial position, operating results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Coastal Zone Management Act (“CZMA”)</w:t>
      </w:r>
    </w:p>
    <w:p>
      <w:pPr>
        <w:spacing w:after="0" w:line="200" w:lineRule="exact"/>
        <w:rPr>
          <w:sz w:val="20"/>
          <w:szCs w:val="20"/>
          <w:color w:val="auto"/>
        </w:rPr>
      </w:pPr>
    </w:p>
    <w:p>
      <w:pPr>
        <w:ind w:right="200" w:firstLine="279"/>
        <w:spacing w:after="0" w:line="237" w:lineRule="auto"/>
        <w:rPr>
          <w:sz w:val="20"/>
          <w:szCs w:val="20"/>
          <w:color w:val="auto"/>
        </w:rPr>
      </w:pPr>
      <w:r>
        <w:rPr>
          <w:rFonts w:ascii="Arial" w:cs="Arial" w:eastAsia="Arial" w:hAnsi="Arial"/>
          <w:sz w:val="19"/>
          <w:szCs w:val="19"/>
          <w:color w:val="auto"/>
        </w:rPr>
        <w:t>LNG infrastructure may be subject to the review and requirements of the CZMA when facilities are located within the coastal zone. The CZMA is administered by the states (in Florida, via the Florida Coastal Management Program, which is coordinated by the Florida Department of Environmental Protection). This program is implemented to ensure that impacts to coastal areas are consistent with the intent of the CZMA and each state’s respective CZMA-authorized program to manage the coastal areas.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Clean Water Act</w:t>
      </w:r>
    </w:p>
    <w:p>
      <w:pPr>
        <w:spacing w:after="0" w:line="200" w:lineRule="exact"/>
        <w:rPr>
          <w:sz w:val="20"/>
          <w:szCs w:val="20"/>
          <w:color w:val="auto"/>
        </w:rPr>
      </w:pPr>
    </w:p>
    <w:p>
      <w:pPr>
        <w:ind w:right="200" w:firstLine="279"/>
        <w:spacing w:after="0" w:line="235" w:lineRule="auto"/>
        <w:rPr>
          <w:sz w:val="20"/>
          <w:szCs w:val="20"/>
          <w:color w:val="auto"/>
        </w:rPr>
      </w:pPr>
      <w:r>
        <w:rPr>
          <w:rFonts w:ascii="Arial" w:cs="Arial" w:eastAsia="Arial" w:hAnsi="Arial"/>
          <w:sz w:val="19"/>
          <w:szCs w:val="19"/>
          <w:color w:val="auto"/>
        </w:rPr>
        <w:t>Our LNG infrastructure is also subject to the federal CWA and analogous state and local laws. The CWA imposes strict controls on the discharge of pollutants into the waters of the United States, including discharges of wastewater and storm water runoff and fill/discharges into waters of the United States. Permits must be obtained prior to discharging pollutants into state and federal waters and before constructing infrastructure that requires the dredging and filling of waters of the United States. The CWA is administered by the EPA, the U.S. Army Corps of Engineers (“USACE”) and by the states via the applicable state agency.</w:t>
      </w:r>
    </w:p>
    <w:p>
      <w:pPr>
        <w:spacing w:after="0" w:line="185" w:lineRule="exact"/>
        <w:rPr>
          <w:sz w:val="20"/>
          <w:szCs w:val="20"/>
          <w:color w:val="auto"/>
        </w:rPr>
      </w:pPr>
    </w:p>
    <w:p>
      <w:pPr>
        <w:ind w:right="120" w:firstLine="279"/>
        <w:spacing w:after="0" w:line="237" w:lineRule="auto"/>
        <w:rPr>
          <w:sz w:val="20"/>
          <w:szCs w:val="20"/>
          <w:color w:val="auto"/>
        </w:rPr>
      </w:pPr>
      <w:r>
        <w:rPr>
          <w:rFonts w:ascii="Arial" w:cs="Arial" w:eastAsia="Arial" w:hAnsi="Arial"/>
          <w:sz w:val="19"/>
          <w:szCs w:val="19"/>
          <w:color w:val="auto"/>
        </w:rPr>
        <w:t>We are required to comply with numerous other federal, state and local environmental, health and safety laws and regulations in addition to those previously discussed. These additional laws include, for example, the Rivers and Harbors Act, the federal Resource Conservation and Recovery Act and comparable state statutes, the Endangered Species Act, the National Historic Preservation Act and the Emergency Planning and Community Right-to-Know Act, among others.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 w:name="page11"/>
    <w:bookmarkEnd w:id="1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40" w:firstLine="279"/>
        <w:spacing w:after="0" w:line="234" w:lineRule="auto"/>
        <w:rPr>
          <w:sz w:val="20"/>
          <w:szCs w:val="20"/>
          <w:color w:val="auto"/>
        </w:rPr>
      </w:pPr>
      <w:r>
        <w:rPr>
          <w:rFonts w:ascii="Arial" w:cs="Arial" w:eastAsia="Arial" w:hAnsi="Arial"/>
          <w:sz w:val="19"/>
          <w:szCs w:val="19"/>
          <w:color w:val="auto"/>
        </w:rPr>
        <w:t>Moreover, our current operations and future projects may be subject to additional federal permits, orders, approvals and consultations required by other federal agencies under these and other statutes, including the DOE, Advisory Council on Historic Preservation, the USACE, U.S. Department of Commerce, National Marine Fisheries Services, U.S. Department of the Interior, U.S. Fish and Wildlife Service, the EPA and U.S. Department of Homeland Security. In addition, federal permitting processes may trigger the requirements of the National Environmental Policy Act (“NEPA”), which requires federal agencies to evaluate major agency actions that have the potential to significantly impact the environment. State permitting regimes may require similar consultations with applicable state-level agencies and/or the preparation of a similar assessment of environmental impacts pursuant to state law.</w:t>
      </w:r>
    </w:p>
    <w:p>
      <w:pPr>
        <w:spacing w:after="0" w:line="182" w:lineRule="exact"/>
        <w:rPr>
          <w:sz w:val="20"/>
          <w:szCs w:val="20"/>
          <w:color w:val="auto"/>
        </w:rPr>
      </w:pPr>
    </w:p>
    <w:p>
      <w:pPr>
        <w:ind w:right="200" w:firstLine="279"/>
        <w:spacing w:after="0" w:line="273" w:lineRule="auto"/>
        <w:rPr>
          <w:sz w:val="20"/>
          <w:szCs w:val="20"/>
          <w:color w:val="auto"/>
        </w:rPr>
      </w:pPr>
      <w:r>
        <w:rPr>
          <w:rFonts w:ascii="Arial" w:cs="Arial" w:eastAsia="Arial" w:hAnsi="Arial"/>
          <w:sz w:val="17"/>
          <w:szCs w:val="17"/>
          <w:color w:val="auto"/>
        </w:rPr>
        <w:t>Additional federal permits that may be required to conduct our current operations or pursue future projects include, for example, a USACE Section 404 permit under the CWA and a Section 10 of the Rivers and Harbors Act Permit, a Title V Operating Permit under the CAA, a Prevention of Significant Deterioration Permit under the CAA and, where applicable, Federal Aviation Administration determinations or approvals relating to certain ground construction activities. Certain of these permits would trigger the requirements of the National Environmental Policy Act.</w:t>
      </w:r>
    </w:p>
    <w:p>
      <w:pPr>
        <w:spacing w:after="0" w:line="156" w:lineRule="exact"/>
        <w:rPr>
          <w:sz w:val="20"/>
          <w:szCs w:val="20"/>
          <w:color w:val="auto"/>
        </w:rPr>
      </w:pPr>
    </w:p>
    <w:p>
      <w:pPr>
        <w:ind w:right="140" w:firstLine="279"/>
        <w:spacing w:after="0" w:line="250" w:lineRule="auto"/>
        <w:rPr>
          <w:sz w:val="20"/>
          <w:szCs w:val="20"/>
          <w:color w:val="auto"/>
        </w:rPr>
      </w:pPr>
      <w:r>
        <w:rPr>
          <w:rFonts w:ascii="Arial" w:cs="Arial" w:eastAsia="Arial" w:hAnsi="Arial"/>
          <w:sz w:val="19"/>
          <w:szCs w:val="19"/>
          <w:color w:val="auto"/>
        </w:rPr>
        <w:t>Other local laws and regulations, including local zoning laws, critical infrastructure regulations and fire protection codes, may also affect where and how we operate.</w:t>
      </w:r>
    </w:p>
    <w:p>
      <w:pPr>
        <w:spacing w:after="0" w:line="172" w:lineRule="exact"/>
        <w:rPr>
          <w:sz w:val="20"/>
          <w:szCs w:val="20"/>
          <w:color w:val="auto"/>
        </w:rPr>
      </w:pPr>
    </w:p>
    <w:p>
      <w:pPr>
        <w:ind w:right="160" w:firstLine="279"/>
        <w:spacing w:after="0" w:line="250" w:lineRule="auto"/>
        <w:rPr>
          <w:sz w:val="20"/>
          <w:szCs w:val="20"/>
          <w:color w:val="auto"/>
        </w:rPr>
      </w:pPr>
      <w:r>
        <w:rPr>
          <w:rFonts w:ascii="Arial" w:cs="Arial" w:eastAsia="Arial" w:hAnsi="Arial"/>
          <w:sz w:val="19"/>
          <w:szCs w:val="19"/>
          <w:color w:val="auto"/>
        </w:rPr>
        <w:t>The costs of compliance with these requirements are not expected to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 in Ireland</w:t>
      </w:r>
    </w:p>
    <w:p>
      <w:pPr>
        <w:spacing w:after="0" w:line="200" w:lineRule="exact"/>
        <w:rPr>
          <w:sz w:val="20"/>
          <w:szCs w:val="20"/>
          <w:color w:val="auto"/>
        </w:rPr>
      </w:pPr>
    </w:p>
    <w:p>
      <w:pPr>
        <w:ind w:right="20" w:firstLine="279"/>
        <w:spacing w:after="0" w:line="260" w:lineRule="auto"/>
        <w:rPr>
          <w:sz w:val="20"/>
          <w:szCs w:val="20"/>
          <w:color w:val="auto"/>
        </w:rPr>
      </w:pPr>
      <w:r>
        <w:rPr>
          <w:rFonts w:ascii="Arial" w:cs="Arial" w:eastAsia="Arial" w:hAnsi="Arial"/>
          <w:sz w:val="17"/>
          <w:szCs w:val="17"/>
          <w:color w:val="auto"/>
        </w:rPr>
        <w:t>LNG deliveries, storage, regasification and use are extensively regulated in Ireland. Ireland regulates these operations at a national and local level through organic legislation and an array of permits. Ireland’s National Planning Board is the primary regulator for planning and construction, while the Irish Environmental Protection Agency issues industrial emissions licenses that regulate environmental and operational permitting. Safety regulation in Ireland is regulated pursuant to the Control of Major Accidents regime, which sets out various safety criteria that the LNG facility must meet. We are in the process of applying for all necessary permits to build and complete the Ireland Terminal. The issuance of many of these permits will be subject to administrative or judicial challenges, including by non-governmental groups that act on behalf of citizens. For example, in September 2018, an Irish non-governmental organization filed a judicial challenge to the extension of a planning permission associated with our Ireland Terminal. In a February 2019 written decision arising out of this judicial challenge, Ireland’s High Court referred several questions relating to the extensions to the European Court of Justice. In February 2020, the European Parliament voted to retain a group of energy infrastructure projects as eligible for EU funding, including the Shannon LNG project (as defined below). However, this decision may face further challenges and while this judicial review proceeds, we intend to file for a new planning permission that, if approved, would replace the permission whose extension is currently under challenge. We intend to begin construction of the Ireland Terminal after we have obtained a replacement planning permission (or, if earlier, received a favorable resolution to the challenge to the extension of our existing permission) and secured contracts with downstream customers for volumes that are sufficient to support the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 in Mexico</w:t>
      </w:r>
    </w:p>
    <w:p>
      <w:pPr>
        <w:spacing w:after="0" w:line="200" w:lineRule="exact"/>
        <w:rPr>
          <w:sz w:val="20"/>
          <w:szCs w:val="20"/>
          <w:color w:val="auto"/>
        </w:rPr>
      </w:pPr>
    </w:p>
    <w:p>
      <w:pPr>
        <w:ind w:firstLine="279"/>
        <w:spacing w:after="0" w:line="247" w:lineRule="auto"/>
        <w:rPr>
          <w:sz w:val="20"/>
          <w:szCs w:val="20"/>
          <w:color w:val="auto"/>
        </w:rPr>
      </w:pPr>
      <w:r>
        <w:rPr>
          <w:rFonts w:ascii="Arial" w:cs="Arial" w:eastAsia="Arial" w:hAnsi="Arial"/>
          <w:sz w:val="18"/>
          <w:szCs w:val="18"/>
          <w:color w:val="auto"/>
        </w:rPr>
        <w:t>Mexican law comprehensively regulates all aspects of the receipt, delivery, storage and re-vaporization of LNG as well as the generation and transmission of electricity. Various federal agencies in Mexico regulate these activities, including the Department of Environment and Natural Resources, Department of Communication and Transportation, Energy Regulatory Commission, and the Agency for Safety, Energy &amp; Environment, which issues permits for all activities associated with the use of fossil fuels. State and local agencies also regulate these activities, issuing permits and authorizing the use of property for such purposes. In order to be able to obtain various permits for operations under Mexican law, the project must first complete environmental and social impact analyses according to the requirements of Mexican law. Each such impact analysis is subject to further appeal. Mexican law allows the governmental entities and, in certain cases, individuals to pursue claims against violators of environmental laws or permits issued pursuant to such laws.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 in Jamaica</w:t>
      </w:r>
    </w:p>
    <w:p>
      <w:pPr>
        <w:spacing w:after="0" w:line="200" w:lineRule="exact"/>
        <w:rPr>
          <w:sz w:val="20"/>
          <w:szCs w:val="20"/>
          <w:color w:val="auto"/>
        </w:rPr>
      </w:pPr>
    </w:p>
    <w:p>
      <w:pPr>
        <w:ind w:right="80" w:firstLine="279"/>
        <w:spacing w:after="0" w:line="309" w:lineRule="auto"/>
        <w:rPr>
          <w:sz w:val="20"/>
          <w:szCs w:val="20"/>
          <w:color w:val="auto"/>
        </w:rPr>
      </w:pPr>
      <w:r>
        <w:rPr>
          <w:rFonts w:ascii="Arial" w:cs="Arial" w:eastAsia="Arial" w:hAnsi="Arial"/>
          <w:sz w:val="15"/>
          <w:szCs w:val="15"/>
          <w:color w:val="auto"/>
        </w:rPr>
        <w:t>Our operations in Jamaica are governed by various environmental laws and regulations. These laws and regulations are largely implemented through the National Environmental Protection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However, compliance has not had a material adverse effect on our business, operations, or financial condition. Jamaica is also in the process of developing a law to govern the receipt, storage, processing and distribution of natural gas, as well as requirements for the licensing, construction, and operation of natural gas terminals and transportation.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 w:name="page12"/>
    <w:bookmarkEnd w:id="1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 in Nicaragua</w:t>
      </w:r>
    </w:p>
    <w:p>
      <w:pPr>
        <w:spacing w:after="0" w:line="200" w:lineRule="exact"/>
        <w:rPr>
          <w:sz w:val="20"/>
          <w:szCs w:val="20"/>
          <w:color w:val="auto"/>
        </w:rPr>
      </w:pPr>
    </w:p>
    <w:p>
      <w:pPr>
        <w:ind w:right="40" w:firstLine="279"/>
        <w:spacing w:after="0" w:line="254" w:lineRule="auto"/>
        <w:rPr>
          <w:sz w:val="20"/>
          <w:szCs w:val="20"/>
          <w:color w:val="auto"/>
        </w:rPr>
      </w:pPr>
      <w:r>
        <w:rPr>
          <w:rFonts w:ascii="Arial" w:cs="Arial" w:eastAsia="Arial" w:hAnsi="Arial"/>
          <w:sz w:val="18"/>
          <w:szCs w:val="18"/>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future.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Environmental Regulation in Angola</w:t>
      </w:r>
    </w:p>
    <w:p>
      <w:pPr>
        <w:spacing w:after="0" w:line="200" w:lineRule="exact"/>
        <w:rPr>
          <w:sz w:val="20"/>
          <w:szCs w:val="20"/>
          <w:color w:val="auto"/>
        </w:rPr>
      </w:pPr>
    </w:p>
    <w:p>
      <w:pPr>
        <w:ind w:right="220" w:firstLine="279"/>
        <w:spacing w:after="0" w:line="234" w:lineRule="auto"/>
        <w:rPr>
          <w:sz w:val="20"/>
          <w:szCs w:val="20"/>
          <w:color w:val="auto"/>
        </w:rPr>
      </w:pPr>
      <w:r>
        <w:rPr>
          <w:rFonts w:ascii="Arial" w:cs="Arial" w:eastAsia="Arial" w:hAnsi="Arial"/>
          <w:sz w:val="19"/>
          <w:szCs w:val="19"/>
          <w:color w:val="auto"/>
        </w:rPr>
        <w:t>Angolan law regulates multiple aspects of activities with the potential to impact the environment in the country. The Ministry of Environment has primary responsibility for the development and implementation of the National Environmental Management Program and is also responsible for the implementation of licensing and approval laws, and associated regulations. In order to obtain various permits for operations, a project must complete environmental and social impact analyses according to Angolan law. While Angola does not currently have any legislation specifically addressing the receipt of natural gas, handling and distribution of natural gas are subject to agency oversight and approval, primarily through the Ministry for Mineral Resources and Petroleum.</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and International Maritime Regulations of LNG Vessels</w:t>
      </w:r>
    </w:p>
    <w:p>
      <w:pPr>
        <w:spacing w:after="0" w:line="200" w:lineRule="exact"/>
        <w:rPr>
          <w:sz w:val="20"/>
          <w:szCs w:val="20"/>
          <w:color w:val="auto"/>
        </w:rPr>
      </w:pPr>
    </w:p>
    <w:p>
      <w:pPr>
        <w:ind w:right="80" w:firstLine="279"/>
        <w:spacing w:after="0" w:line="249" w:lineRule="auto"/>
        <w:rPr>
          <w:sz w:val="20"/>
          <w:szCs w:val="20"/>
          <w:color w:val="auto"/>
        </w:rPr>
      </w:pPr>
      <w:r>
        <w:rPr>
          <w:rFonts w:ascii="Arial" w:cs="Arial" w:eastAsia="Arial" w:hAnsi="Arial"/>
          <w:sz w:val="18"/>
          <w:szCs w:val="18"/>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cargoes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also describing procedures for responding to emergencies.</w:t>
      </w:r>
    </w:p>
    <w:p>
      <w:pPr>
        <w:spacing w:after="0" w:line="175" w:lineRule="exact"/>
        <w:rPr>
          <w:sz w:val="20"/>
          <w:szCs w:val="20"/>
          <w:color w:val="auto"/>
        </w:rPr>
      </w:pPr>
    </w:p>
    <w:p>
      <w:pPr>
        <w:ind w:firstLine="279"/>
        <w:spacing w:after="0" w:line="262" w:lineRule="auto"/>
        <w:rPr>
          <w:sz w:val="20"/>
          <w:szCs w:val="20"/>
          <w:color w:val="auto"/>
        </w:rPr>
      </w:pPr>
      <w:r>
        <w:rPr>
          <w:rFonts w:ascii="Arial" w:cs="Arial" w:eastAsia="Arial" w:hAnsi="Arial"/>
          <w:sz w:val="17"/>
          <w:szCs w:val="17"/>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The completely revised and updated IGC Code entered into force on January 1, 2016, with an implementation/application date of July 1, 2016. The amendments were developed following a comprehensive five-year review and are intended to take into account the latest advances in science and technology. Compliance with the IGC Code must be evidenced by a Certificate of Fitness for the Carriage of Liquefied Gases in Bulk. The IMO International Convention for the Prevention of Pollution from Ships of 1973, as amended from time to time, and generally referred to as “MARPOL,” regulates air emissions through Annex VI regulations for the Prevention of Air Pollution from Ships (“Annex VI”), entered into force on May 19, 2005. Annex VI sets limits on sulfur oxide and nitrogen oxide emissions from ship exhausts, emissions of volatile compounds from cargo tanks and incineration of specific substances, and prohibits deliberate emissions of ozone depleting substances.</w:t>
      </w:r>
    </w:p>
    <w:p>
      <w:pPr>
        <w:spacing w:after="0" w:line="166" w:lineRule="exact"/>
        <w:rPr>
          <w:sz w:val="20"/>
          <w:szCs w:val="20"/>
          <w:color w:val="auto"/>
        </w:rPr>
      </w:pPr>
    </w:p>
    <w:p>
      <w:pPr>
        <w:ind w:right="60" w:firstLine="279"/>
        <w:spacing w:after="0" w:line="235" w:lineRule="auto"/>
        <w:rPr>
          <w:sz w:val="20"/>
          <w:szCs w:val="20"/>
          <w:color w:val="auto"/>
        </w:rPr>
      </w:pPr>
      <w:r>
        <w:rPr>
          <w:rFonts w:ascii="Arial" w:cs="Arial" w:eastAsia="Arial" w:hAnsi="Arial"/>
          <w:sz w:val="19"/>
          <w:szCs w:val="19"/>
          <w:color w:val="auto"/>
        </w:rPr>
        <w:t>Additionally, more stringent emission standards apply in coastal areas designated as Emission Control Areas (“ECAs”), such as the U.S. and Canadian coastal areas, which are designated by the Marine Environment Protection Committee. Effective August 1, 2012, certain coastal areas of North America were designated ECAs. Furthermore, as of January 1, 2014, portions of the U.S. Caribbean Sea were designated ECAs. Annex VI Regulation 14, which came into effect on January 1, 2015, set a 0.1% sulfur limit in areas of the Baltic Sea, North Sea, North America and U.S. Caribbean Sea that are ECAs.</w:t>
      </w:r>
    </w:p>
    <w:p>
      <w:pPr>
        <w:spacing w:after="0" w:line="185" w:lineRule="exact"/>
        <w:rPr>
          <w:sz w:val="20"/>
          <w:szCs w:val="20"/>
          <w:color w:val="auto"/>
        </w:rPr>
      </w:pPr>
    </w:p>
    <w:p>
      <w:pPr>
        <w:ind w:right="100" w:firstLine="279"/>
        <w:spacing w:after="0" w:line="237" w:lineRule="auto"/>
        <w:rPr>
          <w:sz w:val="20"/>
          <w:szCs w:val="20"/>
          <w:color w:val="auto"/>
        </w:rPr>
      </w:pPr>
      <w:r>
        <w:rPr>
          <w:rFonts w:ascii="Arial" w:cs="Arial" w:eastAsia="Arial" w:hAnsi="Arial"/>
          <w:sz w:val="19"/>
          <w:szCs w:val="19"/>
          <w:color w:val="auto"/>
        </w:rPr>
        <w:t>Amended Annex VI also establishes new tiers of stringent nitrogen oxide emissions standards for new marine engines, depending on their date of installation. The North Sea and Baltic Sea have been formally designated as ECAs for nitrogen oxides effective January 1, 2021. U.S. air emissions standards are now equivalent to these amended Annex VI requirements. Additional or new conventions, laws and regulations may be adopted that could require the installation of expensive emission control systems.</w:t>
      </w:r>
    </w:p>
    <w:p>
      <w:pPr>
        <w:spacing w:after="0" w:line="182" w:lineRule="exact"/>
        <w:rPr>
          <w:sz w:val="20"/>
          <w:szCs w:val="20"/>
          <w:color w:val="auto"/>
        </w:rPr>
      </w:pPr>
    </w:p>
    <w:p>
      <w:pPr>
        <w:ind w:right="20" w:firstLine="279"/>
        <w:spacing w:after="0" w:line="273" w:lineRule="auto"/>
        <w:rPr>
          <w:sz w:val="20"/>
          <w:szCs w:val="20"/>
          <w:color w:val="auto"/>
        </w:rPr>
      </w:pPr>
      <w:r>
        <w:rPr>
          <w:rFonts w:ascii="Arial" w:cs="Arial" w:eastAsia="Arial" w:hAnsi="Arial"/>
          <w:sz w:val="17"/>
          <w:szCs w:val="17"/>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For example, the IMO has promulgated regulations limiting the sulfur content of fuel oil for ships to 0.5 weight percent starting January 1, 2020. It is impossible to predict what additional regulations, if any, may be passed by the IMO and what effect, if any, such regulation may have on our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 w:name="page13"/>
    <w:bookmarkEnd w:id="1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LNG and Natural Gas Marketing Governmental Regulation</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Commodity Futures Trading Commission</w:t>
      </w:r>
    </w:p>
    <w:p>
      <w:pPr>
        <w:spacing w:after="0" w:line="200"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The Dodd-Frank Wall Street Reform and Consumer Protection Act (the “Dodd-Frank Act”) provides for federal regulation of the over-the-counter (“OTC”) derivatives market and entities, such as us, that participate in that market. The regulatory regime created by the Dodd-Frank Act is designed primarily to (1) regulate certain participants in the swaps markets, including entities falling within the categories of “Swap Dealer” and “Major Swap Participant,” (2) require clearing and exchange trading of certain classes of swaps as designated by the Commodity Futures Trading Commission (“CFTC”), (3) increase swap market transparency through robust reporting and recordkeeping requirements, (4) reduce financial risks in the derivatives market by imposing margin or collateral requirements on both cleared and, in certain cases, uncleared swaps, (5) provide the CFTC with expanded authority to establish position limits on certain swaps and future products as it finds necessary and appropriate, and (6) otherwise enhance the rulemaking and enforcement authority of the CFTC and the SEC regarding the derivatives markets. As required by the Dodd-Frank Act, the CFTC, the SEC and other regulators have been promulgating rules and regulations implementing the regulatory provisions of the Dodd-Frank Act, although neither the CFTC nor the SEC has yet adopted or implemented all of the rules required by the Dodd-Frank Act. In addition, the CFTC and its staff regularly issue rule amendments and guidance, policy statements and letters interpreting or taking no-action positions, including time-limited no action positions, regarding the derivatives provisions of the Dodd-Frank Act and the rules of the CFTC under these provisions.</w:t>
      </w:r>
    </w:p>
    <w:p>
      <w:pPr>
        <w:spacing w:after="0" w:line="167" w:lineRule="exact"/>
        <w:rPr>
          <w:sz w:val="20"/>
          <w:szCs w:val="20"/>
          <w:color w:val="auto"/>
        </w:rPr>
      </w:pPr>
    </w:p>
    <w:p>
      <w:pPr>
        <w:ind w:firstLine="279"/>
        <w:spacing w:after="0" w:line="265" w:lineRule="auto"/>
        <w:rPr>
          <w:sz w:val="20"/>
          <w:szCs w:val="20"/>
          <w:color w:val="auto"/>
        </w:rPr>
      </w:pPr>
      <w:r>
        <w:rPr>
          <w:rFonts w:ascii="Arial" w:cs="Arial" w:eastAsia="Arial" w:hAnsi="Arial"/>
          <w:sz w:val="17"/>
          <w:szCs w:val="17"/>
          <w:color w:val="auto"/>
        </w:rPr>
        <w:t>A provision of the Dodd-Frank Act requires the CFTC, in order to diminish or prevent excessive speculation in commodity markets, to adopt rules, as it finds necessary and appropriate, imposing new position limits on certain futures contracts, options contracts and economically equivalent physical commodity swaps and on OTC swaps that perform a significant price discovery function with respect to certain markets. In that regard, the CFTC has proposed position limits rules that would modify and expand the applicability of position limits on the amounts of certain core futures contracts and economically equivalent futures contracts, options contracts and swaps for or linked to certain physical commodities, including Henry Hub natural gas, that market participants may hold, subject to limited exemptions for certain bona fide hedging and other types of transactions. It is uncertain at this time whether, when and in what form the CFTC’s proposed new position limits rules may become final and effective.</w:t>
      </w:r>
    </w:p>
    <w:p>
      <w:pPr>
        <w:spacing w:after="0" w:line="162" w:lineRule="exact"/>
        <w:rPr>
          <w:sz w:val="20"/>
          <w:szCs w:val="20"/>
          <w:color w:val="auto"/>
        </w:rPr>
      </w:pPr>
    </w:p>
    <w:p>
      <w:pPr>
        <w:ind w:firstLine="279"/>
        <w:spacing w:after="0" w:line="309" w:lineRule="auto"/>
        <w:rPr>
          <w:sz w:val="20"/>
          <w:szCs w:val="20"/>
          <w:color w:val="auto"/>
        </w:rPr>
      </w:pPr>
      <w:r>
        <w:rPr>
          <w:rFonts w:ascii="Arial" w:cs="Arial" w:eastAsia="Arial" w:hAnsi="Arial"/>
          <w:sz w:val="15"/>
          <w:szCs w:val="15"/>
          <w:color w:val="auto"/>
        </w:rPr>
        <w:t>Pursuant to rules adopted by the CFTC, six classes of OTC interest rate and credit default swaps must be cleared through a derivatives clearing organization and executed on an exchange or swap execution facility. The CFTC has not yet proposed to designate any other classes of swaps, including swaps relating to physical commodities, for mandatory clearing, but could do so in the future. Although we expect to qualify for the “end-user exception” from the mandatory clearing and exchange-trading requirements applicable to any swaps that we enter into to hedge our commercial risks, the mandatory clearing and exchange-trading requirements may apply to other market participants, including our counterparties (who may be registered as Swap Dealers), with respect to other swaps, and the application of such rules may change the cost and availability of the swaps that we could use for hedging.</w:t>
      </w:r>
    </w:p>
    <w:p>
      <w:pPr>
        <w:spacing w:after="0" w:line="131" w:lineRule="exact"/>
        <w:rPr>
          <w:sz w:val="20"/>
          <w:szCs w:val="20"/>
          <w:color w:val="auto"/>
        </w:rPr>
      </w:pPr>
    </w:p>
    <w:p>
      <w:pPr>
        <w:ind w:firstLine="279"/>
        <w:spacing w:after="0" w:line="247" w:lineRule="auto"/>
        <w:rPr>
          <w:sz w:val="20"/>
          <w:szCs w:val="20"/>
          <w:color w:val="auto"/>
        </w:rPr>
      </w:pPr>
      <w:r>
        <w:rPr>
          <w:rFonts w:ascii="Arial" w:cs="Arial" w:eastAsia="Arial" w:hAnsi="Arial"/>
          <w:sz w:val="18"/>
          <w:szCs w:val="18"/>
          <w:color w:val="auto"/>
        </w:rPr>
        <w:t>As required by provisions of the Dodd-Frank Act, the CFTC and federal banking regulators have adopted rules to require Swap Dealers and Major Swap Participants, including those that are regulated financial institutions, to collect initial and variation margin with respect to uncleared swaps from their counterparties that are financial end-users, registered Swap Dealers or Major Swap Participants. These rules do not require collection of margin from commercial end-users who qualify for the end-user exception from the mandatory clearing requirement or certain other counterparties. We expect to qualify as such a commercial end-user with respect to the swaps that we enter into to hedge our commercial risks. However, the Dodd-Frank Act’s swaps regulatory provisions and the related rules may restrict our ability to monetize such contracts, cause us to restructure certain contracts, reduce the availability of derivatives to protect against risks or to optimize assets, adversely affect our ability to execute our hedging strategies and impact the liquidity of certain swaps products, all of which could increase our business costs.</w:t>
      </w:r>
    </w:p>
    <w:p>
      <w:pPr>
        <w:spacing w:after="0" w:line="178" w:lineRule="exact"/>
        <w:rPr>
          <w:sz w:val="20"/>
          <w:szCs w:val="20"/>
          <w:color w:val="auto"/>
        </w:rPr>
      </w:pPr>
    </w:p>
    <w:p>
      <w:pPr>
        <w:ind w:right="100" w:firstLine="279"/>
        <w:spacing w:after="0" w:line="267" w:lineRule="auto"/>
        <w:rPr>
          <w:sz w:val="20"/>
          <w:szCs w:val="20"/>
          <w:color w:val="auto"/>
        </w:rPr>
      </w:pPr>
      <w:r>
        <w:rPr>
          <w:rFonts w:ascii="Arial" w:cs="Arial" w:eastAsia="Arial" w:hAnsi="Arial"/>
          <w:sz w:val="17"/>
          <w:szCs w:val="17"/>
          <w:color w:val="auto"/>
        </w:rPr>
        <w:t>Under the Commodity Exchange Act as amended by the Dodd-Frank Act, the CFTC is directed generally to prevent manipulation, including by fraudulent or deceptive practices, in two markets: (1) physical commodities traded in interstate commerce, including physical energy and other commodities, as well as (2) financial instruments, such as futures, options and swaps. Pursuant to the Dodd-Frank Act, the CFTC has adopted additional anti-manipulation and anti-disruptive trading practices regulations that prohibit, among other things, manipulative or deceptive schemes in the physical commodities, futures, options and swaps markets. Should we violate these laws and regulations, we could be subject to a CFTC enforcement action and material penalties, possibly resulting in changes in the rates we can charge.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 w:name="page14"/>
    <w:bookmarkEnd w:id="1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European Market Infrastructure Regulation (“EMIR”)</w:t>
      </w:r>
    </w:p>
    <w:p>
      <w:pPr>
        <w:spacing w:after="0" w:line="200"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EMIR is a European Union (“EU”) regulation designed to increase the stability of the OTC derivative markets throughout the EU member states. EMIR regulates OTC derivatives, central counterparties and trade repositories and imposes requirements for certain market participants with respect to derivatives reporting, clearing and risk mitigation. In addition, certain market participants are subject to a central counterparty clearing obligation and collateral requirements. All non-cleared derivatives require risk management, including timely confirmations of transactions, portfolio reconciliation, portfolio compression (when there exist 500 or more OTC derivatives outstanding with a counterparty) and dispute resolution. In addition, standards for the imposition of margin requirements under EMIR were proposed in June 2015, under which the exchange of initial and variation margin in respect of certain non-cleared derivatives would be required, including from non-financial counterparties that are above the EMIR clearing threshold for the class of derivatives involved. Further, for non-cleared derivatives, outstanding contracts must be marked to market value daily or marked to model where conditions necessitate. Other EMIR risk management requirements for non-cleared derivatives are being considered, but those requirements have yet to be finalized.</w:t>
      </w:r>
    </w:p>
    <w:p>
      <w:pPr>
        <w:spacing w:after="0" w:line="178" w:lineRule="exact"/>
        <w:rPr>
          <w:sz w:val="20"/>
          <w:szCs w:val="20"/>
          <w:color w:val="auto"/>
        </w:rPr>
      </w:pPr>
    </w:p>
    <w:p>
      <w:pPr>
        <w:ind w:right="100" w:firstLine="279"/>
        <w:spacing w:after="0" w:line="308" w:lineRule="auto"/>
        <w:rPr>
          <w:sz w:val="20"/>
          <w:szCs w:val="20"/>
          <w:color w:val="auto"/>
        </w:rPr>
      </w:pPr>
      <w:r>
        <w:rPr>
          <w:rFonts w:ascii="Arial" w:cs="Arial" w:eastAsia="Arial" w:hAnsi="Arial"/>
          <w:sz w:val="17"/>
          <w:szCs w:val="17"/>
          <w:color w:val="auto"/>
        </w:rPr>
        <w:t>Under EMIR, covered entities must report all derivatives concluded and any modification or termination of a derivative to a registered or recognized trade repository within one business day of the transaction. Records related to derivatives must be retained for at least five years following termination.</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Regulation on Wholesale Energy Market Integrity and Transparency (“REMIT”)</w:t>
      </w:r>
    </w:p>
    <w:p>
      <w:pPr>
        <w:spacing w:after="0" w:line="200" w:lineRule="exact"/>
        <w:rPr>
          <w:sz w:val="20"/>
          <w:szCs w:val="20"/>
          <w:color w:val="auto"/>
        </w:rPr>
      </w:pPr>
    </w:p>
    <w:p>
      <w:pPr>
        <w:ind w:right="60" w:firstLine="279"/>
        <w:spacing w:after="0" w:line="246" w:lineRule="auto"/>
        <w:rPr>
          <w:sz w:val="20"/>
          <w:szCs w:val="20"/>
          <w:color w:val="auto"/>
        </w:rPr>
      </w:pPr>
      <w:r>
        <w:rPr>
          <w:rFonts w:ascii="Arial" w:cs="Arial" w:eastAsia="Arial" w:hAnsi="Arial"/>
          <w:sz w:val="18"/>
          <w:szCs w:val="18"/>
          <w:color w:val="auto"/>
        </w:rPr>
        <w:t>REMIT is an EU regulation that prohibits market manipulation and insider trading in European wholesale energy markets and imposes various obligations on participants in these markets. REMIT requires persons who enter into transactions, including the placing of orders to trade, in one or more wholesale energy markets in the EU to notify the applicable national regulatory authority (“NRA”) of suspected breaches and implement procedures to identify breaches. All market participants, such as us, must disclose inside information and cannot use inside information to buy or sell wholesale energy products for their own account or on behalf of a third party, directly or indirectly, induce others to buy or sell wholesale energy products based on inside information, or disclose such inside information to any other person except in the normal course of employment. Market participants must also register with the relevant NRA (the Office of Gas and Electricity Markets is the NRA in the United Kingdom) and provide a record of wholesale energy market transactions to the European Agency for the Cooperation of Energy Regulators (“ACER”) and information on capacity and utilization for production, storage, consumption or transmission.</w:t>
      </w:r>
    </w:p>
    <w:p>
      <w:pPr>
        <w:spacing w:after="0" w:line="182" w:lineRule="exact"/>
        <w:rPr>
          <w:sz w:val="20"/>
          <w:szCs w:val="20"/>
          <w:color w:val="auto"/>
        </w:rPr>
      </w:pPr>
    </w:p>
    <w:p>
      <w:pPr>
        <w:ind w:right="360" w:firstLine="279"/>
        <w:spacing w:after="0" w:line="269" w:lineRule="auto"/>
        <w:rPr>
          <w:sz w:val="20"/>
          <w:szCs w:val="20"/>
          <w:color w:val="auto"/>
        </w:rPr>
      </w:pPr>
      <w:r>
        <w:rPr>
          <w:rFonts w:ascii="Arial" w:cs="Arial" w:eastAsia="Arial" w:hAnsi="Arial"/>
          <w:sz w:val="17"/>
          <w:szCs w:val="17"/>
          <w:color w:val="auto"/>
        </w:rPr>
        <w:t>Market participants and third parties acting on their behalf are required to report transactions in wholesale energy contracts admitted to trading at organized market places and fundamental data from the European Network of Transmission System Operators for Electricity central information transparency platforms to ACER. Additional records of transactions and fundamental data with respect to the remaining wholesale energy contracts (OTC standard and non-standard supply contracts and transportation contracts) and reportable fundamental data from transmission system operators, storage system operators and LNG system operators had to be provided to ACER as of April 7, 2016.</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Markets in Financial Instruments Directive and Regulation (“MiFID II”)</w:t>
      </w:r>
    </w:p>
    <w:p>
      <w:pPr>
        <w:spacing w:after="0" w:line="200" w:lineRule="exact"/>
        <w:rPr>
          <w:sz w:val="20"/>
          <w:szCs w:val="20"/>
          <w:color w:val="auto"/>
        </w:rPr>
      </w:pPr>
    </w:p>
    <w:p>
      <w:pPr>
        <w:ind w:right="220" w:firstLine="279"/>
        <w:spacing w:after="0" w:line="235" w:lineRule="auto"/>
        <w:rPr>
          <w:sz w:val="20"/>
          <w:szCs w:val="20"/>
          <w:color w:val="auto"/>
        </w:rPr>
      </w:pPr>
      <w:r>
        <w:rPr>
          <w:rFonts w:ascii="Arial" w:cs="Arial" w:eastAsia="Arial" w:hAnsi="Arial"/>
          <w:sz w:val="19"/>
          <w:szCs w:val="19"/>
          <w:color w:val="auto"/>
        </w:rPr>
        <w:t>MiFID II refers to an EU directive and regulation (together with supplementary delegated acts) that came into effect on January 3, 2018. Under the current regulatory regime, set out in the Markets in Financial Instruments Directive (“MiFID”), we are exempt from needing authorization of any commodity derivative trading activities. MiFID II will narrow the scope of exemptions currently available under MiFID and broaden the directive’s application to the trading of MiFID commodity derivatives that can be physically settled and are traded on an organized trading facility, in addition to those that are traded on regulated markets or multilateral trading facilities.</w:t>
      </w:r>
    </w:p>
    <w:p>
      <w:pPr>
        <w:spacing w:after="0" w:line="185" w:lineRule="exact"/>
        <w:rPr>
          <w:sz w:val="20"/>
          <w:szCs w:val="20"/>
          <w:color w:val="auto"/>
        </w:rPr>
      </w:pPr>
    </w:p>
    <w:p>
      <w:pPr>
        <w:ind w:right="60" w:firstLine="279"/>
        <w:spacing w:after="0" w:line="261" w:lineRule="auto"/>
        <w:rPr>
          <w:sz w:val="20"/>
          <w:szCs w:val="20"/>
          <w:color w:val="auto"/>
        </w:rPr>
      </w:pPr>
      <w:r>
        <w:rPr>
          <w:rFonts w:ascii="Arial" w:cs="Arial" w:eastAsia="Arial" w:hAnsi="Arial"/>
          <w:sz w:val="17"/>
          <w:szCs w:val="17"/>
          <w:color w:val="auto"/>
        </w:rPr>
        <w:t>To the extent that we trade on our own account in MiFID commodity derivatives after MiFID II comes into force, we expect to be able to do so without requiring (i) authorization from any competent authority in the EU or (ii) (if and when available) registration with the European Securities and Markets Authority (“ESMA”) as a third country firm by relying, if needed by the relevant licensing laws of the EU jurisdictions in which our counterparties are based, on the “ancillary activity” exemption under MiFID II on the basis that (1) such activity is ancillary to our main business, when considered on a group basis, and that main business is not the provision of investment services or market making in relation to MiFID commodity derivatives; (2) we do not apply a high-frequency algorithmic trading technique; and (3) (if required to do so) we notify the relevant competent authority on an annual basis that we are relying on this exemption and, upon request, report the basis upon which we fall within the exemption. If, however, (x) no general exemption is available to us in the relevant EU jurisdiction in which any of our counterparties are based, (y) we are unable to meet the ancillary activity exemption, and (z) no other MiFID II exemption is available to us, we will need to become either authorized by the appropriate EU competent authority or (if applicable) register with ESMA as a third country firm in order to trade on our own account in MiFID commodity derivatives. Authorization by an EU competent authority would require our compliance with a variety of prudential and conduct of business rules.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firstLine="279"/>
        <w:spacing w:after="0" w:line="237" w:lineRule="auto"/>
        <w:rPr>
          <w:sz w:val="20"/>
          <w:szCs w:val="20"/>
          <w:color w:val="auto"/>
        </w:rPr>
      </w:pPr>
      <w:r>
        <w:rPr>
          <w:rFonts w:ascii="Arial" w:cs="Arial" w:eastAsia="Arial" w:hAnsi="Arial"/>
          <w:sz w:val="19"/>
          <w:szCs w:val="19"/>
          <w:color w:val="auto"/>
        </w:rPr>
        <w:t>Further, if we were to become authorized under MiFID II, we would be deemed to be a financial counterparty (instead of a non-financial counterparty that is not subject to the EMIR clearing obligation) for the purpose of EMIR. This may require us to clear relevant OTC derivative contracts through a central counterparty and subject us to additional reporting obligations and risk mitigation requirements under EMIR, including collateral exchange and marking transactions either to market or to an approved model.</w:t>
      </w:r>
    </w:p>
    <w:p>
      <w:pPr>
        <w:spacing w:after="0" w:line="182" w:lineRule="exact"/>
        <w:rPr>
          <w:sz w:val="20"/>
          <w:szCs w:val="20"/>
          <w:color w:val="auto"/>
        </w:rPr>
      </w:pPr>
    </w:p>
    <w:p>
      <w:pPr>
        <w:ind w:left="7" w:right="60" w:firstLine="279"/>
        <w:spacing w:after="0"/>
        <w:rPr>
          <w:sz w:val="20"/>
          <w:szCs w:val="20"/>
          <w:color w:val="auto"/>
        </w:rPr>
      </w:pPr>
      <w:r>
        <w:rPr>
          <w:rFonts w:ascii="Arial" w:cs="Arial" w:eastAsia="Arial" w:hAnsi="Arial"/>
          <w:sz w:val="19"/>
          <w:szCs w:val="19"/>
          <w:color w:val="auto"/>
        </w:rPr>
        <w:t>Irrespective of whether we are required to be authorized or registered under MiFID II we will be directly and indirectly impacted by MiFID II’s commodity derivatives position limits and position reporting requirements which include powers given to EU competent authorities to require persons to reduce their commodity derivatives positions.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Market Abuse Regulation (“MAR”)</w:t>
      </w:r>
    </w:p>
    <w:p>
      <w:pPr>
        <w:spacing w:after="0" w:line="200" w:lineRule="exact"/>
        <w:rPr>
          <w:sz w:val="20"/>
          <w:szCs w:val="20"/>
          <w:color w:val="auto"/>
        </w:rPr>
      </w:pPr>
    </w:p>
    <w:p>
      <w:pPr>
        <w:ind w:left="7" w:firstLine="279"/>
        <w:spacing w:after="0" w:line="259" w:lineRule="auto"/>
        <w:rPr>
          <w:sz w:val="20"/>
          <w:szCs w:val="20"/>
          <w:color w:val="auto"/>
        </w:rPr>
      </w:pPr>
      <w:r>
        <w:rPr>
          <w:rFonts w:ascii="Arial" w:cs="Arial" w:eastAsia="Arial" w:hAnsi="Arial"/>
          <w:sz w:val="17"/>
          <w:szCs w:val="17"/>
          <w:color w:val="auto"/>
        </w:rPr>
        <w:t>MAR, which came into effect on July 3, 2016, updated and strengthened the previous EU market abuse framework by extending its scope to new markets and by introducing new requirements. MAR’s scope was extended to MiFID financial instruments traded on an EU multilateral trading facility and (with effect from MiFID II implementation on January 3, 2018) on an EU organized trading facility as well as other financial instruments the price or value of which depends on, or has an effect on the price or value of financial instruments. The previous EU market abuse framework applied only to financial instruments admitted to trading on formally designated EU regulated markets and their related financial instruments. Further, MAR extends the EU market abuse framework to include behavior in relation to certain EU emission allowances and to certain spot commodity contracts. MAR effectively prohibits market abuse concerning relevant EU securities, derivatives, emission allowance products and certain spot commodity markets. This includes</w:t>
      </w:r>
    </w:p>
    <w:p>
      <w:pPr>
        <w:spacing w:after="0" w:line="3" w:lineRule="exact"/>
        <w:rPr>
          <w:sz w:val="20"/>
          <w:szCs w:val="20"/>
          <w:color w:val="auto"/>
        </w:rPr>
      </w:pPr>
    </w:p>
    <w:p>
      <w:pPr>
        <w:ind w:left="7" w:right="80" w:hanging="7"/>
        <w:spacing w:after="0" w:line="325" w:lineRule="auto"/>
        <w:tabs>
          <w:tab w:leader="none" w:pos="22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prohibition of trading in MiFID financial instruments on the basis of inside information, (ii) the improper disclosure of inside information relating to MiFID financial instruments, emission allowances or certain spot commodity contracts and (iii) the manipulation of prices of MiFID financial instruments, certain auctioned emission allowance products and certain spot commodity contracts using a number of prohibited behaviors or techniques.</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Local Partners</w:t>
      </w:r>
    </w:p>
    <w:p>
      <w:pPr>
        <w:spacing w:after="0" w:line="204" w:lineRule="exact"/>
        <w:rPr>
          <w:sz w:val="20"/>
          <w:szCs w:val="20"/>
          <w:color w:val="auto"/>
        </w:rPr>
      </w:pPr>
    </w:p>
    <w:p>
      <w:pPr>
        <w:ind w:left="7" w:right="220" w:firstLine="279"/>
        <w:spacing w:after="0" w:line="282" w:lineRule="auto"/>
        <w:rPr>
          <w:sz w:val="20"/>
          <w:szCs w:val="20"/>
          <w:color w:val="auto"/>
        </w:rPr>
      </w:pPr>
      <w:r>
        <w:rPr>
          <w:rFonts w:ascii="Arial" w:cs="Arial" w:eastAsia="Arial" w:hAnsi="Arial"/>
          <w:sz w:val="17"/>
          <w:szCs w:val="17"/>
          <w:color w:val="auto"/>
        </w:rPr>
        <w:t>One of our subsidiaries, Atlantic Distribution Holdings SRL, has entered into a partnership framework agreement (the “PFA”), with DevTech Environment Limited (“DevTech”). We have partnered with DevTech to pursue strategic investment opportunities related to energy, transportation and infrastructure projects in Jamaica with a total projected cost of development, construction or acquisition of no more than $5 million per project.</w:t>
      </w:r>
    </w:p>
    <w:p>
      <w:pPr>
        <w:spacing w:after="0" w:line="147" w:lineRule="exact"/>
        <w:rPr>
          <w:sz w:val="20"/>
          <w:szCs w:val="20"/>
          <w:color w:val="auto"/>
        </w:rPr>
      </w:pPr>
    </w:p>
    <w:p>
      <w:pPr>
        <w:ind w:left="7" w:right="160" w:firstLine="279"/>
        <w:spacing w:after="0" w:line="251" w:lineRule="auto"/>
        <w:rPr>
          <w:sz w:val="20"/>
          <w:szCs w:val="20"/>
          <w:color w:val="auto"/>
        </w:rPr>
      </w:pPr>
      <w:r>
        <w:rPr>
          <w:rFonts w:ascii="Arial" w:cs="Arial" w:eastAsia="Arial" w:hAnsi="Arial"/>
          <w:sz w:val="18"/>
          <w:szCs w:val="18"/>
          <w:color w:val="auto"/>
        </w:rPr>
        <w:t>Pursuant to the terms of the PFA, when we make an investment related to services provided by DevTech, DevTech will receive 10% of the equity capital in the new investment in exchange for a capital contribution in that proportion. In addition, DevTech will receive profits interests entitling DevTech to 5% of all future distributions once the parties have received a return on the investment equal to their capital contributions. Certain of our subsidiaries have entered into a suite of agreements pursuant to which DevTech became a part owner of our subsidiary NFE North Distribution Limited and received economic interests substantially equivalent to those set forth in the PFA.</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Suppliers and Working Capital</w:t>
      </w:r>
    </w:p>
    <w:p>
      <w:pPr>
        <w:spacing w:after="0" w:line="204" w:lineRule="exact"/>
        <w:rPr>
          <w:sz w:val="20"/>
          <w:szCs w:val="20"/>
          <w:color w:val="auto"/>
        </w:rPr>
      </w:pPr>
    </w:p>
    <w:p>
      <w:pPr>
        <w:ind w:left="7" w:right="40" w:firstLine="279"/>
        <w:spacing w:after="0" w:line="250" w:lineRule="auto"/>
        <w:rPr>
          <w:sz w:val="20"/>
          <w:szCs w:val="20"/>
          <w:color w:val="auto"/>
        </w:rPr>
      </w:pPr>
      <w:r>
        <w:rPr>
          <w:rFonts w:ascii="Arial" w:cs="Arial" w:eastAsia="Arial" w:hAnsi="Arial"/>
          <w:sz w:val="19"/>
          <w:szCs w:val="19"/>
          <w:color w:val="auto"/>
        </w:rPr>
        <w:t>We expect to continue to supply our downstream customers with LNG and natural gas sourced from a combination of long-term, LNG contracts with attractive terms, purchases on the open market, and from our Miami Facility.</w:t>
      </w:r>
    </w:p>
    <w:p>
      <w:pPr>
        <w:spacing w:after="0" w:line="172" w:lineRule="exact"/>
        <w:rPr>
          <w:sz w:val="20"/>
          <w:szCs w:val="20"/>
          <w:color w:val="auto"/>
        </w:rPr>
      </w:pPr>
    </w:p>
    <w:p>
      <w:pPr>
        <w:ind w:left="7" w:right="240" w:firstLine="279"/>
        <w:spacing w:after="0" w:line="250" w:lineRule="auto"/>
        <w:rPr>
          <w:sz w:val="20"/>
          <w:szCs w:val="20"/>
          <w:color w:val="auto"/>
        </w:rPr>
      </w:pPr>
      <w:r>
        <w:rPr>
          <w:rFonts w:ascii="Arial" w:cs="Arial" w:eastAsia="Arial" w:hAnsi="Arial"/>
          <w:sz w:val="19"/>
          <w:szCs w:val="19"/>
          <w:color w:val="auto"/>
        </w:rPr>
        <w:t>Due to the nature of our business, we currently carry significant amounts of LNG inventory to meet delivery requirements of customers and assure ourselves of a continuous allotment of goods from suppliers.</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Seasonality</w:t>
      </w:r>
    </w:p>
    <w:p>
      <w:pPr>
        <w:spacing w:after="0" w:line="204" w:lineRule="exact"/>
        <w:rPr>
          <w:sz w:val="20"/>
          <w:szCs w:val="20"/>
          <w:color w:val="auto"/>
        </w:rPr>
      </w:pPr>
    </w:p>
    <w:p>
      <w:pPr>
        <w:ind w:left="7" w:firstLine="279"/>
        <w:spacing w:after="0" w:line="265" w:lineRule="auto"/>
        <w:rPr>
          <w:sz w:val="20"/>
          <w:szCs w:val="20"/>
          <w:color w:val="auto"/>
        </w:rPr>
      </w:pPr>
      <w:r>
        <w:rPr>
          <w:rFonts w:ascii="Arial" w:cs="Arial" w:eastAsia="Arial" w:hAnsi="Arial"/>
          <w:sz w:val="17"/>
          <w:szCs w:val="17"/>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although following a hurricane, activity may decrease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 In addition, severe winter weather in the Northeast United States may impact the construction of our Pennsylvania Facility and affect the delivery of feedgas to the facility or LNG to and from ports in the region, among other things. Severe weather in Ireland, the Caribbean, Central America or Southern or Western Africa may also delay development of our Terminals under development and related infrastructure.</w:t>
      </w:r>
    </w:p>
    <w:p>
      <w:pPr>
        <w:spacing w:after="0" w:line="32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15" w:name="page16"/>
    <w:bookmarkEnd w:id="1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Insurance Coverage</w:t>
      </w:r>
    </w:p>
    <w:p>
      <w:pPr>
        <w:spacing w:after="0" w:line="204" w:lineRule="exact"/>
        <w:rPr>
          <w:sz w:val="20"/>
          <w:szCs w:val="20"/>
          <w:color w:val="auto"/>
        </w:rPr>
      </w:pPr>
    </w:p>
    <w:p>
      <w:pPr>
        <w:ind w:right="80" w:firstLine="279"/>
        <w:spacing w:after="0" w:line="254" w:lineRule="auto"/>
        <w:rPr>
          <w:sz w:val="20"/>
          <w:szCs w:val="20"/>
          <w:color w:val="auto"/>
        </w:rPr>
      </w:pPr>
      <w:r>
        <w:rPr>
          <w:rFonts w:ascii="Arial" w:cs="Arial" w:eastAsia="Arial" w:hAnsi="Arial"/>
          <w:sz w:val="18"/>
          <w:szCs w:val="18"/>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pollution liability, general liability and the portion of workers’ compensation not covered under a governmental program.</w:t>
      </w:r>
    </w:p>
    <w:p>
      <w:pPr>
        <w:spacing w:after="0" w:line="169" w:lineRule="exact"/>
        <w:rPr>
          <w:sz w:val="20"/>
          <w:szCs w:val="20"/>
          <w:color w:val="auto"/>
        </w:rPr>
      </w:pPr>
    </w:p>
    <w:p>
      <w:pPr>
        <w:ind w:right="120" w:firstLine="279"/>
        <w:spacing w:after="0" w:line="237" w:lineRule="auto"/>
        <w:rPr>
          <w:sz w:val="20"/>
          <w:szCs w:val="20"/>
          <w:color w:val="auto"/>
        </w:rPr>
      </w:pPr>
      <w:r>
        <w:rPr>
          <w:rFonts w:ascii="Arial" w:cs="Arial" w:eastAsia="Arial" w:hAnsi="Arial"/>
          <w:sz w:val="19"/>
          <w:szCs w:val="19"/>
          <w:color w:val="auto"/>
        </w:rPr>
        <w:t>We maintain property insurance, including named windstorm and flood, related to the operation of the Miami Facility, the Jamaica Terminals and builders risk insurance at our Terminals and facilities under development. We also maintain pollution liability insurance in the U.S. and other policies in the U.S. and outside of the U.S. customary for our industry. We do not currently maintain political risk insurance in any of the jurisdictions in which we operate.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Employees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We had 201 full-time employees as of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Property</w:t>
      </w:r>
    </w:p>
    <w:p>
      <w:pPr>
        <w:spacing w:after="0" w:line="204" w:lineRule="exact"/>
        <w:rPr>
          <w:sz w:val="20"/>
          <w:szCs w:val="20"/>
          <w:color w:val="auto"/>
        </w:rPr>
      </w:pPr>
    </w:p>
    <w:p>
      <w:pPr>
        <w:ind w:right="280" w:firstLine="279"/>
        <w:spacing w:after="0" w:line="282" w:lineRule="auto"/>
        <w:rPr>
          <w:sz w:val="20"/>
          <w:szCs w:val="20"/>
          <w:color w:val="auto"/>
        </w:rPr>
      </w:pPr>
      <w:r>
        <w:rPr>
          <w:rFonts w:ascii="Arial" w:cs="Arial" w:eastAsia="Arial" w:hAnsi="Arial"/>
          <w:sz w:val="17"/>
          <w:szCs w:val="17"/>
          <w:color w:val="auto"/>
        </w:rPr>
        <w:t>We lease space for our offices in New York, New York, Miami, Florida and in other regions in which we operate. We own the properties on which our Pennsylvania Facility will be located. Additionally, the properties on which our Terminals, the CHP Plant and Miami Facility are located are generally subject to long-term leases and rights-of-way. Our leased properties are subject to various lease terms and expirations.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Formation Transactions and Structure</w:t>
      </w:r>
    </w:p>
    <w:p>
      <w:pPr>
        <w:spacing w:after="0" w:line="204" w:lineRule="exact"/>
        <w:rPr>
          <w:sz w:val="20"/>
          <w:szCs w:val="20"/>
          <w:color w:val="auto"/>
        </w:rPr>
      </w:pPr>
    </w:p>
    <w:p>
      <w:pPr>
        <w:ind w:right="140" w:firstLine="279"/>
        <w:spacing w:after="0" w:line="237" w:lineRule="auto"/>
        <w:rPr>
          <w:sz w:val="20"/>
          <w:szCs w:val="20"/>
          <w:color w:val="auto"/>
        </w:rPr>
      </w:pPr>
      <w:r>
        <w:rPr>
          <w:rFonts w:ascii="Arial" w:cs="Arial" w:eastAsia="Arial" w:hAnsi="Arial"/>
          <w:sz w:val="19"/>
          <w:szCs w:val="19"/>
          <w:color w:val="auto"/>
        </w:rPr>
        <w:t>NFE was formed as a Delaware limited liability company by New Fortress Energy Holdings on August 6, 2018. NFE is a holding company whose only material asset consists of its indirect membership interests in NFI, which owns all of our operating subsidiaries. NFE is the sole managing member of NFI, is responsible for all operational, management and administrative decisions relating to NFI’s business and consolidates financial results of NFI and its subsidiaries.</w:t>
      </w:r>
    </w:p>
    <w:p>
      <w:pPr>
        <w:spacing w:after="0" w:line="182" w:lineRule="exact"/>
        <w:rPr>
          <w:sz w:val="20"/>
          <w:szCs w:val="20"/>
          <w:color w:val="auto"/>
        </w:rPr>
      </w:pPr>
    </w:p>
    <w:p>
      <w:pPr>
        <w:ind w:right="100" w:firstLine="279"/>
        <w:spacing w:after="0" w:line="254" w:lineRule="auto"/>
        <w:rPr>
          <w:sz w:val="20"/>
          <w:szCs w:val="20"/>
          <w:color w:val="auto"/>
        </w:rPr>
      </w:pPr>
      <w:r>
        <w:rPr>
          <w:rFonts w:ascii="Arial" w:cs="Arial" w:eastAsia="Arial" w:hAnsi="Arial"/>
          <w:sz w:val="18"/>
          <w:szCs w:val="18"/>
          <w:color w:val="auto"/>
        </w:rPr>
        <w:t>NFE’s initial public offering closed on February 4, 2019 (the “Offering”). In connection with the Offering, NFE issued 20,000,000 Class A shares to the public, representing limited liability company interests with 100% of the economic rights of NFE. In addition, the underwriters of the Offering exercised their option to purchase an additional 837,272 Class A shares. Including the additional Class A shares, NFE issued 20,837,272 Class A shares, representing total proceeds of $268.0 million, net of underwriting discounts and offering expenses.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Class A shares and Class B shares</w:t>
      </w:r>
    </w:p>
    <w:p>
      <w:pPr>
        <w:spacing w:after="0" w:line="204" w:lineRule="exact"/>
        <w:rPr>
          <w:sz w:val="20"/>
          <w:szCs w:val="20"/>
          <w:color w:val="auto"/>
        </w:rPr>
      </w:pPr>
    </w:p>
    <w:p>
      <w:pPr>
        <w:ind w:right="240" w:firstLine="279"/>
        <w:spacing w:after="0" w:line="336" w:lineRule="auto"/>
        <w:rPr>
          <w:sz w:val="20"/>
          <w:szCs w:val="20"/>
          <w:color w:val="auto"/>
        </w:rPr>
      </w:pPr>
      <w:r>
        <w:rPr>
          <w:rFonts w:ascii="Arial" w:cs="Arial" w:eastAsia="Arial" w:hAnsi="Arial"/>
          <w:sz w:val="15"/>
          <w:szCs w:val="15"/>
          <w:color w:val="auto"/>
        </w:rPr>
        <w:t>Our first amended and restated limited liability company agreement (the “operating agreement”) provides for two classes of shares, Class A shares and Class B shares, representing limited liability company interests in us. Only the holders of our Class A shares are entitled to participate in any dividends our board of directors may declare. Each Class A share is also entitled to one vote on the limited matters to be voted on by our shareholders.</w:t>
      </w:r>
    </w:p>
    <w:p>
      <w:pPr>
        <w:spacing w:after="0" w:line="112" w:lineRule="exact"/>
        <w:rPr>
          <w:sz w:val="20"/>
          <w:szCs w:val="20"/>
          <w:color w:val="auto"/>
        </w:rPr>
      </w:pPr>
    </w:p>
    <w:p>
      <w:pPr>
        <w:ind w:firstLine="279"/>
        <w:spacing w:after="0" w:line="336" w:lineRule="auto"/>
        <w:rPr>
          <w:sz w:val="20"/>
          <w:szCs w:val="20"/>
          <w:color w:val="auto"/>
        </w:rPr>
      </w:pPr>
      <w:r>
        <w:rPr>
          <w:rFonts w:ascii="Arial" w:cs="Arial" w:eastAsia="Arial" w:hAnsi="Arial"/>
          <w:sz w:val="15"/>
          <w:szCs w:val="15"/>
          <w:color w:val="auto"/>
        </w:rPr>
        <w:t>Class B shares are not entitled to receive dividends but are entitled to vote on the same basis as the Class A shares. Holders of Class A shares and Class B shares vote together as a single class on all matters presented to our shareholders for their vote or approval, except as otherwise required by applicable law. We do not intend to list the Class B shares on any stock exchange. All of our Class B shares are owned by New Fortress Energy Holdings.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Redemption Right</w:t>
      </w:r>
    </w:p>
    <w:p>
      <w:pPr>
        <w:spacing w:after="0" w:line="204"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Under the NFI limited liability company agreement (the “NFI LLC Agreement”), New Fortress Energy Holdings and any permitted transferees of New Fortress Energy Holdings’ NFI LLC Units,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As the sole managing member of NFI, our decision to make a cash payment upon the redemption of NFI LLC Units will be made by a committee of disinterested members of our board of directors. Alternatively, upon the exercise of the Redemption Right, NFE (instead of NFI) has the right (the “Call Right”) to, for administrative convenience, acquire each tendered NFI LLC Unit directly from the redeeming NFI unitholder for, at its election, (x) one Class A share, subject to conversion rate adjustments for equity splits, equity dividends and reclassification and other similar transactions or (y) an equivalent amount of cash. In connection with any redemption of NFI LLC Units pursuant to the Redemption Right or our Call Right, the corresponding number of Class B shares will be automatically cancelled.</w:t>
      </w:r>
    </w:p>
    <w:p>
      <w:pPr>
        <w:spacing w:after="0" w:line="178" w:lineRule="exact"/>
        <w:rPr>
          <w:sz w:val="20"/>
          <w:szCs w:val="20"/>
          <w:color w:val="auto"/>
        </w:rPr>
      </w:pPr>
    </w:p>
    <w:p>
      <w:pPr>
        <w:ind w:right="60" w:firstLine="279"/>
        <w:spacing w:after="0"/>
        <w:rPr>
          <w:sz w:val="20"/>
          <w:szCs w:val="20"/>
          <w:color w:val="auto"/>
        </w:rPr>
      </w:pPr>
      <w:r>
        <w:rPr>
          <w:rFonts w:ascii="Arial" w:cs="Arial" w:eastAsia="Arial" w:hAnsi="Arial"/>
          <w:sz w:val="19"/>
          <w:szCs w:val="19"/>
          <w:color w:val="auto"/>
        </w:rPr>
        <w:t>For purposes of any transfer or exchange of NFI LLC Units initially owned by New Fortress Energy Holdings and our Class B shares, the NFI LLC Agreement and our operating agreement contain provisions effectively linking each NFI LLC Unit with one of our Class B shares. Class B shares cannot be transferred without transferring an equal number of NFI LLC Units and vice versa.</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Holding Company Structure</w:t>
      </w:r>
    </w:p>
    <w:p>
      <w:pPr>
        <w:spacing w:after="0" w:line="204" w:lineRule="exact"/>
        <w:rPr>
          <w:sz w:val="20"/>
          <w:szCs w:val="20"/>
          <w:color w:val="auto"/>
        </w:rPr>
      </w:pPr>
    </w:p>
    <w:p>
      <w:pPr>
        <w:jc w:val="both"/>
        <w:ind w:right="80" w:firstLine="279"/>
        <w:spacing w:after="0" w:line="235" w:lineRule="auto"/>
        <w:rPr>
          <w:sz w:val="20"/>
          <w:szCs w:val="20"/>
          <w:color w:val="auto"/>
        </w:rPr>
      </w:pPr>
      <w:r>
        <w:rPr>
          <w:rFonts w:ascii="Arial" w:cs="Arial" w:eastAsia="Arial" w:hAnsi="Arial"/>
          <w:sz w:val="19"/>
          <w:szCs w:val="19"/>
          <w:color w:val="auto"/>
        </w:rPr>
        <w:t>Our post-Offering organizational structure allows New Fortress Energy Holdings to retain a direct equity ownership in NFI, which is classified as a partnership for U.S. federal income tax purposes. Although we were formed as a limited liability company, we have elected to be taxed as a corporation for U.S. federal income tax purposes. Pursuant to our operating agreement and the NFI LLC Agreement, our capital structure and the capital structure of NFI generally replicate one another and provide for customary antidilution mechanisms in order to maintain the one-for-one exchange ratio between the NFI LLC Units and our Class A shares.</w:t>
      </w:r>
    </w:p>
    <w:p>
      <w:pPr>
        <w:sectPr>
          <w:pgSz w:w="11900" w:h="16838" w:orient="portrait"/>
          <w:cols w:equalWidth="0" w:num="1">
            <w:col w:w="11420"/>
          </w:cols>
          <w:pgMar w:left="240" w:top="124"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26567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16" w:name="page17"/>
    <w:bookmarkEnd w:id="1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Toward a Carbon-Free Future</w:t>
      </w:r>
    </w:p>
    <w:p>
      <w:pPr>
        <w:spacing w:after="0" w:line="204" w:lineRule="exact"/>
        <w:rPr>
          <w:sz w:val="20"/>
          <w:szCs w:val="20"/>
          <w:color w:val="auto"/>
        </w:rPr>
      </w:pPr>
    </w:p>
    <w:p>
      <w:pPr>
        <w:jc w:val="both"/>
        <w:ind w:right="160" w:firstLine="279"/>
        <w:spacing w:after="0" w:line="249" w:lineRule="auto"/>
        <w:rPr>
          <w:sz w:val="20"/>
          <w:szCs w:val="20"/>
          <w:color w:val="auto"/>
        </w:rPr>
      </w:pPr>
      <w:r>
        <w:rPr>
          <w:rFonts w:ascii="Arial" w:cs="Arial" w:eastAsia="Arial" w:hAnsi="Arial"/>
          <w:sz w:val="18"/>
          <w:szCs w:val="18"/>
          <w:color w:val="auto"/>
        </w:rPr>
        <w:t>As we work to reduce emissions for our customers around the world, our long-term goal is to be one of the world’s leading providers of carbon-free energy. Today, we believe that natural gas remains the most cost-effective and environmentally-friendly complement for intermittent renewable energy, aiding the growth of these technologies. Over time, we believe that low-cost renewable hydrogen will play an increasingly significant role as a carbon-free fuel to support renewables and displace fossil fuels. We intend to form a division within NFE, called Zero, to pursue initiatives that will position us to capitalize on this emerging industry. With our customer-centric focus and expertise in energy infrastructure, logistics and power, we believe this is a tremendous opportunity for us to positively impact our planet.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204" w:lineRule="exact"/>
        <w:rPr>
          <w:sz w:val="20"/>
          <w:szCs w:val="20"/>
          <w:color w:val="auto"/>
        </w:rPr>
      </w:pPr>
    </w:p>
    <w:p>
      <w:pPr>
        <w:ind w:right="20" w:firstLine="279"/>
        <w:spacing w:after="0" w:line="237" w:lineRule="auto"/>
        <w:rPr>
          <w:sz w:val="20"/>
          <w:szCs w:val="20"/>
          <w:color w:val="auto"/>
        </w:rPr>
      </w:pPr>
      <w:r>
        <w:rPr>
          <w:rFonts w:ascii="Arial" w:cs="Arial" w:eastAsia="Arial" w:hAnsi="Arial"/>
          <w:sz w:val="19"/>
          <w:szCs w:val="19"/>
          <w:color w:val="auto"/>
        </w:rPr>
        <w:t>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www.sec.gov.</w:t>
      </w:r>
    </w:p>
    <w:p>
      <w:pPr>
        <w:spacing w:after="0" w:line="182" w:lineRule="exact"/>
        <w:rPr>
          <w:sz w:val="20"/>
          <w:szCs w:val="20"/>
          <w:color w:val="auto"/>
        </w:rPr>
      </w:pPr>
    </w:p>
    <w:p>
      <w:pPr>
        <w:ind w:right="200" w:firstLine="279"/>
        <w:spacing w:after="0" w:line="254" w:lineRule="auto"/>
        <w:rPr>
          <w:sz w:val="20"/>
          <w:szCs w:val="20"/>
          <w:color w:val="auto"/>
        </w:rPr>
      </w:pPr>
      <w:r>
        <w:rPr>
          <w:rFonts w:ascii="Arial" w:cs="Arial" w:eastAsia="Arial" w:hAnsi="Arial"/>
          <w:sz w:val="18"/>
          <w:szCs w:val="18"/>
          <w:color w:val="auto"/>
        </w:rPr>
        <w:t>We also make available free of charge through our website, www.newfortressenergy.com, our Annual Report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20" w:lineRule="exact"/>
        <w:rPr>
          <w:sz w:val="20"/>
          <w:szCs w:val="20"/>
          <w:color w:val="auto"/>
        </w:rPr>
      </w:pPr>
    </w:p>
    <w:p>
      <w:pPr>
        <w:ind w:right="60" w:firstLine="279"/>
        <w:spacing w:after="0" w:line="234" w:lineRule="auto"/>
        <w:rPr>
          <w:sz w:val="20"/>
          <w:szCs w:val="20"/>
          <w:color w:val="auto"/>
        </w:rPr>
      </w:pPr>
      <w:r>
        <w:rPr>
          <w:rFonts w:ascii="Arial" w:cs="Arial" w:eastAsia="Arial" w:hAnsi="Arial"/>
          <w:sz w:val="19"/>
          <w:szCs w:val="19"/>
          <w:i w:val="1"/>
          <w:iCs w:val="1"/>
          <w:color w:val="auto"/>
        </w:rPr>
        <w:t>You should carefully consider the following risk factors together with all of the other information included in this Annual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Annual Report includes forward-looking statements regarding, among other things, our plans, strategies, prospects and projections, both business and financial. As a result, you should not place undue reliance on any such statements included in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204" w:lineRule="exact"/>
        <w:rPr>
          <w:sz w:val="20"/>
          <w:szCs w:val="20"/>
          <w:color w:val="auto"/>
        </w:rPr>
      </w:pPr>
    </w:p>
    <w:p>
      <w:pPr>
        <w:ind w:right="680"/>
        <w:spacing w:after="0" w:line="250" w:lineRule="auto"/>
        <w:rPr>
          <w:sz w:val="20"/>
          <w:szCs w:val="20"/>
          <w:color w:val="auto"/>
        </w:rPr>
      </w:pPr>
      <w:r>
        <w:rPr>
          <w:rFonts w:ascii="Arial" w:cs="Arial" w:eastAsia="Arial" w:hAnsi="Arial"/>
          <w:sz w:val="19"/>
          <w:szCs w:val="19"/>
          <w:b w:val="1"/>
          <w:bCs w:val="1"/>
          <w:i w:val="1"/>
          <w:iCs w:val="1"/>
          <w:color w:val="auto"/>
        </w:rPr>
        <w:t>We have not yet completed contracting, construction and commissioning of all of our Terminals and Liquefaction Facilities. There can be no assurance that our Terminals and Liquefaction Facilities will operate as expected, or at all.</w:t>
      </w:r>
    </w:p>
    <w:p>
      <w:pPr>
        <w:spacing w:after="0" w:line="172"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We have not yet entered into binding construction contracts, issued “final notice to proceed” or obtained all necessary environmental, regulatory, construction and zoning permissions for all of our Terminals and Liquefaction Facilities.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Additionally, there can be no assurance that we will not need to make adjustments to our Terminals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this Annual Report or our Quarterly Reports,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7" w:name="page18"/>
    <w:bookmarkEnd w:id="1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26" w:lineRule="exact"/>
        <w:rPr>
          <w:sz w:val="20"/>
          <w:szCs w:val="20"/>
          <w:color w:val="auto"/>
        </w:rPr>
      </w:pPr>
    </w:p>
    <w:p>
      <w:pPr>
        <w:ind w:firstLine="279"/>
        <w:spacing w:after="0" w:line="267" w:lineRule="auto"/>
        <w:rPr>
          <w:sz w:val="20"/>
          <w:szCs w:val="20"/>
          <w:color w:val="auto"/>
        </w:rPr>
      </w:pPr>
      <w:r>
        <w:rPr>
          <w:rFonts w:ascii="Arial" w:cs="Arial" w:eastAsia="Arial" w:hAnsi="Arial"/>
          <w:sz w:val="17"/>
          <w:szCs w:val="17"/>
          <w:color w:val="auto"/>
        </w:rPr>
        <w:t>Development projects, including our Terminals,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regulatory reviews, employment laws and diligence requirements can make it more difficult, time-consuming and expensive to develop a project.</w:t>
      </w:r>
    </w:p>
    <w:p>
      <w:pPr>
        <w:spacing w:after="0" w:line="159" w:lineRule="exact"/>
        <w:rPr>
          <w:sz w:val="20"/>
          <w:szCs w:val="20"/>
          <w:color w:val="auto"/>
        </w:rPr>
      </w:pPr>
    </w:p>
    <w:p>
      <w:pPr>
        <w:ind w:right="240" w:firstLine="279"/>
        <w:spacing w:after="0" w:line="237" w:lineRule="auto"/>
        <w:rPr>
          <w:sz w:val="20"/>
          <w:szCs w:val="20"/>
          <w:color w:val="auto"/>
        </w:rPr>
      </w:pPr>
      <w:r>
        <w:rPr>
          <w:rFonts w:ascii="Arial" w:cs="Arial" w:eastAsia="Arial" w:hAnsi="Arial"/>
          <w:sz w:val="19"/>
          <w:szCs w:val="19"/>
          <w:color w:val="auto"/>
        </w:rPr>
        <w:t>A primary focus of our business is the development of projects in foreign jurisdictions, including in locations where we have no prior development experience, and we expect to continue expanding into new jurisdictions in the future. 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182" w:lineRule="exact"/>
        <w:rPr>
          <w:sz w:val="20"/>
          <w:szCs w:val="20"/>
          <w:color w:val="auto"/>
        </w:rPr>
      </w:pPr>
    </w:p>
    <w:p>
      <w:pPr>
        <w:ind w:right="60" w:firstLine="279"/>
        <w:spacing w:after="0" w:line="245" w:lineRule="auto"/>
        <w:rPr>
          <w:sz w:val="20"/>
          <w:szCs w:val="20"/>
          <w:color w:val="auto"/>
        </w:rPr>
      </w:pPr>
      <w:r>
        <w:rPr>
          <w:rFonts w:ascii="Arial" w:cs="Arial" w:eastAsia="Arial" w:hAnsi="Arial"/>
          <w:sz w:val="18"/>
          <w:szCs w:val="18"/>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Combined Cycle San Juan Power Plant in San Juan, Puerto Rico in the third quarter of 2019. However, due to construction complexity, the earthquakes which occurred near Puerto Rico in January 2020, and third party delays which impacted each project. We currently expect to commence commercial operations in the first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11" w:lineRule="exact"/>
        <w:rPr>
          <w:sz w:val="20"/>
          <w:szCs w:val="20"/>
          <w:color w:val="auto"/>
        </w:rPr>
      </w:pPr>
    </w:p>
    <w:p>
      <w:pPr>
        <w:ind w:right="40" w:firstLine="279"/>
        <w:spacing w:after="0" w:line="298" w:lineRule="auto"/>
        <w:rPr>
          <w:sz w:val="20"/>
          <w:szCs w:val="20"/>
          <w:color w:val="auto"/>
        </w:rPr>
      </w:pPr>
      <w:r>
        <w:rPr>
          <w:rFonts w:ascii="Arial" w:cs="Arial" w:eastAsia="Arial" w:hAnsi="Arial"/>
          <w:sz w:val="15"/>
          <w:szCs w:val="15"/>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Angola, Nicaragua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8" w:name="page19"/>
    <w:bookmarkEnd w:id="1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0" w:firstLine="279"/>
        <w:spacing w:after="0" w:line="336" w:lineRule="auto"/>
        <w:rPr>
          <w:sz w:val="20"/>
          <w:szCs w:val="20"/>
          <w:color w:val="auto"/>
        </w:rPr>
      </w:pPr>
      <w:r>
        <w:rPr>
          <w:rFonts w:ascii="Arial" w:cs="Arial" w:eastAsia="Arial" w:hAnsi="Arial"/>
          <w:sz w:val="15"/>
          <w:szCs w:val="15"/>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20" w:lineRule="exact"/>
        <w:rPr>
          <w:sz w:val="20"/>
          <w:szCs w:val="20"/>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to achieve our target costs for the purchase, liquefaction and export of natural gas and/or LNG and our target pricing for long-term contracts;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to develop cost-effective logistics solutions;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to manage expanding operations in the projected time frame;</w:t>
      </w:r>
    </w:p>
    <w:p>
      <w:pPr>
        <w:spacing w:after="0" w:line="222" w:lineRule="exact"/>
        <w:rPr>
          <w:rFonts w:ascii="Arial" w:cs="Arial" w:eastAsia="Arial" w:hAnsi="Arial"/>
          <w:sz w:val="15"/>
          <w:szCs w:val="15"/>
          <w:color w:val="auto"/>
        </w:rPr>
      </w:pPr>
    </w:p>
    <w:p>
      <w:pPr>
        <w:ind w:left="560" w:hanging="288"/>
        <w:spacing w:after="0" w:line="291"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to structure innovative and profitable energy-related transactions as part of our sales and trading operations and to optimally price and manage position, performance and counterparty risks;</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to develop infrastructure, including our Terminals and Liquefaction Facilities, as well as other future projects, in a timely and cost-effective manner;</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to attract and retain personnel in a timely and cost-effective manner;</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of investments in technology and machinery, such as liquefaction technology or LNG tank truck technology, to perform as expected;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increases in competition which could increase our costs and undermine our profits;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to source LNG and/or natural gas in sufficient quantities and/or at economically attractive prices;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to anticipate and adapt to new trends in the energy sector in the U.S., Jamaica, the Caribbean, Mexico, Ireland, Nicaragua, Angola and elsewhere;</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increases in operating costs, including the need for capital improvements, insurance premiums, general taxes, real estate taxes and utilities, affecting our profit margins;</w:t>
      </w:r>
    </w:p>
    <w:p>
      <w:pPr>
        <w:spacing w:after="0" w:line="233" w:lineRule="exact"/>
        <w:rPr>
          <w:rFonts w:ascii="Arial" w:cs="Arial" w:eastAsia="Arial" w:hAnsi="Arial"/>
          <w:sz w:val="14"/>
          <w:szCs w:val="14"/>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to raise significant additional debt and equity capital in the future to implement our strategy as well as to operate and expand our business;</w:t>
      </w:r>
    </w:p>
    <w:p>
      <w:pPr>
        <w:spacing w:after="0" w:line="222" w:lineRule="exact"/>
        <w:rPr>
          <w:rFonts w:ascii="Arial" w:cs="Arial" w:eastAsia="Arial" w:hAnsi="Arial"/>
          <w:sz w:val="15"/>
          <w:szCs w:val="15"/>
          <w:color w:val="auto"/>
        </w:rPr>
      </w:pPr>
    </w:p>
    <w:p>
      <w:pPr>
        <w:ind w:left="560" w:right="200" w:hanging="288"/>
        <w:spacing w:after="0" w:line="291"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general economic, political and business conditions in the U.S., Jamaica, the Caribbean, Mexico, Ireland, Nicaragua Angola and in the other geographic areas in which we intend to operate;</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public health crises, such as the coronavirus outbreak beginning in early 2020, which could impact global economic conditions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inflation, depreciation of the currencies of the countries in which we operate and fluctuations in interest rates;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to win new bids or contracts on the terms, size and within the time frame we need to execute our business strategy;</w:t>
      </w:r>
    </w:p>
    <w:p>
      <w:pPr>
        <w:spacing w:after="0" w:line="222" w:lineRule="exact"/>
        <w:rPr>
          <w:rFonts w:ascii="Arial" w:cs="Arial" w:eastAsia="Arial" w:hAnsi="Arial"/>
          <w:sz w:val="15"/>
          <w:szCs w:val="15"/>
          <w:color w:val="auto"/>
        </w:rPr>
      </w:pPr>
    </w:p>
    <w:p>
      <w:pPr>
        <w:ind w:left="560" w:right="440" w:hanging="288"/>
        <w:spacing w:after="0" w:line="291"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failure to obtain approvals from governmental regulators and relevant local authorities for the construction and operation of potential future projects and other relevant approvals;</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existing and future governmental laws and regulations; or</w:t>
      </w:r>
    </w:p>
    <w:p>
      <w:pPr>
        <w:spacing w:after="0" w:line="222" w:lineRule="exact"/>
        <w:rPr>
          <w:rFonts w:ascii="Arial" w:cs="Arial" w:eastAsia="Arial" w:hAnsi="Arial"/>
          <w:sz w:val="15"/>
          <w:szCs w:val="15"/>
          <w:color w:val="auto"/>
        </w:rPr>
      </w:pPr>
    </w:p>
    <w:p>
      <w:pPr>
        <w:ind w:left="560" w:right="80" w:hanging="288"/>
        <w:spacing w:after="0" w:line="269" w:lineRule="auto"/>
        <w:tabs>
          <w:tab w:leader="none" w:pos="56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71" w:lineRule="exact"/>
        <w:rPr>
          <w:sz w:val="20"/>
          <w:szCs w:val="20"/>
          <w:color w:val="auto"/>
        </w:rPr>
      </w:pPr>
    </w:p>
    <w:p>
      <w:pPr>
        <w:ind w:right="420" w:firstLine="279"/>
        <w:spacing w:after="0" w:line="250" w:lineRule="auto"/>
        <w:rPr>
          <w:sz w:val="20"/>
          <w:szCs w:val="20"/>
          <w:color w:val="auto"/>
        </w:rPr>
      </w:pPr>
      <w:r>
        <w:rPr>
          <w:rFonts w:ascii="Arial" w:cs="Arial" w:eastAsia="Arial" w:hAnsi="Arial"/>
          <w:sz w:val="19"/>
          <w:szCs w:val="19"/>
          <w:color w:val="auto"/>
        </w:rPr>
        <w:t>If we experience any of these failures, such failure may adversely affect our financial condition, results of operations and ability to execute our business strategy.</w:t>
      </w: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20"/>
          </w:cols>
          <w:pgMar w:left="240" w:top="124" w:right="339" w:bottom="1440" w:gutter="0" w:footer="0" w:header="0"/>
        </w:sectPr>
      </w:pPr>
    </w:p>
    <w:bookmarkStart w:id="19" w:name="page20"/>
    <w:bookmarkEnd w:id="1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9"/>
          <w:szCs w:val="19"/>
          <w:b w:val="1"/>
          <w:bCs w:val="1"/>
          <w:color w:val="auto"/>
        </w:rPr>
        <w:t>.</w:t>
      </w:r>
    </w:p>
    <w:p>
      <w:pPr>
        <w:spacing w:after="0" w:line="172" w:lineRule="exact"/>
        <w:rPr>
          <w:sz w:val="20"/>
          <w:szCs w:val="20"/>
          <w:color w:val="auto"/>
        </w:rPr>
      </w:pPr>
    </w:p>
    <w:p>
      <w:pPr>
        <w:ind w:right="20" w:firstLine="279"/>
        <w:spacing w:after="0" w:line="245" w:lineRule="auto"/>
        <w:rPr>
          <w:sz w:val="20"/>
          <w:szCs w:val="20"/>
          <w:color w:val="auto"/>
        </w:rPr>
      </w:pPr>
      <w:r>
        <w:rPr>
          <w:rFonts w:ascii="Arial" w:cs="Arial" w:eastAsia="Arial" w:hAnsi="Arial"/>
          <w:sz w:val="18"/>
          <w:szCs w:val="18"/>
          <w:color w:val="auto"/>
        </w:rPr>
        <w:t>A key part of our business strategy is to attract new customers by agreeing to finance and develop new terminals,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terminals,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185" w:lineRule="exact"/>
        <w:rPr>
          <w:sz w:val="20"/>
          <w:szCs w:val="20"/>
          <w:color w:val="auto"/>
        </w:rPr>
      </w:pPr>
    </w:p>
    <w:p>
      <w:pPr>
        <w:jc w:val="both"/>
        <w:ind w:right="180" w:firstLine="279"/>
        <w:spacing w:after="0"/>
        <w:rPr>
          <w:sz w:val="20"/>
          <w:szCs w:val="20"/>
          <w:color w:val="auto"/>
        </w:rPr>
      </w:pPr>
      <w:r>
        <w:rPr>
          <w:rFonts w:ascii="Arial" w:cs="Arial" w:eastAsia="Arial" w:hAnsi="Arial"/>
          <w:sz w:val="19"/>
          <w:szCs w:val="19"/>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a limited operating history, which may not be sufficient to evaluate our business and prospects.</w:t>
      </w:r>
    </w:p>
    <w:p>
      <w:pPr>
        <w:spacing w:after="0" w:line="200" w:lineRule="exact"/>
        <w:rPr>
          <w:sz w:val="20"/>
          <w:szCs w:val="20"/>
          <w:color w:val="auto"/>
        </w:rPr>
      </w:pPr>
    </w:p>
    <w:p>
      <w:pPr>
        <w:ind w:right="20" w:firstLine="279"/>
        <w:spacing w:after="0" w:line="265"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$31.7 million in 2017, $78.2 million in 2018, and $204.3 million in 2019.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162"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b w:val="1"/>
          <w:bCs w:val="1"/>
          <w:i w:val="1"/>
          <w:iCs w:val="1"/>
          <w:color w:val="auto"/>
        </w:rPr>
        <w:t>Our business is dependent upon obtaining substantial additional funding from various sources, which may not be available or may only be available on unfavorable terms.</w:t>
      </w:r>
    </w:p>
    <w:p>
      <w:pPr>
        <w:spacing w:after="0" w:line="172"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II, Item 7. Management’s Discussion and Analysis of Financial Condition and Results of Operations” in this Annual Report for more information on our Credit Agreement, Senior Secured Bonds and Senior Unsecured Bonds. If we are unable to obtain additional funding, approvals or amendments to our existing financings,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 w:name="page21"/>
    <w:bookmarkEnd w:id="2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80" w:firstLine="279"/>
        <w:spacing w:after="0" w:line="264"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profitable for an indeterminate period of time.</w:t>
      </w:r>
    </w:p>
    <w:p>
      <w:pPr>
        <w:spacing w:after="0" w:line="200" w:lineRule="exact"/>
        <w:rPr>
          <w:sz w:val="20"/>
          <w:szCs w:val="20"/>
          <w:color w:val="auto"/>
        </w:rPr>
      </w:pPr>
    </w:p>
    <w:p>
      <w:pPr>
        <w:ind w:right="40" w:firstLine="279"/>
        <w:spacing w:after="0" w:line="267"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therefore did not achieve profitability as of December 31, 2019. We will need to make a significant initial investment to complete construction and begin operations of each of our Terminals,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159" w:lineRule="exact"/>
        <w:rPr>
          <w:sz w:val="20"/>
          <w:szCs w:val="20"/>
          <w:color w:val="auto"/>
        </w:rPr>
      </w:pPr>
    </w:p>
    <w:p>
      <w:pPr>
        <w:ind w:right="160" w:firstLine="279"/>
        <w:spacing w:after="0" w:line="250" w:lineRule="auto"/>
        <w:rPr>
          <w:sz w:val="20"/>
          <w:szCs w:val="20"/>
          <w:color w:val="auto"/>
        </w:rPr>
      </w:pPr>
      <w:r>
        <w:rPr>
          <w:rFonts w:ascii="Arial" w:cs="Arial" w:eastAsia="Arial" w:hAnsi="Arial"/>
          <w:sz w:val="19"/>
          <w:szCs w:val="19"/>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172" w:lineRule="exact"/>
        <w:rPr>
          <w:sz w:val="20"/>
          <w:szCs w:val="20"/>
          <w:color w:val="auto"/>
        </w:rPr>
      </w:pPr>
    </w:p>
    <w:p>
      <w:pPr>
        <w:ind w:right="740"/>
        <w:spacing w:after="0" w:line="250" w:lineRule="auto"/>
        <w:rPr>
          <w:sz w:val="20"/>
          <w:szCs w:val="20"/>
          <w:color w:val="auto"/>
        </w:rPr>
      </w:pPr>
      <w:r>
        <w:rPr>
          <w:rFonts w:ascii="Arial" w:cs="Arial" w:eastAsia="Arial" w:hAnsi="Arial"/>
          <w:sz w:val="19"/>
          <w:szCs w:val="19"/>
          <w:b w:val="1"/>
          <w:bCs w:val="1"/>
          <w:i w:val="1"/>
          <w:iCs w:val="1"/>
          <w:color w:val="auto"/>
        </w:rPr>
        <w:t>Our business is heavily dependent upon our international operations, particularly in Jamaica, and any disruption to those operations would adversely affect us.</w:t>
      </w:r>
    </w:p>
    <w:p>
      <w:pPr>
        <w:spacing w:after="0" w:line="172" w:lineRule="exact"/>
        <w:rPr>
          <w:sz w:val="20"/>
          <w:szCs w:val="20"/>
          <w:color w:val="auto"/>
        </w:rPr>
      </w:pPr>
    </w:p>
    <w:p>
      <w:pPr>
        <w:ind w:firstLine="279"/>
        <w:spacing w:after="0" w:line="232" w:lineRule="auto"/>
        <w:rPr>
          <w:sz w:val="20"/>
          <w:szCs w:val="20"/>
          <w:color w:val="auto"/>
        </w:rPr>
      </w:pPr>
      <w:r>
        <w:rPr>
          <w:rFonts w:ascii="Arial" w:cs="Arial" w:eastAsia="Arial" w:hAnsi="Arial"/>
          <w:sz w:val="19"/>
          <w:szCs w:val="19"/>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88" w:lineRule="exact"/>
        <w:rPr>
          <w:sz w:val="20"/>
          <w:szCs w:val="20"/>
          <w:color w:val="auto"/>
        </w:rPr>
      </w:pPr>
    </w:p>
    <w:p>
      <w:pPr>
        <w:ind w:right="420"/>
        <w:spacing w:after="0" w:line="250" w:lineRule="auto"/>
        <w:rPr>
          <w:sz w:val="20"/>
          <w:szCs w:val="20"/>
          <w:color w:val="auto"/>
        </w:rPr>
      </w:pPr>
      <w:r>
        <w:rPr>
          <w:rFonts w:ascii="Arial" w:cs="Arial" w:eastAsia="Arial" w:hAnsi="Arial"/>
          <w:sz w:val="19"/>
          <w:szCs w:val="19"/>
          <w:b w:val="1"/>
          <w:bCs w:val="1"/>
          <w:i w:val="1"/>
          <w:iCs w:val="1"/>
          <w:color w:val="auto"/>
        </w:rPr>
        <w:t>Because we are currently dependent upon a limited number of customers, the loss of a significant customer could adversely affect our operating results.</w:t>
      </w:r>
    </w:p>
    <w:p>
      <w:pPr>
        <w:spacing w:after="0" w:line="172" w:lineRule="exact"/>
        <w:rPr>
          <w:sz w:val="20"/>
          <w:szCs w:val="20"/>
          <w:color w:val="auto"/>
        </w:rPr>
      </w:pPr>
    </w:p>
    <w:p>
      <w:pPr>
        <w:ind w:right="80" w:firstLine="279"/>
        <w:spacing w:after="0" w:line="267" w:lineRule="auto"/>
        <w:rPr>
          <w:sz w:val="20"/>
          <w:szCs w:val="20"/>
          <w:color w:val="auto"/>
        </w:rPr>
      </w:pPr>
      <w:r>
        <w:rPr>
          <w:rFonts w:ascii="Arial" w:cs="Arial" w:eastAsia="Arial" w:hAnsi="Arial"/>
          <w:sz w:val="17"/>
          <w:szCs w:val="17"/>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00"/>
        <w:spacing w:after="0" w:line="336" w:lineRule="auto"/>
        <w:rPr>
          <w:sz w:val="20"/>
          <w:szCs w:val="20"/>
          <w:color w:val="auto"/>
        </w:rPr>
      </w:pPr>
      <w:r>
        <w:rPr>
          <w:rFonts w:ascii="Arial" w:cs="Arial" w:eastAsia="Arial" w:hAnsi="Arial"/>
          <w:sz w:val="15"/>
          <w:szCs w:val="15"/>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12" w:lineRule="exact"/>
        <w:rPr>
          <w:sz w:val="20"/>
          <w:szCs w:val="20"/>
          <w:color w:val="auto"/>
        </w:rPr>
      </w:pPr>
    </w:p>
    <w:p>
      <w:pPr>
        <w:ind w:firstLine="279"/>
        <w:spacing w:after="0" w:line="233" w:lineRule="auto"/>
        <w:rPr>
          <w:sz w:val="20"/>
          <w:szCs w:val="20"/>
          <w:color w:val="auto"/>
        </w:rPr>
      </w:pPr>
      <w:r>
        <w:rPr>
          <w:rFonts w:ascii="Arial" w:cs="Arial" w:eastAsia="Arial" w:hAnsi="Arial"/>
          <w:sz w:val="19"/>
          <w:szCs w:val="19"/>
          <w:color w:val="auto"/>
        </w:rPr>
        <w:t>Our current results of operations and liquidity are, and will continue to be in the near future, substantially dependent upon performance by JPS, JPC and PREPA, which have each entered into long-term GSAs and, in the case of JPS, a PPA in relation to the power produced at the CHP Plant, with us, and Jamalco, which has entered into a long-term SSA with us. While certain of our long-term contracts contain minimum volume commitments, our expected sales to customers under existing contracts are substantially in excess of such minimum volume commitments. Our near 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185" w:lineRule="exact"/>
        <w:rPr>
          <w:sz w:val="20"/>
          <w:szCs w:val="20"/>
          <w:color w:val="auto"/>
        </w:rPr>
      </w:pPr>
    </w:p>
    <w:p>
      <w:pPr>
        <w:ind w:firstLine="279"/>
        <w:spacing w:after="0" w:line="262" w:lineRule="auto"/>
        <w:rPr>
          <w:sz w:val="20"/>
          <w:szCs w:val="20"/>
          <w:color w:val="auto"/>
        </w:rPr>
      </w:pPr>
      <w:r>
        <w:rPr>
          <w:rFonts w:ascii="Arial" w:cs="Arial" w:eastAsia="Arial" w:hAnsi="Arial"/>
          <w:sz w:val="17"/>
          <w:szCs w:val="17"/>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w:t>
      </w:r>
    </w:p>
    <w:p>
      <w:pPr>
        <w:spacing w:after="0" w:line="166"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172" w:lineRule="exact"/>
        <w:rPr>
          <w:sz w:val="20"/>
          <w:szCs w:val="20"/>
          <w:color w:val="auto"/>
        </w:rPr>
      </w:pPr>
    </w:p>
    <w:p>
      <w:pPr>
        <w:jc w:val="both"/>
        <w:ind w:right="140" w:firstLine="279"/>
        <w:spacing w:after="0" w:line="282" w:lineRule="auto"/>
        <w:rPr>
          <w:sz w:val="20"/>
          <w:szCs w:val="20"/>
          <w:color w:val="auto"/>
        </w:rPr>
      </w:pPr>
      <w:r>
        <w:rPr>
          <w:rFonts w:ascii="Arial" w:cs="Arial" w:eastAsia="Arial" w:hAnsi="Arial"/>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contracts with our customers are subject to termination under certain circumstances.</w:t>
      </w:r>
    </w:p>
    <w:p>
      <w:pPr>
        <w:spacing w:after="0" w:line="200" w:lineRule="exact"/>
        <w:rPr>
          <w:sz w:val="20"/>
          <w:szCs w:val="20"/>
          <w:color w:val="auto"/>
        </w:rPr>
      </w:pPr>
    </w:p>
    <w:p>
      <w:pPr>
        <w:jc w:val="both"/>
        <w:ind w:right="140" w:firstLine="279"/>
        <w:spacing w:after="0" w:line="381" w:lineRule="auto"/>
        <w:rPr>
          <w:sz w:val="20"/>
          <w:szCs w:val="20"/>
          <w:color w:val="auto"/>
        </w:rPr>
      </w:pPr>
      <w:r>
        <w:rPr>
          <w:rFonts w:ascii="Arial" w:cs="Arial" w:eastAsia="Arial" w:hAnsi="Arial"/>
          <w:sz w:val="15"/>
          <w:szCs w:val="15"/>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88" w:lineRule="exact"/>
        <w:rPr>
          <w:sz w:val="20"/>
          <w:szCs w:val="20"/>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upon the occurrence of certain events of force majeure;</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if we fail to make available specified scheduled cargo quantities;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occurrence of certain uncured payment defaults;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ind w:left="560" w:hanging="288"/>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occurrence of an insolvency event;</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occurrence of certain uncured, material breaches;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fail to commence commercial operations or achieve financial close within the agreed timeframes.</w:t>
      </w:r>
    </w:p>
    <w:p>
      <w:pPr>
        <w:spacing w:after="0" w:line="214" w:lineRule="exact"/>
        <w:rPr>
          <w:sz w:val="20"/>
          <w:szCs w:val="20"/>
          <w:color w:val="auto"/>
        </w:rPr>
      </w:pPr>
    </w:p>
    <w:p>
      <w:pPr>
        <w:ind w:right="40" w:firstLine="279"/>
        <w:spacing w:after="0"/>
        <w:rPr>
          <w:sz w:val="20"/>
          <w:szCs w:val="20"/>
          <w:color w:val="auto"/>
        </w:rPr>
      </w:pPr>
      <w:r>
        <w:rPr>
          <w:rFonts w:ascii="Arial" w:cs="Arial" w:eastAsia="Arial" w:hAnsi="Arial"/>
          <w:sz w:val="19"/>
          <w:szCs w:val="19"/>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1" w:lineRule="exact"/>
        <w:rPr>
          <w:sz w:val="20"/>
          <w:szCs w:val="20"/>
          <w:color w:val="auto"/>
        </w:rPr>
      </w:pPr>
    </w:p>
    <w:p>
      <w:pPr>
        <w:jc w:val="both"/>
        <w:ind w:right="560"/>
        <w:spacing w:after="0"/>
        <w:rPr>
          <w:sz w:val="20"/>
          <w:szCs w:val="20"/>
          <w:color w:val="auto"/>
        </w:rPr>
      </w:pPr>
      <w:r>
        <w:rPr>
          <w:rFonts w:ascii="Arial" w:cs="Arial" w:eastAsia="Arial" w:hAnsi="Arial"/>
          <w:sz w:val="19"/>
          <w:szCs w:val="19"/>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81" w:lineRule="exact"/>
        <w:rPr>
          <w:sz w:val="20"/>
          <w:szCs w:val="20"/>
          <w:color w:val="auto"/>
        </w:rPr>
      </w:pPr>
    </w:p>
    <w:p>
      <w:pPr>
        <w:jc w:val="both"/>
        <w:ind w:right="220" w:firstLine="279"/>
        <w:spacing w:after="0"/>
        <w:rPr>
          <w:sz w:val="20"/>
          <w:szCs w:val="20"/>
          <w:color w:val="auto"/>
        </w:rPr>
      </w:pPr>
      <w:r>
        <w:rPr>
          <w:rFonts w:ascii="Arial" w:cs="Arial" w:eastAsia="Arial" w:hAnsi="Arial"/>
          <w:sz w:val="19"/>
          <w:szCs w:val="19"/>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89" w:lineRule="exact"/>
        <w:rPr>
          <w:sz w:val="20"/>
          <w:szCs w:val="20"/>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additions to competitive regasification capacity in North America, Europe, Asia and other markets, which could divert LNG or natural gas from our business;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imposition of tariffs by China or any other jurisdiction on imports of LNG from the United States;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insufficient or oversupply of natural gas liquefaction or export capacity worldwide;</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insufficient LNG tanker capacity;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weather conditions and natural disasters;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reduced demand and lower prices for natural gas;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increased natural gas production deliverable by pipelines, which could suppress demand for LNG;</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decreased oil and natural gas exploration activities, which may decrease the production of natural gas;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cost improvements that allow competitors to offer LNG regasification services at reduced prices;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supplies of, and prices for, alternative energy sources such as coal, oil, nuclear, hydroelectric, wind and solar energy, which may reduce the demand for natural gas;</w:t>
      </w:r>
    </w:p>
    <w:p>
      <w:pPr>
        <w:spacing w:after="0" w:line="245" w:lineRule="exact"/>
        <w:rPr>
          <w:rFonts w:ascii="Arial" w:cs="Arial" w:eastAsia="Arial" w:hAnsi="Arial"/>
          <w:sz w:val="13"/>
          <w:szCs w:val="13"/>
          <w:color w:val="auto"/>
        </w:rPr>
      </w:pPr>
    </w:p>
    <w:p>
      <w:pPr>
        <w:ind w:left="560" w:right="240" w:hanging="288"/>
        <w:spacing w:after="0" w:line="291" w:lineRule="auto"/>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changes in regulatory, tax or other governmental policies regarding imported or exported LNG, natural gas or alternative energy sources, which may reduce the demand for imported or exported LNG and/or natural gas;</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political conditions in natural gas producing regions;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adverse relative demand for LNG compared to other markets, which may decrease LNG imports into or exports from North America;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cyclical trends in general business and economic conditions that cause changes in the demand for natural gas.</w:t>
      </w:r>
    </w:p>
    <w:p>
      <w:pPr>
        <w:spacing w:after="0" w:line="214" w:lineRule="exact"/>
        <w:rPr>
          <w:sz w:val="20"/>
          <w:szCs w:val="20"/>
          <w:color w:val="auto"/>
        </w:rPr>
      </w:pPr>
    </w:p>
    <w:p>
      <w:pPr>
        <w:ind w:firstLine="279"/>
        <w:spacing w:after="0" w:line="299" w:lineRule="auto"/>
        <w:rPr>
          <w:sz w:val="20"/>
          <w:szCs w:val="20"/>
          <w:color w:val="auto"/>
        </w:rPr>
      </w:pPr>
      <w:r>
        <w:rPr>
          <w:rFonts w:ascii="Arial" w:cs="Arial" w:eastAsia="Arial" w:hAnsi="Arial"/>
          <w:sz w:val="15"/>
          <w:szCs w:val="15"/>
          <w:color w:val="auto"/>
        </w:rPr>
        <w:t>Adverse trends or developments affecting any of these factors, including the timing of the impact of these factors in relation to our purchases and sales of natural gas and LNG – in particular prior to our Pennsylvania Facility becoming operational -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Additionally, in situations where our supply chain has capacity constraints and as a result we are unable to receive all volumes under firm purchase commitments,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3" w:name="page24"/>
    <w:bookmarkEnd w:id="2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320"/>
        <w:spacing w:after="0" w:line="250" w:lineRule="auto"/>
        <w:rPr>
          <w:sz w:val="20"/>
          <w:szCs w:val="20"/>
          <w:color w:val="auto"/>
        </w:rPr>
      </w:pPr>
      <w:r>
        <w:rPr>
          <w:rFonts w:ascii="Arial" w:cs="Arial" w:eastAsia="Arial" w:hAnsi="Arial"/>
          <w:sz w:val="19"/>
          <w:szCs w:val="19"/>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72" w:lineRule="exact"/>
        <w:rPr>
          <w:sz w:val="20"/>
          <w:szCs w:val="20"/>
          <w:color w:val="auto"/>
        </w:rPr>
      </w:pPr>
    </w:p>
    <w:p>
      <w:pPr>
        <w:ind w:firstLine="279"/>
        <w:spacing w:after="0" w:line="263" w:lineRule="auto"/>
        <w:rPr>
          <w:sz w:val="20"/>
          <w:szCs w:val="20"/>
          <w:color w:val="auto"/>
        </w:rPr>
      </w:pPr>
      <w:r>
        <w:rPr>
          <w:rFonts w:ascii="Arial" w:cs="Arial" w:eastAsia="Arial" w:hAnsi="Arial"/>
          <w:sz w:val="17"/>
          <w:szCs w:val="17"/>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December 31, 2018, we had $280.0 million of total indebtedness outstanding, excluding deferred financing costs. On January 10, 2020, the Company entered into a Credit Agreement to borrow $800 million in term loans (the “Credit Agreement”). On January 15, 2020, all outstanding principal and interest under the Term Loan Facility was paid in full, and the remainder of the proceeds of the Credit Agreement increased the Company’s cash on hand available to invest in our development projects. See “Part II, Item 7. Management’s Discussion and Analysis of Financial Condition and Results of Operations” in this Annual Report for more information on our Term Loan Facility, Credit Agreement, Senior Secured Bonds and Senior Unsecured Bonds.</w:t>
      </w:r>
    </w:p>
    <w:p>
      <w:pPr>
        <w:spacing w:after="0" w:line="163" w:lineRule="exact"/>
        <w:rPr>
          <w:sz w:val="20"/>
          <w:szCs w:val="20"/>
          <w:color w:val="auto"/>
        </w:rPr>
      </w:pPr>
    </w:p>
    <w:p>
      <w:pPr>
        <w:ind w:right="40" w:firstLine="279"/>
        <w:spacing w:after="0" w:line="248" w:lineRule="auto"/>
        <w:rPr>
          <w:sz w:val="20"/>
          <w:szCs w:val="20"/>
          <w:color w:val="auto"/>
        </w:rPr>
      </w:pPr>
      <w:r>
        <w:rPr>
          <w:rFonts w:ascii="Arial" w:cs="Arial" w:eastAsia="Arial" w:hAnsi="Arial"/>
          <w:sz w:val="18"/>
          <w:szCs w:val="18"/>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implement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176" w:lineRule="exact"/>
        <w:rPr>
          <w:sz w:val="20"/>
          <w:szCs w:val="20"/>
          <w:color w:val="auto"/>
        </w:rPr>
      </w:pPr>
    </w:p>
    <w:p>
      <w:pPr>
        <w:ind w:firstLine="279"/>
        <w:spacing w:after="0" w:line="277"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149" w:lineRule="exact"/>
        <w:rPr>
          <w:sz w:val="20"/>
          <w:szCs w:val="20"/>
          <w:color w:val="auto"/>
        </w:rPr>
      </w:pPr>
    </w:p>
    <w:p>
      <w:pPr>
        <w:jc w:val="both"/>
        <w:ind w:right="180" w:firstLine="279"/>
        <w:spacing w:after="0" w:line="336" w:lineRule="auto"/>
        <w:rPr>
          <w:sz w:val="20"/>
          <w:szCs w:val="20"/>
          <w:color w:val="auto"/>
        </w:rPr>
      </w:pPr>
      <w:r>
        <w:rPr>
          <w:rFonts w:ascii="Arial" w:cs="Arial" w:eastAsia="Arial" w:hAnsi="Arial"/>
          <w:sz w:val="15"/>
          <w:szCs w:val="15"/>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12" w:lineRule="exact"/>
        <w:rPr>
          <w:sz w:val="20"/>
          <w:szCs w:val="20"/>
          <w:color w:val="auto"/>
        </w:rPr>
      </w:pPr>
    </w:p>
    <w:p>
      <w:pPr>
        <w:spacing w:after="0" w:line="250" w:lineRule="auto"/>
        <w:rPr>
          <w:sz w:val="20"/>
          <w:szCs w:val="20"/>
          <w:color w:val="auto"/>
        </w:rPr>
      </w:pPr>
      <w:r>
        <w:rPr>
          <w:rFonts w:ascii="Arial" w:cs="Arial" w:eastAsia="Arial" w:hAnsi="Arial"/>
          <w:sz w:val="19"/>
          <w:szCs w:val="19"/>
          <w:b w:val="1"/>
          <w:bCs w:val="1"/>
          <w:i w:val="1"/>
          <w:iCs w:val="1"/>
          <w:color w:val="auto"/>
        </w:rPr>
        <w:t>The agreements governing our indebtedness place restrictions on us and our subsidiaries, reducing operational and financing flexibility and creating default risks.</w:t>
      </w:r>
    </w:p>
    <w:p>
      <w:pPr>
        <w:spacing w:after="0" w:line="172"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The agreements governing our indebtedness, including, but not limited to, the Credit Agreement, entered into on January 10, 2020, contain covenants that place restrictions on us and our subsidiaries. The terms governing the Credit Agreement restrict among other things, our and certain of our subsidiaries’ ability to:</w:t>
      </w:r>
    </w:p>
    <w:p>
      <w:pPr>
        <w:spacing w:after="0" w:line="189" w:lineRule="exact"/>
        <w:rPr>
          <w:sz w:val="20"/>
          <w:szCs w:val="20"/>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merge, consolidate or transfer all, or substantially all, of our assets;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incur additional debt or issue preferred shares;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make certain investments or acquisitions;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create liens on our or our subsidiaries’ assets;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sell assets;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make distributions on or repurchase our shares;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enter into transactions with affiliates;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create dividend restrictions and other payment restrictions that affect our subsidiaries.</w:t>
      </w:r>
    </w:p>
    <w:p>
      <w:pPr>
        <w:spacing w:after="0" w:line="214" w:lineRule="exact"/>
        <w:rPr>
          <w:sz w:val="20"/>
          <w:szCs w:val="20"/>
          <w:color w:val="auto"/>
        </w:rPr>
      </w:pPr>
    </w:p>
    <w:p>
      <w:pPr>
        <w:ind w:right="60" w:firstLine="279"/>
        <w:spacing w:after="0" w:line="247" w:lineRule="auto"/>
        <w:rPr>
          <w:sz w:val="20"/>
          <w:szCs w:val="20"/>
          <w:color w:val="auto"/>
        </w:rPr>
      </w:pPr>
      <w:r>
        <w:rPr>
          <w:rFonts w:ascii="Arial" w:cs="Arial" w:eastAsia="Arial" w:hAnsi="Arial"/>
          <w:sz w:val="18"/>
          <w:szCs w:val="18"/>
          <w:color w:val="auto"/>
        </w:rPr>
        <w:t>In addition, our failure to satisfy certain covenants and tests can result in an event of default. These covenants could impair our ability to grow our business, take advantage of attractive business opportunities or successfully compete. In addition, these covenants could restrict our ability to optimize our capital structure with asset-level debt or equity financings. A breach of any of these covenants could result in an event of default. Cross-default provisions in certain of our agreements mean that an event of default under certain of our commercial agreements could trigger an event of default under one of our other agreements, including our debt agreements. Upon the occurrence of an event of default under any of our debt agreements, the lenders or holders thereof could elect to declare all outstanding debt under such agreements to be immediately due and payable, the lenders under our debt instruments could terminate their commitments to loan money, our secured lenders could foreclose against the assets securing such borrowings and we could be forced into bankruptcy or liquidation.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4" w:name="page25"/>
    <w:bookmarkEnd w:id="2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23" w:lineRule="exact"/>
        <w:rPr>
          <w:sz w:val="20"/>
          <w:szCs w:val="20"/>
          <w:color w:val="auto"/>
        </w:rPr>
      </w:pPr>
    </w:p>
    <w:p>
      <w:pPr>
        <w:ind w:right="220" w:firstLine="279"/>
        <w:spacing w:after="0" w:line="269"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 of our LNG infrastructure and other facilities that we may construct involves significant risks.</w:t>
      </w:r>
    </w:p>
    <w:p>
      <w:pPr>
        <w:spacing w:after="0" w:line="200" w:lineRule="exact"/>
        <w:rPr>
          <w:sz w:val="20"/>
          <w:szCs w:val="20"/>
          <w:color w:val="auto"/>
        </w:rPr>
      </w:pPr>
    </w:p>
    <w:p>
      <w:pPr>
        <w:ind w:right="20" w:firstLine="279"/>
        <w:spacing w:after="0" w:line="237" w:lineRule="auto"/>
        <w:rPr>
          <w:sz w:val="20"/>
          <w:szCs w:val="20"/>
          <w:color w:val="auto"/>
        </w:rPr>
      </w:pPr>
      <w:r>
        <w:rPr>
          <w:rFonts w:ascii="Arial" w:cs="Arial" w:eastAsia="Arial" w:hAnsi="Arial"/>
          <w:sz w:val="19"/>
          <w:szCs w:val="19"/>
          <w:color w:val="auto"/>
        </w:rPr>
        <w:t>As more fully discussed elsewhere in this Annual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82" w:lineRule="exact"/>
        <w:rPr>
          <w:sz w:val="20"/>
          <w:szCs w:val="20"/>
          <w:color w:val="auto"/>
        </w:rPr>
      </w:pPr>
    </w:p>
    <w:p>
      <w:pPr>
        <w:ind w:right="220" w:firstLine="279"/>
        <w:spacing w:after="0" w:line="250" w:lineRule="auto"/>
        <w:rPr>
          <w:sz w:val="20"/>
          <w:szCs w:val="20"/>
          <w:color w:val="auto"/>
        </w:rPr>
      </w:pPr>
      <w:r>
        <w:rPr>
          <w:rFonts w:ascii="Arial" w:cs="Arial" w:eastAsia="Arial" w:hAnsi="Arial"/>
          <w:sz w:val="19"/>
          <w:szCs w:val="19"/>
          <w:color w:val="auto"/>
        </w:rPr>
        <w:t>Any of these risks could disrupt our operations and increase our costs, which would adversely affect our business, operating results, cash flows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operation of the CHP Plant and other power plants will involve particular, significant risks.</w:t>
      </w:r>
    </w:p>
    <w:p>
      <w:pPr>
        <w:spacing w:after="0" w:line="200" w:lineRule="exact"/>
        <w:rPr>
          <w:sz w:val="20"/>
          <w:szCs w:val="20"/>
          <w:color w:val="auto"/>
        </w:rPr>
      </w:pPr>
    </w:p>
    <w:p>
      <w:pPr>
        <w:ind w:right="20" w:firstLine="279"/>
        <w:spacing w:after="0" w:line="299" w:lineRule="auto"/>
        <w:rPr>
          <w:sz w:val="20"/>
          <w:szCs w:val="20"/>
          <w:color w:val="auto"/>
        </w:rPr>
      </w:pPr>
      <w:r>
        <w:rPr>
          <w:rFonts w:ascii="Arial" w:cs="Arial" w:eastAsia="Arial" w:hAnsi="Arial"/>
          <w:sz w:val="15"/>
          <w:szCs w:val="15"/>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 .</w:t>
      </w:r>
    </w:p>
    <w:p>
      <w:pPr>
        <w:spacing w:after="0" w:line="354"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80" w:lineRule="exact"/>
        <w:rPr>
          <w:sz w:val="20"/>
          <w:szCs w:val="20"/>
          <w:color w:val="auto"/>
        </w:rPr>
      </w:pPr>
    </w:p>
    <w:p>
      <w:pPr>
        <w:ind w:right="60" w:firstLine="279"/>
        <w:spacing w:after="0" w:line="301" w:lineRule="auto"/>
        <w:rPr>
          <w:sz w:val="20"/>
          <w:szCs w:val="20"/>
          <w:color w:val="auto"/>
        </w:rPr>
      </w:pPr>
      <w:r>
        <w:rPr>
          <w:rFonts w:ascii="Arial" w:cs="Arial" w:eastAsia="Arial" w:hAnsi="Arial"/>
          <w:sz w:val="15"/>
          <w:szCs w:val="15"/>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 w:name="page26"/>
    <w:bookmarkEnd w:id="2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60"/>
        <w:spacing w:after="0"/>
        <w:rPr>
          <w:sz w:val="20"/>
          <w:szCs w:val="20"/>
          <w:color w:val="auto"/>
        </w:rPr>
      </w:pPr>
      <w:r>
        <w:rPr>
          <w:rFonts w:ascii="Arial" w:cs="Arial" w:eastAsia="Arial" w:hAnsi="Arial"/>
          <w:sz w:val="19"/>
          <w:szCs w:val="19"/>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81" w:lineRule="exact"/>
        <w:rPr>
          <w:sz w:val="20"/>
          <w:szCs w:val="20"/>
          <w:color w:val="auto"/>
        </w:rPr>
      </w:pPr>
    </w:p>
    <w:p>
      <w:pPr>
        <w:ind w:right="60" w:firstLine="279"/>
        <w:spacing w:after="0" w:line="263"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163" w:lineRule="exact"/>
        <w:rPr>
          <w:sz w:val="20"/>
          <w:szCs w:val="20"/>
          <w:color w:val="auto"/>
        </w:rPr>
      </w:pPr>
    </w:p>
    <w:p>
      <w:pPr>
        <w:ind w:right="20" w:firstLine="279"/>
        <w:spacing w:after="0" w:line="234" w:lineRule="auto"/>
        <w:rPr>
          <w:sz w:val="20"/>
          <w:szCs w:val="20"/>
          <w:color w:val="auto"/>
        </w:rPr>
      </w:pPr>
      <w:r>
        <w:rPr>
          <w:rFonts w:ascii="Arial" w:cs="Arial" w:eastAsia="Arial" w:hAnsi="Arial"/>
          <w:sz w:val="19"/>
          <w:szCs w:val="19"/>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82" w:lineRule="exact"/>
        <w:rPr>
          <w:sz w:val="20"/>
          <w:szCs w:val="20"/>
          <w:color w:val="auto"/>
        </w:rPr>
      </w:pPr>
    </w:p>
    <w:p>
      <w:pPr>
        <w:ind w:right="60" w:firstLine="279"/>
        <w:spacing w:after="0" w:line="282"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Information technology failures and cyberattacks could affect us significantly.</w:t>
      </w:r>
    </w:p>
    <w:p>
      <w:pPr>
        <w:spacing w:after="0" w:line="200" w:lineRule="exact"/>
        <w:rPr>
          <w:sz w:val="20"/>
          <w:szCs w:val="20"/>
          <w:color w:val="auto"/>
        </w:rPr>
      </w:pPr>
    </w:p>
    <w:p>
      <w:pPr>
        <w:jc w:val="both"/>
        <w:ind w:right="40" w:firstLine="279"/>
        <w:spacing w:after="0"/>
        <w:rPr>
          <w:sz w:val="20"/>
          <w:szCs w:val="20"/>
          <w:color w:val="auto"/>
        </w:rPr>
      </w:pPr>
      <w:r>
        <w:rPr>
          <w:rFonts w:ascii="Arial" w:cs="Arial" w:eastAsia="Arial" w:hAnsi="Arial"/>
          <w:sz w:val="19"/>
          <w:szCs w:val="19"/>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181" w:lineRule="exact"/>
        <w:rPr>
          <w:sz w:val="20"/>
          <w:szCs w:val="20"/>
          <w:color w:val="auto"/>
        </w:rPr>
      </w:pPr>
    </w:p>
    <w:p>
      <w:pPr>
        <w:ind w:right="260" w:firstLine="279"/>
        <w:spacing w:after="0" w:line="303" w:lineRule="auto"/>
        <w:rPr>
          <w:sz w:val="20"/>
          <w:szCs w:val="20"/>
          <w:color w:val="auto"/>
        </w:rPr>
      </w:pPr>
      <w:r>
        <w:rPr>
          <w:rFonts w:ascii="Arial" w:cs="Arial" w:eastAsia="Arial" w:hAnsi="Arial"/>
          <w:sz w:val="15"/>
          <w:szCs w:val="15"/>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insurance may be insufficient to cover losses that may occur to our property or result from our operations.</w:t>
      </w:r>
    </w:p>
    <w:p>
      <w:pPr>
        <w:spacing w:after="0" w:line="200" w:lineRule="exact"/>
        <w:rPr>
          <w:sz w:val="20"/>
          <w:szCs w:val="20"/>
          <w:color w:val="auto"/>
        </w:rPr>
      </w:pPr>
    </w:p>
    <w:p>
      <w:pPr>
        <w:ind w:firstLine="279"/>
        <w:spacing w:after="0" w:line="246" w:lineRule="auto"/>
        <w:rPr>
          <w:sz w:val="20"/>
          <w:szCs w:val="20"/>
          <w:color w:val="auto"/>
        </w:rPr>
      </w:pPr>
      <w:r>
        <w:rPr>
          <w:rFonts w:ascii="Arial" w:cs="Arial" w:eastAsia="Arial" w:hAnsi="Arial"/>
          <w:sz w:val="18"/>
          <w:szCs w:val="18"/>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 w:name="page27"/>
    <w:bookmarkEnd w:id="2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51"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72" w:lineRule="exact"/>
        <w:rPr>
          <w:sz w:val="20"/>
          <w:szCs w:val="20"/>
          <w:color w:val="auto"/>
        </w:rPr>
      </w:pPr>
    </w:p>
    <w:p>
      <w:pPr>
        <w:ind w:right="140" w:firstLine="279"/>
        <w:spacing w:after="0" w:line="234" w:lineRule="auto"/>
        <w:rPr>
          <w:sz w:val="20"/>
          <w:szCs w:val="20"/>
          <w:color w:val="auto"/>
        </w:rPr>
      </w:pPr>
      <w:r>
        <w:rPr>
          <w:rFonts w:ascii="Arial" w:cs="Arial" w:eastAsia="Arial" w:hAnsi="Arial"/>
          <w:sz w:val="19"/>
          <w:szCs w:val="19"/>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186" w:lineRule="exact"/>
        <w:rPr>
          <w:sz w:val="20"/>
          <w:szCs w:val="20"/>
          <w:color w:val="auto"/>
        </w:rPr>
      </w:pPr>
    </w:p>
    <w:p>
      <w:pPr>
        <w:ind w:right="80" w:firstLine="279"/>
        <w:spacing w:after="0" w:line="277"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From time to time, we may be involved in legal proceedings and may experience unfavorable outcomes.</w:t>
      </w:r>
    </w:p>
    <w:p>
      <w:pPr>
        <w:spacing w:after="0" w:line="200" w:lineRule="exact"/>
        <w:rPr>
          <w:sz w:val="20"/>
          <w:szCs w:val="20"/>
          <w:color w:val="auto"/>
        </w:rPr>
      </w:pPr>
    </w:p>
    <w:p>
      <w:pPr>
        <w:ind w:right="180" w:firstLine="279"/>
        <w:spacing w:after="0" w:line="235" w:lineRule="auto"/>
        <w:rPr>
          <w:sz w:val="20"/>
          <w:szCs w:val="20"/>
          <w:color w:val="auto"/>
        </w:rPr>
      </w:pPr>
      <w:r>
        <w:rPr>
          <w:rFonts w:ascii="Arial" w:cs="Arial" w:eastAsia="Arial" w:hAnsi="Arial"/>
          <w:sz w:val="19"/>
          <w:szCs w:val="19"/>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 material adverse effect on our business, financial position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success depends on key members of our management, the loss of any of whom could disrupt our business operations.</w:t>
      </w:r>
    </w:p>
    <w:p>
      <w:pPr>
        <w:spacing w:after="0" w:line="200" w:lineRule="exact"/>
        <w:rPr>
          <w:sz w:val="20"/>
          <w:szCs w:val="20"/>
          <w:color w:val="auto"/>
        </w:rPr>
      </w:pPr>
    </w:p>
    <w:p>
      <w:pPr>
        <w:ind w:firstLine="279"/>
        <w:spacing w:after="0" w:line="273" w:lineRule="auto"/>
        <w:rPr>
          <w:sz w:val="20"/>
          <w:szCs w:val="20"/>
          <w:color w:val="auto"/>
        </w:rPr>
      </w:pPr>
      <w:r>
        <w:rPr>
          <w:rFonts w:ascii="Arial" w:cs="Arial" w:eastAsia="Arial" w:hAnsi="Arial"/>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56"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72" w:lineRule="exact"/>
        <w:rPr>
          <w:sz w:val="20"/>
          <w:szCs w:val="20"/>
          <w:color w:val="auto"/>
        </w:rPr>
      </w:pPr>
    </w:p>
    <w:p>
      <w:pPr>
        <w:ind w:right="200" w:firstLine="279"/>
        <w:spacing w:after="0" w:line="282" w:lineRule="auto"/>
        <w:rPr>
          <w:sz w:val="20"/>
          <w:szCs w:val="20"/>
          <w:color w:val="auto"/>
        </w:rPr>
      </w:pPr>
      <w:r>
        <w:rPr>
          <w:rFonts w:ascii="Arial" w:cs="Arial" w:eastAsia="Arial" w:hAnsi="Arial"/>
          <w:sz w:val="17"/>
          <w:szCs w:val="17"/>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56" w:lineRule="exact"/>
        <w:rPr>
          <w:sz w:val="20"/>
          <w:szCs w:val="20"/>
          <w:color w:val="auto"/>
        </w:rPr>
      </w:pPr>
    </w:p>
    <w:p>
      <w:pPr>
        <w:ind w:left="560" w:right="120" w:hanging="288"/>
        <w:spacing w:after="0" w:line="291"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may be unable to complete construction projects on schedule or at the budgeted cost due to the unavailability of required construction personnel or materials, accidents or weather conditions;</w:t>
      </w:r>
    </w:p>
    <w:p>
      <w:pPr>
        <w:spacing w:after="0" w:line="162" w:lineRule="exact"/>
        <w:rPr>
          <w:rFonts w:ascii="Arial" w:cs="Arial" w:eastAsia="Arial" w:hAnsi="Arial"/>
          <w:sz w:val="15"/>
          <w:szCs w:val="15"/>
          <w:color w:val="auto"/>
        </w:rPr>
      </w:pPr>
    </w:p>
    <w:p>
      <w:pPr>
        <w:ind w:left="560" w:right="240" w:hanging="288"/>
        <w:spacing w:after="0" w:line="291"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62" w:lineRule="exact"/>
        <w:rPr>
          <w:rFonts w:ascii="Arial" w:cs="Arial" w:eastAsia="Arial" w:hAnsi="Arial"/>
          <w:sz w:val="15"/>
          <w:szCs w:val="15"/>
          <w:color w:val="auto"/>
        </w:rPr>
      </w:pPr>
    </w:p>
    <w:p>
      <w:pPr>
        <w:ind w:left="560" w:right="100" w:hanging="288"/>
        <w:spacing w:after="0" w:line="291"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will not receive any material increase in operating cash flows until a project is completed, even though we may have expended considerable funds during the construction phase, which may be prolonged;</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may construct facilities to capture anticipated future energy consumption growth in a region in which such growth does not materialize;</w:t>
      </w:r>
    </w:p>
    <w:p>
      <w:pPr>
        <w:spacing w:after="0" w:line="222" w:lineRule="exact"/>
        <w:rPr>
          <w:rFonts w:ascii="Arial" w:cs="Arial" w:eastAsia="Arial" w:hAnsi="Arial"/>
          <w:sz w:val="15"/>
          <w:szCs w:val="15"/>
          <w:color w:val="auto"/>
        </w:rPr>
      </w:pPr>
    </w:p>
    <w:p>
      <w:pPr>
        <w:ind w:left="560" w:right="20" w:hanging="288"/>
        <w:spacing w:after="0" w:line="291" w:lineRule="auto"/>
        <w:tabs>
          <w:tab w:leader="none" w:pos="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7" w:name="page28"/>
    <w:bookmarkEnd w:id="2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ind w:left="560" w:right="300" w:hanging="288"/>
        <w:spacing w:after="0" w:line="329" w:lineRule="auto"/>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purchase of the project company holding the rights to develop and operate the Ireland Terminal is subject to a number of contingencies, many of which are beyond our control and could cause us not to acquire the remaining interests of the project company or cause a delay in the construction of our Ireland Terminal;</w:t>
      </w:r>
    </w:p>
    <w:p>
      <w:pPr>
        <w:spacing w:after="0" w:line="139" w:lineRule="exact"/>
        <w:rPr>
          <w:rFonts w:ascii="Arial" w:cs="Arial" w:eastAsia="Arial" w:hAnsi="Arial"/>
          <w:sz w:val="14"/>
          <w:szCs w:val="14"/>
          <w:color w:val="auto"/>
        </w:rPr>
      </w:pPr>
    </w:p>
    <w:p>
      <w:pPr>
        <w:ind w:left="560" w:right="200" w:hanging="288"/>
        <w:spacing w:after="0" w:line="274" w:lineRule="auto"/>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75" w:lineRule="exact"/>
        <w:rPr>
          <w:rFonts w:ascii="Arial" w:cs="Arial" w:eastAsia="Arial" w:hAnsi="Arial"/>
          <w:sz w:val="15"/>
          <w:szCs w:val="15"/>
          <w:color w:val="auto"/>
        </w:rPr>
      </w:pPr>
    </w:p>
    <w:p>
      <w:pPr>
        <w:ind w:left="560" w:right="80" w:hanging="288"/>
        <w:spacing w:after="0" w:line="291" w:lineRule="auto"/>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may be (and have been in select circumstances) subject to local opposition, including the efforts by environmental groups, which may attract negative publicity or have an adverse impact on our reputation; and</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may be unable to obtain rights-of-way to construct additional energy-related infrastructure or the cost to do so may be uneconomical.</w:t>
      </w:r>
    </w:p>
    <w:p>
      <w:pPr>
        <w:spacing w:after="0" w:line="214" w:lineRule="exact"/>
        <w:rPr>
          <w:sz w:val="20"/>
          <w:szCs w:val="20"/>
          <w:color w:val="auto"/>
        </w:rPr>
      </w:pPr>
    </w:p>
    <w:p>
      <w:pPr>
        <w:ind w:right="420" w:firstLine="279"/>
        <w:spacing w:after="0" w:line="277"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49" w:lineRule="exact"/>
        <w:rPr>
          <w:sz w:val="20"/>
          <w:szCs w:val="20"/>
          <w:color w:val="auto"/>
        </w:rPr>
      </w:pPr>
    </w:p>
    <w:p>
      <w:pPr>
        <w:ind w:right="1000"/>
        <w:spacing w:after="0" w:line="250" w:lineRule="auto"/>
        <w:rPr>
          <w:sz w:val="20"/>
          <w:szCs w:val="20"/>
          <w:color w:val="auto"/>
        </w:rPr>
      </w:pPr>
      <w:r>
        <w:rPr>
          <w:rFonts w:ascii="Arial" w:cs="Arial" w:eastAsia="Arial" w:hAnsi="Arial"/>
          <w:sz w:val="19"/>
          <w:szCs w:val="19"/>
          <w:b w:val="1"/>
          <w:bCs w:val="1"/>
          <w:i w:val="1"/>
          <w:iCs w:val="1"/>
          <w:color w:val="auto"/>
        </w:rPr>
        <w:t>We expect to be dependent on our primary building contractor and other contractors for the successful completion of our energy-related infrastructure.</w:t>
      </w:r>
    </w:p>
    <w:p>
      <w:pPr>
        <w:spacing w:after="0" w:line="172" w:lineRule="exact"/>
        <w:rPr>
          <w:sz w:val="20"/>
          <w:szCs w:val="20"/>
          <w:color w:val="auto"/>
        </w:rPr>
      </w:pPr>
    </w:p>
    <w:p>
      <w:pPr>
        <w:ind w:right="40" w:firstLine="279"/>
        <w:spacing w:after="0" w:line="254"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78" w:lineRule="exact"/>
        <w:rPr>
          <w:sz w:val="20"/>
          <w:szCs w:val="20"/>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design and engineer each of our facilities to operate in accordance with specifications;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engage and retain third-party subcontractors and procure equipment and supplies;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respond to difficulties such as equipment failure, delivery delays, schedule changes and failures to perform by subcontractors, some of which are beyond their control;</w:t>
      </w:r>
    </w:p>
    <w:p>
      <w:pPr>
        <w:spacing w:after="0" w:line="233" w:lineRule="exact"/>
        <w:rPr>
          <w:rFonts w:ascii="Arial" w:cs="Arial" w:eastAsia="Arial" w:hAnsi="Arial"/>
          <w:sz w:val="14"/>
          <w:szCs w:val="14"/>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attract, develop and retain skilled personnel, including engineers;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post required construction bonds and comply with the terms thereof;</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manage the construction process generally, including coordinating with other contractors and regulatory agencies;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maintain their own financial condition, including adequate working capital.</w:t>
      </w:r>
    </w:p>
    <w:p>
      <w:pPr>
        <w:spacing w:after="0" w:line="214"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8" w:name="page29"/>
    <w:bookmarkEnd w:id="2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20" w:firstLine="279"/>
        <w:spacing w:after="0" w:line="251" w:lineRule="auto"/>
        <w:rPr>
          <w:sz w:val="20"/>
          <w:szCs w:val="20"/>
          <w:color w:val="auto"/>
        </w:rPr>
      </w:pPr>
      <w:r>
        <w:rPr>
          <w:rFonts w:ascii="Arial" w:cs="Arial" w:eastAsia="Arial" w:hAnsi="Arial"/>
          <w:sz w:val="18"/>
          <w:szCs w:val="18"/>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172" w:lineRule="exact"/>
        <w:rPr>
          <w:sz w:val="20"/>
          <w:szCs w:val="20"/>
          <w:color w:val="auto"/>
        </w:rPr>
      </w:pPr>
    </w:p>
    <w:p>
      <w:pPr>
        <w:ind w:right="240"/>
        <w:spacing w:after="0" w:line="250" w:lineRule="auto"/>
        <w:rPr>
          <w:sz w:val="20"/>
          <w:szCs w:val="20"/>
          <w:color w:val="auto"/>
        </w:rPr>
      </w:pPr>
      <w:r>
        <w:rPr>
          <w:rFonts w:ascii="Arial" w:cs="Arial" w:eastAsia="Arial" w:hAnsi="Arial"/>
          <w:sz w:val="19"/>
          <w:szCs w:val="19"/>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72" w:lineRule="exact"/>
        <w:rPr>
          <w:sz w:val="20"/>
          <w:szCs w:val="20"/>
          <w:color w:val="auto"/>
        </w:rPr>
      </w:pPr>
    </w:p>
    <w:p>
      <w:pPr>
        <w:ind w:firstLine="279"/>
        <w:spacing w:after="0" w:line="269" w:lineRule="auto"/>
        <w:rPr>
          <w:sz w:val="20"/>
          <w:szCs w:val="20"/>
          <w:color w:val="auto"/>
        </w:rPr>
      </w:pPr>
      <w:r>
        <w:rPr>
          <w:rFonts w:ascii="Arial" w:cs="Arial" w:eastAsia="Arial" w:hAnsi="Arial"/>
          <w:sz w:val="17"/>
          <w:szCs w:val="17"/>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perform development or construction services from time to time, which are subject to a variety of risks unique to these activities.</w:t>
      </w:r>
    </w:p>
    <w:p>
      <w:pPr>
        <w:spacing w:after="0" w:line="211" w:lineRule="exact"/>
        <w:rPr>
          <w:sz w:val="20"/>
          <w:szCs w:val="20"/>
          <w:color w:val="auto"/>
        </w:rPr>
      </w:pPr>
    </w:p>
    <w:p>
      <w:pPr>
        <w:ind w:right="60" w:firstLine="279"/>
        <w:spacing w:after="0" w:line="267"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Combined Cycle Power Plant in San Juan, Puerto Rico was delayed in part due to the earthquakes that occurred near Puerto Rico in January 2020 and third party delays.</w:t>
      </w:r>
    </w:p>
    <w:p>
      <w:pPr>
        <w:spacing w:after="0" w:line="159" w:lineRule="exact"/>
        <w:rPr>
          <w:sz w:val="20"/>
          <w:szCs w:val="20"/>
          <w:color w:val="auto"/>
        </w:rPr>
      </w:pPr>
    </w:p>
    <w:p>
      <w:pPr>
        <w:ind w:right="20" w:firstLine="279"/>
        <w:spacing w:after="0" w:line="265"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If any such excess costs or project delays were to be material, such events may adversely affect our cash flow and liquidity.</w:t>
      </w:r>
    </w:p>
    <w:p>
      <w:pPr>
        <w:spacing w:after="0" w:line="2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49" w:lineRule="exact"/>
        <w:rPr>
          <w:sz w:val="20"/>
          <w:szCs w:val="20"/>
          <w:color w:val="auto"/>
        </w:rPr>
      </w:pPr>
    </w:p>
    <w:p>
      <w:pPr>
        <w:ind w:right="20" w:firstLine="279"/>
        <w:spacing w:after="0" w:line="249" w:lineRule="auto"/>
        <w:rPr>
          <w:sz w:val="20"/>
          <w:szCs w:val="20"/>
          <w:color w:val="auto"/>
        </w:rPr>
      </w:pPr>
      <w:r>
        <w:rPr>
          <w:rFonts w:ascii="Arial" w:cs="Arial" w:eastAsia="Arial" w:hAnsi="Arial"/>
          <w:sz w:val="18"/>
          <w:szCs w:val="18"/>
          <w:color w:val="auto"/>
        </w:rPr>
        <w:t>Under the GSAs with JPS, JPC and PREPA, we are required to deliver to JPS, 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175" w:lineRule="exact"/>
        <w:rPr>
          <w:sz w:val="20"/>
          <w:szCs w:val="20"/>
          <w:color w:val="auto"/>
        </w:rPr>
      </w:pPr>
    </w:p>
    <w:p>
      <w:pPr>
        <w:ind w:right="40" w:firstLine="279"/>
        <w:spacing w:after="0" w:line="262"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300" w:firstLine="279"/>
        <w:spacing w:after="0" w:line="237" w:lineRule="auto"/>
        <w:rPr>
          <w:sz w:val="20"/>
          <w:szCs w:val="20"/>
          <w:color w:val="auto"/>
        </w:rPr>
      </w:pPr>
      <w:r>
        <w:rPr>
          <w:rFonts w:ascii="Arial" w:cs="Arial" w:eastAsia="Arial" w:hAnsi="Arial"/>
          <w:sz w:val="19"/>
          <w:szCs w:val="19"/>
          <w:color w:val="auto"/>
        </w:rPr>
        <w:t>While we have entered into contracts with a third 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82" w:lineRule="exact"/>
        <w:rPr>
          <w:sz w:val="20"/>
          <w:szCs w:val="20"/>
          <w:color w:val="auto"/>
        </w:rPr>
      </w:pPr>
    </w:p>
    <w:p>
      <w:pPr>
        <w:jc w:val="both"/>
        <w:ind w:right="160" w:firstLine="279"/>
        <w:spacing w:after="0" w:line="269" w:lineRule="auto"/>
        <w:rPr>
          <w:sz w:val="20"/>
          <w:szCs w:val="20"/>
          <w:color w:val="auto"/>
        </w:rPr>
      </w:pPr>
      <w:r>
        <w:rPr>
          <w:rFonts w:ascii="Arial" w:cs="Arial" w:eastAsia="Arial" w:hAnsi="Arial"/>
          <w:sz w:val="17"/>
          <w:szCs w:val="17"/>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face competition based upon the international market price for LNG or natural gas.</w:t>
      </w:r>
    </w:p>
    <w:p>
      <w:pPr>
        <w:spacing w:after="0" w:line="200" w:lineRule="exact"/>
        <w:rPr>
          <w:sz w:val="20"/>
          <w:szCs w:val="20"/>
          <w:color w:val="auto"/>
        </w:rPr>
      </w:pPr>
    </w:p>
    <w:p>
      <w:pPr>
        <w:ind w:right="360" w:firstLine="279"/>
        <w:spacing w:after="0" w:line="269"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68" w:lineRule="exact"/>
        <w:rPr>
          <w:sz w:val="20"/>
          <w:szCs w:val="20"/>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increases in worldwide LNG production capacity and availability of LNG for market supply;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increases in demand for natural gas but at levels below those required to maintain current price equilibrium with respect to supply;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increases in the cost to supply natural gas feedstock to our liquefaction projects;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increases in the cost to supply LNG feedstock to our facilities;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decreases in the cost of competing sources of natural gas, LNG or alternate fuels such as coal, heavy fuel oil and ADO;</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decreases in the price of LNG; and</w:t>
      </w:r>
    </w:p>
    <w:p>
      <w:pPr>
        <w:spacing w:after="0" w:line="222" w:lineRule="exact"/>
        <w:rPr>
          <w:rFonts w:ascii="Arial" w:cs="Arial" w:eastAsia="Arial" w:hAnsi="Arial"/>
          <w:sz w:val="15"/>
          <w:szCs w:val="15"/>
          <w:color w:val="auto"/>
        </w:rPr>
      </w:pPr>
    </w:p>
    <w:p>
      <w:pPr>
        <w:ind w:left="560" w:right="100" w:hanging="288"/>
        <w:spacing w:after="0" w:line="291" w:lineRule="auto"/>
        <w:tabs>
          <w:tab w:leader="none" w:pos="5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54" w:lineRule="exact"/>
        <w:rPr>
          <w:sz w:val="20"/>
          <w:szCs w:val="20"/>
          <w:color w:val="auto"/>
        </w:rPr>
      </w:pPr>
    </w:p>
    <w:p>
      <w:pPr>
        <w:ind w:firstLine="279"/>
        <w:spacing w:after="0" w:line="282" w:lineRule="auto"/>
        <w:rPr>
          <w:sz w:val="20"/>
          <w:szCs w:val="20"/>
          <w:color w:val="auto"/>
        </w:rPr>
      </w:pPr>
      <w:r>
        <w:rPr>
          <w:rFonts w:ascii="Arial" w:cs="Arial" w:eastAsia="Arial" w:hAnsi="Arial"/>
          <w:sz w:val="17"/>
          <w:szCs w:val="17"/>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Technological innovation may impair the economic attractiveness of our projects.</w:t>
      </w:r>
    </w:p>
    <w:p>
      <w:pPr>
        <w:spacing w:after="0" w:line="200" w:lineRule="exact"/>
        <w:rPr>
          <w:sz w:val="20"/>
          <w:szCs w:val="20"/>
          <w:color w:val="auto"/>
        </w:rPr>
      </w:pPr>
    </w:p>
    <w:p>
      <w:pPr>
        <w:ind w:right="40" w:firstLine="279"/>
        <w:spacing w:after="0" w:line="267"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0" w:name="page31"/>
    <w:bookmarkEnd w:id="3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b w:val="1"/>
          <w:bCs w:val="1"/>
          <w:i w:val="1"/>
          <w:iCs w:val="1"/>
          <w:color w:val="auto"/>
        </w:rPr>
        <w:t>Changes in legislation and regulations could have a material adverse impact on our business, results of operations, financial condition, liquidity and prospects.</w:t>
      </w:r>
    </w:p>
    <w:p>
      <w:pPr>
        <w:spacing w:after="0" w:line="172" w:lineRule="exact"/>
        <w:rPr>
          <w:sz w:val="20"/>
          <w:szCs w:val="20"/>
          <w:color w:val="auto"/>
        </w:rPr>
      </w:pPr>
    </w:p>
    <w:p>
      <w:pPr>
        <w:ind w:right="20" w:firstLine="279"/>
        <w:spacing w:after="0" w:line="262" w:lineRule="auto"/>
        <w:rPr>
          <w:sz w:val="20"/>
          <w:szCs w:val="20"/>
          <w:color w:val="auto"/>
        </w:rPr>
      </w:pPr>
      <w:r>
        <w:rPr>
          <w:rFonts w:ascii="Arial" w:cs="Arial" w:eastAsia="Arial" w:hAnsi="Arial"/>
          <w:sz w:val="17"/>
          <w:szCs w:val="17"/>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Increasing trucking regulations may increase our costs and negatively impact our results of operations.</w:t>
      </w:r>
    </w:p>
    <w:p>
      <w:pPr>
        <w:spacing w:after="0" w:line="200" w:lineRule="exact"/>
        <w:rPr>
          <w:sz w:val="20"/>
          <w:szCs w:val="20"/>
          <w:color w:val="auto"/>
        </w:rPr>
      </w:pPr>
    </w:p>
    <w:p>
      <w:pPr>
        <w:ind w:right="20" w:firstLine="279"/>
        <w:spacing w:after="0" w:line="265" w:lineRule="auto"/>
        <w:rPr>
          <w:sz w:val="20"/>
          <w:szCs w:val="20"/>
          <w:color w:val="auto"/>
        </w:rPr>
      </w:pPr>
      <w:r>
        <w:rPr>
          <w:rFonts w:ascii="Arial" w:cs="Arial" w:eastAsia="Arial" w:hAnsi="Arial"/>
          <w:sz w:val="17"/>
          <w:szCs w:val="17"/>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62" w:lineRule="exact"/>
        <w:rPr>
          <w:sz w:val="20"/>
          <w:szCs w:val="20"/>
          <w:color w:val="auto"/>
        </w:rPr>
      </w:pPr>
    </w:p>
    <w:p>
      <w:pPr>
        <w:ind w:firstLine="279"/>
        <w:spacing w:after="0" w:line="247"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178" w:lineRule="exact"/>
        <w:rPr>
          <w:sz w:val="20"/>
          <w:szCs w:val="20"/>
          <w:color w:val="auto"/>
        </w:rPr>
      </w:pPr>
    </w:p>
    <w:p>
      <w:pPr>
        <w:jc w:val="both"/>
        <w:ind w:right="60" w:firstLine="279"/>
        <w:spacing w:after="0" w:line="260"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64"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72" w:lineRule="exact"/>
        <w:rPr>
          <w:sz w:val="20"/>
          <w:szCs w:val="20"/>
          <w:color w:val="auto"/>
        </w:rPr>
      </w:pPr>
    </w:p>
    <w:p>
      <w:pPr>
        <w:ind w:right="20" w:firstLine="279"/>
        <w:spacing w:after="0" w:line="309" w:lineRule="auto"/>
        <w:rPr>
          <w:sz w:val="20"/>
          <w:szCs w:val="20"/>
          <w:color w:val="auto"/>
        </w:rPr>
      </w:pPr>
      <w:r>
        <w:rPr>
          <w:rFonts w:ascii="Arial" w:cs="Arial" w:eastAsia="Arial" w:hAnsi="Arial"/>
          <w:sz w:val="15"/>
          <w:szCs w:val="15"/>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131" w:lineRule="exact"/>
        <w:rPr>
          <w:sz w:val="20"/>
          <w:szCs w:val="20"/>
          <w:color w:val="auto"/>
        </w:rPr>
      </w:pPr>
    </w:p>
    <w:p>
      <w:pPr>
        <w:ind w:right="160" w:firstLine="279"/>
        <w:spacing w:after="0" w:line="249" w:lineRule="auto"/>
        <w:rPr>
          <w:sz w:val="20"/>
          <w:szCs w:val="20"/>
          <w:color w:val="auto"/>
        </w:rPr>
      </w:pPr>
      <w:r>
        <w:rPr>
          <w:rFonts w:ascii="Arial" w:cs="Arial" w:eastAsia="Arial" w:hAnsi="Arial"/>
          <w:sz w:val="18"/>
          <w:szCs w:val="18"/>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1" w:name="page32"/>
    <w:bookmarkEnd w:id="3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72" w:lineRule="exact"/>
        <w:rPr>
          <w:sz w:val="20"/>
          <w:szCs w:val="20"/>
          <w:color w:val="auto"/>
        </w:rPr>
      </w:pPr>
    </w:p>
    <w:p>
      <w:pPr>
        <w:ind w:firstLine="279"/>
        <w:spacing w:after="0" w:line="313" w:lineRule="auto"/>
        <w:rPr>
          <w:sz w:val="20"/>
          <w:szCs w:val="20"/>
          <w:color w:val="auto"/>
        </w:rPr>
      </w:pPr>
      <w:r>
        <w:rPr>
          <w:rFonts w:ascii="Arial" w:cs="Arial" w:eastAsia="Arial" w:hAnsi="Arial"/>
          <w:sz w:val="15"/>
          <w:szCs w:val="15"/>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30" w:lineRule="exact"/>
        <w:rPr>
          <w:sz w:val="20"/>
          <w:szCs w:val="20"/>
          <w:color w:val="auto"/>
        </w:rPr>
      </w:pPr>
    </w:p>
    <w:p>
      <w:pPr>
        <w:ind w:right="540" w:firstLine="279"/>
        <w:spacing w:after="0" w:line="250" w:lineRule="auto"/>
        <w:rPr>
          <w:sz w:val="20"/>
          <w:szCs w:val="20"/>
          <w:color w:val="auto"/>
        </w:rPr>
      </w:pPr>
      <w:r>
        <w:rPr>
          <w:rFonts w:ascii="Arial" w:cs="Arial" w:eastAsia="Arial" w:hAnsi="Arial"/>
          <w:sz w:val="19"/>
          <w:szCs w:val="19"/>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81" w:lineRule="exact"/>
        <w:rPr>
          <w:sz w:val="20"/>
          <w:szCs w:val="20"/>
          <w:color w:val="auto"/>
        </w:rPr>
      </w:pPr>
    </w:p>
    <w:p>
      <w:pPr>
        <w:ind w:left="560" w:hanging="288"/>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natural disasters;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mechanical failures;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grounding, fire, explosions and collisions;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piracy;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human error;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war and terrorism.</w:t>
      </w:r>
    </w:p>
    <w:p>
      <w:pPr>
        <w:spacing w:after="0" w:line="214" w:lineRule="exact"/>
        <w:rPr>
          <w:sz w:val="20"/>
          <w:szCs w:val="20"/>
          <w:color w:val="auto"/>
        </w:rPr>
      </w:pPr>
    </w:p>
    <w:p>
      <w:pPr>
        <w:ind w:right="120" w:firstLine="279"/>
        <w:spacing w:after="0" w:line="235" w:lineRule="auto"/>
        <w:rPr>
          <w:sz w:val="20"/>
          <w:szCs w:val="20"/>
          <w:color w:val="auto"/>
        </w:rPr>
      </w:pPr>
      <w:r>
        <w:rPr>
          <w:rFonts w:ascii="Arial" w:cs="Arial" w:eastAsia="Arial" w:hAnsi="Arial"/>
          <w:sz w:val="19"/>
          <w:szCs w:val="19"/>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85" w:lineRule="exact"/>
        <w:rPr>
          <w:sz w:val="20"/>
          <w:szCs w:val="20"/>
          <w:color w:val="auto"/>
        </w:rPr>
      </w:pPr>
    </w:p>
    <w:p>
      <w:pPr>
        <w:ind w:right="320"/>
        <w:spacing w:after="0" w:line="250" w:lineRule="auto"/>
        <w:rPr>
          <w:sz w:val="20"/>
          <w:szCs w:val="20"/>
          <w:color w:val="auto"/>
        </w:rPr>
      </w:pPr>
      <w:r>
        <w:rPr>
          <w:rFonts w:ascii="Arial" w:cs="Arial" w:eastAsia="Arial" w:hAnsi="Arial"/>
          <w:sz w:val="19"/>
          <w:szCs w:val="19"/>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Cargoes of LNG and our chartered vessels are at risk of being damaged or lost because of events such as:</w:t>
      </w:r>
    </w:p>
    <w:p>
      <w:pPr>
        <w:spacing w:after="0" w:line="208" w:lineRule="exact"/>
        <w:rPr>
          <w:sz w:val="20"/>
          <w:szCs w:val="20"/>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marine disasters;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piracy;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bad weather;</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mechanical failures;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environmental accidents;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grounding, fire, explosions and collisions;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human error;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war and terrorism.</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An accident involving our cargoes or any of our chartered vessels could result in any of the following:</w:t>
      </w:r>
    </w:p>
    <w:p>
      <w:pPr>
        <w:spacing w:after="0" w:line="208" w:lineRule="exact"/>
        <w:rPr>
          <w:sz w:val="20"/>
          <w:szCs w:val="20"/>
          <w:color w:val="auto"/>
        </w:rPr>
      </w:pPr>
    </w:p>
    <w:p>
      <w:pPr>
        <w:ind w:left="560" w:hanging="288"/>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death or injury to persons, loss of property or environmental damage;</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delays in the delivery of cargo;</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loss of revenues;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2" w:name="page33"/>
    <w:bookmarkEnd w:id="3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ind w:left="560" w:hanging="288"/>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termination of charter contracts;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governmental fines, penalties or restrictions on conducting business;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higher insurance rates; and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damage to our reputation and customer relationships generally.</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Any of these circumstances or events could increase our costs or lower our revenues.</w:t>
      </w:r>
    </w:p>
    <w:p>
      <w:pPr>
        <w:spacing w:after="0" w:line="200" w:lineRule="exact"/>
        <w:rPr>
          <w:sz w:val="20"/>
          <w:szCs w:val="20"/>
          <w:color w:val="auto"/>
        </w:rPr>
      </w:pPr>
    </w:p>
    <w:p>
      <w:pPr>
        <w:jc w:val="both"/>
        <w:ind w:right="20" w:firstLine="279"/>
        <w:spacing w:after="0" w:line="237" w:lineRule="auto"/>
        <w:rPr>
          <w:sz w:val="20"/>
          <w:szCs w:val="20"/>
          <w:color w:val="auto"/>
        </w:rPr>
      </w:pPr>
      <w:r>
        <w:rPr>
          <w:rFonts w:ascii="Arial" w:cs="Arial" w:eastAsia="Arial" w:hAnsi="Arial"/>
          <w:sz w:val="19"/>
          <w:szCs w:val="19"/>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82"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72"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64" w:lineRule="exact"/>
        <w:rPr>
          <w:sz w:val="20"/>
          <w:szCs w:val="20"/>
          <w:color w:val="auto"/>
        </w:rPr>
      </w:pPr>
    </w:p>
    <w:p>
      <w:pPr>
        <w:ind w:right="20" w:firstLine="279"/>
        <w:spacing w:after="0" w:line="267"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For example, the IMO has promulgated regulations limiting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59" w:lineRule="exact"/>
        <w:rPr>
          <w:sz w:val="20"/>
          <w:szCs w:val="20"/>
          <w:color w:val="auto"/>
        </w:rPr>
      </w:pPr>
    </w:p>
    <w:p>
      <w:pPr>
        <w:ind w:firstLine="279"/>
        <w:spacing w:after="0" w:line="267"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59" w:lineRule="exact"/>
        <w:rPr>
          <w:sz w:val="20"/>
          <w:szCs w:val="20"/>
          <w:color w:val="auto"/>
        </w:rPr>
      </w:pPr>
    </w:p>
    <w:p>
      <w:pPr>
        <w:ind w:right="520"/>
        <w:spacing w:after="0" w:line="250" w:lineRule="auto"/>
        <w:rPr>
          <w:sz w:val="20"/>
          <w:szCs w:val="20"/>
          <w:color w:val="auto"/>
        </w:rPr>
      </w:pPr>
      <w:r>
        <w:rPr>
          <w:rFonts w:ascii="Arial" w:cs="Arial" w:eastAsia="Arial" w:hAnsi="Arial"/>
          <w:sz w:val="19"/>
          <w:szCs w:val="19"/>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72" w:lineRule="exact"/>
        <w:rPr>
          <w:sz w:val="20"/>
          <w:szCs w:val="20"/>
          <w:color w:val="auto"/>
        </w:rPr>
      </w:pPr>
    </w:p>
    <w:p>
      <w:pPr>
        <w:ind w:right="40" w:firstLine="279"/>
        <w:spacing w:after="0" w:line="269"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inadequate number of shipyards constructing LNG tankers and a backlog of orders at these shipyards;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political or economic disturbances in the countries where the tankers are being constructed;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in governmental regulations or maritime self-regulatory organizations;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work stoppages or other labor disturbances at the shipyards;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bankruptcy or other financial crisis of shipbuilders;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quality or engineering problems;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weather interference or a catastrophic event, such as a major earthquake, tsunami or fire; or</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shortages of or delays in the receipt of necessary construction materials.</w:t>
      </w:r>
    </w:p>
    <w:p>
      <w:pPr>
        <w:spacing w:after="0" w:line="214" w:lineRule="exact"/>
        <w:rPr>
          <w:sz w:val="20"/>
          <w:szCs w:val="20"/>
          <w:color w:val="auto"/>
        </w:rPr>
      </w:pPr>
    </w:p>
    <w:p>
      <w:pPr>
        <w:jc w:val="both"/>
        <w:ind w:right="100" w:firstLine="279"/>
        <w:spacing w:after="0" w:line="237" w:lineRule="auto"/>
        <w:rPr>
          <w:sz w:val="20"/>
          <w:szCs w:val="20"/>
          <w:color w:val="auto"/>
        </w:rPr>
      </w:pPr>
      <w:r>
        <w:rPr>
          <w:rFonts w:ascii="Arial" w:cs="Arial" w:eastAsia="Arial" w:hAnsi="Arial"/>
          <w:sz w:val="19"/>
          <w:szCs w:val="19"/>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82"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b w:val="1"/>
          <w:bCs w:val="1"/>
          <w:i w:val="1"/>
          <w:iCs w:val="1"/>
          <w:color w:val="auto"/>
        </w:rPr>
        <w:t>Competition in the LNG industry is intense, and some of our competitors have greater financial, technological and other resources than we currently possess.</w:t>
      </w:r>
    </w:p>
    <w:p>
      <w:pPr>
        <w:spacing w:after="0" w:line="172" w:lineRule="exact"/>
        <w:rPr>
          <w:sz w:val="20"/>
          <w:szCs w:val="20"/>
          <w:color w:val="auto"/>
        </w:rPr>
      </w:pPr>
    </w:p>
    <w:p>
      <w:pPr>
        <w:ind w:right="180" w:firstLine="279"/>
        <w:spacing w:after="0" w:line="308" w:lineRule="auto"/>
        <w:rPr>
          <w:sz w:val="20"/>
          <w:szCs w:val="20"/>
          <w:color w:val="auto"/>
        </w:rPr>
      </w:pPr>
      <w:r>
        <w:rPr>
          <w:rFonts w:ascii="Arial" w:cs="Arial" w:eastAsia="Arial" w:hAnsi="Arial"/>
          <w:sz w:val="17"/>
          <w:szCs w:val="17"/>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26" w:lineRule="exact"/>
        <w:rPr>
          <w:sz w:val="20"/>
          <w:szCs w:val="20"/>
          <w:color w:val="auto"/>
        </w:rPr>
      </w:pPr>
    </w:p>
    <w:p>
      <w:pPr>
        <w:ind w:right="160" w:firstLine="279"/>
        <w:spacing w:after="0" w:line="306" w:lineRule="auto"/>
        <w:rPr>
          <w:sz w:val="20"/>
          <w:szCs w:val="20"/>
          <w:color w:val="auto"/>
        </w:rPr>
      </w:pPr>
      <w:r>
        <w:rPr>
          <w:rFonts w:ascii="Arial" w:cs="Arial" w:eastAsia="Arial" w:hAnsi="Arial"/>
          <w:sz w:val="15"/>
          <w:szCs w:val="15"/>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33"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b w:val="1"/>
          <w:bCs w:val="1"/>
          <w:i w:val="1"/>
          <w:iCs w:val="1"/>
          <w:color w:val="auto"/>
        </w:rPr>
        <w:t>Failure of LNG to be a competitive source of energy in the markets in which we operate, and seek to operate, could adversely affect our expansion strategy.</w:t>
      </w:r>
    </w:p>
    <w:p>
      <w:pPr>
        <w:spacing w:after="0" w:line="172" w:lineRule="exact"/>
        <w:rPr>
          <w:sz w:val="20"/>
          <w:szCs w:val="20"/>
          <w:color w:val="auto"/>
        </w:rPr>
      </w:pPr>
    </w:p>
    <w:p>
      <w:pPr>
        <w:ind w:right="100" w:firstLine="279"/>
        <w:spacing w:after="0" w:line="234" w:lineRule="auto"/>
        <w:rPr>
          <w:sz w:val="20"/>
          <w:szCs w:val="20"/>
          <w:color w:val="auto"/>
        </w:rPr>
      </w:pPr>
      <w:r>
        <w:rPr>
          <w:rFonts w:ascii="Arial" w:cs="Arial" w:eastAsia="Arial" w:hAnsi="Arial"/>
          <w:sz w:val="19"/>
          <w:szCs w:val="19"/>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186" w:lineRule="exact"/>
        <w:rPr>
          <w:sz w:val="20"/>
          <w:szCs w:val="20"/>
          <w:color w:val="auto"/>
        </w:rPr>
      </w:pPr>
    </w:p>
    <w:p>
      <w:pPr>
        <w:ind w:right="60" w:firstLine="279"/>
        <w:spacing w:after="0" w:line="251" w:lineRule="auto"/>
        <w:rPr>
          <w:sz w:val="20"/>
          <w:szCs w:val="20"/>
          <w:color w:val="auto"/>
        </w:rPr>
      </w:pPr>
      <w:r>
        <w:rPr>
          <w:rFonts w:ascii="Arial" w:cs="Arial" w:eastAsia="Arial" w:hAnsi="Arial"/>
          <w:sz w:val="18"/>
          <w:szCs w:val="18"/>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72" w:lineRule="exact"/>
        <w:rPr>
          <w:sz w:val="20"/>
          <w:szCs w:val="20"/>
          <w:color w:val="auto"/>
        </w:rPr>
      </w:pPr>
    </w:p>
    <w:p>
      <w:pPr>
        <w:ind w:firstLine="279"/>
        <w:spacing w:after="0" w:line="235" w:lineRule="auto"/>
        <w:rPr>
          <w:sz w:val="20"/>
          <w:szCs w:val="20"/>
          <w:color w:val="auto"/>
        </w:rPr>
      </w:pPr>
      <w:r>
        <w:rPr>
          <w:rFonts w:ascii="Arial" w:cs="Arial" w:eastAsia="Arial" w:hAnsi="Arial"/>
          <w:sz w:val="19"/>
          <w:szCs w:val="19"/>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4" w:name="page35"/>
    <w:bookmarkEnd w:id="3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Any use of hedging arrangements may adversely affect our future operating results or liquidity.</w:t>
      </w:r>
    </w:p>
    <w:p>
      <w:pPr>
        <w:spacing w:after="0" w:line="200" w:lineRule="exact"/>
        <w:rPr>
          <w:sz w:val="20"/>
          <w:szCs w:val="20"/>
          <w:color w:val="auto"/>
        </w:rPr>
      </w:pPr>
    </w:p>
    <w:p>
      <w:pPr>
        <w:ind w:right="260" w:firstLine="279"/>
        <w:spacing w:after="0" w:line="237" w:lineRule="auto"/>
        <w:rPr>
          <w:sz w:val="20"/>
          <w:szCs w:val="20"/>
          <w:color w:val="auto"/>
        </w:rPr>
      </w:pPr>
      <w:r>
        <w:rPr>
          <w:rFonts w:ascii="Arial" w:cs="Arial" w:eastAsia="Arial" w:hAnsi="Arial"/>
          <w:sz w:val="19"/>
          <w:szCs w:val="19"/>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91" w:lineRule="exact"/>
        <w:rPr>
          <w:sz w:val="20"/>
          <w:szCs w:val="20"/>
          <w:color w:val="auto"/>
        </w:rPr>
      </w:pPr>
    </w:p>
    <w:p>
      <w:pPr>
        <w:ind w:left="560" w:hanging="288"/>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expected supply is less than the amount hedged;</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counterparty to the hedging contract defaults on its contractual obligations; or</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there is a change in the expected differential between the underlying price in the hedging agreement and actual prices received.</w:t>
      </w:r>
    </w:p>
    <w:p>
      <w:pPr>
        <w:spacing w:after="0" w:line="214" w:lineRule="exact"/>
        <w:rPr>
          <w:sz w:val="20"/>
          <w:szCs w:val="20"/>
          <w:color w:val="auto"/>
        </w:rPr>
      </w:pPr>
    </w:p>
    <w:p>
      <w:pPr>
        <w:jc w:val="both"/>
        <w:ind w:right="120" w:firstLine="279"/>
        <w:spacing w:after="0" w:line="260"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64" w:lineRule="exact"/>
        <w:rPr>
          <w:sz w:val="20"/>
          <w:szCs w:val="20"/>
          <w:color w:val="auto"/>
        </w:rPr>
      </w:pPr>
    </w:p>
    <w:p>
      <w:pPr>
        <w:ind w:right="580"/>
        <w:spacing w:after="0" w:line="250" w:lineRule="auto"/>
        <w:rPr>
          <w:sz w:val="20"/>
          <w:szCs w:val="20"/>
          <w:color w:val="auto"/>
        </w:rPr>
      </w:pPr>
      <w:r>
        <w:rPr>
          <w:rFonts w:ascii="Arial" w:cs="Arial" w:eastAsia="Arial" w:hAnsi="Arial"/>
          <w:sz w:val="19"/>
          <w:szCs w:val="19"/>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2" w:lineRule="exact"/>
        <w:rPr>
          <w:sz w:val="20"/>
          <w:szCs w:val="20"/>
          <w:color w:val="auto"/>
        </w:rPr>
      </w:pPr>
    </w:p>
    <w:p>
      <w:pPr>
        <w:ind w:right="60" w:firstLine="279"/>
        <w:spacing w:after="0" w:line="260" w:lineRule="auto"/>
        <w:rPr>
          <w:sz w:val="20"/>
          <w:szCs w:val="20"/>
          <w:color w:val="auto"/>
        </w:rPr>
      </w:pPr>
      <w:r>
        <w:rPr>
          <w:rFonts w:ascii="Arial" w:cs="Arial" w:eastAsia="Arial" w:hAnsi="Arial"/>
          <w:sz w:val="17"/>
          <w:szCs w:val="17"/>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72" w:lineRule="exact"/>
        <w:rPr>
          <w:sz w:val="20"/>
          <w:szCs w:val="20"/>
          <w:color w:val="auto"/>
        </w:rPr>
      </w:pPr>
    </w:p>
    <w:p>
      <w:pPr>
        <w:ind w:right="480"/>
        <w:spacing w:after="0" w:line="250" w:lineRule="auto"/>
        <w:rPr>
          <w:sz w:val="20"/>
          <w:szCs w:val="20"/>
          <w:color w:val="auto"/>
        </w:rPr>
      </w:pPr>
      <w:r>
        <w:rPr>
          <w:rFonts w:ascii="Arial" w:cs="Arial" w:eastAsia="Arial" w:hAnsi="Arial"/>
          <w:sz w:val="19"/>
          <w:szCs w:val="19"/>
          <w:b w:val="1"/>
          <w:bCs w:val="1"/>
          <w:i w:val="1"/>
          <w:iCs w:val="1"/>
          <w:color w:val="auto"/>
        </w:rPr>
        <w:t>We may experience increased labor costs, and the unavailability of skilled workers or our failure to attract and retain qualified personnel could adversely affect us.</w:t>
      </w:r>
    </w:p>
    <w:p>
      <w:pPr>
        <w:spacing w:after="0" w:line="172" w:lineRule="exact"/>
        <w:rPr>
          <w:sz w:val="20"/>
          <w:szCs w:val="20"/>
          <w:color w:val="auto"/>
        </w:rPr>
      </w:pPr>
    </w:p>
    <w:p>
      <w:pPr>
        <w:ind w:right="140" w:firstLine="279"/>
        <w:spacing w:after="0" w:line="261"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60"/>
        <w:spacing w:after="0" w:line="250" w:lineRule="auto"/>
        <w:rPr>
          <w:sz w:val="20"/>
          <w:szCs w:val="20"/>
          <w:color w:val="auto"/>
        </w:rPr>
      </w:pPr>
      <w:r>
        <w:rPr>
          <w:rFonts w:ascii="Arial" w:cs="Arial" w:eastAsia="Arial" w:hAnsi="Arial"/>
          <w:sz w:val="19"/>
          <w:szCs w:val="19"/>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2" w:lineRule="exact"/>
        <w:rPr>
          <w:sz w:val="20"/>
          <w:szCs w:val="20"/>
          <w:color w:val="auto"/>
        </w:rPr>
      </w:pPr>
    </w:p>
    <w:p>
      <w:pPr>
        <w:ind w:firstLine="279"/>
        <w:spacing w:after="0" w:line="313" w:lineRule="auto"/>
        <w:rPr>
          <w:sz w:val="20"/>
          <w:szCs w:val="20"/>
          <w:color w:val="auto"/>
        </w:rPr>
      </w:pPr>
      <w:r>
        <w:rPr>
          <w:rFonts w:ascii="Arial" w:cs="Arial" w:eastAsia="Arial" w:hAnsi="Arial"/>
          <w:sz w:val="15"/>
          <w:szCs w:val="15"/>
          <w:color w:val="auto"/>
        </w:rPr>
        <w:t>The substantial majority of our anticipated revenue in 2020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Terminals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incur impairments to long-lived assets.</w:t>
      </w:r>
    </w:p>
    <w:p>
      <w:pPr>
        <w:spacing w:after="0" w:line="200" w:lineRule="exact"/>
        <w:rPr>
          <w:sz w:val="20"/>
          <w:szCs w:val="20"/>
          <w:color w:val="auto"/>
        </w:rPr>
      </w:pPr>
    </w:p>
    <w:p>
      <w:pPr>
        <w:ind w:firstLine="279"/>
        <w:spacing w:after="0" w:line="265"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62"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47" w:lineRule="exact"/>
        <w:rPr>
          <w:sz w:val="20"/>
          <w:szCs w:val="20"/>
          <w:color w:val="auto"/>
        </w:rPr>
      </w:pPr>
    </w:p>
    <w:p>
      <w:pPr>
        <w:ind w:right="40" w:firstLine="279"/>
        <w:spacing w:after="0" w:line="262"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66" w:lineRule="exact"/>
        <w:rPr>
          <w:sz w:val="20"/>
          <w:szCs w:val="20"/>
          <w:color w:val="auto"/>
        </w:rPr>
      </w:pPr>
    </w:p>
    <w:p>
      <w:pPr>
        <w:ind w:right="300" w:firstLine="46"/>
        <w:spacing w:after="0" w:line="381" w:lineRule="auto"/>
        <w:rPr>
          <w:sz w:val="20"/>
          <w:szCs w:val="20"/>
          <w:color w:val="auto"/>
        </w:rPr>
      </w:pPr>
      <w:r>
        <w:rPr>
          <w:rFonts w:ascii="Arial" w:cs="Arial" w:eastAsia="Arial" w:hAnsi="Arial"/>
          <w:sz w:val="15"/>
          <w:szCs w:val="15"/>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80" w:lineRule="exact"/>
        <w:rPr>
          <w:sz w:val="20"/>
          <w:szCs w:val="20"/>
          <w:color w:val="auto"/>
        </w:rPr>
      </w:pPr>
    </w:p>
    <w:p>
      <w:pPr>
        <w:ind w:right="40" w:firstLine="279"/>
        <w:spacing w:after="0" w:line="249" w:lineRule="auto"/>
        <w:rPr>
          <w:sz w:val="20"/>
          <w:szCs w:val="20"/>
          <w:color w:val="auto"/>
        </w:rPr>
      </w:pPr>
      <w:r>
        <w:rPr>
          <w:rFonts w:ascii="Arial" w:cs="Arial" w:eastAsia="Arial" w:hAnsi="Arial"/>
          <w:sz w:val="18"/>
          <w:szCs w:val="18"/>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36" w:name="page37"/>
    <w:bookmarkEnd w:id="3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40" w:firstLine="279"/>
        <w:spacing w:after="0" w:line="246" w:lineRule="auto"/>
        <w:rPr>
          <w:sz w:val="20"/>
          <w:szCs w:val="20"/>
          <w:color w:val="auto"/>
        </w:rPr>
      </w:pPr>
      <w:r>
        <w:rPr>
          <w:rFonts w:ascii="Arial" w:cs="Arial" w:eastAsia="Arial" w:hAnsi="Arial"/>
          <w:sz w:val="18"/>
          <w:szCs w:val="18"/>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2022—from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182" w:lineRule="exact"/>
        <w:rPr>
          <w:sz w:val="20"/>
          <w:szCs w:val="20"/>
          <w:color w:val="auto"/>
        </w:rPr>
      </w:pPr>
    </w:p>
    <w:p>
      <w:pPr>
        <w:ind w:firstLine="279"/>
        <w:spacing w:after="0" w:line="263" w:lineRule="auto"/>
        <w:rPr>
          <w:sz w:val="20"/>
          <w:szCs w:val="20"/>
          <w:color w:val="auto"/>
        </w:rPr>
      </w:pPr>
      <w:r>
        <w:rPr>
          <w:rFonts w:ascii="Arial" w:cs="Arial" w:eastAsia="Arial" w:hAnsi="Arial"/>
          <w:sz w:val="17"/>
          <w:szCs w:val="17"/>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63" w:lineRule="exact"/>
        <w:rPr>
          <w:sz w:val="20"/>
          <w:szCs w:val="20"/>
          <w:color w:val="auto"/>
        </w:rPr>
      </w:pPr>
    </w:p>
    <w:p>
      <w:pPr>
        <w:ind w:right="20" w:firstLine="279"/>
        <w:spacing w:after="0" w:line="301" w:lineRule="auto"/>
        <w:rPr>
          <w:sz w:val="20"/>
          <w:szCs w:val="20"/>
          <w:color w:val="auto"/>
        </w:rPr>
      </w:pPr>
      <w:r>
        <w:rPr>
          <w:rFonts w:ascii="Arial" w:cs="Arial" w:eastAsia="Arial" w:hAnsi="Arial"/>
          <w:sz w:val="15"/>
          <w:szCs w:val="15"/>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353" w:lineRule="exact"/>
        <w:rPr>
          <w:sz w:val="20"/>
          <w:szCs w:val="20"/>
          <w:color w:val="auto"/>
        </w:rPr>
      </w:pPr>
    </w:p>
    <w:p>
      <w:pPr>
        <w:ind w:right="40" w:firstLine="279"/>
        <w:spacing w:after="0" w:line="247" w:lineRule="auto"/>
        <w:rPr>
          <w:sz w:val="20"/>
          <w:szCs w:val="20"/>
          <w:color w:val="auto"/>
        </w:rPr>
      </w:pPr>
      <w:r>
        <w:rPr>
          <w:rFonts w:ascii="Arial" w:cs="Arial" w:eastAsia="Arial" w:hAnsi="Arial"/>
          <w:sz w:val="18"/>
          <w:szCs w:val="18"/>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78" w:lineRule="exact"/>
        <w:rPr>
          <w:sz w:val="20"/>
          <w:szCs w:val="20"/>
          <w:color w:val="auto"/>
        </w:rPr>
      </w:pPr>
    </w:p>
    <w:p>
      <w:pPr>
        <w:ind w:right="40" w:firstLine="279"/>
        <w:spacing w:after="0" w:line="265" w:lineRule="auto"/>
        <w:rPr>
          <w:sz w:val="20"/>
          <w:szCs w:val="20"/>
          <w:color w:val="auto"/>
        </w:rPr>
      </w:pPr>
      <w:r>
        <w:rPr>
          <w:rFonts w:ascii="Arial" w:cs="Arial" w:eastAsia="Arial" w:hAnsi="Arial"/>
          <w:sz w:val="17"/>
          <w:szCs w:val="17"/>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62" w:lineRule="exact"/>
        <w:rPr>
          <w:sz w:val="20"/>
          <w:szCs w:val="20"/>
          <w:color w:val="auto"/>
        </w:rPr>
      </w:pPr>
    </w:p>
    <w:p>
      <w:pPr>
        <w:ind w:right="180" w:firstLine="279"/>
        <w:spacing w:after="0" w:line="273" w:lineRule="auto"/>
        <w:rPr>
          <w:sz w:val="20"/>
          <w:szCs w:val="20"/>
          <w:color w:val="auto"/>
        </w:rPr>
      </w:pPr>
      <w:r>
        <w:rPr>
          <w:rFonts w:ascii="Arial" w:cs="Arial" w:eastAsia="Arial" w:hAnsi="Arial"/>
          <w:sz w:val="17"/>
          <w:szCs w:val="17"/>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7" w:name="page38"/>
    <w:bookmarkEnd w:id="3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80" w:lineRule="exact"/>
        <w:rPr>
          <w:sz w:val="20"/>
          <w:szCs w:val="20"/>
          <w:color w:val="auto"/>
        </w:rPr>
      </w:pPr>
    </w:p>
    <w:p>
      <w:pPr>
        <w:ind w:right="40" w:firstLine="279"/>
        <w:spacing w:after="0" w:line="261"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In January 2020, the White House Council on Environmental Quality issued a proposed revision to NEPA regulations; however, the final form or impacts of any such revisions are uncertain at this time and any such regulations are likely to be challenged in court. We may also be subject to additional requirements in Jamaica, Mexico, Ireland, Nicaragua, Angola or other jurisdictions, including with respect to land use approvals needed to construct and operate our facilities.</w:t>
      </w:r>
    </w:p>
    <w:p>
      <w:pPr>
        <w:spacing w:after="0" w:line="164" w:lineRule="exact"/>
        <w:rPr>
          <w:sz w:val="20"/>
          <w:szCs w:val="20"/>
          <w:color w:val="auto"/>
        </w:rPr>
      </w:pPr>
    </w:p>
    <w:p>
      <w:pPr>
        <w:ind w:right="40" w:firstLine="279"/>
        <w:spacing w:after="0" w:line="262" w:lineRule="auto"/>
        <w:rPr>
          <w:sz w:val="20"/>
          <w:szCs w:val="20"/>
          <w:color w:val="auto"/>
        </w:rPr>
      </w:pPr>
      <w:r>
        <w:rPr>
          <w:rFonts w:ascii="Arial" w:cs="Arial" w:eastAsia="Arial" w:hAnsi="Arial"/>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72" w:lineRule="exact"/>
        <w:rPr>
          <w:sz w:val="20"/>
          <w:szCs w:val="20"/>
          <w:color w:val="auto"/>
        </w:rPr>
      </w:pPr>
    </w:p>
    <w:p>
      <w:pPr>
        <w:ind w:right="20" w:firstLine="279"/>
        <w:spacing w:after="0" w:line="262"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166" w:lineRule="exact"/>
        <w:rPr>
          <w:sz w:val="20"/>
          <w:szCs w:val="20"/>
          <w:color w:val="auto"/>
        </w:rPr>
      </w:pPr>
    </w:p>
    <w:p>
      <w:pPr>
        <w:ind w:firstLine="279"/>
        <w:spacing w:after="0" w:line="282" w:lineRule="auto"/>
        <w:rPr>
          <w:sz w:val="20"/>
          <w:szCs w:val="20"/>
          <w:color w:val="auto"/>
        </w:rPr>
      </w:pPr>
      <w:r>
        <w:rPr>
          <w:rFonts w:ascii="Arial" w:cs="Arial" w:eastAsia="Arial" w:hAnsi="Arial"/>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47" w:lineRule="exact"/>
        <w:rPr>
          <w:sz w:val="20"/>
          <w:szCs w:val="20"/>
          <w:color w:val="auto"/>
        </w:rPr>
      </w:pPr>
    </w:p>
    <w:p>
      <w:pPr>
        <w:ind w:right="40" w:firstLine="279"/>
        <w:spacing w:after="0" w:line="264" w:lineRule="auto"/>
        <w:rPr>
          <w:sz w:val="20"/>
          <w:szCs w:val="20"/>
          <w:color w:val="auto"/>
        </w:rPr>
      </w:pPr>
      <w:r>
        <w:rPr>
          <w:rFonts w:ascii="Arial" w:cs="Arial" w:eastAsia="Arial" w:hAnsi="Arial"/>
          <w:sz w:val="17"/>
          <w:szCs w:val="17"/>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8" w:name="page39"/>
    <w:bookmarkEnd w:id="3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0" w:firstLine="279"/>
        <w:spacing w:after="0" w:line="247"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78" w:lineRule="exact"/>
        <w:rPr>
          <w:sz w:val="20"/>
          <w:szCs w:val="20"/>
          <w:color w:val="auto"/>
        </w:rPr>
      </w:pPr>
    </w:p>
    <w:p>
      <w:pPr>
        <w:ind w:right="380" w:firstLine="279"/>
        <w:spacing w:after="0" w:line="237" w:lineRule="auto"/>
        <w:rPr>
          <w:sz w:val="20"/>
          <w:szCs w:val="20"/>
          <w:color w:val="auto"/>
        </w:rPr>
      </w:pPr>
      <w:r>
        <w:rPr>
          <w:rFonts w:ascii="Arial" w:cs="Arial" w:eastAsia="Arial" w:hAnsi="Arial"/>
          <w:sz w:val="19"/>
          <w:szCs w:val="19"/>
          <w:i w:val="1"/>
          <w:iCs w:val="1"/>
          <w:color w:val="auto"/>
        </w:rPr>
        <w:t>Greenhouse Gases/Climate Change</w:t>
      </w:r>
      <w:r>
        <w:rPr>
          <w:rFonts w:ascii="Arial" w:cs="Arial" w:eastAsia="Arial" w:hAnsi="Arial"/>
          <w:sz w:val="19"/>
          <w:szCs w:val="19"/>
          <w:color w:val="auto"/>
        </w:rPr>
        <w:t>. The threat of climate change continues to attract considerable attention in the United States and in foreign</w:t>
      </w:r>
      <w:r>
        <w:rPr>
          <w:rFonts w:ascii="Arial" w:cs="Arial" w:eastAsia="Arial" w:hAnsi="Arial"/>
          <w:sz w:val="19"/>
          <w:szCs w:val="19"/>
          <w:i w:val="1"/>
          <w:iCs w:val="1"/>
          <w:color w:val="auto"/>
        </w:rPr>
        <w:t xml:space="preserve"> </w:t>
      </w:r>
      <w:r>
        <w:rPr>
          <w:rFonts w:ascii="Arial" w:cs="Arial" w:eastAsia="Arial" w:hAnsi="Arial"/>
          <w:sz w:val="19"/>
          <w:szCs w:val="19"/>
          <w:color w:val="auto"/>
        </w:rPr>
        <w:t>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182" w:lineRule="exact"/>
        <w:rPr>
          <w:sz w:val="20"/>
          <w:szCs w:val="20"/>
          <w:color w:val="auto"/>
        </w:rPr>
      </w:pPr>
    </w:p>
    <w:p>
      <w:pPr>
        <w:ind w:right="20" w:firstLine="279"/>
        <w:spacing w:after="0" w:line="247" w:lineRule="auto"/>
        <w:rPr>
          <w:sz w:val="20"/>
          <w:szCs w:val="20"/>
          <w:color w:val="auto"/>
        </w:rPr>
      </w:pPr>
      <w:r>
        <w:rPr>
          <w:rFonts w:ascii="Arial" w:cs="Arial" w:eastAsia="Arial" w:hAnsi="Arial"/>
          <w:sz w:val="18"/>
          <w:szCs w:val="18"/>
          <w:color w:val="auto"/>
        </w:rPr>
        <w:t>In the United States to date, no comprehensive climate change legislation has been implemented at the federal level, although various individual states and state coalitions have adopted or are considering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195 countries who agreed to limit their GHG emissions through non-binding, individually-determined reduction goals every five years after 2020. Although the United States has announced its withdrawal from such agreement, effective November 4, 2020, other countries where we operate or plan to operate, including Angola, Jamaica, Ireland, Mexico, and Nicaragua, have signed or acceded to this agreement. However, the scope of future domestic climate and GHG emissions-focused regulatory requirements, if any, remain uncertain.</w:t>
      </w:r>
    </w:p>
    <w:p>
      <w:pPr>
        <w:spacing w:after="0" w:line="178" w:lineRule="exact"/>
        <w:rPr>
          <w:sz w:val="20"/>
          <w:szCs w:val="20"/>
          <w:color w:val="auto"/>
        </w:rPr>
      </w:pPr>
    </w:p>
    <w:p>
      <w:pPr>
        <w:ind w:right="40" w:firstLine="279"/>
        <w:spacing w:after="0" w:line="247"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increasing political uncertainty in the United States, including climate change related pledges made by certain candidates seeking the office of the President of the United States in 2020. Two critical declarations made by one or more candidates running for the Democratic nomination for President include proposals to take actions banning hydraulic fracturing of oil and natural gas wells and banning new leases for production of minerals on federal properties, including onshore lands and offshore waters. A change in administration as a result of the domestic 2020 Presidential election may lead to legislation, rulemaking, or executive orders that ban or restrict the exploration and production of fossil fuels. Other actions that could be pursued by presidential candidates may include more restrictive requirements for the establishment of pipeline infrastructure or the permitting of LNG export facilities, as well as the reversal of the United States’ withdrawal from the Paris Agreement.</w:t>
      </w:r>
    </w:p>
    <w:p>
      <w:pPr>
        <w:spacing w:after="0" w:line="178" w:lineRule="exact"/>
        <w:rPr>
          <w:sz w:val="20"/>
          <w:szCs w:val="20"/>
          <w:color w:val="auto"/>
        </w:rPr>
      </w:pPr>
    </w:p>
    <w:p>
      <w:pPr>
        <w:ind w:firstLine="279"/>
        <w:spacing w:after="0" w:line="251" w:lineRule="auto"/>
        <w:rPr>
          <w:sz w:val="20"/>
          <w:szCs w:val="20"/>
          <w:color w:val="auto"/>
        </w:rPr>
      </w:pPr>
      <w:r>
        <w:rPr>
          <w:rFonts w:ascii="Arial" w:cs="Arial" w:eastAsia="Arial" w:hAnsi="Arial"/>
          <w:sz w:val="18"/>
          <w:szCs w:val="18"/>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shareholder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72" w:lineRule="exact"/>
        <w:rPr>
          <w:sz w:val="20"/>
          <w:szCs w:val="20"/>
          <w:color w:val="auto"/>
        </w:rPr>
      </w:pPr>
    </w:p>
    <w:p>
      <w:pPr>
        <w:ind w:right="40" w:firstLine="279"/>
        <w:spacing w:after="0" w:line="269" w:lineRule="auto"/>
        <w:rPr>
          <w:sz w:val="20"/>
          <w:szCs w:val="20"/>
          <w:color w:val="auto"/>
        </w:rPr>
      </w:pPr>
      <w:r>
        <w:rPr>
          <w:rFonts w:ascii="Arial" w:cs="Arial" w:eastAsia="Arial" w:hAnsi="Arial"/>
          <w:sz w:val="17"/>
          <w:szCs w:val="17"/>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59" w:lineRule="exact"/>
        <w:rPr>
          <w:sz w:val="20"/>
          <w:szCs w:val="20"/>
          <w:color w:val="auto"/>
        </w:rPr>
      </w:pPr>
    </w:p>
    <w:p>
      <w:pPr>
        <w:ind w:right="60" w:firstLine="279"/>
        <w:spacing w:after="0" w:line="264"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39" w:name="page40"/>
    <w:bookmarkEnd w:id="3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40" w:firstLine="279"/>
        <w:spacing w:after="0" w:line="265" w:lineRule="auto"/>
        <w:rPr>
          <w:sz w:val="20"/>
          <w:szCs w:val="20"/>
          <w:color w:val="auto"/>
        </w:rPr>
      </w:pPr>
      <w:r>
        <w:rPr>
          <w:rFonts w:ascii="Arial" w:cs="Arial" w:eastAsia="Arial" w:hAnsi="Arial"/>
          <w:sz w:val="17"/>
          <w:szCs w:val="17"/>
          <w:i w:val="1"/>
          <w:iCs w:val="1"/>
          <w:color w:val="auto"/>
        </w:rPr>
        <w:t>Fossil Fuels</w:t>
      </w:r>
      <w:r>
        <w:rPr>
          <w:rFonts w:ascii="Arial" w:cs="Arial" w:eastAsia="Arial" w:hAnsi="Arial"/>
          <w:sz w:val="17"/>
          <w:szCs w:val="17"/>
          <w:color w:val="auto"/>
        </w:rPr>
        <w:t>. Our business activities depend upon a sufficient and reliable supply of natural gas feedstock, and are therefore subject to concerns in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62" w:lineRule="exact"/>
        <w:rPr>
          <w:sz w:val="20"/>
          <w:szCs w:val="20"/>
          <w:color w:val="auto"/>
        </w:rPr>
      </w:pPr>
    </w:p>
    <w:p>
      <w:pPr>
        <w:ind w:right="20" w:firstLine="279"/>
        <w:spacing w:after="0" w:line="245" w:lineRule="auto"/>
        <w:rPr>
          <w:sz w:val="20"/>
          <w:szCs w:val="20"/>
          <w:color w:val="auto"/>
        </w:rPr>
      </w:pPr>
      <w:r>
        <w:rPr>
          <w:rFonts w:ascii="Arial" w:cs="Arial" w:eastAsia="Arial" w:hAnsi="Arial"/>
          <w:sz w:val="18"/>
          <w:szCs w:val="18"/>
          <w:i w:val="1"/>
          <w:iCs w:val="1"/>
          <w:color w:val="auto"/>
        </w:rPr>
        <w:t>Hydraulic Fracturing</w:t>
      </w:r>
      <w:r>
        <w:rPr>
          <w:rFonts w:ascii="Arial" w:cs="Arial" w:eastAsia="Arial" w:hAnsi="Arial"/>
          <w:sz w:val="18"/>
          <w:szCs w:val="18"/>
          <w:color w:val="auto"/>
        </w:rPr>
        <w:t>. Certain of our suppliers of natural gas and LNG employ hydraulic fracturing techniques to stimulate natural gas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180" w:lineRule="exact"/>
        <w:rPr>
          <w:sz w:val="20"/>
          <w:szCs w:val="20"/>
          <w:color w:val="auto"/>
        </w:rPr>
      </w:pPr>
    </w:p>
    <w:p>
      <w:pPr>
        <w:ind w:right="20" w:firstLine="279"/>
        <w:spacing w:after="0" w:line="245" w:lineRule="auto"/>
        <w:rPr>
          <w:sz w:val="20"/>
          <w:szCs w:val="20"/>
          <w:color w:val="auto"/>
        </w:rPr>
      </w:pPr>
      <w:r>
        <w:rPr>
          <w:rFonts w:ascii="Arial" w:cs="Arial" w:eastAsia="Arial" w:hAnsi="Arial"/>
          <w:sz w:val="18"/>
          <w:szCs w:val="18"/>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83"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80" w:lineRule="exact"/>
        <w:rPr>
          <w:sz w:val="20"/>
          <w:szCs w:val="20"/>
          <w:color w:val="auto"/>
        </w:rPr>
      </w:pPr>
    </w:p>
    <w:p>
      <w:pPr>
        <w:ind w:firstLine="279"/>
        <w:spacing w:after="0" w:line="245" w:lineRule="auto"/>
        <w:rPr>
          <w:sz w:val="20"/>
          <w:szCs w:val="20"/>
          <w:color w:val="auto"/>
        </w:rPr>
      </w:pPr>
      <w:r>
        <w:rPr>
          <w:rFonts w:ascii="Arial" w:cs="Arial" w:eastAsia="Arial" w:hAnsi="Arial"/>
          <w:sz w:val="18"/>
          <w:szCs w:val="18"/>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Angola,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0" w:name="page41"/>
    <w:bookmarkEnd w:id="4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0" w:firstLine="279"/>
        <w:spacing w:after="0" w:line="264" w:lineRule="auto"/>
        <w:rPr>
          <w:sz w:val="20"/>
          <w:szCs w:val="20"/>
          <w:color w:val="auto"/>
        </w:rPr>
      </w:pPr>
      <w:r>
        <w:rPr>
          <w:rFonts w:ascii="Arial" w:cs="Arial" w:eastAsia="Arial" w:hAnsi="Arial"/>
          <w:sz w:val="17"/>
          <w:szCs w:val="17"/>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Angola, Nicaragua, Jamaica,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62" w:lineRule="exact"/>
        <w:rPr>
          <w:sz w:val="20"/>
          <w:szCs w:val="20"/>
          <w:color w:val="auto"/>
        </w:rPr>
      </w:pPr>
    </w:p>
    <w:p>
      <w:pPr>
        <w:ind w:right="220" w:firstLine="279"/>
        <w:spacing w:after="0" w:line="247" w:lineRule="auto"/>
        <w:rPr>
          <w:sz w:val="20"/>
          <w:szCs w:val="20"/>
          <w:color w:val="auto"/>
        </w:rPr>
      </w:pPr>
      <w:r>
        <w:rPr>
          <w:rFonts w:ascii="Arial" w:cs="Arial" w:eastAsia="Arial" w:hAnsi="Arial"/>
          <w:sz w:val="18"/>
          <w:szCs w:val="18"/>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178" w:lineRule="exact"/>
        <w:rPr>
          <w:sz w:val="20"/>
          <w:szCs w:val="20"/>
          <w:color w:val="auto"/>
        </w:rPr>
      </w:pPr>
    </w:p>
    <w:p>
      <w:pPr>
        <w:ind w:right="20" w:firstLine="279"/>
        <w:spacing w:after="0" w:line="235" w:lineRule="auto"/>
        <w:rPr>
          <w:sz w:val="20"/>
          <w:szCs w:val="20"/>
          <w:color w:val="auto"/>
        </w:rPr>
      </w:pPr>
      <w:r>
        <w:rPr>
          <w:rFonts w:ascii="Arial" w:cs="Arial" w:eastAsia="Arial" w:hAnsi="Arial"/>
          <w:sz w:val="19"/>
          <w:szCs w:val="19"/>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Relating to the Jurisdictions in Which We Operate</w:t>
      </w:r>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72" w:lineRule="exact"/>
        <w:rPr>
          <w:sz w:val="20"/>
          <w:szCs w:val="20"/>
          <w:color w:val="auto"/>
        </w:rPr>
      </w:pPr>
    </w:p>
    <w:p>
      <w:pPr>
        <w:ind w:right="20" w:firstLine="279"/>
        <w:spacing w:after="0" w:line="277" w:lineRule="auto"/>
        <w:rPr>
          <w:sz w:val="20"/>
          <w:szCs w:val="20"/>
          <w:color w:val="auto"/>
        </w:rPr>
      </w:pPr>
      <w:r>
        <w:rPr>
          <w:rFonts w:ascii="Arial" w:cs="Arial" w:eastAsia="Arial" w:hAnsi="Arial"/>
          <w:sz w:val="18"/>
          <w:szCs w:val="18"/>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149" w:lineRule="exact"/>
        <w:rPr>
          <w:sz w:val="20"/>
          <w:szCs w:val="20"/>
          <w:color w:val="auto"/>
        </w:rPr>
      </w:pPr>
    </w:p>
    <w:p>
      <w:pPr>
        <w:ind w:right="40" w:firstLine="279"/>
        <w:spacing w:after="0" w:line="260" w:lineRule="auto"/>
        <w:rPr>
          <w:sz w:val="20"/>
          <w:szCs w:val="20"/>
          <w:color w:val="auto"/>
        </w:rPr>
      </w:pPr>
      <w:r>
        <w:rPr>
          <w:rFonts w:ascii="Arial" w:cs="Arial" w:eastAsia="Arial" w:hAnsi="Arial"/>
          <w:sz w:val="17"/>
          <w:szCs w:val="17"/>
          <w:color w:val="auto"/>
        </w:rPr>
        <w:t>We currently have interests and operations in Jamaica and the United States and currently intend to expand into additional markets in the Caribbean (including Puerto Rico), Mexico, Ireland, Angola,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have not, to date, been impacted by the demonstrations or changes in Puerto Rico’s administration, any cancellation related to or substantial disruption in the development of our San Juan Facility or in our ability to perform our obligations under the Fuel Sale and Purchase Agreement with PREPA could have a material adverse effect on our financial condition, results of operations and cash flows. Furthermore, we cannot predict how our relationship with PREPA could change if PREPA selects a winner in its bidding process for its transmission and distribution system and the system were to become privatized. If such an event were to occur, PREPA may seek to find alternative power sources or purchase substantially less natural gas from us than what we currently expect to sell to PREPA.</w:t>
      </w:r>
    </w:p>
    <w:p>
      <w:pPr>
        <w:spacing w:after="0" w:line="172"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41" w:name="page42"/>
    <w:bookmarkEnd w:id="4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lower economic activity;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increase in oil, natural gas or petrochemical prices;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devaluation of the applicable currency;</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higher inflation; or</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 increase in domestic interest rates,</w:t>
      </w:r>
    </w:p>
    <w:p>
      <w:pPr>
        <w:spacing w:after="0" w:line="21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w:t>
      </w:r>
    </w:p>
    <w:p>
      <w:pPr>
        <w:spacing w:after="0" w:line="159" w:lineRule="exact"/>
        <w:rPr>
          <w:sz w:val="20"/>
          <w:szCs w:val="20"/>
          <w:color w:val="auto"/>
        </w:rPr>
      </w:pPr>
    </w:p>
    <w:p>
      <w:pPr>
        <w:ind w:right="40" w:firstLine="279"/>
        <w:spacing w:after="0" w:line="273" w:lineRule="auto"/>
        <w:rPr>
          <w:sz w:val="20"/>
          <w:szCs w:val="20"/>
          <w:color w:val="auto"/>
        </w:rPr>
      </w:pPr>
      <w:r>
        <w:rPr>
          <w:rFonts w:ascii="Arial" w:cs="Arial" w:eastAsia="Arial" w:hAnsi="Arial"/>
          <w:sz w:val="17"/>
          <w:szCs w:val="17"/>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development activities and future operations in Nicaragua may be materially affected by political, economic and other uncertainties.</w:t>
      </w:r>
    </w:p>
    <w:p>
      <w:pPr>
        <w:spacing w:after="0" w:line="223" w:lineRule="exact"/>
        <w:rPr>
          <w:sz w:val="20"/>
          <w:szCs w:val="20"/>
          <w:color w:val="auto"/>
        </w:rPr>
      </w:pPr>
    </w:p>
    <w:p>
      <w:pPr>
        <w:ind w:right="60" w:firstLine="279"/>
        <w:spacing w:after="0" w:line="265" w:lineRule="auto"/>
        <w:rPr>
          <w:sz w:val="20"/>
          <w:szCs w:val="20"/>
          <w:color w:val="auto"/>
        </w:rPr>
      </w:pPr>
      <w:r>
        <w:rPr>
          <w:rFonts w:ascii="Arial" w:cs="Arial" w:eastAsia="Arial" w:hAnsi="Arial"/>
          <w:sz w:val="17"/>
          <w:szCs w:val="17"/>
          <w:color w:val="auto"/>
        </w:rPr>
        <w:t>Nicaragua has recently experienced political and economic challenges. Specifically, in 2018, U.S. legislation was approved to restrict U.S. aid to Nicaragua. In 2018 and 2019,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financial condition and operating results may be adversely affected by foreign exchange fluctuations.</w:t>
      </w:r>
    </w:p>
    <w:p>
      <w:pPr>
        <w:spacing w:after="0" w:line="200" w:lineRule="exact"/>
        <w:rPr>
          <w:sz w:val="20"/>
          <w:szCs w:val="20"/>
          <w:color w:val="auto"/>
        </w:rPr>
      </w:pPr>
    </w:p>
    <w:p>
      <w:pPr>
        <w:ind w:right="220" w:firstLine="279"/>
        <w:spacing w:after="0" w:line="254" w:lineRule="auto"/>
        <w:rPr>
          <w:sz w:val="20"/>
          <w:szCs w:val="20"/>
          <w:color w:val="auto"/>
        </w:rPr>
      </w:pPr>
      <w:r>
        <w:rPr>
          <w:rFonts w:ascii="Arial" w:cs="Arial" w:eastAsia="Arial" w:hAnsi="Arial"/>
          <w:sz w:val="18"/>
          <w:szCs w:val="18"/>
          <w:color w:val="auto"/>
        </w:rPr>
        <w:t>Our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69" w:lineRule="exact"/>
        <w:rPr>
          <w:sz w:val="20"/>
          <w:szCs w:val="20"/>
          <w:color w:val="auto"/>
        </w:rPr>
      </w:pPr>
    </w:p>
    <w:p>
      <w:pPr>
        <w:ind w:right="120" w:firstLine="279"/>
        <w:spacing w:after="0" w:line="248"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9"/>
          <w:szCs w:val="19"/>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49"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75" w:lineRule="exact"/>
        <w:rPr>
          <w:sz w:val="20"/>
          <w:szCs w:val="20"/>
          <w:color w:val="auto"/>
        </w:rPr>
      </w:pPr>
    </w:p>
    <w:p>
      <w:pPr>
        <w:ind w:right="120" w:firstLine="279"/>
        <w:spacing w:after="0" w:line="250" w:lineRule="auto"/>
        <w:rPr>
          <w:sz w:val="20"/>
          <w:szCs w:val="20"/>
          <w:color w:val="auto"/>
        </w:rPr>
      </w:pPr>
      <w:r>
        <w:rPr>
          <w:rFonts w:ascii="Arial" w:cs="Arial" w:eastAsia="Arial" w:hAnsi="Arial"/>
          <w:sz w:val="19"/>
          <w:szCs w:val="19"/>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Owning Class A shares</w:t>
      </w:r>
    </w:p>
    <w:p>
      <w:pPr>
        <w:spacing w:after="0" w:line="204" w:lineRule="exact"/>
        <w:rPr>
          <w:sz w:val="20"/>
          <w:szCs w:val="20"/>
          <w:color w:val="auto"/>
        </w:rPr>
      </w:pPr>
    </w:p>
    <w:p>
      <w:pPr>
        <w:ind w:right="380"/>
        <w:spacing w:after="0" w:line="250" w:lineRule="auto"/>
        <w:rPr>
          <w:sz w:val="20"/>
          <w:szCs w:val="20"/>
          <w:color w:val="auto"/>
        </w:rPr>
      </w:pPr>
      <w:r>
        <w:rPr>
          <w:rFonts w:ascii="Arial" w:cs="Arial" w:eastAsia="Arial" w:hAnsi="Arial"/>
          <w:sz w:val="19"/>
          <w:szCs w:val="19"/>
          <w:b w:val="1"/>
          <w:bCs w:val="1"/>
          <w:i w:val="1"/>
          <w:iCs w:val="1"/>
          <w:color w:val="auto"/>
        </w:rPr>
        <w:t>We are a “controlled company” within the meaning of NASDAQ rules and, as a result, qualify for and intend to rely on exemptions from certain corporate governance requirements.</w:t>
      </w:r>
    </w:p>
    <w:p>
      <w:pPr>
        <w:spacing w:after="0" w:line="172" w:lineRule="exact"/>
        <w:rPr>
          <w:sz w:val="20"/>
          <w:szCs w:val="20"/>
          <w:color w:val="auto"/>
        </w:rPr>
      </w:pPr>
    </w:p>
    <w:p>
      <w:pPr>
        <w:ind w:right="120" w:firstLine="279"/>
        <w:spacing w:after="0" w:line="237" w:lineRule="auto"/>
        <w:rPr>
          <w:sz w:val="20"/>
          <w:szCs w:val="20"/>
          <w:color w:val="auto"/>
        </w:rPr>
      </w:pPr>
      <w:r>
        <w:rPr>
          <w:rFonts w:ascii="Arial" w:cs="Arial" w:eastAsia="Arial" w:hAnsi="Arial"/>
          <w:sz w:val="19"/>
          <w:szCs w:val="19"/>
          <w:color w:val="auto"/>
        </w:rPr>
        <w:t>New Fortress Energy Holdings currently holds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91" w:lineRule="exact"/>
        <w:rPr>
          <w:sz w:val="20"/>
          <w:szCs w:val="20"/>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majority of the board of directors consist of independent directors as defined under the rules of NASDAQ;</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nominating and governance committee be composed entirely of independent directors with a written charter addressing the committee’s purpose and responsibilities; and</w:t>
      </w:r>
    </w:p>
    <w:p>
      <w:pPr>
        <w:spacing w:after="0" w:line="233" w:lineRule="exact"/>
        <w:rPr>
          <w:rFonts w:ascii="Arial" w:cs="Arial" w:eastAsia="Arial" w:hAnsi="Arial"/>
          <w:sz w:val="14"/>
          <w:szCs w:val="14"/>
          <w:color w:val="auto"/>
        </w:rPr>
      </w:pPr>
    </w:p>
    <w:p>
      <w:pPr>
        <w:ind w:left="560" w:hanging="288"/>
        <w:spacing w:after="0"/>
        <w:tabs>
          <w:tab w:leader="none" w:pos="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with a written charter addressing the committee’s purpose and responsibilities.</w:t>
      </w:r>
    </w:p>
    <w:p>
      <w:pPr>
        <w:spacing w:after="0" w:line="214" w:lineRule="exact"/>
        <w:rPr>
          <w:sz w:val="20"/>
          <w:szCs w:val="20"/>
          <w:color w:val="auto"/>
        </w:rPr>
      </w:pPr>
    </w:p>
    <w:p>
      <w:pPr>
        <w:ind w:right="60" w:firstLine="279"/>
        <w:spacing w:after="0" w:line="237" w:lineRule="auto"/>
        <w:rPr>
          <w:sz w:val="20"/>
          <w:szCs w:val="20"/>
          <w:color w:val="auto"/>
        </w:rPr>
      </w:pPr>
      <w:r>
        <w:rPr>
          <w:rFonts w:ascii="Arial" w:cs="Arial" w:eastAsia="Arial" w:hAnsi="Arial"/>
          <w:sz w:val="19"/>
          <w:szCs w:val="19"/>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182"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b w:val="1"/>
          <w:bCs w:val="1"/>
          <w:i w:val="1"/>
          <w:iCs w:val="1"/>
          <w:color w:val="auto"/>
        </w:rPr>
        <w:t>New Fortress Energy Holdings has the ability to direct the voting of a majority of our shares, and its interests may conflict with those of our other shareholders.</w:t>
      </w:r>
    </w:p>
    <w:p>
      <w:pPr>
        <w:spacing w:after="0" w:line="172" w:lineRule="exact"/>
        <w:rPr>
          <w:sz w:val="20"/>
          <w:szCs w:val="20"/>
          <w:color w:val="auto"/>
        </w:rPr>
      </w:pPr>
    </w:p>
    <w:p>
      <w:pPr>
        <w:ind w:right="40" w:firstLine="279"/>
        <w:spacing w:after="0" w:line="264" w:lineRule="auto"/>
        <w:rPr>
          <w:sz w:val="20"/>
          <w:szCs w:val="20"/>
          <w:color w:val="auto"/>
        </w:rPr>
      </w:pPr>
      <w:r>
        <w:rPr>
          <w:rFonts w:ascii="Arial" w:cs="Arial" w:eastAsia="Arial" w:hAnsi="Arial"/>
          <w:sz w:val="17"/>
          <w:szCs w:val="17"/>
          <w:color w:val="auto"/>
        </w:rPr>
        <w:t>As of February 27, 2020, New Fortress Energy Holdings owns an aggregate of approximately 144,342,572 Class B shares representing 85.9% of our voting power. In addition, Wesley R. Edens and Randal A. Nardone, who are members of New Fortress Energy Holdings, own 3,278,199 Class A shares and 3,080,000 Class A shares, respectively, representing 13.9% and 13.0% voting power of the Class A shares, respectively. The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162" w:lineRule="exact"/>
        <w:rPr>
          <w:sz w:val="20"/>
          <w:szCs w:val="20"/>
          <w:color w:val="auto"/>
        </w:rPr>
      </w:pPr>
    </w:p>
    <w:p>
      <w:pPr>
        <w:ind w:right="100" w:firstLine="279"/>
        <w:spacing w:after="0" w:line="251" w:lineRule="auto"/>
        <w:rPr>
          <w:sz w:val="20"/>
          <w:szCs w:val="20"/>
          <w:color w:val="auto"/>
        </w:rPr>
      </w:pPr>
      <w:r>
        <w:rPr>
          <w:rFonts w:ascii="Arial" w:cs="Arial" w:eastAsia="Arial" w:hAnsi="Arial"/>
          <w:sz w:val="18"/>
          <w:szCs w:val="18"/>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shares of a company with a significant shareholder.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3" w:name="page44"/>
    <w:bookmarkEnd w:id="4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34" w:lineRule="auto"/>
        <w:rPr>
          <w:sz w:val="20"/>
          <w:szCs w:val="20"/>
          <w:color w:val="auto"/>
        </w:rPr>
      </w:pPr>
      <w:r>
        <w:rPr>
          <w:rFonts w:ascii="Arial" w:cs="Arial" w:eastAsia="Arial" w:hAnsi="Arial"/>
          <w:sz w:val="19"/>
          <w:szCs w:val="19"/>
          <w:color w:val="auto"/>
        </w:rPr>
        <w:t>Furthermore, in connection with the IPO, we entered into a shareholders’ agreement (the “Shareholders’ Agreement”) with New Fortress Energy Holdings and its affiliates. The Shareholders’ Agreement provides New Fortress Energy Holdings or its assignee with the right to designate a certain number of nominees to our board of directors so long as New Fortress Energy Holdings and its affiliates collectively beneficially own at least 5% of the outstanding Class A shares and Class B shares. In addition, our operating agreement provides the Consenting Entities the right to approve certain material transactions so long as the Consenting Entities and their affiliates collectively, directly or indirectly, own at least 30% of the outstanding Class A shares and Class B shares.</w:t>
      </w:r>
    </w:p>
    <w:p>
      <w:pPr>
        <w:spacing w:after="0" w:line="186" w:lineRule="exact"/>
        <w:rPr>
          <w:sz w:val="20"/>
          <w:szCs w:val="20"/>
          <w:color w:val="auto"/>
        </w:rPr>
      </w:pPr>
    </w:p>
    <w:p>
      <w:pPr>
        <w:ind w:right="20" w:firstLine="279"/>
        <w:spacing w:after="0" w:line="321" w:lineRule="auto"/>
        <w:rPr>
          <w:sz w:val="20"/>
          <w:szCs w:val="20"/>
          <w:color w:val="auto"/>
        </w:rPr>
      </w:pPr>
      <w:r>
        <w:rPr>
          <w:rFonts w:ascii="Arial" w:cs="Arial" w:eastAsia="Arial" w:hAnsi="Arial"/>
          <w:sz w:val="15"/>
          <w:szCs w:val="15"/>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23"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Our operating agreement, as well as Delaware law, contains provisions that could discourage acquisition bids or merger proposals, which may adversely affect the market price of our Class A shares and could deprive our investors of the opportunity to receive a premium for their shares.</w:t>
      </w:r>
    </w:p>
    <w:p>
      <w:pPr>
        <w:spacing w:after="0" w:line="80" w:lineRule="exact"/>
        <w:rPr>
          <w:sz w:val="20"/>
          <w:szCs w:val="20"/>
          <w:color w:val="auto"/>
        </w:rPr>
      </w:pPr>
    </w:p>
    <w:p>
      <w:pPr>
        <w:ind w:firstLine="279"/>
        <w:spacing w:after="0" w:line="269" w:lineRule="auto"/>
        <w:rPr>
          <w:sz w:val="20"/>
          <w:szCs w:val="20"/>
          <w:color w:val="auto"/>
        </w:rPr>
      </w:pPr>
      <w:r>
        <w:rPr>
          <w:rFonts w:ascii="Arial" w:cs="Arial" w:eastAsia="Arial" w:hAnsi="Arial"/>
          <w:sz w:val="17"/>
          <w:szCs w:val="17"/>
          <w:color w:val="auto"/>
        </w:rPr>
        <w:t>Our operating agreement authorizes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168" w:lineRule="exact"/>
        <w:rPr>
          <w:sz w:val="20"/>
          <w:szCs w:val="20"/>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dividing our board of directors into three classes of directors, with each class serving staggered three-year terms;</w:t>
      </w:r>
    </w:p>
    <w:p>
      <w:pPr>
        <w:spacing w:after="0" w:line="222" w:lineRule="exact"/>
        <w:rPr>
          <w:rFonts w:ascii="Arial" w:cs="Arial" w:eastAsia="Arial" w:hAnsi="Arial"/>
          <w:sz w:val="15"/>
          <w:szCs w:val="15"/>
          <w:color w:val="auto"/>
        </w:rPr>
      </w:pPr>
    </w:p>
    <w:p>
      <w:pPr>
        <w:ind w:left="560" w:right="300" w:hanging="288"/>
        <w:spacing w:after="0" w:line="291"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62" w:lineRule="exact"/>
        <w:rPr>
          <w:rFonts w:ascii="Arial" w:cs="Arial" w:eastAsia="Arial" w:hAnsi="Arial"/>
          <w:sz w:val="15"/>
          <w:szCs w:val="15"/>
          <w:color w:val="auto"/>
        </w:rPr>
      </w:pPr>
    </w:p>
    <w:p>
      <w:pPr>
        <w:ind w:left="560" w:right="40" w:hanging="288"/>
        <w:spacing w:after="0" w:line="291"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62" w:lineRule="exact"/>
        <w:rPr>
          <w:rFonts w:ascii="Arial" w:cs="Arial" w:eastAsia="Arial" w:hAnsi="Arial"/>
          <w:sz w:val="15"/>
          <w:szCs w:val="15"/>
          <w:color w:val="auto"/>
        </w:rPr>
      </w:pPr>
    </w:p>
    <w:p>
      <w:pPr>
        <w:ind w:left="560" w:right="240" w:hanging="288"/>
        <w:spacing w:after="0" w:line="291" w:lineRule="auto"/>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prohibiting cumulative voting in the election of directors;</w:t>
      </w:r>
    </w:p>
    <w:p>
      <w:pPr>
        <w:spacing w:after="0" w:line="222" w:lineRule="exact"/>
        <w:rPr>
          <w:rFonts w:ascii="Arial" w:cs="Arial" w:eastAsia="Arial" w:hAnsi="Arial"/>
          <w:sz w:val="15"/>
          <w:szCs w:val="15"/>
          <w:color w:val="auto"/>
        </w:rPr>
      </w:pPr>
    </w:p>
    <w:p>
      <w:pPr>
        <w:ind w:left="560" w:hanging="288"/>
        <w:spacing w:after="0"/>
        <w:tabs>
          <w:tab w:leader="none" w:pos="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establishing advance notice provisions for shareholder proposals and nominations for elections to the board of directors to be acted upon at meetings of the shareholders; and</w:t>
      </w:r>
    </w:p>
    <w:p>
      <w:pPr>
        <w:spacing w:after="0" w:line="233" w:lineRule="exact"/>
        <w:rPr>
          <w:rFonts w:ascii="Arial" w:cs="Arial" w:eastAsia="Arial" w:hAnsi="Arial"/>
          <w:sz w:val="14"/>
          <w:szCs w:val="14"/>
          <w:color w:val="auto"/>
        </w:rPr>
      </w:pPr>
    </w:p>
    <w:p>
      <w:pPr>
        <w:ind w:left="560" w:hanging="288"/>
        <w:spacing w:after="0"/>
        <w:tabs>
          <w:tab w:leader="none" w:pos="5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providing that the board of directors is expressly authorized to adopt, or to alter or repeal our operating agreement.</w:t>
      </w:r>
    </w:p>
    <w:p>
      <w:pPr>
        <w:spacing w:after="0" w:line="21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126" w:lineRule="exact"/>
        <w:rPr>
          <w:sz w:val="20"/>
          <w:szCs w:val="20"/>
          <w:color w:val="auto"/>
        </w:rPr>
      </w:pPr>
    </w:p>
    <w:p>
      <w:pPr>
        <w:ind w:right="120" w:firstLine="279"/>
        <w:spacing w:after="0" w:line="246" w:lineRule="auto"/>
        <w:rPr>
          <w:sz w:val="20"/>
          <w:szCs w:val="20"/>
          <w:color w:val="auto"/>
        </w:rPr>
      </w:pPr>
      <w:r>
        <w:rPr>
          <w:rFonts w:ascii="Arial" w:cs="Arial" w:eastAsia="Arial" w:hAnsi="Arial"/>
          <w:sz w:val="18"/>
          <w:szCs w:val="18"/>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 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82" w:lineRule="exact"/>
        <w:rPr>
          <w:sz w:val="20"/>
          <w:szCs w:val="20"/>
          <w:color w:val="auto"/>
        </w:rPr>
      </w:pPr>
    </w:p>
    <w:p>
      <w:pPr>
        <w:ind w:right="100"/>
        <w:spacing w:after="0"/>
        <w:rPr>
          <w:sz w:val="20"/>
          <w:szCs w:val="20"/>
          <w:color w:val="auto"/>
        </w:rPr>
      </w:pPr>
      <w:r>
        <w:rPr>
          <w:rFonts w:ascii="Arial" w:cs="Arial" w:eastAsia="Arial" w:hAnsi="Arial"/>
          <w:sz w:val="19"/>
          <w:szCs w:val="19"/>
          <w:b w:val="1"/>
          <w:bCs w:val="1"/>
          <w:i w:val="1"/>
          <w:iCs w:val="1"/>
          <w:color w:val="auto"/>
        </w:rPr>
        <w:t>Our operating agreement designates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4" w:name="page45"/>
    <w:bookmarkEnd w:id="44"/>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0" w:firstLine="279"/>
        <w:spacing w:after="0" w:line="245" w:lineRule="auto"/>
        <w:rPr>
          <w:sz w:val="20"/>
          <w:szCs w:val="20"/>
          <w:color w:val="auto"/>
        </w:rPr>
      </w:pPr>
      <w:r>
        <w:rPr>
          <w:rFonts w:ascii="Arial" w:cs="Arial" w:eastAsia="Arial" w:hAnsi="Arial"/>
          <w:sz w:val="18"/>
          <w:szCs w:val="18"/>
          <w:color w:val="auto"/>
        </w:rPr>
        <w:t>Our operating agreement provides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shareholders, (iii) any action asserting a claim against us or any of our directors, officers or employees arising pursuant to any provision of the Delaware Limited Liability Company Act or our operating agreement,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Class A shares will be deemed to have notice of, and consented to, the provisions of our operating agreement described in the preceding sentence. This choice of forum provision may limit a shareholder’s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operating agreement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80" w:lineRule="exact"/>
        <w:rPr>
          <w:sz w:val="20"/>
          <w:szCs w:val="20"/>
          <w:color w:val="auto"/>
        </w:rPr>
      </w:pPr>
    </w:p>
    <w:p>
      <w:pPr>
        <w:ind w:right="460"/>
        <w:spacing w:after="0" w:line="250" w:lineRule="auto"/>
        <w:rPr>
          <w:sz w:val="20"/>
          <w:szCs w:val="20"/>
          <w:color w:val="auto"/>
        </w:rPr>
      </w:pPr>
      <w:r>
        <w:rPr>
          <w:rFonts w:ascii="Arial" w:cs="Arial" w:eastAsia="Arial" w:hAnsi="Arial"/>
          <w:sz w:val="19"/>
          <w:szCs w:val="19"/>
          <w:b w:val="1"/>
          <w:bCs w:val="1"/>
          <w:i w:val="1"/>
          <w:iCs w:val="1"/>
          <w:color w:val="auto"/>
        </w:rPr>
        <w:t>We do not currently plan to pay cash dividends on our Class A shares. Consequently, a shareholder’s only opportunity to achieve a return on its investment is if the price of our Class A shares appreciates.</w:t>
      </w:r>
    </w:p>
    <w:p>
      <w:pPr>
        <w:spacing w:after="0" w:line="172" w:lineRule="exact"/>
        <w:rPr>
          <w:sz w:val="20"/>
          <w:szCs w:val="20"/>
          <w:color w:val="auto"/>
        </w:rPr>
      </w:pPr>
    </w:p>
    <w:p>
      <w:pPr>
        <w:ind w:right="120" w:firstLine="279"/>
        <w:spacing w:after="0" w:line="237" w:lineRule="auto"/>
        <w:rPr>
          <w:sz w:val="20"/>
          <w:szCs w:val="20"/>
          <w:color w:val="auto"/>
        </w:rPr>
      </w:pPr>
      <w:r>
        <w:rPr>
          <w:rFonts w:ascii="Arial" w:cs="Arial" w:eastAsia="Arial" w:hAnsi="Arial"/>
          <w:sz w:val="19"/>
          <w:szCs w:val="19"/>
          <w:color w:val="auto"/>
        </w:rPr>
        <w:t>We do not currently plan to declare regular cash dividends on our Class A shares in the foreseeable future. Consequently, a shareholder’s only opportunity to achieve a return on investment in us will be if the shareholder sells its Class A shares at a price greater than it paid for such Class A shares. There is no guarantee that the price of our Class A shares that will prevail in the market will ever exceed the price paid to purchase such Class A shares.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issue preferred shares, the terms of which could adversely affect the voting power or value of our Class A shares.</w:t>
      </w:r>
    </w:p>
    <w:p>
      <w:pPr>
        <w:spacing w:after="0" w:line="200" w:lineRule="exact"/>
        <w:rPr>
          <w:sz w:val="20"/>
          <w:szCs w:val="20"/>
          <w:color w:val="auto"/>
        </w:rPr>
      </w:pPr>
    </w:p>
    <w:p>
      <w:pPr>
        <w:ind w:right="60" w:firstLine="279"/>
        <w:spacing w:after="0" w:line="267" w:lineRule="auto"/>
        <w:rPr>
          <w:sz w:val="20"/>
          <w:szCs w:val="20"/>
          <w:color w:val="auto"/>
        </w:rPr>
      </w:pPr>
      <w:r>
        <w:rPr>
          <w:rFonts w:ascii="Arial" w:cs="Arial" w:eastAsia="Arial" w:hAnsi="Arial"/>
          <w:sz w:val="17"/>
          <w:szCs w:val="17"/>
          <w:color w:val="auto"/>
        </w:rPr>
        <w:t>Our operating agreement authorizes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59"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pursuant to NFI’s limited liability company agreement (the “NFI LLC Agreement”) or other large holders.</w:t>
      </w:r>
    </w:p>
    <w:p>
      <w:pPr>
        <w:spacing w:after="0" w:line="147" w:lineRule="exact"/>
        <w:rPr>
          <w:sz w:val="20"/>
          <w:szCs w:val="20"/>
          <w:color w:val="auto"/>
        </w:rPr>
      </w:pPr>
    </w:p>
    <w:p>
      <w:pPr>
        <w:ind w:firstLine="279"/>
        <w:spacing w:after="0" w:line="261" w:lineRule="auto"/>
        <w:rPr>
          <w:sz w:val="20"/>
          <w:szCs w:val="20"/>
          <w:color w:val="auto"/>
        </w:rPr>
      </w:pPr>
      <w:r>
        <w:rPr>
          <w:rFonts w:ascii="Arial" w:cs="Arial" w:eastAsia="Arial" w:hAnsi="Arial"/>
          <w:sz w:val="17"/>
          <w:szCs w:val="17"/>
          <w:color w:val="auto"/>
        </w:rPr>
        <w:t>As of February 27, 2020, we have 23,607,096 Class A shares outstanding and 144,342,572 Class B shares outstanding. The Class A shares sold in the IPO are freely tradable without restriction under the Securities Act except for any Class A shares that may be held or acquired by our directors, officers or affiliates, which will be restricted securities under the Securities Act. Under the NFI LLC Agreement, New Fortress Energy Holdings and any permitted transferees of New Fortress Energy Holdings’ NFI LLC Units,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Sales by New Fortress Energy Holdings after the exercise of the Redemption Right or other large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w:t>
      </w:r>
    </w:p>
    <w:p>
      <w:pPr>
        <w:spacing w:after="0" w:line="171" w:lineRule="exact"/>
        <w:rPr>
          <w:sz w:val="20"/>
          <w:szCs w:val="20"/>
          <w:color w:val="auto"/>
        </w:rPr>
      </w:pPr>
    </w:p>
    <w:p>
      <w:pPr>
        <w:ind w:right="660"/>
        <w:spacing w:after="0" w:line="250" w:lineRule="auto"/>
        <w:rPr>
          <w:sz w:val="20"/>
          <w:szCs w:val="20"/>
          <w:color w:val="auto"/>
        </w:rPr>
      </w:pPr>
      <w:r>
        <w:rPr>
          <w:rFonts w:ascii="Arial" w:cs="Arial" w:eastAsia="Arial" w:hAnsi="Arial"/>
          <w:sz w:val="19"/>
          <w:szCs w:val="19"/>
          <w:b w:val="1"/>
          <w:bCs w:val="1"/>
          <w:i w:val="1"/>
          <w:iCs w:val="1"/>
          <w:color w:val="auto"/>
        </w:rPr>
        <w:t>An active, liquid and orderly trading market for our Class A shares may not be maintained and the price of our Class A shares may fluctuate significantly.</w:t>
      </w:r>
    </w:p>
    <w:p>
      <w:pPr>
        <w:spacing w:after="0" w:line="172" w:lineRule="exact"/>
        <w:rPr>
          <w:sz w:val="20"/>
          <w:szCs w:val="20"/>
          <w:color w:val="auto"/>
        </w:rPr>
      </w:pPr>
    </w:p>
    <w:p>
      <w:pPr>
        <w:ind w:firstLine="279"/>
        <w:spacing w:after="0" w:line="273" w:lineRule="auto"/>
        <w:rPr>
          <w:sz w:val="20"/>
          <w:szCs w:val="20"/>
          <w:color w:val="auto"/>
        </w:rPr>
      </w:pPr>
      <w:r>
        <w:rPr>
          <w:rFonts w:ascii="Arial" w:cs="Arial" w:eastAsia="Arial" w:hAnsi="Arial"/>
          <w:sz w:val="17"/>
          <w:szCs w:val="17"/>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1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5" w:name="page46"/>
    <w:bookmarkEnd w:id="4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60" w:lineRule="auto"/>
        <w:rPr>
          <w:sz w:val="20"/>
          <w:szCs w:val="20"/>
          <w:color w:val="auto"/>
        </w:rPr>
      </w:pPr>
      <w:r>
        <w:rPr>
          <w:rFonts w:ascii="Arial" w:cs="Arial" w:eastAsia="Arial" w:hAnsi="Arial"/>
          <w:sz w:val="17"/>
          <w:szCs w:val="17"/>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169" w:lineRule="exact"/>
        <w:rPr>
          <w:sz w:val="20"/>
          <w:szCs w:val="20"/>
          <w:color w:val="auto"/>
        </w:rPr>
      </w:pPr>
    </w:p>
    <w:p>
      <w:pPr>
        <w:ind w:right="120" w:firstLine="279"/>
        <w:spacing w:after="0" w:line="336" w:lineRule="auto"/>
        <w:rPr>
          <w:sz w:val="20"/>
          <w:szCs w:val="20"/>
          <w:color w:val="auto"/>
        </w:rPr>
      </w:pPr>
      <w:r>
        <w:rPr>
          <w:rFonts w:ascii="Arial" w:cs="Arial" w:eastAsia="Arial" w:hAnsi="Arial"/>
          <w:sz w:val="15"/>
          <w:szCs w:val="15"/>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12" w:lineRule="exact"/>
        <w:rPr>
          <w:sz w:val="20"/>
          <w:szCs w:val="20"/>
          <w:color w:val="auto"/>
        </w:rPr>
      </w:pPr>
    </w:p>
    <w:p>
      <w:pPr>
        <w:jc w:val="both"/>
        <w:ind w:right="460"/>
        <w:spacing w:after="0"/>
        <w:rPr>
          <w:sz w:val="20"/>
          <w:szCs w:val="20"/>
          <w:color w:val="auto"/>
        </w:rPr>
      </w:pPr>
      <w:r>
        <w:rPr>
          <w:rFonts w:ascii="Arial" w:cs="Arial" w:eastAsia="Arial" w:hAnsi="Arial"/>
          <w:sz w:val="19"/>
          <w:szCs w:val="19"/>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181" w:lineRule="exact"/>
        <w:rPr>
          <w:sz w:val="20"/>
          <w:szCs w:val="20"/>
          <w:color w:val="auto"/>
        </w:rPr>
      </w:pPr>
    </w:p>
    <w:p>
      <w:pPr>
        <w:ind w:right="260" w:firstLine="279"/>
        <w:spacing w:after="0" w:line="234" w:lineRule="auto"/>
        <w:rPr>
          <w:sz w:val="20"/>
          <w:szCs w:val="20"/>
          <w:color w:val="auto"/>
        </w:rPr>
      </w:pPr>
      <w:r>
        <w:rPr>
          <w:rFonts w:ascii="Arial" w:cs="Arial" w:eastAsia="Arial" w:hAnsi="Arial"/>
          <w:sz w:val="19"/>
          <w:szCs w:val="19"/>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9"/>
          <w:szCs w:val="19"/>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181" w:lineRule="exact"/>
        <w:rPr>
          <w:sz w:val="20"/>
          <w:szCs w:val="20"/>
          <w:color w:val="auto"/>
        </w:rPr>
      </w:pPr>
    </w:p>
    <w:p>
      <w:pPr>
        <w:ind w:right="40" w:firstLine="279"/>
        <w:spacing w:after="0" w:line="245" w:lineRule="auto"/>
        <w:rPr>
          <w:sz w:val="20"/>
          <w:szCs w:val="20"/>
          <w:color w:val="auto"/>
        </w:rPr>
      </w:pPr>
      <w:r>
        <w:rPr>
          <w:rFonts w:ascii="Arial" w:cs="Arial" w:eastAsia="Arial" w:hAnsi="Arial"/>
          <w:sz w:val="18"/>
          <w:szCs w:val="18"/>
          <w:color w:val="auto"/>
        </w:rPr>
        <w:t>As a public company with shares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 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8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126" w:lineRule="exact"/>
        <w:rPr>
          <w:sz w:val="20"/>
          <w:szCs w:val="20"/>
          <w:color w:val="auto"/>
        </w:rPr>
      </w:pPr>
    </w:p>
    <w:p>
      <w:pPr>
        <w:ind w:right="60" w:firstLine="279"/>
        <w:spacing w:after="0"/>
        <w:rPr>
          <w:sz w:val="20"/>
          <w:szCs w:val="20"/>
          <w:color w:val="auto"/>
        </w:rPr>
      </w:pPr>
      <w:r>
        <w:rPr>
          <w:rFonts w:ascii="Arial" w:cs="Arial" w:eastAsia="Arial" w:hAnsi="Arial"/>
          <w:sz w:val="19"/>
          <w:szCs w:val="19"/>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6" w:name="page47"/>
    <w:bookmarkEnd w:id="4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72" w:lineRule="exact"/>
        <w:rPr>
          <w:sz w:val="20"/>
          <w:szCs w:val="20"/>
          <w:color w:val="auto"/>
        </w:rPr>
      </w:pPr>
    </w:p>
    <w:p>
      <w:pPr>
        <w:ind w:right="100" w:firstLine="279"/>
        <w:spacing w:after="0" w:line="263" w:lineRule="auto"/>
        <w:rPr>
          <w:sz w:val="20"/>
          <w:szCs w:val="20"/>
          <w:color w:val="auto"/>
        </w:rPr>
      </w:pPr>
      <w:r>
        <w:rPr>
          <w:rFonts w:ascii="Arial" w:cs="Arial" w:eastAsia="Arial" w:hAnsi="Arial"/>
          <w:sz w:val="17"/>
          <w:szCs w:val="17"/>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R. Edens and Randal A.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6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i w:val="1"/>
          <w:iCs w:val="1"/>
          <w:color w:val="auto"/>
        </w:rPr>
        <w:t>In certain circumstances, NFI is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164" w:lineRule="exact"/>
        <w:rPr>
          <w:sz w:val="20"/>
          <w:szCs w:val="20"/>
          <w:color w:val="auto"/>
        </w:rPr>
      </w:pPr>
    </w:p>
    <w:p>
      <w:pPr>
        <w:ind w:right="60" w:firstLine="279"/>
        <w:spacing w:after="0" w:line="248" w:lineRule="auto"/>
        <w:rPr>
          <w:sz w:val="20"/>
          <w:szCs w:val="20"/>
          <w:color w:val="auto"/>
        </w:rPr>
      </w:pPr>
      <w:r>
        <w:rPr>
          <w:rFonts w:ascii="Arial" w:cs="Arial" w:eastAsia="Arial" w:hAnsi="Arial"/>
          <w:sz w:val="18"/>
          <w:szCs w:val="18"/>
          <w:color w:val="auto"/>
        </w:rPr>
        <w:t>Pursuant to the NFI LLC Agreement, NFI must make generally pro rata distributions to the holders of NFI LLC Units, including NFE, in an amount sufficient to allow NFE to satisfy its actual tax liabilities. In addition, to the extent NFI has available cash, NFI is required to make additional pro rata tax distributions to all 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takes into account, among other factors, (i) 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176" w:lineRule="exact"/>
        <w:rPr>
          <w:sz w:val="20"/>
          <w:szCs w:val="20"/>
          <w:color w:val="auto"/>
        </w:rPr>
      </w:pPr>
    </w:p>
    <w:p>
      <w:pPr>
        <w:ind w:right="280" w:firstLine="279"/>
        <w:spacing w:after="0" w:line="309" w:lineRule="auto"/>
        <w:rPr>
          <w:sz w:val="20"/>
          <w:szCs w:val="20"/>
          <w:color w:val="auto"/>
        </w:rPr>
      </w:pPr>
      <w:r>
        <w:rPr>
          <w:rFonts w:ascii="Arial" w:cs="Arial" w:eastAsia="Arial" w:hAnsi="Arial"/>
          <w:sz w:val="15"/>
          <w:szCs w:val="15"/>
          <w:color w:val="auto"/>
        </w:rPr>
        <w:t>The amount of such additional tax distributions is determined based on certain assumptions, including assumed income tax rates, and is calculated after taking into account other distributions (including other tax distributions) made by NFI. Additional tax distributions may significantly exceed the actual tax liability for many of the holders of NFI LLC Units, including NFE.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131" w:lineRule="exact"/>
        <w:rPr>
          <w:sz w:val="20"/>
          <w:szCs w:val="20"/>
          <w:color w:val="auto"/>
        </w:rPr>
      </w:pPr>
    </w:p>
    <w:p>
      <w:pPr>
        <w:ind w:right="20" w:firstLine="279"/>
        <w:spacing w:after="0" w:line="233" w:lineRule="auto"/>
        <w:rPr>
          <w:sz w:val="20"/>
          <w:szCs w:val="20"/>
          <w:color w:val="auto"/>
        </w:rPr>
      </w:pPr>
      <w:r>
        <w:rPr>
          <w:rFonts w:ascii="Arial" w:cs="Arial" w:eastAsia="Arial" w:hAnsi="Arial"/>
          <w:sz w:val="19"/>
          <w:szCs w:val="19"/>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is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185" w:lineRule="exact"/>
        <w:rPr>
          <w:sz w:val="20"/>
          <w:szCs w:val="20"/>
          <w:color w:val="auto"/>
        </w:rPr>
      </w:pPr>
    </w:p>
    <w:p>
      <w:pPr>
        <w:ind w:right="440"/>
        <w:spacing w:after="0" w:line="250" w:lineRule="auto"/>
        <w:rPr>
          <w:sz w:val="20"/>
          <w:szCs w:val="20"/>
          <w:color w:val="auto"/>
        </w:rPr>
      </w:pPr>
      <w:r>
        <w:rPr>
          <w:rFonts w:ascii="Arial" w:cs="Arial" w:eastAsia="Arial" w:hAnsi="Arial"/>
          <w:sz w:val="19"/>
          <w:szCs w:val="19"/>
          <w:b w:val="1"/>
          <w:bCs w:val="1"/>
          <w:i w:val="1"/>
          <w:iCs w:val="1"/>
          <w:color w:val="auto"/>
        </w:rPr>
        <w:t>If NFI were to become a publicly traded partnership taxable as a corporation for U.S. federal income tax purposes, significant tax inefficiencies might result.</w:t>
      </w:r>
    </w:p>
    <w:p>
      <w:pPr>
        <w:spacing w:after="0" w:line="172" w:lineRule="exact"/>
        <w:rPr>
          <w:sz w:val="20"/>
          <w:szCs w:val="20"/>
          <w:color w:val="auto"/>
        </w:rPr>
      </w:pPr>
    </w:p>
    <w:p>
      <w:pPr>
        <w:ind w:right="40" w:firstLine="279"/>
        <w:spacing w:after="0" w:line="261" w:lineRule="auto"/>
        <w:rPr>
          <w:sz w:val="20"/>
          <w:szCs w:val="20"/>
          <w:color w:val="auto"/>
        </w:rPr>
      </w:pPr>
      <w:r>
        <w:rPr>
          <w:rFonts w:ascii="Arial" w:cs="Arial" w:eastAsia="Arial" w:hAnsi="Arial"/>
          <w:sz w:val="17"/>
          <w:szCs w:val="17"/>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the right of NFE (instead of NFI) upon the exercise of the Redemption Right to, for administrative convenience, acquire each tendered NFI LLC Unit directly from the redeeming unitholder for, at its election, (x) one Class A share, subject to conversion rate adjustments for equity splits, equity dividends and reclassification and other similar transactions or (y) an equivalent amount of cash (our Call Right, which the decision to exercise such right shall be made by a committee of our board of directors))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provides for limitations on the ability of unitholders of NFI to transfer their NFI LLC Units and provides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164" w:lineRule="exact"/>
        <w:rPr>
          <w:sz w:val="20"/>
          <w:szCs w:val="20"/>
          <w:color w:val="auto"/>
        </w:rPr>
      </w:pPr>
    </w:p>
    <w:p>
      <w:pPr>
        <w:ind w:right="20" w:firstLine="279"/>
        <w:spacing w:after="0" w:line="250" w:lineRule="auto"/>
        <w:rPr>
          <w:sz w:val="20"/>
          <w:szCs w:val="20"/>
          <w:color w:val="auto"/>
        </w:rPr>
      </w:pPr>
      <w:r>
        <w:rPr>
          <w:rFonts w:ascii="Arial" w:cs="Arial" w:eastAsia="Arial" w:hAnsi="Arial"/>
          <w:sz w:val="19"/>
          <w:szCs w:val="19"/>
          <w:color w:val="auto"/>
        </w:rPr>
        <w:t>If NFI were to become a publicly traded partnership, significant tax inefficiencies might result for us and for NFI, including as a result of our inability to file a consolidated U.S. federal income tax return with NFI.</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220"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440"/>
          </w:cols>
          <w:pgMar w:left="240" w:top="124" w:right="219" w:bottom="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26567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0" w:gutter="0" w:footer="0" w:header="0"/>
          <w:type w:val="continuous"/>
        </w:sectPr>
      </w:pPr>
    </w:p>
    <w:bookmarkStart w:id="47" w:name="page48"/>
    <w:bookmarkEnd w:id="4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PART II</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Market for the Registrant’s Common Equity, Related Shareholder Matters and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w:t>
      </w:r>
    </w:p>
    <w:p>
      <w:pPr>
        <w:spacing w:after="0" w:line="204" w:lineRule="exact"/>
        <w:rPr>
          <w:sz w:val="20"/>
          <w:szCs w:val="20"/>
          <w:color w:val="auto"/>
        </w:rPr>
      </w:pPr>
    </w:p>
    <w:p>
      <w:pPr>
        <w:ind w:right="20" w:firstLine="279"/>
        <w:spacing w:after="0" w:line="237" w:lineRule="auto"/>
        <w:rPr>
          <w:sz w:val="20"/>
          <w:szCs w:val="20"/>
          <w:color w:val="auto"/>
        </w:rPr>
      </w:pPr>
      <w:r>
        <w:rPr>
          <w:rFonts w:ascii="Arial" w:cs="Arial" w:eastAsia="Arial" w:hAnsi="Arial"/>
          <w:sz w:val="19"/>
          <w:szCs w:val="19"/>
          <w:color w:val="auto"/>
        </w:rPr>
        <w:t>Our Class A shares are traded on the NASDAQ Global Select Market under the symbol “NFE.” On February 27, 2020, there was one holder of record of our Class A shares and one shareholder of record of our Class B shares.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Dividends</w:t>
      </w:r>
    </w:p>
    <w:p>
      <w:pPr>
        <w:spacing w:after="0" w:line="204" w:lineRule="exact"/>
        <w:rPr>
          <w:sz w:val="20"/>
          <w:szCs w:val="20"/>
          <w:color w:val="auto"/>
        </w:rPr>
      </w:pPr>
    </w:p>
    <w:p>
      <w:pPr>
        <w:ind w:firstLine="279"/>
        <w:spacing w:after="0" w:line="273" w:lineRule="auto"/>
        <w:rPr>
          <w:sz w:val="20"/>
          <w:szCs w:val="20"/>
          <w:color w:val="auto"/>
        </w:rPr>
      </w:pPr>
      <w:r>
        <w:rPr>
          <w:rFonts w:ascii="Arial" w:cs="Arial" w:eastAsia="Arial" w:hAnsi="Arial"/>
          <w:sz w:val="17"/>
          <w:szCs w:val="17"/>
          <w:color w:val="auto"/>
        </w:rPr>
        <w:t>We have not declared or paid any cash dividends since our inception. We currently intend to retain future earnings, if any, to finance the expansion of our business.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Authorized for Issuance Under Equity Compensation Plans</w:t>
      </w:r>
    </w:p>
    <w:p>
      <w:pPr>
        <w:spacing w:after="0" w:line="204" w:lineRule="exact"/>
        <w:rPr>
          <w:sz w:val="20"/>
          <w:szCs w:val="20"/>
          <w:color w:val="auto"/>
        </w:rPr>
      </w:pPr>
    </w:p>
    <w:p>
      <w:pPr>
        <w:ind w:right="260" w:firstLine="279"/>
        <w:spacing w:after="0" w:line="250" w:lineRule="auto"/>
        <w:rPr>
          <w:sz w:val="20"/>
          <w:szCs w:val="20"/>
          <w:color w:val="auto"/>
        </w:rPr>
      </w:pPr>
      <w:r>
        <w:rPr>
          <w:rFonts w:ascii="Arial" w:cs="Arial" w:eastAsia="Arial" w:hAnsi="Arial"/>
          <w:sz w:val="19"/>
          <w:szCs w:val="19"/>
          <w:color w:val="auto"/>
        </w:rPr>
        <w:t>The information required by this Item is set forth in the Company’s Proxy Statement to be filed with the SEC within 120 days after December 31, 2019 in connection with our 2020 annual meeting of shareholders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 Performance Graph</w:t>
      </w:r>
    </w:p>
    <w:p>
      <w:pPr>
        <w:spacing w:after="0" w:line="204" w:lineRule="exact"/>
        <w:rPr>
          <w:sz w:val="20"/>
          <w:szCs w:val="20"/>
          <w:color w:val="auto"/>
        </w:rPr>
      </w:pPr>
    </w:p>
    <w:p>
      <w:pPr>
        <w:ind w:firstLine="279"/>
        <w:spacing w:after="0" w:line="273" w:lineRule="auto"/>
        <w:rPr>
          <w:sz w:val="20"/>
          <w:szCs w:val="20"/>
          <w:color w:val="auto"/>
        </w:rPr>
      </w:pPr>
      <w:r>
        <w:rPr>
          <w:rFonts w:ascii="Arial" w:cs="Arial" w:eastAsia="Arial" w:hAnsi="Arial"/>
          <w:sz w:val="17"/>
          <w:szCs w:val="17"/>
          <w:color w:val="auto"/>
        </w:rPr>
        <w:t>The following graph compares the cumulative total return to shareholders on our Class A shares relative to the S&amp;P 500, Alerian Midstream Index (“AMNA”) and Vanguard Energy ETF (“VDE”), including reinvestment of dividends.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156" w:lineRule="exact"/>
        <w:rPr>
          <w:sz w:val="20"/>
          <w:szCs w:val="20"/>
          <w:color w:val="auto"/>
        </w:rPr>
      </w:pPr>
    </w:p>
    <w:p>
      <w:pPr>
        <w:ind w:right="120" w:firstLine="279"/>
        <w:spacing w:after="0"/>
        <w:rPr>
          <w:sz w:val="20"/>
          <w:szCs w:val="20"/>
          <w:color w:val="auto"/>
        </w:rPr>
      </w:pPr>
      <w:r>
        <w:rPr>
          <w:rFonts w:ascii="Arial" w:cs="Arial" w:eastAsia="Arial" w:hAnsi="Arial"/>
          <w:sz w:val="19"/>
          <w:szCs w:val="19"/>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127000</wp:posOffset>
            </wp:positionV>
            <wp:extent cx="5067300" cy="2522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7300" cy="252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48" w:name="page49"/>
    <w:bookmarkEnd w:id="4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160" w:type="dxa"/>
            <w:vAlign w:val="bottom"/>
            <w:tcBorders>
              <w:top w:val="single" w:sz="8" w:color="auto"/>
              <w:left w:val="single" w:sz="8" w:color="auto"/>
              <w:bottom w:val="single" w:sz="8" w:color="auto"/>
            </w:tcBorders>
          </w:tcPr>
          <w:p>
            <w:pPr>
              <w:spacing w:after="0"/>
              <w:rPr>
                <w:sz w:val="18"/>
                <w:szCs w:val="18"/>
                <w:color w:val="auto"/>
              </w:rPr>
            </w:pPr>
          </w:p>
        </w:tc>
        <w:tc>
          <w:tcPr>
            <w:tcW w:w="2900" w:type="dxa"/>
            <w:vAlign w:val="bottom"/>
            <w:tcBorders>
              <w:top w:val="single" w:sz="8" w:color="auto"/>
              <w:bottom w:val="single" w:sz="8" w:color="auto"/>
            </w:tcBorders>
            <w:gridSpan w:val="10"/>
          </w:tcPr>
          <w:p>
            <w:pPr>
              <w:ind w:left="420"/>
              <w:spacing w:after="0"/>
              <w:rPr>
                <w:sz w:val="20"/>
                <w:szCs w:val="20"/>
                <w:color w:val="auto"/>
              </w:rPr>
            </w:pPr>
            <w:r>
              <w:rPr>
                <w:rFonts w:ascii="Arial" w:cs="Arial" w:eastAsia="Arial" w:hAnsi="Arial"/>
                <w:sz w:val="15"/>
                <w:szCs w:val="15"/>
                <w:color w:val="auto"/>
              </w:rPr>
              <w:t>Cumulative Total Return Percentage</w:t>
            </w: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160" w:type="dxa"/>
            <w:vAlign w:val="bottom"/>
            <w:tcBorders>
              <w:left w:val="single" w:sz="8" w:color="auto"/>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bottom w:val="single" w:sz="8" w:color="auto"/>
            </w:tcBorders>
            <w:gridSpan w:val="4"/>
          </w:tcPr>
          <w:p>
            <w:pPr>
              <w:jc w:val="center"/>
              <w:ind w:right="20"/>
              <w:spacing w:after="0" w:line="151" w:lineRule="exact"/>
              <w:rPr>
                <w:sz w:val="20"/>
                <w:szCs w:val="20"/>
                <w:color w:val="auto"/>
              </w:rPr>
            </w:pPr>
            <w:r>
              <w:rPr>
                <w:rFonts w:ascii="Arial" w:cs="Arial" w:eastAsia="Arial" w:hAnsi="Arial"/>
                <w:sz w:val="15"/>
                <w:szCs w:val="15"/>
                <w:color w:val="auto"/>
                <w:w w:val="89"/>
              </w:rPr>
              <w:t>January</w:t>
            </w:r>
          </w:p>
        </w:tc>
        <w:tc>
          <w:tcPr>
            <w:tcW w:w="4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60" w:type="dxa"/>
            <w:vAlign w:val="bottom"/>
            <w:tcBorders>
              <w:left w:val="single" w:sz="8" w:color="auto"/>
              <w:right w:val="single" w:sz="8" w:color="auto"/>
            </w:tcBorders>
            <w:vMerge w:val="restart"/>
          </w:tcPr>
          <w:p>
            <w:pPr>
              <w:ind w:left="20"/>
              <w:spacing w:after="0" w:line="171" w:lineRule="exact"/>
              <w:rPr>
                <w:sz w:val="20"/>
                <w:szCs w:val="20"/>
                <w:color w:val="auto"/>
              </w:rPr>
            </w:pPr>
            <w:r>
              <w:rPr>
                <w:rFonts w:ascii="Arial" w:cs="Arial" w:eastAsia="Arial" w:hAnsi="Arial"/>
                <w:sz w:val="15"/>
                <w:szCs w:val="15"/>
                <w:color w:val="auto"/>
              </w:rPr>
              <w:t>Company / Index</w:t>
            </w:r>
          </w:p>
        </w:tc>
        <w:tc>
          <w:tcPr>
            <w:tcW w:w="780" w:type="dxa"/>
            <w:vAlign w:val="bottom"/>
            <w:gridSpan w:val="3"/>
            <w:vMerge w:val="restart"/>
          </w:tcPr>
          <w:p>
            <w:pPr>
              <w:jc w:val="right"/>
              <w:spacing w:after="0" w:line="171" w:lineRule="exact"/>
              <w:rPr>
                <w:sz w:val="20"/>
                <w:szCs w:val="20"/>
                <w:color w:val="auto"/>
              </w:rPr>
            </w:pPr>
            <w:r>
              <w:rPr>
                <w:rFonts w:ascii="Arial" w:cs="Arial" w:eastAsia="Arial" w:hAnsi="Arial"/>
                <w:sz w:val="15"/>
                <w:szCs w:val="15"/>
                <w:color w:val="auto"/>
              </w:rPr>
              <w:t>2019</w:t>
            </w:r>
          </w:p>
        </w:tc>
        <w:tc>
          <w:tcPr>
            <w:tcW w:w="1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3"/>
                <w:szCs w:val="13"/>
                <w:color w:val="auto"/>
                <w:w w:val="87"/>
              </w:rPr>
              <w:t>(1)</w:t>
            </w:r>
          </w:p>
        </w:tc>
        <w:tc>
          <w:tcPr>
            <w:tcW w:w="20" w:type="dxa"/>
            <w:vAlign w:val="bottom"/>
            <w:vMerge w:val="restart"/>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1020" w:type="dxa"/>
            <w:vAlign w:val="bottom"/>
            <w:gridSpan w:val="2"/>
            <w:vMerge w:val="restart"/>
          </w:tcPr>
          <w:p>
            <w:pPr>
              <w:ind w:left="260"/>
              <w:spacing w:after="0" w:line="171" w:lineRule="exact"/>
              <w:rPr>
                <w:sz w:val="20"/>
                <w:szCs w:val="20"/>
                <w:color w:val="auto"/>
              </w:rPr>
            </w:pPr>
            <w:r>
              <w:rPr>
                <w:rFonts w:ascii="Arial" w:cs="Arial" w:eastAsia="Arial" w:hAnsi="Arial"/>
                <w:sz w:val="15"/>
                <w:szCs w:val="15"/>
                <w:color w:val="auto"/>
                <w:w w:val="93"/>
              </w:rPr>
              <w:t>March 2019</w:t>
            </w:r>
          </w:p>
        </w:tc>
        <w:tc>
          <w:tcPr>
            <w:tcW w:w="1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3"/>
                <w:szCs w:val="13"/>
                <w:color w:val="auto"/>
                <w:w w:val="75"/>
              </w:rPr>
              <w:t>(1)</w:t>
            </w:r>
          </w:p>
        </w:tc>
        <w:tc>
          <w:tcPr>
            <w:tcW w:w="300" w:type="dxa"/>
            <w:vAlign w:val="bottom"/>
            <w:tcBorders>
              <w:right w:val="single" w:sz="8" w:color="auto"/>
            </w:tcBorders>
            <w:vMerge w:val="restart"/>
          </w:tcPr>
          <w:p>
            <w:pPr>
              <w:spacing w:after="0"/>
              <w:rPr>
                <w:sz w:val="11"/>
                <w:szCs w:val="11"/>
                <w:color w:val="auto"/>
              </w:rPr>
            </w:pPr>
          </w:p>
        </w:tc>
        <w:tc>
          <w:tcPr>
            <w:tcW w:w="860" w:type="dxa"/>
            <w:vAlign w:val="bottom"/>
            <w:gridSpan w:val="2"/>
            <w:vMerge w:val="restart"/>
          </w:tcPr>
          <w:p>
            <w:pPr>
              <w:ind w:left="240"/>
              <w:spacing w:after="0" w:line="171" w:lineRule="exact"/>
              <w:rPr>
                <w:sz w:val="20"/>
                <w:szCs w:val="20"/>
                <w:color w:val="auto"/>
              </w:rPr>
            </w:pPr>
            <w:r>
              <w:rPr>
                <w:rFonts w:ascii="Arial" w:cs="Arial" w:eastAsia="Arial" w:hAnsi="Arial"/>
                <w:sz w:val="15"/>
                <w:szCs w:val="15"/>
                <w:color w:val="auto"/>
                <w:w w:val="85"/>
              </w:rPr>
              <w:t>June 2019</w:t>
            </w:r>
          </w:p>
        </w:tc>
        <w:tc>
          <w:tcPr>
            <w:tcW w:w="16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3"/>
                <w:szCs w:val="13"/>
                <w:color w:val="auto"/>
                <w:w w:val="87"/>
              </w:rPr>
              <w:t>(1)</w:t>
            </w:r>
          </w:p>
        </w:tc>
        <w:tc>
          <w:tcPr>
            <w:tcW w:w="260" w:type="dxa"/>
            <w:vAlign w:val="bottom"/>
            <w:tcBorders>
              <w:right w:val="single" w:sz="8" w:color="auto"/>
            </w:tcBorders>
            <w:vMerge w:val="restart"/>
          </w:tcPr>
          <w:p>
            <w:pPr>
              <w:spacing w:after="0"/>
              <w:rPr>
                <w:sz w:val="11"/>
                <w:szCs w:val="11"/>
                <w:color w:val="auto"/>
              </w:rPr>
            </w:pPr>
          </w:p>
        </w:tc>
        <w:tc>
          <w:tcPr>
            <w:tcW w:w="1280" w:type="dxa"/>
            <w:vAlign w:val="bottom"/>
            <w:gridSpan w:val="2"/>
            <w:vMerge w:val="restart"/>
          </w:tcPr>
          <w:p>
            <w:pPr>
              <w:ind w:left="260"/>
              <w:spacing w:after="0" w:line="171" w:lineRule="exact"/>
              <w:rPr>
                <w:sz w:val="20"/>
                <w:szCs w:val="20"/>
                <w:color w:val="auto"/>
              </w:rPr>
            </w:pPr>
            <w:r>
              <w:rPr>
                <w:rFonts w:ascii="Arial" w:cs="Arial" w:eastAsia="Arial" w:hAnsi="Arial"/>
                <w:sz w:val="15"/>
                <w:szCs w:val="15"/>
                <w:color w:val="auto"/>
                <w:w w:val="90"/>
              </w:rPr>
              <w:t>September 2019</w:t>
            </w:r>
          </w:p>
        </w:tc>
        <w:tc>
          <w:tcPr>
            <w:tcW w:w="1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3"/>
                <w:szCs w:val="13"/>
                <w:color w:val="auto"/>
                <w:w w:val="75"/>
              </w:rPr>
              <w:t>(1)</w:t>
            </w:r>
          </w:p>
        </w:tc>
        <w:tc>
          <w:tcPr>
            <w:tcW w:w="300" w:type="dxa"/>
            <w:vAlign w:val="bottom"/>
            <w:tcBorders>
              <w:right w:val="single" w:sz="8" w:color="auto"/>
            </w:tcBorders>
            <w:vMerge w:val="restart"/>
          </w:tcPr>
          <w:p>
            <w:pPr>
              <w:spacing w:after="0"/>
              <w:rPr>
                <w:sz w:val="11"/>
                <w:szCs w:val="11"/>
                <w:color w:val="auto"/>
              </w:rPr>
            </w:pPr>
          </w:p>
        </w:tc>
        <w:tc>
          <w:tcPr>
            <w:tcW w:w="1100" w:type="dxa"/>
            <w:vAlign w:val="bottom"/>
            <w:gridSpan w:val="2"/>
            <w:vMerge w:val="restart"/>
          </w:tcPr>
          <w:p>
            <w:pPr>
              <w:ind w:left="120"/>
              <w:spacing w:after="0" w:line="171" w:lineRule="exact"/>
              <w:rPr>
                <w:sz w:val="20"/>
                <w:szCs w:val="20"/>
                <w:color w:val="auto"/>
              </w:rPr>
            </w:pPr>
            <w:r>
              <w:rPr>
                <w:rFonts w:ascii="Arial" w:cs="Arial" w:eastAsia="Arial" w:hAnsi="Arial"/>
                <w:sz w:val="15"/>
                <w:szCs w:val="15"/>
                <w:color w:val="auto"/>
                <w:w w:val="89"/>
              </w:rPr>
              <w:t>December 2019</w:t>
            </w:r>
          </w:p>
        </w:tc>
        <w:tc>
          <w:tcPr>
            <w:tcW w:w="14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3"/>
                <w:szCs w:val="13"/>
                <w:color w:val="auto"/>
                <w:w w:val="75"/>
              </w:rPr>
              <w:t>(1)</w:t>
            </w:r>
          </w:p>
        </w:tc>
        <w:tc>
          <w:tcPr>
            <w:tcW w:w="140" w:type="dxa"/>
            <w:vAlign w:val="bottom"/>
            <w:tcBorders>
              <w:right w:val="single" w:sz="8" w:color="auto"/>
            </w:tcBorders>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60" w:type="dxa"/>
            <w:vAlign w:val="bottom"/>
            <w:tcBorders>
              <w:left w:val="single" w:sz="8" w:color="auto"/>
              <w:right w:val="single" w:sz="8" w:color="auto"/>
            </w:tcBorders>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NFE</w:t>
            </w:r>
          </w:p>
        </w:tc>
        <w:tc>
          <w:tcPr>
            <w:tcW w:w="940" w:type="dxa"/>
            <w:vAlign w:val="bottom"/>
            <w:tcBorders>
              <w:bottom w:val="single" w:sz="8" w:color="auto"/>
            </w:tcBorders>
            <w:gridSpan w:val="4"/>
            <w:shd w:val="clear" w:color="auto" w:fill="CCEEFF"/>
          </w:tcPr>
          <w:p>
            <w:pPr>
              <w:jc w:val="center"/>
              <w:ind w:left="383"/>
              <w:spacing w:after="0"/>
              <w:rPr>
                <w:sz w:val="20"/>
                <w:szCs w:val="20"/>
                <w:color w:val="auto"/>
              </w:rPr>
            </w:pPr>
            <w:r>
              <w:rPr>
                <w:rFonts w:ascii="Arial" w:cs="Arial" w:eastAsia="Arial" w:hAnsi="Arial"/>
                <w:sz w:val="15"/>
                <w:szCs w:val="15"/>
                <w:color w:val="auto"/>
                <w:w w:val="95"/>
              </w:rPr>
              <w:t>100</w:t>
            </w:r>
          </w:p>
        </w:tc>
        <w:tc>
          <w:tcPr>
            <w:tcW w:w="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right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center"/>
              <w:ind w:left="343"/>
              <w:spacing w:after="0"/>
              <w:rPr>
                <w:sz w:val="20"/>
                <w:szCs w:val="20"/>
                <w:color w:val="auto"/>
              </w:rPr>
            </w:pPr>
            <w:r>
              <w:rPr>
                <w:rFonts w:ascii="Arial" w:cs="Arial" w:eastAsia="Arial" w:hAnsi="Arial"/>
                <w:sz w:val="15"/>
                <w:szCs w:val="15"/>
                <w:color w:val="auto"/>
                <w:w w:val="95"/>
              </w:rPr>
              <w:t>89</w:t>
            </w: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860" w:type="dxa"/>
            <w:vAlign w:val="bottom"/>
            <w:tcBorders>
              <w:bottom w:val="single" w:sz="8" w:color="auto"/>
            </w:tcBorders>
            <w:gridSpan w:val="2"/>
            <w:shd w:val="clear" w:color="auto" w:fill="CCEEFF"/>
          </w:tcPr>
          <w:p>
            <w:pPr>
              <w:jc w:val="center"/>
              <w:ind w:left="303"/>
              <w:spacing w:after="0"/>
              <w:rPr>
                <w:sz w:val="20"/>
                <w:szCs w:val="20"/>
                <w:color w:val="auto"/>
              </w:rPr>
            </w:pPr>
            <w:r>
              <w:rPr>
                <w:rFonts w:ascii="Arial" w:cs="Arial" w:eastAsia="Arial" w:hAnsi="Arial"/>
                <w:sz w:val="15"/>
                <w:szCs w:val="15"/>
                <w:color w:val="auto"/>
                <w:w w:val="95"/>
              </w:rPr>
              <w:t>90</w:t>
            </w:r>
          </w:p>
        </w:tc>
        <w:tc>
          <w:tcPr>
            <w:tcW w:w="1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center"/>
              <w:ind w:left="343"/>
              <w:spacing w:after="0"/>
              <w:rPr>
                <w:sz w:val="20"/>
                <w:szCs w:val="20"/>
                <w:color w:val="auto"/>
              </w:rPr>
            </w:pPr>
            <w:r>
              <w:rPr>
                <w:rFonts w:ascii="Arial" w:cs="Arial" w:eastAsia="Arial" w:hAnsi="Arial"/>
                <w:sz w:val="15"/>
                <w:szCs w:val="15"/>
                <w:color w:val="auto"/>
                <w:w w:val="87"/>
              </w:rPr>
              <w:t>138</w:t>
            </w:r>
          </w:p>
        </w:tc>
        <w:tc>
          <w:tcPr>
            <w:tcW w:w="1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right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center"/>
              <w:ind w:left="183"/>
              <w:spacing w:after="0"/>
              <w:rPr>
                <w:sz w:val="20"/>
                <w:szCs w:val="20"/>
                <w:color w:val="auto"/>
              </w:rPr>
            </w:pPr>
            <w:r>
              <w:rPr>
                <w:rFonts w:ascii="Arial" w:cs="Arial" w:eastAsia="Arial" w:hAnsi="Arial"/>
                <w:sz w:val="15"/>
                <w:szCs w:val="15"/>
                <w:color w:val="auto"/>
                <w:w w:val="95"/>
              </w:rPr>
              <w:t>120</w:t>
            </w: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S&amp;P 500</w:t>
            </w:r>
          </w:p>
        </w:tc>
        <w:tc>
          <w:tcPr>
            <w:tcW w:w="940" w:type="dxa"/>
            <w:vAlign w:val="bottom"/>
            <w:tcBorders>
              <w:bottom w:val="single" w:sz="8" w:color="auto"/>
            </w:tcBorders>
            <w:gridSpan w:val="4"/>
          </w:tcPr>
          <w:p>
            <w:pPr>
              <w:jc w:val="center"/>
              <w:ind w:left="383"/>
              <w:spacing w:after="0"/>
              <w:rPr>
                <w:sz w:val="20"/>
                <w:szCs w:val="20"/>
                <w:color w:val="auto"/>
              </w:rPr>
            </w:pPr>
            <w:r>
              <w:rPr>
                <w:rFonts w:ascii="Arial" w:cs="Arial" w:eastAsia="Arial" w:hAnsi="Arial"/>
                <w:sz w:val="15"/>
                <w:szCs w:val="15"/>
                <w:color w:val="auto"/>
                <w:w w:val="95"/>
              </w:rPr>
              <w:t>100</w:t>
            </w: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left="343"/>
              <w:spacing w:after="0"/>
              <w:rPr>
                <w:sz w:val="20"/>
                <w:szCs w:val="20"/>
                <w:color w:val="auto"/>
              </w:rPr>
            </w:pPr>
            <w:r>
              <w:rPr>
                <w:rFonts w:ascii="Arial" w:cs="Arial" w:eastAsia="Arial" w:hAnsi="Arial"/>
                <w:sz w:val="15"/>
                <w:szCs w:val="15"/>
                <w:color w:val="auto"/>
                <w:w w:val="95"/>
              </w:rPr>
              <w:t>105</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303"/>
              <w:spacing w:after="0"/>
              <w:rPr>
                <w:sz w:val="20"/>
                <w:szCs w:val="20"/>
                <w:color w:val="auto"/>
              </w:rPr>
            </w:pPr>
            <w:r>
              <w:rPr>
                <w:rFonts w:ascii="Arial" w:cs="Arial" w:eastAsia="Arial" w:hAnsi="Arial"/>
                <w:sz w:val="15"/>
                <w:szCs w:val="15"/>
                <w:color w:val="auto"/>
                <w:w w:val="95"/>
              </w:rPr>
              <w:t>110</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343"/>
              <w:spacing w:after="0"/>
              <w:rPr>
                <w:sz w:val="20"/>
                <w:szCs w:val="20"/>
                <w:color w:val="auto"/>
              </w:rPr>
            </w:pPr>
            <w:r>
              <w:rPr>
                <w:rFonts w:ascii="Arial" w:cs="Arial" w:eastAsia="Arial" w:hAnsi="Arial"/>
                <w:sz w:val="15"/>
                <w:szCs w:val="15"/>
                <w:color w:val="auto"/>
                <w:w w:val="87"/>
              </w:rPr>
              <w:t>112</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left="183"/>
              <w:spacing w:after="0"/>
              <w:rPr>
                <w:sz w:val="20"/>
                <w:szCs w:val="20"/>
                <w:color w:val="auto"/>
              </w:rPr>
            </w:pPr>
            <w:r>
              <w:rPr>
                <w:rFonts w:ascii="Arial" w:cs="Arial" w:eastAsia="Arial" w:hAnsi="Arial"/>
                <w:sz w:val="15"/>
                <w:szCs w:val="15"/>
                <w:color w:val="auto"/>
                <w:w w:val="95"/>
              </w:rPr>
              <w:t>122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Alerian Midstream Index (“AMNA”)</w:t>
            </w:r>
          </w:p>
        </w:tc>
        <w:tc>
          <w:tcPr>
            <w:tcW w:w="940" w:type="dxa"/>
            <w:vAlign w:val="bottom"/>
            <w:tcBorders>
              <w:bottom w:val="single" w:sz="8" w:color="auto"/>
            </w:tcBorders>
            <w:gridSpan w:val="4"/>
            <w:shd w:val="clear" w:color="auto" w:fill="CCEEFF"/>
          </w:tcPr>
          <w:p>
            <w:pPr>
              <w:jc w:val="center"/>
              <w:ind w:left="383"/>
              <w:spacing w:after="0"/>
              <w:rPr>
                <w:sz w:val="20"/>
                <w:szCs w:val="20"/>
                <w:color w:val="auto"/>
              </w:rPr>
            </w:pPr>
            <w:r>
              <w:rPr>
                <w:rFonts w:ascii="Arial" w:cs="Arial" w:eastAsia="Arial" w:hAnsi="Arial"/>
                <w:sz w:val="15"/>
                <w:szCs w:val="15"/>
                <w:color w:val="auto"/>
                <w:w w:val="95"/>
              </w:rPr>
              <w:t>100</w:t>
            </w:r>
          </w:p>
        </w:tc>
        <w:tc>
          <w:tcPr>
            <w:tcW w:w="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center"/>
              <w:ind w:left="343"/>
              <w:spacing w:after="0"/>
              <w:rPr>
                <w:sz w:val="20"/>
                <w:szCs w:val="20"/>
                <w:color w:val="auto"/>
              </w:rPr>
            </w:pPr>
            <w:r>
              <w:rPr>
                <w:rFonts w:ascii="Arial" w:cs="Arial" w:eastAsia="Arial" w:hAnsi="Arial"/>
                <w:sz w:val="15"/>
                <w:szCs w:val="15"/>
                <w:color w:val="auto"/>
                <w:w w:val="95"/>
              </w:rPr>
              <w:t>105</w:t>
            </w: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right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center"/>
              <w:ind w:left="303"/>
              <w:spacing w:after="0"/>
              <w:rPr>
                <w:sz w:val="20"/>
                <w:szCs w:val="20"/>
                <w:color w:val="auto"/>
              </w:rPr>
            </w:pPr>
            <w:r>
              <w:rPr>
                <w:rFonts w:ascii="Arial" w:cs="Arial" w:eastAsia="Arial" w:hAnsi="Arial"/>
                <w:sz w:val="15"/>
                <w:szCs w:val="15"/>
                <w:color w:val="auto"/>
                <w:w w:val="95"/>
              </w:rPr>
              <w:t>107</w:t>
            </w:r>
          </w:p>
        </w:tc>
        <w:tc>
          <w:tcPr>
            <w:tcW w:w="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right w:val="single" w:sz="8" w:color="auto"/>
            </w:tcBorders>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center"/>
              <w:ind w:left="343"/>
              <w:spacing w:after="0"/>
              <w:rPr>
                <w:sz w:val="20"/>
                <w:szCs w:val="20"/>
                <w:color w:val="auto"/>
              </w:rPr>
            </w:pPr>
            <w:r>
              <w:rPr>
                <w:rFonts w:ascii="Arial" w:cs="Arial" w:eastAsia="Arial" w:hAnsi="Arial"/>
                <w:sz w:val="15"/>
                <w:szCs w:val="15"/>
                <w:color w:val="auto"/>
                <w:w w:val="87"/>
              </w:rPr>
              <w:t>105</w:t>
            </w: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right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center"/>
              <w:ind w:left="183"/>
              <w:spacing w:after="0"/>
              <w:rPr>
                <w:sz w:val="20"/>
                <w:szCs w:val="20"/>
                <w:color w:val="auto"/>
              </w:rPr>
            </w:pPr>
            <w:r>
              <w:rPr>
                <w:rFonts w:ascii="Arial" w:cs="Arial" w:eastAsia="Arial" w:hAnsi="Arial"/>
                <w:sz w:val="15"/>
                <w:szCs w:val="15"/>
                <w:color w:val="auto"/>
                <w:w w:val="95"/>
              </w:rPr>
              <w:t>107</w:t>
            </w:r>
          </w:p>
        </w:tc>
        <w:tc>
          <w:tcPr>
            <w:tcW w:w="1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Vanguard Energy ETF (“VDE”)</w:t>
            </w:r>
          </w:p>
        </w:tc>
        <w:tc>
          <w:tcPr>
            <w:tcW w:w="940" w:type="dxa"/>
            <w:vAlign w:val="bottom"/>
            <w:tcBorders>
              <w:bottom w:val="single" w:sz="8" w:color="auto"/>
            </w:tcBorders>
            <w:gridSpan w:val="4"/>
          </w:tcPr>
          <w:p>
            <w:pPr>
              <w:jc w:val="center"/>
              <w:ind w:left="383"/>
              <w:spacing w:after="0"/>
              <w:rPr>
                <w:sz w:val="20"/>
                <w:szCs w:val="20"/>
                <w:color w:val="auto"/>
              </w:rPr>
            </w:pPr>
            <w:r>
              <w:rPr>
                <w:rFonts w:ascii="Arial" w:cs="Arial" w:eastAsia="Arial" w:hAnsi="Arial"/>
                <w:sz w:val="15"/>
                <w:szCs w:val="15"/>
                <w:color w:val="auto"/>
                <w:w w:val="95"/>
              </w:rPr>
              <w:t>100</w:t>
            </w: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left="343"/>
              <w:spacing w:after="0"/>
              <w:rPr>
                <w:sz w:val="20"/>
                <w:szCs w:val="20"/>
                <w:color w:val="auto"/>
              </w:rPr>
            </w:pPr>
            <w:r>
              <w:rPr>
                <w:rFonts w:ascii="Arial" w:cs="Arial" w:eastAsia="Arial" w:hAnsi="Arial"/>
                <w:sz w:val="15"/>
                <w:szCs w:val="15"/>
                <w:color w:val="auto"/>
                <w:w w:val="95"/>
              </w:rPr>
              <w:t>105</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left="303"/>
              <w:spacing w:after="0"/>
              <w:rPr>
                <w:sz w:val="20"/>
                <w:szCs w:val="20"/>
                <w:color w:val="auto"/>
              </w:rPr>
            </w:pPr>
            <w:r>
              <w:rPr>
                <w:rFonts w:ascii="Arial" w:cs="Arial" w:eastAsia="Arial" w:hAnsi="Arial"/>
                <w:sz w:val="15"/>
                <w:szCs w:val="15"/>
                <w:color w:val="auto"/>
                <w:w w:val="95"/>
              </w:rPr>
              <w:t>100</w:t>
            </w: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5"/>
                <w:szCs w:val="15"/>
                <w:color w:val="auto"/>
                <w:w w:val="95"/>
              </w:rPr>
              <w:t>93</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left="183"/>
              <w:spacing w:after="0"/>
              <w:rPr>
                <w:sz w:val="20"/>
                <w:szCs w:val="20"/>
                <w:color w:val="auto"/>
              </w:rPr>
            </w:pPr>
            <w:r>
              <w:rPr>
                <w:rFonts w:ascii="Arial" w:cs="Arial" w:eastAsia="Arial" w:hAnsi="Arial"/>
                <w:sz w:val="15"/>
                <w:szCs w:val="15"/>
                <w:color w:val="auto"/>
                <w:w w:val="95"/>
              </w:rPr>
              <w:t>98</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5"/>
          <w:szCs w:val="15"/>
          <w:color w:val="auto"/>
        </w:rPr>
        <w:t>(1)  Last trading day of the month</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Proceeds from Registered Securities</w:t>
      </w:r>
    </w:p>
    <w:p>
      <w:pPr>
        <w:spacing w:after="0" w:line="204" w:lineRule="exact"/>
        <w:rPr>
          <w:sz w:val="20"/>
          <w:szCs w:val="20"/>
          <w:color w:val="auto"/>
        </w:rPr>
      </w:pPr>
    </w:p>
    <w:p>
      <w:pPr>
        <w:ind w:right="80" w:firstLine="310"/>
        <w:spacing w:after="0" w:line="245" w:lineRule="auto"/>
        <w:rPr>
          <w:sz w:val="20"/>
          <w:szCs w:val="20"/>
          <w:color w:val="auto"/>
        </w:rPr>
      </w:pPr>
      <w:r>
        <w:rPr>
          <w:rFonts w:ascii="Arial" w:cs="Arial" w:eastAsia="Arial" w:hAnsi="Arial"/>
          <w:sz w:val="18"/>
          <w:szCs w:val="18"/>
          <w:color w:val="auto"/>
        </w:rPr>
        <w:t>On February 4, 2019, we completed the IPO of 20,000,000 Class A shares pursuant to our registration statement on Form S-1 (File No. 333-228339) (the “Registration Statement”) declared effective by the SEC on January 30, 2019. In connection with the IPO, Morgan Stanley &amp; Co. LLC, Barclays Capital Inc., Citigroup Global Markets Inc. and Credit Suisse Securities (USA) LLC acted as representatives of the underwriters; Evercore Group L.L.C. and Allen &amp; Company LLC acted as joint book-running managers; and JMP Securities LLC and Stifel, Nicolaus &amp; Company Incorporated acted as co-managers. The gross proceeds of the IPO, based on a public offering price of $14.00 per Class A share, were $280.0 million, which resulted in net proceeds to us of $257.0 million, after deducting underwriting discounts and commissions and transaction costs. In addition, on March 1, 2019, the underwriters exercised their option to purchase an additional 837,272 Class A shares at the initial offering price of $14.00 per share, less underwriting discounts, which resulted in $11.0 million in additional net proceeds after deducting underwriting discounts and commissions, such that there were 20,837,272 outstanding Class A shares. We contributed the net proceeds of the IPO to NFI in exchange for NFI’s issuance to us of 20,837,272 NFI LLC Units. NFI used the net proceeds in connection with the construction of our Terminals, as well as for working capital and general corporate purposes, including the development of future projects. No fees or expenses were paid, directly or indirectly, to any officer, director, 10% unitholder or other affiliate.</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3"/>
          <w:szCs w:val="13"/>
          <w:b w:val="1"/>
          <w:bCs w:val="1"/>
          <w:color w:val="auto"/>
        </w:rPr>
        <w:t>Selected Financial Data.</w:t>
      </w:r>
    </w:p>
    <w:p>
      <w:pPr>
        <w:spacing w:after="0" w:line="220" w:lineRule="exact"/>
        <w:rPr>
          <w:sz w:val="20"/>
          <w:szCs w:val="20"/>
          <w:color w:val="auto"/>
        </w:rPr>
      </w:pPr>
    </w:p>
    <w:p>
      <w:pPr>
        <w:ind w:right="180" w:firstLine="310"/>
        <w:spacing w:after="0" w:line="234" w:lineRule="auto"/>
        <w:rPr>
          <w:sz w:val="20"/>
          <w:szCs w:val="20"/>
          <w:color w:val="auto"/>
        </w:rPr>
      </w:pPr>
      <w:r>
        <w:rPr>
          <w:rFonts w:ascii="Arial" w:cs="Arial" w:eastAsia="Arial" w:hAnsi="Arial"/>
          <w:sz w:val="19"/>
          <w:szCs w:val="19"/>
          <w:color w:val="auto"/>
        </w:rPr>
        <w:t>The following table presents our selected historical consolidated financial and operating data. NFE was formed on August 6, 2018 and did not have historical financial results. The selected historical financial data as of December 31, 2018, 2017 and 2016 and for the years ended December 31, 2018, 2017 and 2016, prior to the IPO, was derived from the audited historical consolidated financial statements of New Fortress Energy Holdings, our predecessor for financial reporting purposes. Due to the change in organization structure as a result of reorganization transactions completed at the time of our IPO in 2019, the net loss per share and weighted average number of shares outstanding are not presented for the year ended December 31, 2018, 2017 and 2016.</w:t>
      </w:r>
    </w:p>
    <w:p>
      <w:pPr>
        <w:spacing w:after="0" w:line="186" w:lineRule="exact"/>
        <w:rPr>
          <w:sz w:val="20"/>
          <w:szCs w:val="20"/>
          <w:color w:val="auto"/>
        </w:rPr>
      </w:pPr>
    </w:p>
    <w:p>
      <w:pPr>
        <w:jc w:val="both"/>
        <w:ind w:right="160" w:firstLine="310"/>
        <w:spacing w:after="0"/>
        <w:rPr>
          <w:sz w:val="20"/>
          <w:szCs w:val="20"/>
          <w:color w:val="auto"/>
        </w:rPr>
      </w:pPr>
      <w:r>
        <w:rPr>
          <w:rFonts w:ascii="Arial" w:cs="Arial" w:eastAsia="Arial" w:hAnsi="Arial"/>
          <w:sz w:val="19"/>
          <w:szCs w:val="19"/>
          <w:color w:val="auto"/>
        </w:rPr>
        <w:t>You should read the information set forth below together with “Item 7. Management’s Discussion and Analysis of Financial Condition and Results of Operations” and our consolidated financial statements and related notes included elsewhere in this Annual Report. The historical financial results are not necessarily indicative of results to be expected for any future periods.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4960" w:type="dxa"/>
            <w:vAlign w:val="bottom"/>
            <w:gridSpan w:val="2"/>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2"/>
        </w:trPr>
        <w:tc>
          <w:tcPr>
            <w:tcW w:w="86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5"/>
                <w:szCs w:val="15"/>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(In</w:t>
            </w:r>
          </w:p>
        </w:tc>
        <w:tc>
          <w:tcPr>
            <w:tcW w:w="3280" w:type="dxa"/>
            <w:vAlign w:val="bottom"/>
            <w:gridSpan w:val="9"/>
          </w:tcPr>
          <w:p>
            <w:pPr>
              <w:jc w:val="right"/>
              <w:ind w:right="23"/>
              <w:spacing w:after="0"/>
              <w:rPr>
                <w:sz w:val="20"/>
                <w:szCs w:val="20"/>
                <w:color w:val="auto"/>
              </w:rPr>
            </w:pPr>
            <w:r>
              <w:rPr>
                <w:rFonts w:ascii="Arial" w:cs="Arial" w:eastAsia="Arial" w:hAnsi="Arial"/>
                <w:sz w:val="15"/>
                <w:szCs w:val="15"/>
                <w:b w:val="1"/>
                <w:bCs w:val="1"/>
                <w:color w:val="auto"/>
                <w:w w:val="90"/>
              </w:rPr>
              <w:t>thousands, except share and per share amounts)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96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Revenues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revenue</w:t>
            </w:r>
          </w:p>
        </w:tc>
        <w:tc>
          <w:tcPr>
            <w:tcW w:w="136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145,500</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96,906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82,104</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18,615</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Other revenue</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43,625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15,395</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15,158</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2,780</w:t>
            </w:r>
          </w:p>
        </w:tc>
        <w:tc>
          <w:tcPr>
            <w:tcW w:w="0" w:type="dxa"/>
            <w:vAlign w:val="bottom"/>
          </w:tcPr>
          <w:p>
            <w:pPr>
              <w:spacing w:after="0"/>
              <w:rPr>
                <w:sz w:val="1"/>
                <w:szCs w:val="1"/>
                <w:color w:val="auto"/>
              </w:rPr>
            </w:pPr>
          </w:p>
        </w:tc>
      </w:tr>
      <w:tr>
        <w:trPr>
          <w:trHeight w:val="189"/>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1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189,125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112,301</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97,262</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21,395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Operating expenses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Cost of sales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183,359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95,742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78,692</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22,747</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Operations and maintenance</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26,899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9,589</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7,456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5,205</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152,922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62,137</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33,343</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18,160</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Loss on mitigation sales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5,280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3,321</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2,761</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2,341</w:t>
            </w:r>
          </w:p>
        </w:tc>
        <w:tc>
          <w:tcPr>
            <w:tcW w:w="0" w:type="dxa"/>
            <w:vAlign w:val="bottom"/>
          </w:tcPr>
          <w:p>
            <w:pPr>
              <w:spacing w:after="0"/>
              <w:rPr>
                <w:sz w:val="1"/>
                <w:szCs w:val="1"/>
                <w:color w:val="auto"/>
              </w:rPr>
            </w:pPr>
          </w:p>
        </w:tc>
      </w:tr>
      <w:tr>
        <w:trPr>
          <w:trHeight w:val="23"/>
        </w:trPr>
        <w:tc>
          <w:tcPr>
            <w:tcW w:w="86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Total operating expenses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376,400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170,789</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122,252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48,453</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loss</w:t>
            </w:r>
          </w:p>
        </w:tc>
        <w:tc>
          <w:tcPr>
            <w:tcW w:w="1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(187,275)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(58,488)</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(24,990)</w:t>
            </w: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(27,058)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Interest expense</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19,412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11,248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6,456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5,105</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income, net</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(2,807)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(784)</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(301)</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Loss on extinguishment of debt, net</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9,568</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1,177</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Loss before taxes</w:t>
            </w:r>
          </w:p>
        </w:tc>
        <w:tc>
          <w:tcPr>
            <w:tcW w:w="1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(203,880)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(78,520)</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(31,145)</w:t>
            </w: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Tax expense (benefit)</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(338)</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526</w:t>
            </w:r>
          </w:p>
        </w:tc>
        <w:tc>
          <w:tcPr>
            <w:tcW w:w="3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1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(204,319)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(78,182)</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(31,671)</w:t>
            </w: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Net loss attributable to non-controlling interest</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170,510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106</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6"/>
        </w:trPr>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atrributable to stockholders</w:t>
            </w: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(33,809)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(78,076)</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(31,671)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(32,926)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gridSpan w:val="2"/>
          </w:tcPr>
          <w:p>
            <w:pPr>
              <w:spacing w:after="0"/>
              <w:rPr>
                <w:sz w:val="14"/>
                <w:szCs w:val="14"/>
                <w:color w:val="auto"/>
              </w:rPr>
            </w:pPr>
          </w:p>
        </w:tc>
        <w:tc>
          <w:tcPr>
            <w:tcW w:w="10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 per share - basic and diluted</w:t>
            </w:r>
          </w:p>
        </w:tc>
        <w:tc>
          <w:tcPr>
            <w:tcW w:w="136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shares outstanding - basic and diluted</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20,862,555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5"/>
                <w:szCs w:val="15"/>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Balance Sheet Data (at period end):</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36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192,222</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94,040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69,350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70,633</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Construction in progress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466,587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254,700</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35,413</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4,668</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 assets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1,123,814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699,402</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381,190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389,054</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Long-term debt (includes current portion)</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619,057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272,192</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75,253</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80,385</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 liabilities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736,490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416,755</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102,280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99,684</w:t>
            </w:r>
          </w:p>
        </w:tc>
        <w:tc>
          <w:tcPr>
            <w:tcW w:w="0" w:type="dxa"/>
            <w:vAlign w:val="bottom"/>
          </w:tcPr>
          <w:p>
            <w:pPr>
              <w:spacing w:after="0"/>
              <w:rPr>
                <w:sz w:val="1"/>
                <w:szCs w:val="1"/>
                <w:color w:val="auto"/>
              </w:rPr>
            </w:pPr>
          </w:p>
        </w:tc>
      </w:tr>
      <w:tr>
        <w:trPr>
          <w:trHeight w:val="398"/>
        </w:trPr>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5"/>
                <w:szCs w:val="15"/>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gridSpan w:val="2"/>
          </w:tcPr>
          <w:p>
            <w:pPr>
              <w:spacing w:after="0"/>
              <w:rPr>
                <w:sz w:val="20"/>
                <w:szCs w:val="20"/>
                <w:color w:val="auto"/>
              </w:rPr>
            </w:pPr>
            <w:r>
              <w:rPr>
                <w:rFonts w:ascii="Arial" w:cs="Arial" w:eastAsia="Arial" w:hAnsi="Arial"/>
                <w:sz w:val="15"/>
                <w:szCs w:val="15"/>
                <w:b w:val="1"/>
                <w:bCs w:val="1"/>
                <w:color w:val="auto"/>
              </w:rPr>
              <w:t>Statements of Cash Flow Data:</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gridSpan w:val="2"/>
          </w:tcPr>
          <w:p>
            <w:pPr>
              <w:spacing w:after="0"/>
              <w:rPr>
                <w:sz w:val="20"/>
                <w:szCs w:val="20"/>
                <w:color w:val="auto"/>
              </w:rPr>
            </w:pPr>
            <w:r>
              <w:rPr>
                <w:rFonts w:ascii="Arial" w:cs="Arial" w:eastAsia="Arial" w:hAnsi="Arial"/>
                <w:sz w:val="15"/>
                <w:szCs w:val="15"/>
                <w:color w:val="auto"/>
              </w:rPr>
              <w:t>Net cash provided by (used in):</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activities</w:t>
            </w:r>
          </w:p>
        </w:tc>
        <w:tc>
          <w:tcPr>
            <w:tcW w:w="136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3"/>
              <w:spacing w:after="0"/>
              <w:rPr>
                <w:sz w:val="20"/>
                <w:szCs w:val="20"/>
                <w:color w:val="auto"/>
              </w:rPr>
            </w:pPr>
            <w:r>
              <w:rPr>
                <w:rFonts w:ascii="Arial" w:cs="Arial" w:eastAsia="Arial" w:hAnsi="Arial"/>
                <w:sz w:val="15"/>
                <w:szCs w:val="15"/>
                <w:color w:val="auto"/>
              </w:rPr>
              <w:t>(234,261)</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(93,227)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(54,892)</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(43,493)</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40"/>
              <w:spacing w:after="0"/>
              <w:rPr>
                <w:sz w:val="20"/>
                <w:szCs w:val="20"/>
                <w:color w:val="auto"/>
              </w:rPr>
            </w:pPr>
            <w:r>
              <w:rPr>
                <w:rFonts w:ascii="Arial" w:cs="Arial" w:eastAsia="Arial" w:hAnsi="Arial"/>
                <w:sz w:val="15"/>
                <w:szCs w:val="15"/>
                <w:color w:val="auto"/>
              </w:rPr>
              <w:t>Investing activities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23"/>
              <w:spacing w:after="0"/>
              <w:rPr>
                <w:sz w:val="20"/>
                <w:szCs w:val="20"/>
                <w:color w:val="auto"/>
              </w:rPr>
            </w:pPr>
            <w:r>
              <w:rPr>
                <w:rFonts w:ascii="Arial" w:cs="Arial" w:eastAsia="Arial" w:hAnsi="Arial"/>
                <w:sz w:val="15"/>
                <w:szCs w:val="15"/>
                <w:color w:val="auto"/>
              </w:rPr>
              <w:t>(376,164)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(184,455)</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(29,858)</w:t>
            </w:r>
          </w:p>
        </w:tc>
        <w:tc>
          <w:tcPr>
            <w:tcW w:w="3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(98,325)</w:t>
            </w:r>
          </w:p>
        </w:tc>
        <w:tc>
          <w:tcPr>
            <w:tcW w:w="0" w:type="dxa"/>
            <w:vAlign w:val="bottom"/>
          </w:tcPr>
          <w:p>
            <w:pPr>
              <w:spacing w:after="0"/>
              <w:rPr>
                <w:sz w:val="1"/>
                <w:szCs w:val="1"/>
                <w:color w:val="auto"/>
              </w:rPr>
            </w:pPr>
          </w:p>
        </w:tc>
      </w:tr>
      <w:tr>
        <w:trPr>
          <w:trHeight w:val="186"/>
        </w:trPr>
        <w:tc>
          <w:tcPr>
            <w:tcW w:w="4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Financing activities</w:t>
            </w: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602,607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260,204</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13,960</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275,936</w:t>
            </w:r>
          </w:p>
        </w:tc>
        <w:tc>
          <w:tcPr>
            <w:tcW w:w="0" w:type="dxa"/>
            <w:vAlign w:val="bottom"/>
          </w:tcPr>
          <w:p>
            <w:pPr>
              <w:spacing w:after="0"/>
              <w:rPr>
                <w:sz w:val="1"/>
                <w:szCs w:val="1"/>
                <w:color w:val="auto"/>
              </w:rPr>
            </w:pPr>
          </w:p>
        </w:tc>
      </w:tr>
      <w:tr>
        <w:trPr>
          <w:trHeight w:val="512"/>
        </w:trPr>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00" w:type="dxa"/>
            <w:vAlign w:val="bottom"/>
          </w:tcPr>
          <w:p>
            <w:pPr>
              <w:jc w:val="right"/>
              <w:ind w:right="206"/>
              <w:spacing w:after="0"/>
              <w:rPr>
                <w:sz w:val="20"/>
                <w:szCs w:val="20"/>
                <w:color w:val="auto"/>
              </w:rPr>
            </w:pPr>
            <w:r>
              <w:rPr>
                <w:rFonts w:ascii="Arial" w:cs="Arial" w:eastAsia="Arial" w:hAnsi="Arial"/>
                <w:sz w:val="12"/>
                <w:szCs w:val="12"/>
                <w:color w:val="auto"/>
              </w:rPr>
              <w:t>48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6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18" w:right="219" w:bottom="1440" w:gutter="0" w:footer="0" w:header="0"/>
        </w:sectPr>
      </w:pPr>
    </w:p>
    <w:bookmarkStart w:id="50" w:name="page51"/>
    <w:bookmarkEnd w:id="5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20" w:lineRule="exact"/>
        <w:rPr>
          <w:sz w:val="20"/>
          <w:szCs w:val="20"/>
          <w:color w:val="auto"/>
        </w:rPr>
      </w:pPr>
    </w:p>
    <w:p>
      <w:pPr>
        <w:ind w:right="100" w:firstLine="279"/>
        <w:spacing w:after="0" w:line="267" w:lineRule="auto"/>
        <w:rPr>
          <w:sz w:val="20"/>
          <w:szCs w:val="20"/>
          <w:color w:val="auto"/>
        </w:rPr>
      </w:pPr>
      <w:r>
        <w:rPr>
          <w:rFonts w:ascii="Arial" w:cs="Arial" w:eastAsia="Arial" w:hAnsi="Arial"/>
          <w:sz w:val="17"/>
          <w:szCs w:val="17"/>
          <w:i w:val="1"/>
          <w:iCs w:val="1"/>
          <w:color w:val="auto"/>
        </w:rPr>
        <w:t>Certain information contained in this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59" w:lineRule="exact"/>
        <w:rPr>
          <w:sz w:val="20"/>
          <w:szCs w:val="20"/>
          <w:color w:val="auto"/>
        </w:rPr>
      </w:pPr>
    </w:p>
    <w:p>
      <w:pPr>
        <w:ind w:right="40" w:firstLine="279"/>
        <w:spacing w:after="0" w:line="223" w:lineRule="exact"/>
        <w:rPr>
          <w:sz w:val="20"/>
          <w:szCs w:val="20"/>
          <w:color w:val="auto"/>
        </w:rPr>
      </w:pPr>
      <w:r>
        <w:rPr>
          <w:rFonts w:ascii="Arial" w:cs="Arial" w:eastAsia="Arial" w:hAnsi="Arial"/>
          <w:sz w:val="18"/>
          <w:szCs w:val="18"/>
          <w:i w:val="1"/>
          <w:iCs w:val="1"/>
          <w:color w:val="auto"/>
        </w:rPr>
        <w:t>The comparison of the years ended December 31, 2018 and 2017 can be found in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for the year ended December 31, 2018 located within “Part II, Item 7. Management’s Discussion and Analysis of Financial Condition and Results of Operations.”</w:t>
      </w:r>
    </w:p>
    <w:p>
      <w:pPr>
        <w:spacing w:after="0" w:line="182" w:lineRule="exact"/>
        <w:rPr>
          <w:sz w:val="20"/>
          <w:szCs w:val="20"/>
          <w:color w:val="auto"/>
        </w:rPr>
      </w:pPr>
    </w:p>
    <w:p>
      <w:pPr>
        <w:ind w:right="60" w:firstLine="279"/>
        <w:spacing w:after="0" w:line="235" w:lineRule="auto"/>
        <w:rPr>
          <w:sz w:val="20"/>
          <w:szCs w:val="20"/>
          <w:color w:val="auto"/>
        </w:rPr>
      </w:pPr>
      <w:r>
        <w:rPr>
          <w:rFonts w:ascii="Arial" w:cs="Arial" w:eastAsia="Arial" w:hAnsi="Arial"/>
          <w:sz w:val="19"/>
          <w:szCs w:val="19"/>
          <w:i w:val="1"/>
          <w:iCs w:val="1"/>
          <w:color w:val="auto"/>
        </w:rPr>
        <w:t>The following information should be read in conjunction with our audited consolidated financial statements and accompanying notes included elsewhere in this Annual Report.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85" w:lineRule="exact"/>
        <w:rPr>
          <w:sz w:val="20"/>
          <w:szCs w:val="20"/>
          <w:color w:val="auto"/>
        </w:rPr>
      </w:pPr>
    </w:p>
    <w:p>
      <w:pPr>
        <w:jc w:val="both"/>
        <w:ind w:right="80" w:firstLine="279"/>
        <w:spacing w:after="0" w:line="237" w:lineRule="auto"/>
        <w:rPr>
          <w:sz w:val="20"/>
          <w:szCs w:val="20"/>
          <w:color w:val="auto"/>
        </w:rPr>
      </w:pPr>
      <w:r>
        <w:rPr>
          <w:rFonts w:ascii="Arial" w:cs="Arial" w:eastAsia="Arial" w:hAnsi="Arial"/>
          <w:sz w:val="19"/>
          <w:szCs w:val="19"/>
          <w:i w:val="1"/>
          <w:iCs w:val="1"/>
          <w:color w:val="auto"/>
        </w:rPr>
        <w:t>Unless the context otherwise requires, references to “Company,” “NFE,” “we,” “our,” “us” or like terms refer to New Fortress Energy LLC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04" w:lineRule="exact"/>
        <w:rPr>
          <w:sz w:val="20"/>
          <w:szCs w:val="20"/>
          <w:color w:val="auto"/>
        </w:rPr>
      </w:pPr>
    </w:p>
    <w:p>
      <w:pPr>
        <w:ind w:firstLine="279"/>
        <w:spacing w:after="0" w:line="234" w:lineRule="auto"/>
        <w:rPr>
          <w:sz w:val="20"/>
          <w:szCs w:val="20"/>
          <w:color w:val="auto"/>
        </w:rPr>
      </w:pPr>
      <w:r>
        <w:rPr>
          <w:rFonts w:ascii="Arial" w:cs="Arial" w:eastAsia="Arial" w:hAnsi="Arial"/>
          <w:sz w:val="19"/>
          <w:szCs w:val="19"/>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“Items 1 and 2: Business and Properties” under “Toward a Carbon-Free Future”.</w:t>
      </w:r>
    </w:p>
    <w:p>
      <w:pPr>
        <w:spacing w:after="0" w:line="186" w:lineRule="exact"/>
        <w:rPr>
          <w:sz w:val="20"/>
          <w:szCs w:val="20"/>
          <w:color w:val="auto"/>
        </w:rPr>
      </w:pPr>
    </w:p>
    <w:p>
      <w:pPr>
        <w:ind w:firstLine="279"/>
        <w:spacing w:after="0" w:line="248" w:lineRule="auto"/>
        <w:rPr>
          <w:sz w:val="20"/>
          <w:szCs w:val="20"/>
          <w:color w:val="auto"/>
        </w:rPr>
      </w:pPr>
      <w:r>
        <w:rPr>
          <w:rFonts w:ascii="Arial" w:cs="Arial" w:eastAsia="Arial" w:hAnsi="Arial"/>
          <w:sz w:val="18"/>
          <w:szCs w:val="18"/>
          <w:color w:val="auto"/>
        </w:rPr>
        <w:t>As an integrated gas-to-power energy infrastructure company, our business model spans the entire production and delivery chain from natural gas procurement and liquefaction to logistics, shipping, terminals and conversion or development of natural gas-fired generation. We currently source LNG from long-term supply agreements with third party suppliers and from our own liquefaction facility in Miami, Florida. We expect that control of our vertical supply chain, from procurement to delivery of LNG, will help to reduce our exposure to future LNG price variations and enable us to supply our existing and future customers with LNG at a price that reinforces our competitive standing in the LNG market. Our strategy is simple: we seek to procure LNG at attractive prices using long-term agreements and through our own production, and we seek to sell natural gas (delivered through LNG infrastructure) or gas-fired power to customers that sign long-term, take-or-pay contracts.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Current Operations</w:t>
      </w:r>
    </w:p>
    <w:p>
      <w:pPr>
        <w:spacing w:after="0" w:line="204" w:lineRule="exact"/>
        <w:rPr>
          <w:sz w:val="20"/>
          <w:szCs w:val="20"/>
          <w:color w:val="auto"/>
        </w:rPr>
      </w:pPr>
    </w:p>
    <w:p>
      <w:pPr>
        <w:ind w:right="120" w:firstLine="279"/>
        <w:spacing w:after="0" w:line="321" w:lineRule="auto"/>
        <w:rPr>
          <w:sz w:val="20"/>
          <w:szCs w:val="20"/>
          <w:color w:val="auto"/>
        </w:rPr>
      </w:pPr>
      <w:r>
        <w:rPr>
          <w:rFonts w:ascii="Arial" w:cs="Arial" w:eastAsia="Arial" w:hAnsi="Arial"/>
          <w:sz w:val="15"/>
          <w:szCs w:val="15"/>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(“JPC”), an affiliate of JPS, Jamalco, a bauxite mining and alumina production in Jamaica, and the Puerto Rico Electric Power Authority (“PREPA”), each of which is described in more detail below. Our assets built to service these significant customers have been designed with capacity to service other customers.</w:t>
      </w:r>
    </w:p>
    <w:p>
      <w:pPr>
        <w:spacing w:after="0" w:line="123" w:lineRule="exact"/>
        <w:rPr>
          <w:sz w:val="20"/>
          <w:szCs w:val="20"/>
          <w:color w:val="auto"/>
        </w:rPr>
      </w:pPr>
    </w:p>
    <w:p>
      <w:pPr>
        <w:ind w:right="260" w:firstLine="279"/>
        <w:spacing w:after="0" w:line="237" w:lineRule="auto"/>
        <w:rPr>
          <w:sz w:val="20"/>
          <w:szCs w:val="20"/>
          <w:color w:val="auto"/>
        </w:rPr>
      </w:pPr>
      <w:r>
        <w:rPr>
          <w:rFonts w:ascii="Arial" w:cs="Arial" w:eastAsia="Arial" w:hAnsi="Arial"/>
          <w:sz w:val="19"/>
          <w:szCs w:val="19"/>
          <w:color w:val="auto"/>
        </w:rPr>
        <w:t>We currently procure our LNG either by purchasing it under a contract from a supplier or by manufacturing it in our natural gas liquefaction and storage facility located in Miami-Dade County, Florida (the “Miami Facility”). Our long-term goal is to develop the infrastructure necessary to supply our existing and future customers with LNG produced primarily at our own facilities, including our expanded delivery logistics chain in Northern Pennsylvania (the “Pennsylvania Facility”).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Montego Bay Terminal</w:t>
      </w:r>
    </w:p>
    <w:p>
      <w:pPr>
        <w:spacing w:after="0" w:line="200" w:lineRule="exact"/>
        <w:rPr>
          <w:sz w:val="20"/>
          <w:szCs w:val="20"/>
          <w:color w:val="auto"/>
        </w:rPr>
      </w:pPr>
    </w:p>
    <w:p>
      <w:pPr>
        <w:ind w:right="180" w:firstLine="279"/>
        <w:spacing w:after="0" w:line="235" w:lineRule="auto"/>
        <w:rPr>
          <w:sz w:val="20"/>
          <w:szCs w:val="20"/>
          <w:color w:val="auto"/>
        </w:rPr>
      </w:pPr>
      <w:r>
        <w:rPr>
          <w:rFonts w:ascii="Arial" w:cs="Arial" w:eastAsia="Arial" w:hAnsi="Arial"/>
          <w:sz w:val="19"/>
          <w:szCs w:val="19"/>
          <w:color w:val="auto"/>
        </w:rPr>
        <w:t>Our storage and regasification terminal in Montego Bay, Jamaica (the “Montego Bay Terminal”) serves as our supply hub for the north side of Jamaica, providing natural gas to JPS to fuel the 145MW Bogue Power Plant in Montego Bay, Jamaica. Our Montego Bay Terminal commenced commercial operations in October 2016 and is capable of processing up to 740,000 LNG gallons (61,000 MMBtu) per day and features approximately 7,000 cubic meters of onsite storage. The Montego Bay Terminal also consists of an ISO loading facility that can transport LNG to numerous on-island industrial users.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Old Harbour Terminal</w:t>
      </w:r>
    </w:p>
    <w:p>
      <w:pPr>
        <w:spacing w:after="0" w:line="200" w:lineRule="exact"/>
        <w:rPr>
          <w:sz w:val="20"/>
          <w:szCs w:val="20"/>
          <w:color w:val="auto"/>
        </w:rPr>
      </w:pPr>
    </w:p>
    <w:p>
      <w:pPr>
        <w:ind w:right="40" w:firstLine="279"/>
        <w:spacing w:after="0" w:line="234" w:lineRule="auto"/>
        <w:rPr>
          <w:sz w:val="20"/>
          <w:szCs w:val="20"/>
          <w:color w:val="auto"/>
        </w:rPr>
      </w:pPr>
      <w:r>
        <w:rPr>
          <w:rFonts w:ascii="Arial" w:cs="Arial" w:eastAsia="Arial" w:hAnsi="Arial"/>
          <w:sz w:val="19"/>
          <w:szCs w:val="19"/>
          <w:color w:val="auto"/>
        </w:rPr>
        <w:t>Our marine LNG storage and regasification terminal in Old Harbour, Jamaica (the “Old Harbour Terminal”) commenced commercial operations in June 2019 and is capable of processing approximately six million gallons of LNG (500,000 MMBtu) per day. The Old Harbour Terminal supplies natural gas to the new 190MW Old Harbour power plant (the “Old Harbour Power Plant”) operated by JPC. The Old Harbour Terminal is also supplying natural gas to our dual-fired combined heat and power facility in Clarendon, Jamaica (the “CHP Plant”). The CHP Plant will supply electricity to JPS under a long-term power purchase agreement. The CHP Plant will also provide steam to Jamalco under a long-term take-or-pay steam supply agreement. We expect that the CHP Plant will begin to deliver energy capacity under the power purchase agreement and steam under the steam supply agreement in the first quarter of 2020.</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San Juan Facility</w:t>
      </w:r>
    </w:p>
    <w:p>
      <w:pPr>
        <w:spacing w:after="0" w:line="200" w:lineRule="exact"/>
        <w:rPr>
          <w:sz w:val="20"/>
          <w:szCs w:val="20"/>
          <w:color w:val="auto"/>
        </w:rPr>
      </w:pPr>
    </w:p>
    <w:p>
      <w:pPr>
        <w:ind w:right="260" w:firstLine="279"/>
        <w:spacing w:after="0" w:line="237" w:lineRule="auto"/>
        <w:rPr>
          <w:sz w:val="20"/>
          <w:szCs w:val="20"/>
          <w:color w:val="auto"/>
        </w:rPr>
      </w:pPr>
      <w:r>
        <w:rPr>
          <w:rFonts w:ascii="Arial" w:cs="Arial" w:eastAsia="Arial" w:hAnsi="Arial"/>
          <w:sz w:val="19"/>
          <w:szCs w:val="19"/>
          <w:color w:val="auto"/>
        </w:rPr>
        <w:t>We are finalizing the development of the micro-fuel handling facility in the Port of San Juan, Puerto Rico (the “San Juan Facility”). The San Juan Facility is currently being developed near the San Juan Power Plant and will serve as our supply hub for the San Juan Power Plant and other industrial end-user customers in Puerto Rico. We expect to begin to deliver natural gas under the Fuel Sale and Purchase Agreement with PREPA in the first quarter of 2020.</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Miami Facility</w:t>
      </w:r>
    </w:p>
    <w:p>
      <w:pPr>
        <w:spacing w:after="0" w:line="200" w:lineRule="exact"/>
        <w:rPr>
          <w:sz w:val="20"/>
          <w:szCs w:val="20"/>
          <w:color w:val="auto"/>
        </w:rPr>
      </w:pPr>
    </w:p>
    <w:p>
      <w:pPr>
        <w:ind w:right="40" w:firstLine="279"/>
        <w:spacing w:after="0"/>
        <w:rPr>
          <w:sz w:val="20"/>
          <w:szCs w:val="20"/>
          <w:color w:val="auto"/>
        </w:rPr>
      </w:pPr>
      <w:r>
        <w:rPr>
          <w:rFonts w:ascii="Arial" w:cs="Arial" w:eastAsia="Arial" w:hAnsi="Arial"/>
          <w:sz w:val="19"/>
          <w:szCs w:val="19"/>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Development Projects</w:t>
      </w:r>
    </w:p>
    <w:p>
      <w:pPr>
        <w:spacing w:after="0" w:line="200" w:lineRule="exact"/>
        <w:rPr>
          <w:sz w:val="20"/>
          <w:szCs w:val="20"/>
          <w:color w:val="auto"/>
        </w:rPr>
      </w:pPr>
    </w:p>
    <w:p>
      <w:pPr>
        <w:jc w:val="both"/>
        <w:ind w:firstLine="279"/>
        <w:spacing w:after="0"/>
        <w:rPr>
          <w:sz w:val="20"/>
          <w:szCs w:val="20"/>
          <w:color w:val="auto"/>
        </w:rPr>
      </w:pPr>
      <w:r>
        <w:rPr>
          <w:rFonts w:ascii="Arial" w:cs="Arial" w:eastAsia="Arial" w:hAnsi="Arial"/>
          <w:sz w:val="19"/>
          <w:szCs w:val="19"/>
          <w:color w:val="auto"/>
        </w:rPr>
        <w:t>We are in the process of developing an LNG regasification terminal at the Port of Pichilingue in Baja California Sur, Mexico (the “La Paz Terminal”). Our La Paz Terminal is expected to supply approximately 455,000 gallons of LNG (37,565 MMBtu) per day, and we have received all necessary permits for onshore construction of the power plant that is expected to produce up to 135 MW.</w:t>
      </w:r>
    </w:p>
    <w:p>
      <w:pPr>
        <w:spacing w:after="0" w:line="181" w:lineRule="exact"/>
        <w:rPr>
          <w:sz w:val="20"/>
          <w:szCs w:val="20"/>
          <w:color w:val="auto"/>
        </w:rPr>
      </w:pPr>
    </w:p>
    <w:p>
      <w:pPr>
        <w:ind w:right="200" w:firstLine="279"/>
        <w:spacing w:after="0" w:line="237" w:lineRule="auto"/>
        <w:rPr>
          <w:sz w:val="20"/>
          <w:szCs w:val="20"/>
          <w:color w:val="auto"/>
        </w:rPr>
      </w:pPr>
      <w:r>
        <w:rPr>
          <w:rFonts w:ascii="Arial" w:cs="Arial" w:eastAsia="Arial" w:hAnsi="Arial"/>
          <w:sz w:val="19"/>
          <w:szCs w:val="19"/>
          <w:color w:val="auto"/>
        </w:rPr>
        <w:t>In February 2020, we entered into a 25-year power purchase agreement with Nicaragua’s electricity distribution companies, and we expect to construct a new approximately 300 MW natural gas-fired power plant that will consume approximately 700,000 gallons of LNG (60,000 MMBtus) per day. In 2019, we signed a memorandum of understanding to develop a terminal in Angola to supply natural gas for power generation, and we are in active discussions to secure a definitive agreement in 2020.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 – Year Ended December 31, 2019 compared to Year Ended December 31, 2018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43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4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revenue</w:t>
            </w:r>
          </w:p>
        </w:tc>
        <w:tc>
          <w:tcPr>
            <w:tcW w:w="226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145,500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96,906</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48,594</w:t>
            </w:r>
          </w:p>
        </w:tc>
      </w:tr>
      <w:tr>
        <w:trPr>
          <w:trHeight w:val="189"/>
        </w:trPr>
        <w:tc>
          <w:tcPr>
            <w:tcW w:w="4320" w:type="dxa"/>
            <w:vAlign w:val="bottom"/>
          </w:tcPr>
          <w:p>
            <w:pPr>
              <w:ind w:left="140"/>
              <w:spacing w:after="0"/>
              <w:rPr>
                <w:sz w:val="20"/>
                <w:szCs w:val="20"/>
                <w:color w:val="auto"/>
              </w:rPr>
            </w:pPr>
            <w:r>
              <w:rPr>
                <w:rFonts w:ascii="Arial" w:cs="Arial" w:eastAsia="Arial" w:hAnsi="Arial"/>
                <w:sz w:val="15"/>
                <w:szCs w:val="15"/>
                <w:color w:val="auto"/>
              </w:rPr>
              <w:t>Other revenue</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43,625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15,395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28,230</w:t>
            </w:r>
          </w:p>
        </w:tc>
      </w:tr>
      <w:tr>
        <w:trPr>
          <w:trHeight w:val="189"/>
        </w:trPr>
        <w:tc>
          <w:tcPr>
            <w:tcW w:w="4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20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189,125</w:t>
            </w: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76,824</w:t>
            </w:r>
          </w:p>
        </w:tc>
        <w:tc>
          <w:tcPr>
            <w:tcW w:w="120" w:type="dxa"/>
            <w:vAlign w:val="bottom"/>
            <w:shd w:val="clear" w:color="auto" w:fill="CCEEFF"/>
          </w:tcPr>
          <w:p>
            <w:pPr>
              <w:spacing w:after="0"/>
              <w:rPr>
                <w:sz w:val="16"/>
                <w:szCs w:val="16"/>
                <w:color w:val="auto"/>
              </w:rPr>
            </w:pPr>
          </w:p>
        </w:tc>
      </w:tr>
      <w:tr>
        <w:trPr>
          <w:trHeight w:val="186"/>
        </w:trPr>
        <w:tc>
          <w:tcPr>
            <w:tcW w:w="432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Operating expenses</w:t>
            </w:r>
          </w:p>
        </w:tc>
        <w:tc>
          <w:tcPr>
            <w:tcW w:w="20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86"/>
        </w:trPr>
        <w:tc>
          <w:tcPr>
            <w:tcW w:w="4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sales</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183,359</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95,742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87,617</w:t>
            </w:r>
          </w:p>
        </w:tc>
      </w:tr>
      <w:tr>
        <w:trPr>
          <w:trHeight w:val="186"/>
        </w:trPr>
        <w:tc>
          <w:tcPr>
            <w:tcW w:w="4320" w:type="dxa"/>
            <w:vAlign w:val="bottom"/>
          </w:tcPr>
          <w:p>
            <w:pPr>
              <w:ind w:left="140"/>
              <w:spacing w:after="0"/>
              <w:rPr>
                <w:sz w:val="20"/>
                <w:szCs w:val="20"/>
                <w:color w:val="auto"/>
              </w:rPr>
            </w:pPr>
            <w:r>
              <w:rPr>
                <w:rFonts w:ascii="Arial" w:cs="Arial" w:eastAsia="Arial" w:hAnsi="Arial"/>
                <w:sz w:val="15"/>
                <w:szCs w:val="15"/>
                <w:color w:val="auto"/>
              </w:rPr>
              <w:t>Operations and maintenance</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26,899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9,589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17,310</w:t>
            </w:r>
          </w:p>
        </w:tc>
      </w:tr>
      <w:tr>
        <w:trPr>
          <w:trHeight w:val="186"/>
        </w:trPr>
        <w:tc>
          <w:tcPr>
            <w:tcW w:w="4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152,922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62,137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90,785</w:t>
            </w:r>
          </w:p>
        </w:tc>
      </w:tr>
      <w:tr>
        <w:trPr>
          <w:trHeight w:val="186"/>
        </w:trPr>
        <w:tc>
          <w:tcPr>
            <w:tcW w:w="4320" w:type="dxa"/>
            <w:vAlign w:val="bottom"/>
          </w:tcPr>
          <w:p>
            <w:pPr>
              <w:ind w:left="140"/>
              <w:spacing w:after="0"/>
              <w:rPr>
                <w:sz w:val="20"/>
                <w:szCs w:val="20"/>
                <w:color w:val="auto"/>
              </w:rPr>
            </w:pPr>
            <w:r>
              <w:rPr>
                <w:rFonts w:ascii="Arial" w:cs="Arial" w:eastAsia="Arial" w:hAnsi="Arial"/>
                <w:sz w:val="15"/>
                <w:szCs w:val="15"/>
                <w:color w:val="auto"/>
              </w:rPr>
              <w:t>Loss on mitigation sales</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5,280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5,280</w:t>
            </w:r>
          </w:p>
        </w:tc>
      </w:tr>
      <w:tr>
        <w:trPr>
          <w:trHeight w:val="186"/>
        </w:trPr>
        <w:tc>
          <w:tcPr>
            <w:tcW w:w="4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7,940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4,619</w:t>
            </w:r>
          </w:p>
        </w:tc>
      </w:tr>
      <w:tr>
        <w:trPr>
          <w:trHeight w:val="23"/>
        </w:trPr>
        <w:tc>
          <w:tcPr>
            <w:tcW w:w="43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4320" w:type="dxa"/>
            <w:vAlign w:val="bottom"/>
          </w:tcPr>
          <w:p>
            <w:pPr>
              <w:ind w:left="280"/>
              <w:spacing w:after="0"/>
              <w:rPr>
                <w:sz w:val="20"/>
                <w:szCs w:val="20"/>
                <w:color w:val="auto"/>
              </w:rPr>
            </w:pPr>
            <w:r>
              <w:rPr>
                <w:rFonts w:ascii="Arial" w:cs="Arial" w:eastAsia="Arial" w:hAnsi="Arial"/>
                <w:sz w:val="15"/>
                <w:szCs w:val="15"/>
                <w:b w:val="1"/>
                <w:bCs w:val="1"/>
                <w:color w:val="auto"/>
              </w:rPr>
              <w:t>Total operating expenses</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376,400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170,789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205,611</w:t>
            </w:r>
          </w:p>
        </w:tc>
      </w:tr>
      <w:tr>
        <w:trPr>
          <w:trHeight w:val="186"/>
        </w:trPr>
        <w:tc>
          <w:tcPr>
            <w:tcW w:w="4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loss</w:t>
            </w:r>
          </w:p>
        </w:tc>
        <w:tc>
          <w:tcPr>
            <w:tcW w:w="20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(187,275)</w:t>
            </w: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(58,488)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(128,787)</w:t>
            </w:r>
          </w:p>
        </w:tc>
        <w:tc>
          <w:tcPr>
            <w:tcW w:w="120" w:type="dxa"/>
            <w:vAlign w:val="bottom"/>
            <w:shd w:val="clear" w:color="auto" w:fill="CCEEFF"/>
          </w:tcPr>
          <w:p>
            <w:pPr>
              <w:spacing w:after="0"/>
              <w:rPr>
                <w:sz w:val="16"/>
                <w:szCs w:val="16"/>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5"/>
                <w:szCs w:val="15"/>
                <w:color w:val="auto"/>
              </w:rPr>
              <w:t>Interest expense</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19,412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11,248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8,164</w:t>
            </w:r>
          </w:p>
        </w:tc>
      </w:tr>
      <w:tr>
        <w:trPr>
          <w:trHeight w:val="186"/>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2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(2,807)</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(2,023)</w:t>
            </w:r>
          </w:p>
        </w:tc>
      </w:tr>
      <w:tr>
        <w:trPr>
          <w:trHeight w:val="189"/>
        </w:trPr>
        <w:tc>
          <w:tcPr>
            <w:tcW w:w="4320" w:type="dxa"/>
            <w:vAlign w:val="bottom"/>
          </w:tcPr>
          <w:p>
            <w:pPr>
              <w:spacing w:after="0"/>
              <w:rPr>
                <w:sz w:val="20"/>
                <w:szCs w:val="20"/>
                <w:color w:val="auto"/>
              </w:rPr>
            </w:pPr>
            <w:r>
              <w:rPr>
                <w:rFonts w:ascii="Arial" w:cs="Arial" w:eastAsia="Arial" w:hAnsi="Arial"/>
                <w:sz w:val="15"/>
                <w:szCs w:val="15"/>
                <w:color w:val="auto"/>
              </w:rPr>
              <w:t>Loss on extinguishment of debt</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9,568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(9,568)</w:t>
            </w:r>
          </w:p>
        </w:tc>
      </w:tr>
      <w:tr>
        <w:trPr>
          <w:trHeight w:val="186"/>
        </w:trPr>
        <w:tc>
          <w:tcPr>
            <w:tcW w:w="4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before taxes</w:t>
            </w:r>
          </w:p>
        </w:tc>
        <w:tc>
          <w:tcPr>
            <w:tcW w:w="20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(203,880)</w:t>
            </w: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(78,520)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(125,360)</w:t>
            </w:r>
          </w:p>
        </w:tc>
        <w:tc>
          <w:tcPr>
            <w:tcW w:w="120" w:type="dxa"/>
            <w:vAlign w:val="bottom"/>
            <w:shd w:val="clear" w:color="auto" w:fill="CCEEFF"/>
          </w:tcPr>
          <w:p>
            <w:pPr>
              <w:spacing w:after="0"/>
              <w:rPr>
                <w:sz w:val="16"/>
                <w:szCs w:val="16"/>
                <w:color w:val="auto"/>
              </w:rPr>
            </w:pPr>
          </w:p>
        </w:tc>
      </w:tr>
      <w:tr>
        <w:trPr>
          <w:trHeight w:val="189"/>
        </w:trPr>
        <w:tc>
          <w:tcPr>
            <w:tcW w:w="4320" w:type="dxa"/>
            <w:vAlign w:val="bottom"/>
          </w:tcPr>
          <w:p>
            <w:pPr>
              <w:spacing w:after="0"/>
              <w:rPr>
                <w:sz w:val="20"/>
                <w:szCs w:val="20"/>
                <w:color w:val="auto"/>
              </w:rPr>
            </w:pPr>
            <w:r>
              <w:rPr>
                <w:rFonts w:ascii="Arial" w:cs="Arial" w:eastAsia="Arial" w:hAnsi="Arial"/>
                <w:sz w:val="15"/>
                <w:szCs w:val="15"/>
                <w:color w:val="auto"/>
              </w:rPr>
              <w:t>Tax expense (benefit)</w:t>
            </w: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777</w:t>
            </w:r>
          </w:p>
        </w:tc>
      </w:tr>
      <w:tr>
        <w:trPr>
          <w:trHeight w:val="226"/>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2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(204,319)</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(126,137)</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Revenues</w:t>
      </w:r>
    </w:p>
    <w:p>
      <w:pPr>
        <w:spacing w:after="0" w:line="200" w:lineRule="exact"/>
        <w:rPr>
          <w:sz w:val="20"/>
          <w:szCs w:val="20"/>
          <w:color w:val="auto"/>
        </w:rPr>
      </w:pPr>
    </w:p>
    <w:p>
      <w:pPr>
        <w:ind w:firstLine="279"/>
        <w:spacing w:after="0" w:line="273" w:lineRule="auto"/>
        <w:rPr>
          <w:sz w:val="20"/>
          <w:szCs w:val="20"/>
          <w:color w:val="auto"/>
        </w:rPr>
      </w:pPr>
      <w:r>
        <w:rPr>
          <w:rFonts w:ascii="Arial" w:cs="Arial" w:eastAsia="Arial" w:hAnsi="Arial"/>
          <w:sz w:val="17"/>
          <w:szCs w:val="17"/>
          <w:color w:val="auto"/>
        </w:rPr>
        <w:t>Operating revenue from LNG and natural gas sales for the year ended December 31, 2019 was $145,500 which increased by $48,594 from $96,906 for the year ended December 31, 2018. The increase was primarily driven by volumes sold from the Old Harbour Terminal and increases in volumes sold to industrial end-users in Jamaica. During the second quarter of 2019, the Old Harbour Terminal commenced commercial operations, and we began to recognize revenue from our contract with JPC, adding $41,229 in operating revenue for the year ended December 31, 2019.</w:t>
      </w:r>
    </w:p>
    <w:p>
      <w:pPr>
        <w:spacing w:after="0" w:line="156" w:lineRule="exact"/>
        <w:rPr>
          <w:sz w:val="20"/>
          <w:szCs w:val="20"/>
          <w:color w:val="auto"/>
        </w:rPr>
      </w:pPr>
    </w:p>
    <w:p>
      <w:pPr>
        <w:ind w:right="180" w:firstLine="279"/>
        <w:spacing w:after="0" w:line="234" w:lineRule="auto"/>
        <w:rPr>
          <w:sz w:val="20"/>
          <w:szCs w:val="20"/>
          <w:color w:val="auto"/>
        </w:rPr>
      </w:pPr>
      <w:r>
        <w:rPr>
          <w:rFonts w:ascii="Arial" w:cs="Arial" w:eastAsia="Arial" w:hAnsi="Arial"/>
          <w:sz w:val="19"/>
          <w:szCs w:val="19"/>
          <w:color w:val="auto"/>
        </w:rPr>
        <w:t>The increase in operating revenue was also attributable to additional sales at the Montego Bay Terminal. The delivered volume at the Montego Bay Terminal increased by 12.3 million gallons (1.0 TBtu) from 98.2 million gallons (8.1 TBtu) in 2018 to 110.5 million gallons (9.1 TBtu) in 2019. The increase in volumes delivered at the Montego Bay Terminal was primarily attributable to an increase in industrial end-user customers as well as an increase in consumption at an existing customer due to the customer’s installation of a new gas turbine that consumes approximately 60,500 gallons (5,000 MMBtu) per day. Of the delivered volumes, 8.8 million gallons (0.8 TBtu) and 3.1 million gallons (0.2 TBtu) were delivered to industrial end-users in 2019 and 2018, respectively.</w:t>
      </w:r>
    </w:p>
    <w:p>
      <w:pPr>
        <w:spacing w:after="0" w:line="186" w:lineRule="exact"/>
        <w:rPr>
          <w:sz w:val="20"/>
          <w:szCs w:val="20"/>
          <w:color w:val="auto"/>
        </w:rPr>
      </w:pPr>
    </w:p>
    <w:p>
      <w:pPr>
        <w:ind w:right="140" w:firstLine="279"/>
        <w:spacing w:after="0" w:line="301" w:lineRule="auto"/>
        <w:rPr>
          <w:sz w:val="20"/>
          <w:szCs w:val="20"/>
          <w:color w:val="auto"/>
        </w:rPr>
      </w:pPr>
      <w:r>
        <w:rPr>
          <w:rFonts w:ascii="Arial" w:cs="Arial" w:eastAsia="Arial" w:hAnsi="Arial"/>
          <w:sz w:val="15"/>
          <w:szCs w:val="15"/>
          <w:color w:val="auto"/>
        </w:rPr>
        <w:t>Other revenue for the year ended December 31, 2019 was $43,625 which increased $28,230 from $15,395 for the year ended December 31, 2018. The increase was primarily due to the recognition of development services revenue of $27,308 for the year ended December 31, 2019, and this increase included $11,933 of revenue recognized for the completion of infrastructure projects for customers of the CHP Plant and $15,375 for the conversion of our customer’s infrastructure in Puerto Rico. Development services revenue is recognized from the construction and installation of equipment to transform customers’ facilities to operate utilizing natural gas or to allow customers to receive power or other outputs from our power generation facilities, and such services are included within certain long-term contracts to supply these customers with natural gas or outputs from our gas-fired facilities. We did not have any such projects during the year ended December 31, 2018. The Company also leases certain facilities and equipment, including the Montego Bay Terminal, to its customers which are accounted for either as direct financing leases or operating leases, and the interest recognized from direct financing leases or leasing revenue from operating leases is recognized within Other revenue. The remaining increase in Other revenue for the year ended December 31, 2019 was primarily driven by additional operating leases for equipment by industrial end-users.</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Cost of sales</w:t>
      </w:r>
    </w:p>
    <w:p>
      <w:pPr>
        <w:spacing w:after="0" w:line="200" w:lineRule="exact"/>
        <w:rPr>
          <w:sz w:val="20"/>
          <w:szCs w:val="20"/>
          <w:color w:val="auto"/>
        </w:rPr>
      </w:pPr>
    </w:p>
    <w:p>
      <w:pPr>
        <w:ind w:right="260" w:firstLine="310"/>
        <w:spacing w:after="0" w:line="282" w:lineRule="auto"/>
        <w:rPr>
          <w:sz w:val="20"/>
          <w:szCs w:val="20"/>
          <w:color w:val="auto"/>
        </w:rPr>
      </w:pPr>
      <w:r>
        <w:rPr>
          <w:rFonts w:ascii="Arial" w:cs="Arial" w:eastAsia="Arial" w:hAnsi="Arial"/>
          <w:sz w:val="17"/>
          <w:szCs w:val="17"/>
          <w:color w:val="auto"/>
        </w:rPr>
        <w:t>Cost of sales includes the procurement of feedgas or LNG, as well as shipping and logistics costs to deliver LNG or natural gas to our facilities or our customers.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3" w:name="page54"/>
    <w:bookmarkEnd w:id="5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firstLine="279"/>
        <w:spacing w:after="0" w:line="248" w:lineRule="auto"/>
        <w:rPr>
          <w:sz w:val="20"/>
          <w:szCs w:val="20"/>
          <w:color w:val="auto"/>
        </w:rPr>
      </w:pPr>
      <w:r>
        <w:rPr>
          <w:rFonts w:ascii="Arial" w:cs="Arial" w:eastAsia="Arial" w:hAnsi="Arial"/>
          <w:sz w:val="18"/>
          <w:szCs w:val="18"/>
          <w:color w:val="auto"/>
        </w:rPr>
        <w:t>Cost of sales for the year ended December 31, 2019 was $183,359 which increased $87,617 from $95,742 for the year ended December 31, 2018. The increase in Cost of sales was primarily attributable to increased costs to purchase LNG from third parties, costs associated with development services, and increased charter costs; costs to produce LNG at our Miami Facility were substantially consistent with the prior year. The weighted-average cost of LNG purchased from third parties increased from $0.64 per gallon ($7.72 per MMBtu) in 2018 to $0.73 per gallon ($8.81 per MMBtu) in 2019, which is inclusive of boil-off gas. The weighted-average cost of our inventory balance as of December 31, 2019 and 2018 was $0.64 per gallon ($7.69 per MMBtu) and $0.73 per gallon ($8.84 per MMBtu), respectively. The increase was also attributable to the increase in volumes delivered of 32% compared to the year ended December 31, 2018.</w:t>
      </w:r>
    </w:p>
    <w:p>
      <w:pPr>
        <w:spacing w:after="0" w:line="176" w:lineRule="exact"/>
        <w:rPr>
          <w:sz w:val="20"/>
          <w:szCs w:val="20"/>
          <w:color w:val="auto"/>
        </w:rPr>
      </w:pPr>
    </w:p>
    <w:p>
      <w:pPr>
        <w:ind w:right="40" w:firstLine="279"/>
        <w:spacing w:after="0" w:line="260" w:lineRule="auto"/>
        <w:rPr>
          <w:sz w:val="20"/>
          <w:szCs w:val="20"/>
          <w:color w:val="auto"/>
        </w:rPr>
      </w:pPr>
      <w:r>
        <w:rPr>
          <w:rFonts w:ascii="Arial" w:cs="Arial" w:eastAsia="Arial" w:hAnsi="Arial"/>
          <w:sz w:val="18"/>
          <w:szCs w:val="18"/>
          <w:color w:val="auto"/>
        </w:rPr>
        <w:t>The costs recognized associated with development services were $24,228 for the year ended December 31, 2019; these costs included $10,541 of costs associated with the completion of infrastructure projects for customers of the CHP Plant and $13,687 of costs associated with the conversion of our customer’s infrastructure in Puerto Rico. We did not have any such costs during the year ended December 31, 2018.</w:t>
      </w:r>
    </w:p>
    <w:p>
      <w:pPr>
        <w:spacing w:after="0" w:line="164" w:lineRule="exact"/>
        <w:rPr>
          <w:sz w:val="20"/>
          <w:szCs w:val="20"/>
          <w:color w:val="auto"/>
        </w:rPr>
      </w:pPr>
    </w:p>
    <w:p>
      <w:pPr>
        <w:ind w:right="400" w:firstLine="279"/>
        <w:spacing w:after="0" w:line="250" w:lineRule="auto"/>
        <w:rPr>
          <w:sz w:val="20"/>
          <w:szCs w:val="20"/>
          <w:color w:val="auto"/>
        </w:rPr>
      </w:pPr>
      <w:r>
        <w:rPr>
          <w:rFonts w:ascii="Arial" w:cs="Arial" w:eastAsia="Arial" w:hAnsi="Arial"/>
          <w:sz w:val="19"/>
          <w:szCs w:val="19"/>
          <w:color w:val="auto"/>
        </w:rPr>
        <w:t>The Company also incurred an increase in charter costs associated with our expanded charter fleet. Such charter costs increased Cost of sales by $14,328 for the year ended December 31, 2019 as compared with the year ended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Operations and maintenance</w:t>
      </w:r>
    </w:p>
    <w:p>
      <w:pPr>
        <w:spacing w:after="0" w:line="200" w:lineRule="exact"/>
        <w:rPr>
          <w:sz w:val="20"/>
          <w:szCs w:val="20"/>
          <w:color w:val="auto"/>
        </w:rPr>
      </w:pPr>
    </w:p>
    <w:p>
      <w:pPr>
        <w:ind w:right="60" w:firstLine="279"/>
        <w:spacing w:after="0" w:line="251" w:lineRule="auto"/>
        <w:rPr>
          <w:sz w:val="20"/>
          <w:szCs w:val="20"/>
          <w:color w:val="auto"/>
        </w:rPr>
      </w:pPr>
      <w:r>
        <w:rPr>
          <w:rFonts w:ascii="Arial" w:cs="Arial" w:eastAsia="Arial" w:hAnsi="Arial"/>
          <w:sz w:val="18"/>
          <w:szCs w:val="18"/>
          <w:color w:val="auto"/>
        </w:rPr>
        <w:t>Operations and maintenance relates to costs of operating our Montego Bay Terminal, as well as our Miami Facility and Old Harbour Terminal, exclusive of costs to convert that are reflected in Cost of sales. Operations and maintenance for the year ended December 31, 2019 was $26,899, which increased $17,310 from $9,589 for the year ended December 31, 2018. The increase was primarily a result of higher costs associated with the operations of charter vessels, including a storage vessel for Puerto Rico, of $9,612 in the year ended December 31, 2019, as well as increased operating costs, including higher payroll and insurance expenses, as we continue to expand our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Selling, general and administrative</w:t>
      </w:r>
    </w:p>
    <w:p>
      <w:pPr>
        <w:spacing w:after="0" w:line="200" w:lineRule="exact"/>
        <w:rPr>
          <w:sz w:val="20"/>
          <w:szCs w:val="20"/>
          <w:color w:val="auto"/>
        </w:rPr>
      </w:pPr>
    </w:p>
    <w:p>
      <w:pPr>
        <w:jc w:val="both"/>
        <w:ind w:right="20" w:firstLine="279"/>
        <w:spacing w:after="0"/>
        <w:rPr>
          <w:sz w:val="20"/>
          <w:szCs w:val="20"/>
          <w:color w:val="auto"/>
        </w:rPr>
      </w:pPr>
      <w:r>
        <w:rPr>
          <w:rFonts w:ascii="Arial" w:cs="Arial" w:eastAsia="Arial" w:hAnsi="Arial"/>
          <w:sz w:val="19"/>
          <w:szCs w:val="19"/>
          <w:color w:val="auto"/>
        </w:rPr>
        <w:t>Selling, general and administrative includes employee travel costs, insurance, and costs associated with development activities for projects that are in initial stages and development is not yet probable. Selling, general and administrative also includes compensation expenses for our corporate employees as well as professional fees for our advisors.</w:t>
      </w:r>
    </w:p>
    <w:p>
      <w:pPr>
        <w:spacing w:after="0" w:line="181" w:lineRule="exact"/>
        <w:rPr>
          <w:sz w:val="20"/>
          <w:szCs w:val="20"/>
          <w:color w:val="auto"/>
        </w:rPr>
      </w:pPr>
    </w:p>
    <w:p>
      <w:pPr>
        <w:ind w:right="160" w:firstLine="279"/>
        <w:spacing w:after="0" w:line="265" w:lineRule="auto"/>
        <w:rPr>
          <w:sz w:val="20"/>
          <w:szCs w:val="20"/>
          <w:color w:val="auto"/>
        </w:rPr>
      </w:pPr>
      <w:r>
        <w:rPr>
          <w:rFonts w:ascii="Arial" w:cs="Arial" w:eastAsia="Arial" w:hAnsi="Arial"/>
          <w:sz w:val="17"/>
          <w:szCs w:val="17"/>
          <w:color w:val="auto"/>
        </w:rPr>
        <w:t>Selling, general and administrative for the year ended December 31, 2019, was $152,922 which increased $90,785 from $62,137 for the year ended December 31, 2018. The increase was primarily attributable to share-based compensation expense of $40,594, as well as increased headcount as compared to the prior year. The increase was also due to development costs incurred at the Pennsylvania Facility of approximately $19,500, as well as other development projects that currently do not qualify for capitalization. Such costs incurred in connection with the Pennsylvania Facility may be capitalizable in future periods once we issue a final notice to proceed to our engineering, procurement, and construction contractors. Costs incurred in future periods for other such projects may be capitalizable once we determine that we are fully committed to complete these projects. The remaining change was primarily due to increases in professional fees, payroll, and travel expenses.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Loss on mitigation sales</w:t>
      </w:r>
    </w:p>
    <w:p>
      <w:pPr>
        <w:spacing w:after="0" w:line="200" w:lineRule="exact"/>
        <w:rPr>
          <w:sz w:val="20"/>
          <w:szCs w:val="20"/>
          <w:color w:val="auto"/>
        </w:rPr>
      </w:pPr>
    </w:p>
    <w:p>
      <w:pPr>
        <w:ind w:firstLine="279"/>
        <w:spacing w:after="0" w:line="235" w:lineRule="auto"/>
        <w:rPr>
          <w:sz w:val="20"/>
          <w:szCs w:val="20"/>
          <w:color w:val="auto"/>
        </w:rPr>
      </w:pPr>
      <w:r>
        <w:rPr>
          <w:rFonts w:ascii="Arial" w:cs="Arial" w:eastAsia="Arial" w:hAnsi="Arial"/>
          <w:sz w:val="19"/>
          <w:szCs w:val="19"/>
          <w:color w:val="auto"/>
        </w:rPr>
        <w:t>Loss on mitigation sales for the year ended December 31, 2019 was $5,280 which was attributable to losses incurred associated with undelivered quantities of LNG under firm purchase commitments due to storage capacity constraints. In these situations, our supplier will attempt to sell the undelivered quantity through a mitigation sale, and the losses incurred under the firm purchases are partially offset by this sale of the undelivered amount to third parties for amounts lower than the contracted price, which resulted in a loss of $5,280. We did not have such transactions during the year ended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Depreciation and amortization</w:t>
      </w:r>
    </w:p>
    <w:p>
      <w:pPr>
        <w:spacing w:after="0" w:line="200"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18"/>
          <w:szCs w:val="18"/>
          <w:color w:val="auto"/>
        </w:rPr>
        <w:t>Depreciation and amortization for the year ended December 31, 2019 was $7,940, which increased $4,619 from $3,321 for the year ended December 31, 2018. The increase is primarily a result of the depreciation of the Old Harbour Terminal which was placed in service in the second quarter of 2019, as well as a full year of amortization of intangible assets from the acquisition of Shannon LNG in November 2018.</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4" w:name="page55"/>
    <w:bookmarkEnd w:id="54"/>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Interest expense</w:t>
      </w:r>
    </w:p>
    <w:p>
      <w:pPr>
        <w:spacing w:after="0" w:line="200" w:lineRule="exact"/>
        <w:rPr>
          <w:sz w:val="20"/>
          <w:szCs w:val="20"/>
          <w:color w:val="auto"/>
        </w:rPr>
      </w:pPr>
    </w:p>
    <w:p>
      <w:pPr>
        <w:ind w:left="7" w:right="20" w:firstLine="279"/>
        <w:spacing w:after="0" w:line="251" w:lineRule="auto"/>
        <w:rPr>
          <w:sz w:val="20"/>
          <w:szCs w:val="20"/>
          <w:color w:val="auto"/>
        </w:rPr>
      </w:pPr>
      <w:r>
        <w:rPr>
          <w:rFonts w:ascii="Arial" w:cs="Arial" w:eastAsia="Arial" w:hAnsi="Arial"/>
          <w:sz w:val="18"/>
          <w:szCs w:val="18"/>
          <w:color w:val="auto"/>
        </w:rPr>
        <w:t>Interest expense for the year ended December 31, 2019 was $19,412, which increased $8,164 from $11,248 for the year ended December 31, 2018, primarily as a result of the additional principal balance outstanding since March 2019 under the Term Loan Facility (as defined below). The increase in interest expense was partially offset by an increase in capitalized interest in the amount of $23,440 for the year ended December 31, 2019 as compared to the year ended December 31, 2018. All additional interest expense incurred in 2019 due to issuance of the Senior Secured Bonds and the Senior Unsecured Bonds (both defined below) was capitalized as part of our construction projects.</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Other income, net</w:t>
      </w:r>
    </w:p>
    <w:p>
      <w:pPr>
        <w:spacing w:after="0" w:line="200" w:lineRule="exact"/>
        <w:rPr>
          <w:sz w:val="20"/>
          <w:szCs w:val="20"/>
          <w:color w:val="auto"/>
        </w:rPr>
      </w:pPr>
    </w:p>
    <w:p>
      <w:pPr>
        <w:ind w:left="7" w:right="140" w:firstLine="279"/>
        <w:spacing w:after="0" w:line="277" w:lineRule="auto"/>
        <w:rPr>
          <w:sz w:val="20"/>
          <w:szCs w:val="20"/>
          <w:color w:val="auto"/>
        </w:rPr>
      </w:pPr>
      <w:r>
        <w:rPr>
          <w:rFonts w:ascii="Arial" w:cs="Arial" w:eastAsia="Arial" w:hAnsi="Arial"/>
          <w:sz w:val="18"/>
          <w:szCs w:val="18"/>
          <w:color w:val="auto"/>
        </w:rPr>
        <w:t>Other income, net for the year ended December 31, 2019 was ($2,807), which increased $2,023 from ($784) for the year ended December 31, 2018, primarily as a result of interest income partially offset by the unrealized loss on our investment in equity securities.</w:t>
      </w:r>
    </w:p>
    <w:p>
      <w:pPr>
        <w:spacing w:after="0" w:line="149"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Loss on extinguishment of debt, net</w:t>
      </w:r>
    </w:p>
    <w:p>
      <w:pPr>
        <w:spacing w:after="0" w:line="200" w:lineRule="exact"/>
        <w:rPr>
          <w:sz w:val="20"/>
          <w:szCs w:val="20"/>
          <w:color w:val="auto"/>
        </w:rPr>
      </w:pPr>
    </w:p>
    <w:p>
      <w:pPr>
        <w:ind w:left="7" w:right="200" w:firstLine="279"/>
        <w:spacing w:after="0"/>
        <w:rPr>
          <w:sz w:val="20"/>
          <w:szCs w:val="20"/>
          <w:color w:val="auto"/>
        </w:rPr>
      </w:pPr>
      <w:r>
        <w:rPr>
          <w:rFonts w:ascii="Arial" w:cs="Arial" w:eastAsia="Arial" w:hAnsi="Arial"/>
          <w:sz w:val="19"/>
          <w:szCs w:val="19"/>
          <w:color w:val="auto"/>
        </w:rPr>
        <w:t>Loss on extinguishment of debt was $0 for the year ended December 31, 2019 as we did not have any such transactions during the year. Loss on extinguishment of debt for the year ended December 31, 2018 was $9,568 which was primarily a result of the amendment to the Term Loan Facility on December 31, 2018.</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Tax expense (benefit)</w:t>
      </w:r>
    </w:p>
    <w:p>
      <w:pPr>
        <w:spacing w:after="0" w:line="200" w:lineRule="exact"/>
        <w:rPr>
          <w:sz w:val="20"/>
          <w:szCs w:val="20"/>
          <w:color w:val="auto"/>
        </w:rPr>
      </w:pPr>
    </w:p>
    <w:p>
      <w:pPr>
        <w:ind w:left="7" w:right="260" w:firstLine="279"/>
        <w:spacing w:after="0" w:line="250" w:lineRule="auto"/>
        <w:rPr>
          <w:sz w:val="20"/>
          <w:szCs w:val="20"/>
          <w:color w:val="auto"/>
        </w:rPr>
      </w:pPr>
      <w:r>
        <w:rPr>
          <w:rFonts w:ascii="Arial" w:cs="Arial" w:eastAsia="Arial" w:hAnsi="Arial"/>
          <w:sz w:val="19"/>
          <w:szCs w:val="19"/>
          <w:color w:val="auto"/>
        </w:rPr>
        <w:t>Tax expense for the year ended December 31, 2019 was $439, which increased $777 from a tax benefit of ($338) for the year ended December 31, 2018 due to decrease in taxable losses in a foreign jurisdiction.</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Factors Impacting Comparability of Our Financial Results</w:t>
      </w:r>
    </w:p>
    <w:p>
      <w:pPr>
        <w:spacing w:after="0" w:line="204" w:lineRule="exact"/>
        <w:rPr>
          <w:sz w:val="20"/>
          <w:szCs w:val="20"/>
          <w:color w:val="auto"/>
        </w:rPr>
      </w:pPr>
    </w:p>
    <w:p>
      <w:pPr>
        <w:ind w:left="7" w:right="200" w:firstLine="279"/>
        <w:spacing w:after="0" w:line="250" w:lineRule="auto"/>
        <w:rPr>
          <w:sz w:val="20"/>
          <w:szCs w:val="20"/>
          <w:color w:val="auto"/>
        </w:rPr>
      </w:pPr>
      <w:r>
        <w:rPr>
          <w:rFonts w:ascii="Arial" w:cs="Arial" w:eastAsia="Arial" w:hAnsi="Arial"/>
          <w:sz w:val="19"/>
          <w:szCs w:val="19"/>
          <w:color w:val="auto"/>
        </w:rPr>
        <w:t>Our historical results of operations and cash flows are not indicative of results of operations and cash flows to be expected in the future, principally for the following reasons:</w:t>
      </w:r>
    </w:p>
    <w:p>
      <w:pPr>
        <w:spacing w:after="0" w:line="181" w:lineRule="exact"/>
        <w:rPr>
          <w:sz w:val="20"/>
          <w:szCs w:val="20"/>
          <w:color w:val="auto"/>
        </w:rPr>
      </w:pPr>
    </w:p>
    <w:p>
      <w:pPr>
        <w:ind w:left="287" w:right="40" w:hanging="287"/>
        <w:spacing w:after="0" w:line="285" w:lineRule="auto"/>
        <w:tabs>
          <w:tab w:leader="none" w:pos="287"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historical financial results do not include significant projects that are near completion. </w:t>
      </w:r>
      <w:r>
        <w:rPr>
          <w:rFonts w:ascii="Arial" w:cs="Arial" w:eastAsia="Arial" w:hAnsi="Arial"/>
          <w:sz w:val="14"/>
          <w:szCs w:val="14"/>
          <w:color w:val="auto"/>
        </w:rPr>
        <w:t>Our historical financial statements only include our Montego Bay Terminal, Miami</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Facility, and certain industrial end-users. The Old Harbour Terminal commenced commercial operations during 2019, and a significant downstream customer of the Old Harbour Terminal, the Old Harbour Power Plant, is expected to be fully operational in 2020. As such, we expect this customer to purchase significant volumes on a take-or-pay basis from the Old Harbour Terminal throughout 2020 and future years. We also expect that the CHP Plant and the San Juan Facility will be fully operational beginning in 2020, and we expect to generate significant revenue from customers of these facilities under long-term contracts beginning in 2020. Our current results also do not include revenue and operating results from other projects under development including the La Paz Terminal, the LNG regasification terminal and power plant in Puerto Sandino, Nicaragua (the “Puerto Sandino Terminal”), the LNG terminal in Angola (the “Angola Terminal”), and the LNG terminal on the Shannon Estuary near Ballylongford, Ireland (the “Ireland Terminal”).</w:t>
      </w:r>
    </w:p>
    <w:p>
      <w:pPr>
        <w:spacing w:after="0" w:line="171" w:lineRule="exact"/>
        <w:rPr>
          <w:rFonts w:ascii="Arial" w:cs="Arial" w:eastAsia="Arial" w:hAnsi="Arial"/>
          <w:sz w:val="14"/>
          <w:szCs w:val="14"/>
          <w:color w:val="auto"/>
        </w:rPr>
      </w:pPr>
    </w:p>
    <w:p>
      <w:pPr>
        <w:ind w:left="287" w:hanging="287"/>
        <w:spacing w:after="0" w:line="287" w:lineRule="auto"/>
        <w:tabs>
          <w:tab w:leader="none" w:pos="287" w:val="left"/>
        </w:tabs>
        <w:numPr>
          <w:ilvl w:val="0"/>
          <w:numId w:val="2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historical financial results do not reflect the long term LNG supply agreement that will lower the cost of our LNG supply from 2022 to 2030. </w:t>
      </w:r>
      <w:r>
        <w:rPr>
          <w:rFonts w:ascii="Arial" w:cs="Arial" w:eastAsia="Arial" w:hAnsi="Arial"/>
          <w:sz w:val="14"/>
          <w:szCs w:val="14"/>
          <w:color w:val="auto"/>
        </w:rPr>
        <w:t>We currently purchase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majority of our supply of LNG from third parties. For the years ended December 31, 2019 and 2018, we sourced 93% and 91%, respectively, of our LNG volumes from third parties. Our cost of sales for the year-ended December 31, 2019 reflected an average cost of LNG purchased from third parties of $0.73 per gallon ($8.81 per MMBtu), predominately purchased under a firm purchase commitment entered into in December 2018. During 2019, the market price for LNG dropped significantly, and we have executed a firm commitment to purchase 27.5 TBtus annually beginning in 2022 at prices that are expected to be significantly lower than inventory purchased in 2019. Further, we believe that we will take advantage of the current market pricing for LNG to supply our expanding operations, resulting in an overall lower average cost of LNG in future periods.</w:t>
      </w:r>
    </w:p>
    <w:p>
      <w:pPr>
        <w:spacing w:after="0" w:line="169" w:lineRule="exact"/>
        <w:rPr>
          <w:rFonts w:ascii="Arial" w:cs="Arial" w:eastAsia="Arial" w:hAnsi="Arial"/>
          <w:sz w:val="14"/>
          <w:szCs w:val="14"/>
          <w:color w:val="auto"/>
        </w:rPr>
      </w:pPr>
    </w:p>
    <w:p>
      <w:pPr>
        <w:ind w:left="287" w:hanging="287"/>
        <w:spacing w:after="0" w:line="323" w:lineRule="auto"/>
        <w:tabs>
          <w:tab w:leader="none" w:pos="287" w:val="left"/>
        </w:tabs>
        <w:numPr>
          <w:ilvl w:val="0"/>
          <w:numId w:val="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We continue to incur incremental selling, general and administrative expenses related to our transition to a publicly traded company. </w:t>
      </w:r>
      <w:r>
        <w:rPr>
          <w:rFonts w:ascii="Arial" w:cs="Arial" w:eastAsia="Arial" w:hAnsi="Arial"/>
          <w:sz w:val="13"/>
          <w:szCs w:val="13"/>
          <w:color w:val="auto"/>
        </w:rPr>
        <w:t>We completed our IPO on February 4,</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2019, and throughout 2019 we have incurred direct, incremental general and administrative expenses as a result of being a publicly traded company, including costs associated with the employment of additional personnel, compliance with Securities and Exchange Commission rules and regulations, annual and quarterly reports to our common shareholders, registrar and transfer agent fees, national stock exchange fees, audit fees, incremental director and officer liability insurance costs, and director and officer compensation.</w:t>
      </w:r>
    </w:p>
    <w:p>
      <w:pPr>
        <w:spacing w:after="0" w:line="30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55" w:name="page56"/>
    <w:bookmarkEnd w:id="55"/>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280" w:right="200"/>
        <w:spacing w:after="0" w:line="273" w:lineRule="auto"/>
        <w:rPr>
          <w:sz w:val="20"/>
          <w:szCs w:val="20"/>
          <w:color w:val="auto"/>
        </w:rPr>
      </w:pPr>
      <w:r>
        <w:rPr>
          <w:rFonts w:ascii="Arial" w:cs="Arial" w:eastAsia="Arial" w:hAnsi="Arial"/>
          <w:sz w:val="17"/>
          <w:szCs w:val="17"/>
          <w:color w:val="auto"/>
        </w:rPr>
        <w:t>Additionally, we have incurred costs associated with the initial implementation of our Sarbanes-Oxley Act of 2002 (“Sarbanes-Oxley Act”) Section 404 internal controls. However, at the point that we no longer qualify as an emerging growth company under the JOBS Act (defined below), we expect to incur additional costs associated with providing an auditor’s attestation report on our system of internal controls over financial reporting pursuant to Section 404(b) of the Sarbanes-Oxley Act, as well as additional audit costs resulting from PCAOB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04" w:lineRule="exact"/>
        <w:rPr>
          <w:sz w:val="20"/>
          <w:szCs w:val="20"/>
          <w:color w:val="auto"/>
        </w:rPr>
      </w:pPr>
    </w:p>
    <w:p>
      <w:pPr>
        <w:ind w:right="60" w:firstLine="279"/>
        <w:spacing w:after="0" w:line="237" w:lineRule="auto"/>
        <w:rPr>
          <w:sz w:val="20"/>
          <w:szCs w:val="20"/>
          <w:color w:val="auto"/>
        </w:rPr>
      </w:pPr>
      <w:r>
        <w:rPr>
          <w:rFonts w:ascii="Arial" w:cs="Arial" w:eastAsia="Arial" w:hAnsi="Arial"/>
          <w:sz w:val="19"/>
          <w:szCs w:val="19"/>
          <w:color w:val="auto"/>
        </w:rPr>
        <w:t>We believe we will have sufficient liquidity, cash flow from operations, and access to additional capital sources to fund our capital expenditures and working capital needs for the next 12 months. We expect to fund our current operations and continued development of additional facilities through a combination of cash on hand and additional borrowings from the Senior Secured Bonds, Senior Unsecured Bonds, and the Credit Agreement (all defined below).</w:t>
      </w:r>
    </w:p>
    <w:p>
      <w:pPr>
        <w:spacing w:after="0" w:line="182" w:lineRule="exact"/>
        <w:rPr>
          <w:sz w:val="20"/>
          <w:szCs w:val="20"/>
          <w:color w:val="auto"/>
        </w:rPr>
      </w:pPr>
    </w:p>
    <w:p>
      <w:pPr>
        <w:ind w:firstLine="279"/>
        <w:spacing w:after="0" w:line="265" w:lineRule="auto"/>
        <w:rPr>
          <w:sz w:val="20"/>
          <w:szCs w:val="20"/>
          <w:color w:val="auto"/>
        </w:rPr>
      </w:pPr>
      <w:r>
        <w:rPr>
          <w:rFonts w:ascii="Arial" w:cs="Arial" w:eastAsia="Arial" w:hAnsi="Arial"/>
          <w:sz w:val="17"/>
          <w:szCs w:val="17"/>
          <w:color w:val="auto"/>
        </w:rPr>
        <w:t>Our IPO was completed on February 4, 2019, and we raised net proceeds of $268,010, inclusive of additional net proceeds raised from the exercise of the underwriter’s option to purchase additional shares and after deducting underwriting discounts and commissions and transaction costs. On March 21, 2019, we drew the remaining availability on our Term Loan Facility (defined below) and had $495,000 of outstanding principal as of December 31, 2019. On September 5, 2019, we issued approximately $117,000 in Senior Secured Bonds and Senior Unsecured Bonds, and in December 2019, we issued an additional $63,000 in Senior Secured Bonds, which was fully funded by January 2020. In January 2020, we borrowed $800,000 under the Credit Agreement, and repaid the Term Loan Facility in full. No principal payments are due under the Senior Secured and Senior Unsecured Bonds for at least seven years; no principal payments are due under the Credit Agreement until maturity in January 2023.</w:t>
      </w:r>
    </w:p>
    <w:p>
      <w:pPr>
        <w:spacing w:after="0" w:line="162" w:lineRule="exact"/>
        <w:rPr>
          <w:sz w:val="20"/>
          <w:szCs w:val="20"/>
          <w:color w:val="auto"/>
        </w:rPr>
      </w:pPr>
    </w:p>
    <w:p>
      <w:pPr>
        <w:ind w:right="160" w:firstLine="279"/>
        <w:spacing w:after="0" w:line="264" w:lineRule="auto"/>
        <w:rPr>
          <w:sz w:val="20"/>
          <w:szCs w:val="20"/>
          <w:color w:val="auto"/>
        </w:rPr>
      </w:pPr>
      <w:r>
        <w:rPr>
          <w:rFonts w:ascii="Arial" w:cs="Arial" w:eastAsia="Arial" w:hAnsi="Arial"/>
          <w:sz w:val="17"/>
          <w:szCs w:val="17"/>
          <w:color w:val="auto"/>
        </w:rPr>
        <w:t>We have assumed total expenditures for all completed and existing projects to be approximately $858 million, with approximately $618 million having already been spent through December 31, 2019. This estimate represents the expenditures necessary to complete construction of the CHP Plant, the San Juan Facility, and the La Paz Terminal, as well as expected expenditures to serve new industrial end-users. We except to be able to fund all such committed projects with a combination of cash on hand, as well as the proceeds from the Credit Agreement, Senior Secured Bonds, and Senior Unsecured Bonds received after year-end of approximately $311 million. Through December 31, 2019, we have spent approximately $165 million to develop the Pennsylvania Facility. Approximately $20 million of construction and development costs have been expensed as we have not issued a final notice to proceed to our engineering, procurement, and construction contractors. Cost for land, as well as engineering and equipment that could be deployed to other facilities of approximately $145 million, has been capitalized.</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summarizes the changes to our cash flows for the years ended December 31, 2019 and 2018,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5"/>
                <w:szCs w:val="15"/>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16"/>
                <w:szCs w:val="16"/>
                <w:color w:val="auto"/>
              </w:rPr>
            </w:pPr>
          </w:p>
        </w:tc>
      </w:tr>
      <w:tr>
        <w:trPr>
          <w:trHeight w:val="186"/>
        </w:trPr>
        <w:tc>
          <w:tcPr>
            <w:tcW w:w="6340" w:type="dxa"/>
            <w:vAlign w:val="bottom"/>
          </w:tcPr>
          <w:p>
            <w:pPr>
              <w:spacing w:after="0"/>
              <w:rPr>
                <w:sz w:val="20"/>
                <w:szCs w:val="20"/>
                <w:color w:val="auto"/>
              </w:rPr>
            </w:pPr>
            <w:r>
              <w:rPr>
                <w:rFonts w:ascii="Arial" w:cs="Arial" w:eastAsia="Arial" w:hAnsi="Arial"/>
                <w:sz w:val="15"/>
                <w:szCs w:val="15"/>
                <w:color w:val="auto"/>
              </w:rPr>
              <w:t>Cash flows from:</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6"/>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(234,261)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(93,227)</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(141,034)</w:t>
            </w:r>
          </w:p>
        </w:tc>
      </w:tr>
      <w:tr>
        <w:trPr>
          <w:trHeight w:val="186"/>
        </w:trPr>
        <w:tc>
          <w:tcPr>
            <w:tcW w:w="6340" w:type="dxa"/>
            <w:vAlign w:val="bottom"/>
          </w:tcPr>
          <w:p>
            <w:pPr>
              <w:spacing w:after="0"/>
              <w:rPr>
                <w:sz w:val="20"/>
                <w:szCs w:val="20"/>
                <w:color w:val="auto"/>
              </w:rPr>
            </w:pPr>
            <w:r>
              <w:rPr>
                <w:rFonts w:ascii="Arial" w:cs="Arial" w:eastAsia="Arial" w:hAnsi="Arial"/>
                <w:sz w:val="15"/>
                <w:szCs w:val="15"/>
                <w:color w:val="auto"/>
              </w:rPr>
              <w:t>Investing activities</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(376,164)</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(184,455)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(191,709)</w:t>
            </w:r>
          </w:p>
        </w:tc>
      </w:tr>
      <w:tr>
        <w:trPr>
          <w:trHeight w:val="186"/>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602,607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260,204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342,403</w:t>
            </w:r>
          </w:p>
        </w:tc>
      </w:tr>
      <w:tr>
        <w:trPr>
          <w:trHeight w:val="23"/>
        </w:trPr>
        <w:tc>
          <w:tcPr>
            <w:tcW w:w="6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6"/>
        </w:trPr>
        <w:tc>
          <w:tcPr>
            <w:tcW w:w="6340" w:type="dxa"/>
            <w:vAlign w:val="bottom"/>
          </w:tcPr>
          <w:p>
            <w:pPr>
              <w:spacing w:after="0"/>
              <w:rPr>
                <w:sz w:val="20"/>
                <w:szCs w:val="20"/>
                <w:color w:val="auto"/>
              </w:rPr>
            </w:pPr>
            <w:r>
              <w:rPr>
                <w:rFonts w:ascii="Arial" w:cs="Arial" w:eastAsia="Arial" w:hAnsi="Arial"/>
                <w:sz w:val="15"/>
                <w:szCs w:val="15"/>
                <w:color w:val="auto"/>
              </w:rPr>
              <w:t>Net (decrease) in cash, cash equivalents, and restricted cash</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(7,818)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(17,478)</w:t>
            </w:r>
          </w:p>
        </w:tc>
        <w:tc>
          <w:tcPr>
            <w:tcW w:w="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9,660</w:t>
            </w:r>
          </w:p>
        </w:tc>
      </w:tr>
      <w:tr>
        <w:trPr>
          <w:trHeight w:val="20"/>
        </w:trPr>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(used in) operating activities</w:t>
      </w:r>
    </w:p>
    <w:p>
      <w:pPr>
        <w:spacing w:after="0" w:line="200" w:lineRule="exact"/>
        <w:rPr>
          <w:sz w:val="20"/>
          <w:szCs w:val="20"/>
          <w:color w:val="auto"/>
        </w:rPr>
      </w:pPr>
    </w:p>
    <w:p>
      <w:pPr>
        <w:ind w:right="200" w:firstLine="310"/>
        <w:spacing w:after="0" w:line="264" w:lineRule="auto"/>
        <w:rPr>
          <w:sz w:val="20"/>
          <w:szCs w:val="20"/>
          <w:color w:val="auto"/>
        </w:rPr>
      </w:pPr>
      <w:r>
        <w:rPr>
          <w:rFonts w:ascii="Arial" w:cs="Arial" w:eastAsia="Arial" w:hAnsi="Arial"/>
          <w:sz w:val="17"/>
          <w:szCs w:val="17"/>
          <w:color w:val="auto"/>
        </w:rPr>
        <w:t>Our cash flow used in operating activities was $234,261 for the year ended December 31, 2019, which increased by $141,034 from $93,227 for the year ended December 31, 2018. For both the years ended December 31, 2019 and 2018, we had net losses that comprised a significant portion of cash used in operating activities due to the continued expansion of our business activities. The loss in the year ended December 31, 2019 reflects non-cash share-based compensation expense, which was excluded from the cash used in operating activities. Cash flows used in operating activities for the year ended December 31, 2019 was also significantly impacted by increases in inventories and receivables. The increase in receivables was primarily due to higher LNG and natural gas sales comparing to the year ended December 31, 2018. The remaining increase was mainly attributable to the increases in Other assets related to costs to deliver development services to our customers. These increases were partially offset by increases in other liabilities, partially due to increases in contract liabilities related to a significant customer contract.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6" w:name="page57"/>
    <w:bookmarkEnd w:id="56"/>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(used in) investing activities</w:t>
      </w:r>
    </w:p>
    <w:p>
      <w:pPr>
        <w:spacing w:after="0" w:line="200" w:lineRule="exact"/>
        <w:rPr>
          <w:sz w:val="20"/>
          <w:szCs w:val="20"/>
          <w:color w:val="auto"/>
        </w:rPr>
      </w:pPr>
    </w:p>
    <w:p>
      <w:pPr>
        <w:jc w:val="both"/>
        <w:ind w:right="100" w:firstLine="279"/>
        <w:spacing w:after="0" w:line="282" w:lineRule="auto"/>
        <w:rPr>
          <w:sz w:val="20"/>
          <w:szCs w:val="20"/>
          <w:color w:val="auto"/>
        </w:rPr>
      </w:pPr>
      <w:r>
        <w:rPr>
          <w:rFonts w:ascii="Arial" w:cs="Arial" w:eastAsia="Arial" w:hAnsi="Arial"/>
          <w:sz w:val="17"/>
          <w:szCs w:val="17"/>
          <w:color w:val="auto"/>
        </w:rPr>
        <w:t>Our cash flow used in investing activities was $376,164 for the year ended December 31, 2019, which increased by $191,709 from $184,455 for the year ended December 31, 2018. The increase in cash flow used in investing activities was due to the increase in capital expenditures to complete the Old Harbour Terminal, as well as construction of the CHP Plant, the San Juan Facility, the La Paz Terminal, and the Pennsylvania Facility.</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Cash provided by financing activities</w:t>
      </w:r>
    </w:p>
    <w:p>
      <w:pPr>
        <w:spacing w:after="0" w:line="200" w:lineRule="exact"/>
        <w:rPr>
          <w:sz w:val="20"/>
          <w:szCs w:val="20"/>
          <w:color w:val="auto"/>
        </w:rPr>
      </w:pPr>
    </w:p>
    <w:p>
      <w:pPr>
        <w:jc w:val="both"/>
        <w:ind w:right="40" w:firstLine="279"/>
        <w:spacing w:after="0" w:line="237" w:lineRule="auto"/>
        <w:rPr>
          <w:sz w:val="20"/>
          <w:szCs w:val="20"/>
          <w:color w:val="auto"/>
        </w:rPr>
      </w:pPr>
      <w:r>
        <w:rPr>
          <w:rFonts w:ascii="Arial" w:cs="Arial" w:eastAsia="Arial" w:hAnsi="Arial"/>
          <w:sz w:val="19"/>
          <w:szCs w:val="19"/>
          <w:color w:val="auto"/>
        </w:rPr>
        <w:t>Our cash flow provided by financing activities was $602,607 for the year ended December 31, 2019, which increased by $342,403 from $260,204 for the year ended December 31, 2018. The increase in cash flow provided by financing activities is due to the issuance of Senior Secured Bonds and Senior Unsecured Bonds of $127,856 in September 2019 and December 2019, additional borrowings under the Term Loan Facility of $220,000 in March 2019, and the net proceeds received from our IPO in February 2019.</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Credit Agreement</w:t>
      </w:r>
    </w:p>
    <w:p>
      <w:pPr>
        <w:spacing w:after="0" w:line="200" w:lineRule="exact"/>
        <w:rPr>
          <w:sz w:val="20"/>
          <w:szCs w:val="20"/>
          <w:color w:val="auto"/>
        </w:rPr>
      </w:pPr>
    </w:p>
    <w:p>
      <w:pPr>
        <w:jc w:val="both"/>
        <w:ind w:firstLine="279"/>
        <w:spacing w:after="0" w:line="235" w:lineRule="auto"/>
        <w:rPr>
          <w:sz w:val="20"/>
          <w:szCs w:val="20"/>
          <w:color w:val="auto"/>
        </w:rPr>
      </w:pPr>
      <w:r>
        <w:rPr>
          <w:rFonts w:ascii="Arial" w:cs="Arial" w:eastAsia="Arial" w:hAnsi="Arial"/>
          <w:sz w:val="19"/>
          <w:szCs w:val="19"/>
          <w:color w:val="auto"/>
        </w:rPr>
        <w:t>On January 10, 2020, the Company entered into a credit agreement to borrow $800,000 in term loans (the “Credit Agreement”). The Credit Agreement will mature in January 2023 with the full principal balance due upon maturity. Interest is payable quarterly and is based on a LIBOR rate divided by one minus the applicable reserve requirement, subject to a floor of 1.50%, plus a margin of 6.25%. The interest rate margin increases each year of the term by 1.50%. Loans may be prepaid, at the option of the Company, at any time without premium. We have used a portion of the proceeds received to extinguish the Term Loan Facility (defined below).</w:t>
      </w:r>
    </w:p>
    <w:p>
      <w:pPr>
        <w:spacing w:after="0" w:line="185" w:lineRule="exact"/>
        <w:rPr>
          <w:sz w:val="20"/>
          <w:szCs w:val="20"/>
          <w:color w:val="auto"/>
        </w:rPr>
      </w:pPr>
    </w:p>
    <w:p>
      <w:pPr>
        <w:ind w:right="520" w:firstLine="279"/>
        <w:spacing w:after="0" w:line="308" w:lineRule="auto"/>
        <w:rPr>
          <w:sz w:val="20"/>
          <w:szCs w:val="20"/>
          <w:color w:val="auto"/>
        </w:rPr>
      </w:pPr>
      <w:r>
        <w:rPr>
          <w:rFonts w:ascii="Arial" w:cs="Arial" w:eastAsia="Arial" w:hAnsi="Arial"/>
          <w:sz w:val="17"/>
          <w:szCs w:val="17"/>
          <w:color w:val="auto"/>
        </w:rPr>
        <w:t>The Company will be required to comply with certain financial covenants as well as usual and customary affirmative and negative covenants, including limitations on liens and incurring additional indebtedness. The facility also provides for customary events of default and cure provisions.</w:t>
      </w:r>
    </w:p>
    <w:p>
      <w:pPr>
        <w:spacing w:after="0" w:line="126" w:lineRule="exact"/>
        <w:rPr>
          <w:sz w:val="20"/>
          <w:szCs w:val="20"/>
          <w:color w:val="auto"/>
        </w:rPr>
      </w:pPr>
    </w:p>
    <w:p>
      <w:pPr>
        <w:ind w:firstLine="279"/>
        <w:spacing w:after="0" w:line="250" w:lineRule="auto"/>
        <w:rPr>
          <w:sz w:val="20"/>
          <w:szCs w:val="20"/>
          <w:color w:val="auto"/>
        </w:rPr>
      </w:pPr>
      <w:r>
        <w:rPr>
          <w:rFonts w:ascii="Arial" w:cs="Arial" w:eastAsia="Arial" w:hAnsi="Arial"/>
          <w:sz w:val="19"/>
          <w:szCs w:val="19"/>
          <w:color w:val="auto"/>
        </w:rPr>
        <w:t>Proceeds received were net of upfront and structuring fees, which, together with other third party fees and expenses paid in connection with obtaining this financing, will be recorded as a reduction to the principal balance on the consolidated balance sheet.</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 Loan Facility</w:t>
      </w:r>
    </w:p>
    <w:p>
      <w:pPr>
        <w:spacing w:after="0" w:line="200" w:lineRule="exact"/>
        <w:rPr>
          <w:sz w:val="20"/>
          <w:szCs w:val="20"/>
          <w:color w:val="auto"/>
        </w:rPr>
      </w:pPr>
    </w:p>
    <w:p>
      <w:pPr>
        <w:ind w:right="80" w:firstLine="279"/>
        <w:spacing w:after="0" w:line="234" w:lineRule="auto"/>
        <w:rPr>
          <w:sz w:val="20"/>
          <w:szCs w:val="20"/>
          <w:color w:val="auto"/>
        </w:rPr>
      </w:pPr>
      <w:r>
        <w:rPr>
          <w:rFonts w:ascii="Arial" w:cs="Arial" w:eastAsia="Arial" w:hAnsi="Arial"/>
          <w:sz w:val="19"/>
          <w:szCs w:val="19"/>
          <w:color w:val="auto"/>
        </w:rPr>
        <w:t>On August 16, 2018, the Company entered into a credit agreement with a syndicate of two lenders to borrow up to an aggregate principal amount of $240,000. On December 31, 2018, the Company amended this credit agreement (as amended, the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IPO. As of December 31, 2018, the outstanding principal balance under the Term Loan Facility was $280,000.</w:t>
      </w:r>
    </w:p>
    <w:p>
      <w:pPr>
        <w:spacing w:after="0" w:line="186" w:lineRule="exact"/>
        <w:rPr>
          <w:sz w:val="20"/>
          <w:szCs w:val="20"/>
          <w:color w:val="auto"/>
        </w:rPr>
      </w:pPr>
    </w:p>
    <w:p>
      <w:pPr>
        <w:jc w:val="both"/>
        <w:ind w:right="60" w:firstLine="279"/>
        <w:spacing w:after="0" w:line="250" w:lineRule="auto"/>
        <w:rPr>
          <w:sz w:val="20"/>
          <w:szCs w:val="20"/>
          <w:color w:val="auto"/>
        </w:rPr>
      </w:pPr>
      <w:r>
        <w:rPr>
          <w:rFonts w:ascii="Arial" w:cs="Arial" w:eastAsia="Arial" w:hAnsi="Arial"/>
          <w:sz w:val="19"/>
          <w:szCs w:val="19"/>
          <w:color w:val="auto"/>
        </w:rPr>
        <w:t>On March 21, 2019, the Company drew an additional $220,000, bringing our total outstanding borrowings to $500,000 under the Term Loan Facility, and as of December 31, 2019, the total principal amount outstanding under the Term Loan Facility was $495,000.</w:t>
      </w:r>
    </w:p>
    <w:p>
      <w:pPr>
        <w:spacing w:after="0" w:line="172" w:lineRule="exact"/>
        <w:rPr>
          <w:sz w:val="20"/>
          <w:szCs w:val="20"/>
          <w:color w:val="auto"/>
        </w:rPr>
      </w:pPr>
    </w:p>
    <w:p>
      <w:pPr>
        <w:ind w:right="40" w:firstLine="279"/>
        <w:spacing w:after="0" w:line="237" w:lineRule="auto"/>
        <w:rPr>
          <w:sz w:val="20"/>
          <w:szCs w:val="20"/>
          <w:color w:val="auto"/>
        </w:rPr>
      </w:pPr>
      <w:r>
        <w:rPr>
          <w:rFonts w:ascii="Arial" w:cs="Arial" w:eastAsia="Arial" w:hAnsi="Arial"/>
          <w:sz w:val="19"/>
          <w:szCs w:val="19"/>
          <w:color w:val="auto"/>
        </w:rPr>
        <w:t>All borrowings under the Term Loan Facility bore interest at a rate selected by us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82" w:lineRule="exact"/>
        <w:rPr>
          <w:sz w:val="20"/>
          <w:szCs w:val="20"/>
          <w:color w:val="auto"/>
        </w:rPr>
      </w:pPr>
    </w:p>
    <w:p>
      <w:pPr>
        <w:ind w:right="200" w:firstLine="279"/>
        <w:spacing w:after="0" w:line="254" w:lineRule="auto"/>
        <w:rPr>
          <w:sz w:val="20"/>
          <w:szCs w:val="20"/>
          <w:color w:val="auto"/>
        </w:rPr>
      </w:pPr>
      <w:r>
        <w:rPr>
          <w:rFonts w:ascii="Arial" w:cs="Arial" w:eastAsia="Arial" w:hAnsi="Arial"/>
          <w:sz w:val="18"/>
          <w:szCs w:val="18"/>
          <w:color w:val="auto"/>
        </w:rPr>
        <w:t>The Term Loan Facility was secured by mortgages on certain properties owned by our subsidiaries, in addition to other collateral. The Term Loan Facility was amended in the third quarter of 2019 to allow certain properties of a consolidated subsidiary to secure the Senior Secured Bonds (defined below). We were also required to comply with certain financial covenants and other restrictive covenants customary for facilities of this type, including restrictions on indebtedness, liens, acquisitions and investments, restricted payments, and dispositions.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7" w:name="page58"/>
    <w:bookmarkEnd w:id="5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80" w:firstLine="279"/>
        <w:spacing w:after="0" w:line="234" w:lineRule="auto"/>
        <w:rPr>
          <w:sz w:val="20"/>
          <w:szCs w:val="20"/>
          <w:color w:val="auto"/>
        </w:rPr>
      </w:pPr>
      <w:r>
        <w:rPr>
          <w:rFonts w:ascii="Arial" w:cs="Arial" w:eastAsia="Arial" w:hAnsi="Arial"/>
          <w:sz w:val="19"/>
          <w:szCs w:val="19"/>
          <w:color w:val="auto"/>
        </w:rPr>
        <w:t>In connection with obtaining the Term Loan Facility and the extinguishment of our prior debt facilities, we recognized a loss on extinguishment of debt of $9,568 in the consolidated statements of operations and comprehensive loss. The total unamortized deferred financing costs as of December 31, 2018 were $7,808. In 2019, we paid $4,400 of additional fees in connection with the $220,000 draw on the Term Loan Facility. These fees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86" w:lineRule="exact"/>
        <w:rPr>
          <w:sz w:val="20"/>
          <w:szCs w:val="20"/>
          <w:color w:val="auto"/>
        </w:rPr>
      </w:pPr>
    </w:p>
    <w:p>
      <w:pPr>
        <w:jc w:val="both"/>
        <w:ind w:right="240" w:firstLine="279"/>
        <w:spacing w:after="0" w:line="235" w:lineRule="auto"/>
        <w:rPr>
          <w:sz w:val="20"/>
          <w:szCs w:val="20"/>
          <w:color w:val="auto"/>
        </w:rPr>
      </w:pPr>
      <w:r>
        <w:rPr>
          <w:rFonts w:ascii="Arial" w:cs="Arial" w:eastAsia="Arial" w:hAnsi="Arial"/>
          <w:sz w:val="19"/>
          <w:szCs w:val="19"/>
          <w:color w:val="auto"/>
        </w:rPr>
        <w:t>The Term Loan Facility had a maturity date of December 31, 2019 with an option to extend the maturity date for two additional six-month periods. Upon the exercise of each extension option, we would pay a fee equal to 1.0% of the outstanding principal balance at the time of the exercise, and the spread on LIBOR and Base Rate would increase by 0.5%. On December 30, 2019, the Company entered into an amendment with the lenders to extend the maturity to January 21, 2020. Prior to this new maturity date, we repaid the full amount outstanding, using proceeds from the Credit Agreement to extinguish the Term Loan Facility.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 Power Senior Secured Bonds and Senior Unsecured Bonds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September 2, 2019, NFE South Power Holdings Limited (“South Power”), a consolidated subsidiary of the Company, entered into a facility for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issuance of secured and unsecured bonds (the “Senior Secured Bonds” and “Senior Unsecured Bonds”, respectively) and subsequently issued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$73,317 and $43,683 in Senior Secured Bonds and Senior Unsecured Bonds, respectively. The Senior Secured Bonds are secured by the CHP Plant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related receivables and assets, and the proceeds will be used to fund the completion of the CHP Plant and to reimburse shareholder advances. In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fourth quarter of 2019, South Power issued an additional $63,000 in Senior Secured Bonds. We received $10,856 of the proceeds in 2019 and received</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the remaining proceeds of $52,144 in January 2020.</w:t>
      </w:r>
    </w:p>
    <w:p>
      <w:pPr>
        <w:spacing w:after="0" w:line="184" w:lineRule="exact"/>
        <w:rPr>
          <w:sz w:val="20"/>
          <w:szCs w:val="20"/>
          <w:color w:val="auto"/>
        </w:rPr>
      </w:pPr>
    </w:p>
    <w:p>
      <w:pPr>
        <w:ind w:right="180" w:firstLine="279"/>
        <w:spacing w:after="0" w:line="282" w:lineRule="auto"/>
        <w:rPr>
          <w:sz w:val="20"/>
          <w:szCs w:val="20"/>
          <w:color w:val="auto"/>
        </w:rPr>
      </w:pPr>
      <w:r>
        <w:rPr>
          <w:rFonts w:ascii="Arial" w:cs="Arial" w:eastAsia="Arial" w:hAnsi="Arial"/>
          <w:sz w:val="17"/>
          <w:szCs w:val="17"/>
          <w:color w:val="auto"/>
        </w:rPr>
        <w:t>The Senior Secured Bonds bear interest at an annual fixed rate of 8.25% and will mature 15 years from the closing date of each issuance.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47" w:lineRule="exact"/>
        <w:rPr>
          <w:sz w:val="20"/>
          <w:szCs w:val="20"/>
          <w:color w:val="auto"/>
        </w:rPr>
      </w:pPr>
    </w:p>
    <w:p>
      <w:pPr>
        <w:ind w:right="20" w:firstLine="279"/>
        <w:spacing w:after="0"/>
        <w:rPr>
          <w:sz w:val="20"/>
          <w:szCs w:val="20"/>
          <w:color w:val="auto"/>
        </w:rPr>
      </w:pPr>
      <w:r>
        <w:rPr>
          <w:rFonts w:ascii="Arial" w:cs="Arial" w:eastAsia="Arial" w:hAnsi="Arial"/>
          <w:sz w:val="19"/>
          <w:szCs w:val="19"/>
          <w:color w:val="auto"/>
        </w:rPr>
        <w:t>The Senior Unsecured Bonds bear interest at an annual fixed rate of 11.00% and will mature in September 2036. No principal payments will be due for the first nine years. Beginning in 2028, principal payments will be due quarterly on an escalating schedule. Interest payments on outstanding principal balances will be due quarterly.</w:t>
      </w:r>
    </w:p>
    <w:p>
      <w:pPr>
        <w:spacing w:after="0" w:line="181" w:lineRule="exact"/>
        <w:rPr>
          <w:sz w:val="20"/>
          <w:szCs w:val="20"/>
          <w:color w:val="auto"/>
        </w:rPr>
      </w:pPr>
    </w:p>
    <w:p>
      <w:pPr>
        <w:ind w:right="740" w:firstLine="279"/>
        <w:spacing w:after="0" w:line="308" w:lineRule="auto"/>
        <w:rPr>
          <w:sz w:val="20"/>
          <w:szCs w:val="20"/>
          <w:color w:val="auto"/>
        </w:rPr>
      </w:pPr>
      <w:r>
        <w:rPr>
          <w:rFonts w:ascii="Arial" w:cs="Arial" w:eastAsia="Arial" w:hAnsi="Arial"/>
          <w:sz w:val="17"/>
          <w:szCs w:val="17"/>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26" w:lineRule="exact"/>
        <w:rPr>
          <w:sz w:val="20"/>
          <w:szCs w:val="20"/>
          <w:color w:val="auto"/>
        </w:rPr>
      </w:pPr>
    </w:p>
    <w:p>
      <w:pPr>
        <w:jc w:val="both"/>
        <w:ind w:firstLine="279"/>
        <w:spacing w:after="0"/>
        <w:rPr>
          <w:sz w:val="20"/>
          <w:szCs w:val="20"/>
          <w:color w:val="auto"/>
        </w:rPr>
      </w:pPr>
      <w:r>
        <w:rPr>
          <w:rFonts w:ascii="Arial" w:cs="Arial" w:eastAsia="Arial" w:hAnsi="Arial"/>
          <w:sz w:val="19"/>
          <w:szCs w:val="19"/>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The total unamortized deferred financing costs as of December 31, 2019 was $3,799.</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 Balance Sheet Arrangements</w:t>
      </w:r>
    </w:p>
    <w:p>
      <w:pPr>
        <w:spacing w:after="0" w:line="200" w:lineRule="exact"/>
        <w:rPr>
          <w:sz w:val="20"/>
          <w:szCs w:val="20"/>
          <w:color w:val="auto"/>
        </w:rPr>
      </w:pPr>
    </w:p>
    <w:p>
      <w:pPr>
        <w:ind w:right="480" w:firstLine="279"/>
        <w:spacing w:after="0" w:line="250" w:lineRule="auto"/>
        <w:rPr>
          <w:sz w:val="20"/>
          <w:szCs w:val="20"/>
          <w:color w:val="auto"/>
        </w:rPr>
      </w:pPr>
      <w:r>
        <w:rPr>
          <w:rFonts w:ascii="Arial" w:cs="Arial" w:eastAsia="Arial" w:hAnsi="Arial"/>
          <w:sz w:val="19"/>
          <w:szCs w:val="19"/>
          <w:color w:val="auto"/>
        </w:rPr>
        <w:t>As of December 31, 2019 and 2018, we had no transactions that met the definition of off-balance sheet arrangements that may have a current or future material effect on our consolidated financial position or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Contractual Obligations</w:t>
      </w:r>
    </w:p>
    <w:p>
      <w:pPr>
        <w:spacing w:after="0" w:line="200" w:lineRule="exact"/>
        <w:rPr>
          <w:sz w:val="20"/>
          <w:szCs w:val="20"/>
          <w:color w:val="auto"/>
        </w:rPr>
      </w:pPr>
    </w:p>
    <w:p>
      <w:pPr>
        <w:ind w:right="140" w:firstLine="279"/>
        <w:spacing w:after="0" w:line="250" w:lineRule="auto"/>
        <w:rPr>
          <w:sz w:val="20"/>
          <w:szCs w:val="20"/>
          <w:color w:val="auto"/>
        </w:rPr>
      </w:pPr>
      <w:r>
        <w:rPr>
          <w:rFonts w:ascii="Arial" w:cs="Arial" w:eastAsia="Arial" w:hAnsi="Arial"/>
          <w:sz w:val="19"/>
          <w:szCs w:val="19"/>
          <w:color w:val="auto"/>
        </w:rPr>
        <w:t>We are committed to make cash payments in the future pursuant to certain contracts. The following table summarizes certain contractual obligations in place as of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00" w:type="dxa"/>
            <w:vAlign w:val="bottom"/>
          </w:tcPr>
          <w:p>
            <w:pPr>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2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93"/>
              </w:rPr>
              <w:t>Less than 1 year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4"/>
              </w:rPr>
              <w:t>Years 2 to 3</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4"/>
              </w:rPr>
              <w:t>Years 4 to 5</w:t>
            </w:r>
          </w:p>
        </w:tc>
        <w:tc>
          <w:tcPr>
            <w:tcW w:w="1420" w:type="dxa"/>
            <w:vAlign w:val="bottom"/>
            <w:gridSpan w:val="4"/>
          </w:tcPr>
          <w:p>
            <w:pPr>
              <w:ind w:left="120"/>
              <w:spacing w:after="0"/>
              <w:rPr>
                <w:sz w:val="20"/>
                <w:szCs w:val="20"/>
                <w:color w:val="auto"/>
              </w:rPr>
            </w:pPr>
            <w:r>
              <w:rPr>
                <w:rFonts w:ascii="Arial" w:cs="Arial" w:eastAsia="Arial" w:hAnsi="Arial"/>
                <w:sz w:val="15"/>
                <w:szCs w:val="15"/>
                <w:b w:val="1"/>
                <w:bCs w:val="1"/>
                <w:color w:val="auto"/>
              </w:rPr>
              <w:t>More than 5 years</w:t>
            </w: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Long-term debt obligations</w:t>
            </w: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893,308</w:t>
            </w:r>
          </w:p>
        </w:tc>
        <w:tc>
          <w:tcPr>
            <w:tcW w:w="24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512,262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32,103</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316,840</w:t>
            </w:r>
          </w:p>
        </w:tc>
        <w:tc>
          <w:tcPr>
            <w:tcW w:w="100" w:type="dxa"/>
            <w:vAlign w:val="bottom"/>
            <w:shd w:val="clear" w:color="auto" w:fill="CCEEFF"/>
          </w:tcPr>
          <w:p>
            <w:pPr>
              <w:spacing w:after="0"/>
              <w:rPr>
                <w:sz w:val="16"/>
                <w:szCs w:val="16"/>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5"/>
                <w:szCs w:val="15"/>
                <w:color w:val="auto"/>
              </w:rPr>
              <w:t>Purchase obligations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541,375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285,618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237,290</w:t>
            </w: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12,629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5,838</w:t>
            </w:r>
          </w:p>
        </w:tc>
      </w:tr>
      <w:tr>
        <w:trPr>
          <w:trHeight w:val="189"/>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lease obligations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132,333</w:t>
            </w: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37,776</w:t>
            </w: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53,865</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14,234</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26,458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4700" w:type="dxa"/>
            <w:vAlign w:val="bottom"/>
          </w:tcPr>
          <w:p>
            <w:pPr>
              <w:ind w:left="140"/>
              <w:spacing w:after="0"/>
              <w:rPr>
                <w:sz w:val="20"/>
                <w:szCs w:val="20"/>
                <w:color w:val="auto"/>
              </w:rPr>
            </w:pPr>
            <w:r>
              <w:rPr>
                <w:rFonts w:ascii="Arial" w:cs="Arial" w:eastAsia="Arial" w:hAnsi="Arial"/>
                <w:sz w:val="15"/>
                <w:szCs w:val="15"/>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1,567,016</w:t>
            </w:r>
          </w:p>
        </w:tc>
        <w:tc>
          <w:tcPr>
            <w:tcW w:w="240" w:type="dxa"/>
            <w:vAlign w:val="bottom"/>
          </w:tcPr>
          <w:p>
            <w:pPr>
              <w:spacing w:after="0"/>
              <w:rPr>
                <w:sz w:val="16"/>
                <w:szCs w:val="16"/>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835,656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323,258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58,966</w:t>
            </w:r>
          </w:p>
        </w:tc>
        <w:tc>
          <w:tcPr>
            <w:tcW w:w="5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349,136</w:t>
            </w: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Long-Term debt obligations</w:t>
      </w:r>
    </w:p>
    <w:p>
      <w:pPr>
        <w:spacing w:after="0" w:line="200" w:lineRule="exact"/>
        <w:rPr>
          <w:sz w:val="20"/>
          <w:szCs w:val="20"/>
          <w:color w:val="auto"/>
        </w:rPr>
      </w:pPr>
    </w:p>
    <w:p>
      <w:pPr>
        <w:ind w:right="260" w:firstLine="279"/>
        <w:spacing w:after="0" w:line="277"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December 31, 2019.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8" w:name="page59"/>
    <w:bookmarkEnd w:id="5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jc w:val="both"/>
        <w:ind w:right="220" w:firstLine="279"/>
        <w:spacing w:after="0"/>
        <w:rPr>
          <w:sz w:val="20"/>
          <w:szCs w:val="20"/>
          <w:color w:val="auto"/>
        </w:rPr>
      </w:pPr>
      <w:r>
        <w:rPr>
          <w:rFonts w:ascii="Arial" w:cs="Arial" w:eastAsia="Arial" w:hAnsi="Arial"/>
          <w:sz w:val="19"/>
          <w:szCs w:val="19"/>
          <w:color w:val="auto"/>
        </w:rPr>
        <w:t>We repaid the Term Loan Facility in January 2020, including the full principal amount outstanding of $495,000 and accrued interest of $1,196. The amounts disclosed in the contractual obligations above include the outstanding principal and accrued interest as of the date the Term Loan Facility was extinguished.</w:t>
      </w:r>
    </w:p>
    <w:p>
      <w:pPr>
        <w:spacing w:after="0" w:line="181" w:lineRule="exact"/>
        <w:rPr>
          <w:sz w:val="20"/>
          <w:szCs w:val="20"/>
          <w:color w:val="auto"/>
        </w:rPr>
      </w:pPr>
    </w:p>
    <w:p>
      <w:pPr>
        <w:ind w:right="180" w:firstLine="279"/>
        <w:spacing w:after="0" w:line="237" w:lineRule="auto"/>
        <w:rPr>
          <w:sz w:val="20"/>
          <w:szCs w:val="20"/>
          <w:color w:val="auto"/>
        </w:rPr>
      </w:pPr>
      <w:r>
        <w:rPr>
          <w:rFonts w:ascii="Arial" w:cs="Arial" w:eastAsia="Arial" w:hAnsi="Arial"/>
          <w:sz w:val="19"/>
          <w:szCs w:val="19"/>
          <w:color w:val="auto"/>
        </w:rPr>
        <w:t>In 2019, we issued $180,000 of Senior Secured Bonds and Senior Unsecured Bonds. Principal payments do not begin to become due until 2026. A portion of the proceeds for bonds issued was not received until January 2020, however, the amounts disclosed in the contractual obligations table above includes the $180,000 principal balance and associated interest for the Senior Secured Bonds and Senior Unsecured Bonds after the receipt of all proceeds.</w:t>
      </w:r>
    </w:p>
    <w:p>
      <w:pPr>
        <w:spacing w:after="0" w:line="182" w:lineRule="exact"/>
        <w:rPr>
          <w:sz w:val="20"/>
          <w:szCs w:val="20"/>
          <w:color w:val="auto"/>
        </w:rPr>
      </w:pPr>
    </w:p>
    <w:p>
      <w:pPr>
        <w:ind w:firstLine="279"/>
        <w:spacing w:after="0" w:line="308" w:lineRule="auto"/>
        <w:rPr>
          <w:sz w:val="20"/>
          <w:szCs w:val="20"/>
          <w:color w:val="auto"/>
        </w:rPr>
      </w:pPr>
      <w:r>
        <w:rPr>
          <w:rFonts w:ascii="Arial" w:cs="Arial" w:eastAsia="Arial" w:hAnsi="Arial"/>
          <w:sz w:val="17"/>
          <w:szCs w:val="17"/>
          <w:color w:val="auto"/>
        </w:rPr>
        <w:t>On January 10, 2020, the Company borrowed $800,000 in term loans under the Credit Agreement. The amounts disclosed in the contractual obligations table above do not include the Credit Agreement as we entered into the Credit Agreement subsequent to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Purchase obligations</w:t>
      </w:r>
    </w:p>
    <w:p>
      <w:pPr>
        <w:spacing w:after="0" w:line="200" w:lineRule="exact"/>
        <w:rPr>
          <w:sz w:val="20"/>
          <w:szCs w:val="20"/>
          <w:color w:val="auto"/>
        </w:rPr>
      </w:pPr>
    </w:p>
    <w:p>
      <w:pPr>
        <w:jc w:val="both"/>
        <w:ind w:right="360" w:firstLine="279"/>
        <w:spacing w:after="0"/>
        <w:rPr>
          <w:sz w:val="20"/>
          <w:szCs w:val="20"/>
          <w:color w:val="auto"/>
        </w:rPr>
      </w:pPr>
      <w:r>
        <w:rPr>
          <w:rFonts w:ascii="Arial" w:cs="Arial" w:eastAsia="Arial" w:hAnsi="Arial"/>
          <w:sz w:val="19"/>
          <w:szCs w:val="19"/>
          <w:color w:val="auto"/>
        </w:rPr>
        <w:t>The Company is party to contractual purchase commitments. These contracts are principally take-or-pay contracts, which require the purchase of minimum quantities of LNG and natural gas, and these commitments are designed to assure sources of supply and are not expected to be in excess of normal requirements.</w:t>
      </w:r>
    </w:p>
    <w:p>
      <w:pPr>
        <w:spacing w:after="0" w:line="181"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In 2018, the Company entered into a 15-year agreement with an affiliate of Chesapeake Energy Corporation for gas supply to our Pennsylvania Facility. The terms of the agreement are subject to certain conditions precedent under our control before the agreement is effective. These conditions have not yet been met, and as such, this commitment is excluded from the table above.</w:t>
      </w:r>
    </w:p>
    <w:p>
      <w:pPr>
        <w:spacing w:after="0" w:line="181" w:lineRule="exact"/>
        <w:rPr>
          <w:sz w:val="20"/>
          <w:szCs w:val="20"/>
          <w:color w:val="auto"/>
        </w:rPr>
      </w:pPr>
    </w:p>
    <w:p>
      <w:pPr>
        <w:jc w:val="both"/>
        <w:ind w:right="140" w:firstLine="279"/>
        <w:spacing w:after="0"/>
        <w:rPr>
          <w:sz w:val="20"/>
          <w:szCs w:val="20"/>
          <w:color w:val="auto"/>
        </w:rPr>
      </w:pPr>
      <w:r>
        <w:rPr>
          <w:rFonts w:ascii="Arial" w:cs="Arial" w:eastAsia="Arial" w:hAnsi="Arial"/>
          <w:sz w:val="19"/>
          <w:szCs w:val="19"/>
          <w:color w:val="auto"/>
        </w:rPr>
        <w:t>The Company currently has two contracts in place for the purchase of feedgas under take-or-pay minimum volume obligations. These commitments are structured to assure the Miami Facility has uninterrupted supply and the minimum volumes are not expected to be in excess of normal requirements. Deliveries under these contracts are scheduled between March 2019 and November 2025.</w:t>
      </w:r>
    </w:p>
    <w:p>
      <w:pPr>
        <w:spacing w:after="0" w:line="181" w:lineRule="exact"/>
        <w:rPr>
          <w:sz w:val="20"/>
          <w:szCs w:val="20"/>
          <w:color w:val="auto"/>
        </w:rPr>
      </w:pPr>
    </w:p>
    <w:p>
      <w:pPr>
        <w:ind w:right="60" w:firstLine="279"/>
        <w:spacing w:after="0" w:line="237" w:lineRule="auto"/>
        <w:rPr>
          <w:sz w:val="20"/>
          <w:szCs w:val="20"/>
          <w:color w:val="auto"/>
        </w:rPr>
      </w:pPr>
      <w:r>
        <w:rPr>
          <w:rFonts w:ascii="Arial" w:cs="Arial" w:eastAsia="Arial" w:hAnsi="Arial"/>
          <w:sz w:val="19"/>
          <w:szCs w:val="19"/>
          <w:color w:val="auto"/>
        </w:rPr>
        <w:t>In December 2018, the Company entered into a contract with Centrica LNG Company Limited for the purchase of 29 firm cargoes of 1.1 billion gallons of LNG (86.7 million MMBtu) scheduled for delivery between June 2019 and December 2021. Payment for each cargo is due in advance of each shipment. As of December 31, 2019, the Company is committed to purchase 25 remaining cargoes with 13 scheduled for delivery in 2020 and the remaining 12 cargoes scheduled for delivery in 2021.</w:t>
      </w:r>
    </w:p>
    <w:p>
      <w:pPr>
        <w:spacing w:after="0" w:line="182" w:lineRule="exact"/>
        <w:rPr>
          <w:sz w:val="20"/>
          <w:szCs w:val="20"/>
          <w:color w:val="auto"/>
        </w:rPr>
      </w:pPr>
    </w:p>
    <w:p>
      <w:pPr>
        <w:ind w:right="180" w:firstLine="325"/>
        <w:spacing w:after="0"/>
        <w:rPr>
          <w:sz w:val="20"/>
          <w:szCs w:val="20"/>
          <w:color w:val="auto"/>
        </w:rPr>
      </w:pPr>
      <w:r>
        <w:rPr>
          <w:rFonts w:ascii="Arial" w:cs="Arial" w:eastAsia="Arial" w:hAnsi="Arial"/>
          <w:sz w:val="19"/>
          <w:szCs w:val="19"/>
          <w:color w:val="auto"/>
        </w:rPr>
        <w:t>On February 7, 2020, the Company entered into a long-term natural gas supply agreement for the purchase of 27.5 TBtu per year of LNG at a price indexed to Henry Hub from January 2022 to January 2030. Using the Henry Hub index as of December 31, 2019, we will be committed to LNG purchases of approximately $150 million per year from January 2022 to January 2030.</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Operating Lease obligations</w:t>
      </w:r>
    </w:p>
    <w:p>
      <w:pPr>
        <w:spacing w:after="0" w:line="200" w:lineRule="exact"/>
        <w:rPr>
          <w:sz w:val="20"/>
          <w:szCs w:val="20"/>
          <w:color w:val="auto"/>
        </w:rPr>
      </w:pPr>
    </w:p>
    <w:p>
      <w:pPr>
        <w:ind w:right="140" w:firstLine="279"/>
        <w:spacing w:after="0" w:line="250" w:lineRule="auto"/>
        <w:rPr>
          <w:sz w:val="20"/>
          <w:szCs w:val="20"/>
          <w:color w:val="auto"/>
        </w:rPr>
      </w:pPr>
      <w:r>
        <w:rPr>
          <w:rFonts w:ascii="Arial" w:cs="Arial" w:eastAsia="Arial" w:hAnsi="Arial"/>
          <w:sz w:val="19"/>
          <w:szCs w:val="19"/>
          <w:color w:val="auto"/>
        </w:rPr>
        <w:t>Future minimum lease payments under non-cancellable operating leases are noted in the above table. The Company’s lease obligations are primarily related to LNG vessel time charters, marine port leases, office space, and a land lease.</w:t>
      </w:r>
    </w:p>
    <w:p>
      <w:pPr>
        <w:spacing w:after="0" w:line="172" w:lineRule="exact"/>
        <w:rPr>
          <w:sz w:val="20"/>
          <w:szCs w:val="20"/>
          <w:color w:val="auto"/>
        </w:rPr>
      </w:pPr>
    </w:p>
    <w:p>
      <w:pPr>
        <w:ind w:right="400" w:firstLine="279"/>
        <w:spacing w:after="0"/>
        <w:rPr>
          <w:sz w:val="20"/>
          <w:szCs w:val="20"/>
          <w:color w:val="auto"/>
        </w:rPr>
      </w:pPr>
      <w:r>
        <w:rPr>
          <w:rFonts w:ascii="Arial" w:cs="Arial" w:eastAsia="Arial" w:hAnsi="Arial"/>
          <w:sz w:val="19"/>
          <w:szCs w:val="19"/>
          <w:color w:val="auto"/>
        </w:rPr>
        <w:t>The Company currently has four vessels under time charter leases with non-cancellable terms ranging from two to seven years. The lease commitments in the table above include only the lease component of these arrangements due over the non-cancellable term and does not include any operating services.</w:t>
      </w:r>
    </w:p>
    <w:p>
      <w:pPr>
        <w:spacing w:after="0" w:line="181" w:lineRule="exact"/>
        <w:rPr>
          <w:sz w:val="20"/>
          <w:szCs w:val="20"/>
          <w:color w:val="auto"/>
        </w:rPr>
      </w:pPr>
    </w:p>
    <w:p>
      <w:pPr>
        <w:ind w:right="100" w:firstLine="279"/>
        <w:spacing w:after="0" w:line="250" w:lineRule="auto"/>
        <w:rPr>
          <w:sz w:val="20"/>
          <w:szCs w:val="20"/>
          <w:color w:val="auto"/>
        </w:rPr>
      </w:pPr>
      <w:r>
        <w:rPr>
          <w:rFonts w:ascii="Arial" w:cs="Arial" w:eastAsia="Arial" w:hAnsi="Arial"/>
          <w:sz w:val="19"/>
          <w:szCs w:val="19"/>
          <w:color w:val="auto"/>
        </w:rPr>
        <w:t>We have leases for port space and a land site for the development of our facilities. Terms for leases of port space range from 20 to 25 years. The land site lease is held with an affiliate of the Company and has a remaining term of approximately five years.</w:t>
      </w:r>
    </w:p>
    <w:p>
      <w:pPr>
        <w:spacing w:after="0" w:line="172" w:lineRule="exact"/>
        <w:rPr>
          <w:sz w:val="20"/>
          <w:szCs w:val="20"/>
          <w:color w:val="auto"/>
        </w:rPr>
      </w:pPr>
    </w:p>
    <w:p>
      <w:pPr>
        <w:ind w:right="280" w:firstLine="279"/>
        <w:spacing w:after="0" w:line="250" w:lineRule="auto"/>
        <w:rPr>
          <w:sz w:val="20"/>
          <w:szCs w:val="20"/>
          <w:color w:val="auto"/>
        </w:rPr>
      </w:pPr>
      <w:r>
        <w:rPr>
          <w:rFonts w:ascii="Arial" w:cs="Arial" w:eastAsia="Arial" w:hAnsi="Arial"/>
          <w:sz w:val="19"/>
          <w:szCs w:val="19"/>
          <w:color w:val="auto"/>
        </w:rPr>
        <w:t>Office space includes a space shared with affiliated companies in New York with a month to month lease, and an office space in downtown Miami with a lease term of 84 months.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9" w:name="page60"/>
    <w:bookmarkEnd w:id="5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Critical Accounting Estimates</w:t>
      </w:r>
    </w:p>
    <w:p>
      <w:pPr>
        <w:spacing w:after="0" w:line="204" w:lineRule="exact"/>
        <w:rPr>
          <w:sz w:val="20"/>
          <w:szCs w:val="20"/>
          <w:color w:val="auto"/>
        </w:rPr>
      </w:pPr>
    </w:p>
    <w:p>
      <w:pPr>
        <w:ind w:right="80" w:firstLine="279"/>
        <w:spacing w:after="0" w:line="234" w:lineRule="auto"/>
        <w:rPr>
          <w:sz w:val="20"/>
          <w:szCs w:val="20"/>
          <w:color w:val="auto"/>
        </w:rPr>
      </w:pPr>
      <w:r>
        <w:rPr>
          <w:rFonts w:ascii="Arial" w:cs="Arial" w:eastAsia="Arial" w:hAnsi="Arial"/>
          <w:sz w:val="19"/>
          <w:szCs w:val="19"/>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Revenue recognition</w:t>
      </w:r>
    </w:p>
    <w:p>
      <w:pPr>
        <w:spacing w:after="0" w:line="200" w:lineRule="exact"/>
        <w:rPr>
          <w:sz w:val="20"/>
          <w:szCs w:val="20"/>
          <w:color w:val="auto"/>
        </w:rPr>
      </w:pPr>
    </w:p>
    <w:p>
      <w:pPr>
        <w:ind w:firstLine="279"/>
        <w:spacing w:after="0" w:line="267" w:lineRule="auto"/>
        <w:rPr>
          <w:sz w:val="20"/>
          <w:szCs w:val="20"/>
          <w:color w:val="auto"/>
        </w:rPr>
      </w:pPr>
      <w:r>
        <w:rPr>
          <w:rFonts w:ascii="Arial" w:cs="Arial" w:eastAsia="Arial" w:hAnsi="Arial"/>
          <w:sz w:val="17"/>
          <w:szCs w:val="17"/>
          <w:color w:val="auto"/>
        </w:rPr>
        <w:t>The Company’s primary revenue stream is the sale of LNG and natural gas to customers, which is presented as Operating revenue in the consolidated statements of operations and comprehensive loss. Natural gas is typically delivered by pipeline into the customer’s power generation facilities, and LNG is typically delivered in containers transported by truck to customer sites. Revenue from sales of natural gas delivered by pipeline to a power generation facility is recognized over time under the output method, as the customer takes control of the natural gas.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w:t>
      </w:r>
    </w:p>
    <w:p>
      <w:pPr>
        <w:spacing w:after="0" w:line="159" w:lineRule="exact"/>
        <w:rPr>
          <w:sz w:val="20"/>
          <w:szCs w:val="20"/>
          <w:color w:val="auto"/>
        </w:rPr>
      </w:pPr>
    </w:p>
    <w:p>
      <w:pPr>
        <w:ind w:right="80" w:firstLine="279"/>
        <w:spacing w:after="0"/>
        <w:rPr>
          <w:sz w:val="20"/>
          <w:szCs w:val="20"/>
          <w:color w:val="auto"/>
        </w:rPr>
      </w:pPr>
      <w:r>
        <w:rPr>
          <w:rFonts w:ascii="Arial" w:cs="Arial" w:eastAsia="Arial" w:hAnsi="Arial"/>
          <w:sz w:val="19"/>
          <w:szCs w:val="19"/>
          <w:color w:val="auto"/>
        </w:rPr>
        <w:t>The Company has concluded that variable consideration included in these agreements meets the exception for allocating variable consideration to each unit sold under the contract. As such, the variable consideration for these contracts is allocated to each distinct unit of LNG or natural gas delivered and recognized when that distinct unit of LNG or natural gas is delivered to the customer.</w:t>
      </w:r>
    </w:p>
    <w:p>
      <w:pPr>
        <w:spacing w:after="0" w:line="181" w:lineRule="exact"/>
        <w:rPr>
          <w:sz w:val="20"/>
          <w:szCs w:val="20"/>
          <w:color w:val="auto"/>
        </w:rPr>
      </w:pPr>
    </w:p>
    <w:p>
      <w:pPr>
        <w:ind w:right="60" w:firstLine="279"/>
        <w:spacing w:after="0" w:line="234" w:lineRule="auto"/>
        <w:rPr>
          <w:sz w:val="20"/>
          <w:szCs w:val="20"/>
          <w:color w:val="auto"/>
        </w:rPr>
      </w:pPr>
      <w:r>
        <w:rPr>
          <w:rFonts w:ascii="Arial" w:cs="Arial" w:eastAsia="Arial" w:hAnsi="Arial"/>
          <w:sz w:val="19"/>
          <w:szCs w:val="19"/>
          <w:color w:val="auto"/>
        </w:rPr>
        <w:t>The Company’s contracts with customers to supply LNG or natural gas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minimum lease payments and the amount to be accounted for under the revenue recognition guidance.</w:t>
      </w:r>
    </w:p>
    <w:p>
      <w:pPr>
        <w:spacing w:after="0" w:line="182" w:lineRule="exact"/>
        <w:rPr>
          <w:sz w:val="20"/>
          <w:szCs w:val="20"/>
          <w:color w:val="auto"/>
        </w:rPr>
      </w:pPr>
    </w:p>
    <w:p>
      <w:pPr>
        <w:ind w:right="40" w:firstLine="279"/>
        <w:spacing w:after="0" w:line="249" w:lineRule="auto"/>
        <w:rPr>
          <w:sz w:val="20"/>
          <w:szCs w:val="20"/>
          <w:color w:val="auto"/>
        </w:rPr>
      </w:pPr>
      <w:r>
        <w:rPr>
          <w:rFonts w:ascii="Arial" w:cs="Arial" w:eastAsia="Arial" w:hAnsi="Arial"/>
          <w:sz w:val="18"/>
          <w:szCs w:val="18"/>
          <w:color w:val="auto"/>
        </w:rPr>
        <w:t>The leases of certain facilities and equipment to customers are accounted for as direct financing or operating leases. Finance leases, net represents the minimum lease payments due, net of unearned revenue. The lease payments are segregated into principal and interest components similar to a loan. Unearned revenue is recognized on an effective interest method over the lease term and is included in Other revenue in the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consolidated statements of operations and comprehensive loss.</w:t>
      </w:r>
    </w:p>
    <w:p>
      <w:pPr>
        <w:spacing w:after="0" w:line="175" w:lineRule="exact"/>
        <w:rPr>
          <w:sz w:val="20"/>
          <w:szCs w:val="20"/>
          <w:color w:val="auto"/>
        </w:rPr>
      </w:pPr>
    </w:p>
    <w:p>
      <w:pPr>
        <w:ind w:right="160" w:firstLine="279"/>
        <w:spacing w:after="0" w:line="248" w:lineRule="auto"/>
        <w:rPr>
          <w:sz w:val="20"/>
          <w:szCs w:val="20"/>
          <w:color w:val="auto"/>
        </w:rPr>
      </w:pPr>
      <w:r>
        <w:rPr>
          <w:rFonts w:ascii="Arial" w:cs="Arial" w:eastAsia="Arial" w:hAnsi="Arial"/>
          <w:sz w:val="18"/>
          <w:szCs w:val="18"/>
          <w:color w:val="auto"/>
        </w:rPr>
        <w:t>In addition to the revenue recognized from the leasing components of agreements with customers, Other revenue includes development services revenue recognized from the construction and installation of equipment to transform customers’ facilities to operate utilizing natural gas or to allow customers to receive power or other outputs from our power generation facilities. Revenue from these development services is recognized over time as the Company transfers control of the asset to the customer, unless the customer is not able to obtain control over the asset under development until such services are completed, in which case,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76" w:lineRule="exact"/>
        <w:rPr>
          <w:sz w:val="20"/>
          <w:szCs w:val="20"/>
          <w:color w:val="auto"/>
        </w:rPr>
      </w:pPr>
    </w:p>
    <w:p>
      <w:pPr>
        <w:ind w:right="140" w:firstLine="279"/>
        <w:spacing w:after="0" w:line="313" w:lineRule="auto"/>
        <w:rPr>
          <w:sz w:val="20"/>
          <w:szCs w:val="20"/>
          <w:color w:val="auto"/>
        </w:rPr>
      </w:pPr>
      <w:r>
        <w:rPr>
          <w:rFonts w:ascii="Arial" w:cs="Arial" w:eastAsia="Arial" w:hAnsi="Arial"/>
          <w:sz w:val="15"/>
          <w:szCs w:val="15"/>
          <w:color w:val="auto"/>
        </w:rPr>
        <w:t>Development services are typically included in arrangements that include other distinct performance obligations, and the Company allocates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the Company primarily determines the SSP using the cost-plus approach. In the circumstances when available information to determine SSP is highly variable or uncertain, the Company uses the residual approach.</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Impairment of long-lived assets</w:t>
      </w:r>
    </w:p>
    <w:p>
      <w:pPr>
        <w:spacing w:after="0" w:line="200" w:lineRule="exact"/>
        <w:rPr>
          <w:sz w:val="20"/>
          <w:szCs w:val="20"/>
          <w:color w:val="auto"/>
        </w:rPr>
      </w:pPr>
    </w:p>
    <w:p>
      <w:pPr>
        <w:ind w:right="100" w:firstLine="279"/>
        <w:spacing w:after="0" w:line="251" w:lineRule="auto"/>
        <w:rPr>
          <w:sz w:val="20"/>
          <w:szCs w:val="20"/>
          <w:color w:val="auto"/>
        </w:rPr>
      </w:pPr>
      <w:r>
        <w:rPr>
          <w:rFonts w:ascii="Arial" w:cs="Arial" w:eastAsia="Arial" w:hAnsi="Arial"/>
          <w:sz w:val="18"/>
          <w:szCs w:val="18"/>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0" w:name="page61"/>
    <w:bookmarkEnd w:id="6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60" w:firstLine="279"/>
        <w:spacing w:after="0" w:line="235" w:lineRule="auto"/>
        <w:rPr>
          <w:sz w:val="20"/>
          <w:szCs w:val="20"/>
          <w:color w:val="auto"/>
        </w:rPr>
      </w:pPr>
      <w:r>
        <w:rPr>
          <w:rFonts w:ascii="Arial" w:cs="Arial" w:eastAsia="Arial" w:hAnsi="Arial"/>
          <w:sz w:val="19"/>
          <w:szCs w:val="19"/>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w:t>
      </w:r>
    </w:p>
    <w:p>
      <w:pPr>
        <w:spacing w:after="0" w:line="185" w:lineRule="exact"/>
        <w:rPr>
          <w:sz w:val="20"/>
          <w:szCs w:val="20"/>
          <w:color w:val="auto"/>
        </w:rPr>
      </w:pPr>
    </w:p>
    <w:p>
      <w:pPr>
        <w:ind w:right="40" w:firstLine="279"/>
        <w:spacing w:after="0" w:line="264" w:lineRule="auto"/>
        <w:rPr>
          <w:sz w:val="20"/>
          <w:szCs w:val="20"/>
          <w:color w:val="auto"/>
        </w:rPr>
      </w:pPr>
      <w:r>
        <w:rPr>
          <w:rFonts w:ascii="Arial" w:cs="Arial" w:eastAsia="Arial" w:hAnsi="Arial"/>
          <w:sz w:val="17"/>
          <w:szCs w:val="17"/>
          <w:color w:val="auto"/>
        </w:rPr>
        <w:t>We have considered that the market price of LNG can vary widely, including recent decreases throughout 2019. Due to the decline in LNG prices, we executed a firm commitment to purchase 27.5 TBtus annually beginning in 2022 at prices that are expected to be significantly lower than inventory purchased in 2019. Further, we believe that we will take advantage of the current market pricing for LNG to supply our expanding operations, resulting in an overall lower average cost of LNG in future periods. Our long-term, take-or pay contracts to deliver natural gas or LNG to our customers also limit our exposure to fluctuations in natural gas and LNG as our pricing is based on the Henry Hub index plus a contractual spread. Based on the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and secure LNG to supply our expanding operations and reduce our exposure to future LNG price variations in the long term.</w:t>
      </w:r>
    </w:p>
    <w:p>
      <w:pPr>
        <w:spacing w:after="0" w:line="162" w:lineRule="exact"/>
        <w:rPr>
          <w:sz w:val="20"/>
          <w:szCs w:val="20"/>
          <w:color w:val="auto"/>
        </w:rPr>
      </w:pPr>
    </w:p>
    <w:p>
      <w:pPr>
        <w:ind w:right="300" w:firstLine="279"/>
        <w:spacing w:after="0" w:line="235" w:lineRule="auto"/>
        <w:rPr>
          <w:sz w:val="20"/>
          <w:szCs w:val="20"/>
          <w:color w:val="auto"/>
        </w:rPr>
      </w:pPr>
      <w:r>
        <w:rPr>
          <w:rFonts w:ascii="Arial" w:cs="Arial" w:eastAsia="Arial" w:hAnsi="Arial"/>
          <w:sz w:val="19"/>
          <w:szCs w:val="19"/>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Share-based compensation</w:t>
      </w:r>
    </w:p>
    <w:p>
      <w:pPr>
        <w:spacing w:after="0" w:line="200" w:lineRule="exact"/>
        <w:rPr>
          <w:sz w:val="20"/>
          <w:szCs w:val="20"/>
          <w:color w:val="auto"/>
        </w:rPr>
      </w:pPr>
    </w:p>
    <w:p>
      <w:pPr>
        <w:ind w:right="480" w:firstLine="279"/>
        <w:spacing w:after="0"/>
        <w:rPr>
          <w:sz w:val="20"/>
          <w:szCs w:val="20"/>
          <w:color w:val="auto"/>
        </w:rPr>
      </w:pPr>
      <w:r>
        <w:rPr>
          <w:rFonts w:ascii="Arial" w:cs="Arial" w:eastAsia="Arial" w:hAnsi="Arial"/>
          <w:sz w:val="19"/>
          <w:szCs w:val="19"/>
          <w:color w:val="auto"/>
        </w:rPr>
        <w:t>The Company estimates the fair value of RSUs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JOBS Act</w:t>
      </w:r>
    </w:p>
    <w:p>
      <w:pPr>
        <w:spacing w:after="0" w:line="204" w:lineRule="exact"/>
        <w:rPr>
          <w:sz w:val="20"/>
          <w:szCs w:val="20"/>
          <w:color w:val="auto"/>
        </w:rPr>
      </w:pPr>
    </w:p>
    <w:p>
      <w:pPr>
        <w:ind w:right="120" w:firstLine="279"/>
        <w:spacing w:after="0" w:line="269"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Subject to certain conditions, as an EGC, we have elected to rely on certain of these exemptions, including without limitation, (1) providing an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auditor’s attestation report on our system of internal controls over financial reporting pursuant to Section 404(b) of the Sarbanes-Oxley Act and (2)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complying with any requirement that may be adopted by the Public Company Accounting Oversight Board, or PCAOB, regarding mandatory audit firm</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rotation or a supplement to the auditor’s report providing additional information about the audit and the financial statements, known as the auditor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discussion and analysis. We will remain an EGC until the earlier of (i) the last day of the fiscal year in which we have total annual gross revenues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$1.07 billion or more; (ii) the last day of the fiscal year following the fifth anniversary of the date of the completion of our IPO, December 31, 2024; (iii)</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the date on which we have issued more than $1.00 billion in nonconvertible debt during the previous three years; or (iv) the date on which we are deemed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to be a large accelerated filer under the rules of the Securities and Exchange Commission or SEC.</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Standards</w:t>
      </w:r>
    </w:p>
    <w:p>
      <w:pPr>
        <w:spacing w:after="0" w:line="204" w:lineRule="exact"/>
        <w:rPr>
          <w:sz w:val="20"/>
          <w:szCs w:val="20"/>
          <w:color w:val="auto"/>
        </w:rPr>
      </w:pPr>
    </w:p>
    <w:p>
      <w:pPr>
        <w:ind w:right="100" w:firstLine="279"/>
        <w:spacing w:after="0" w:line="250" w:lineRule="auto"/>
        <w:rPr>
          <w:sz w:val="20"/>
          <w:szCs w:val="20"/>
          <w:color w:val="auto"/>
        </w:rPr>
      </w:pPr>
      <w:r>
        <w:rPr>
          <w:rFonts w:ascii="Arial" w:cs="Arial" w:eastAsia="Arial" w:hAnsi="Arial"/>
          <w:sz w:val="19"/>
          <w:szCs w:val="19"/>
          <w:color w:val="auto"/>
        </w:rPr>
        <w:t>For descriptions of recently issued accounting standards, see “Note 3 - Adoption of new and revised standards” to our notes to consolidated financial statements included elsewhere in this Annual Report.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1" w:name="page62"/>
    <w:bookmarkEnd w:id="6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Commodity Price Risk</w:t>
      </w:r>
    </w:p>
    <w:p>
      <w:pPr>
        <w:spacing w:after="0" w:line="200" w:lineRule="exact"/>
        <w:rPr>
          <w:sz w:val="20"/>
          <w:szCs w:val="20"/>
          <w:color w:val="auto"/>
        </w:rPr>
      </w:pPr>
    </w:p>
    <w:p>
      <w:pPr>
        <w:ind w:firstLine="279"/>
        <w:spacing w:after="0" w:line="235" w:lineRule="auto"/>
        <w:rPr>
          <w:sz w:val="20"/>
          <w:szCs w:val="20"/>
          <w:color w:val="auto"/>
        </w:rPr>
      </w:pPr>
      <w:r>
        <w:rPr>
          <w:rFonts w:ascii="Arial" w:cs="Arial" w:eastAsia="Arial" w:hAnsi="Arial"/>
          <w:sz w:val="19"/>
          <w:szCs w:val="19"/>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200" w:lineRule="exact"/>
        <w:rPr>
          <w:sz w:val="20"/>
          <w:szCs w:val="20"/>
          <w:color w:val="auto"/>
        </w:rPr>
      </w:pPr>
    </w:p>
    <w:p>
      <w:pPr>
        <w:ind w:firstLine="279"/>
        <w:spacing w:after="0" w:line="235" w:lineRule="auto"/>
        <w:rPr>
          <w:sz w:val="20"/>
          <w:szCs w:val="20"/>
          <w:color w:val="auto"/>
        </w:rPr>
      </w:pPr>
      <w:r>
        <w:rPr>
          <w:rFonts w:ascii="Arial" w:cs="Arial" w:eastAsia="Arial" w:hAnsi="Arial"/>
          <w:sz w:val="19"/>
          <w:szCs w:val="19"/>
          <w:color w:val="auto"/>
        </w:rPr>
        <w:t>Debt that we incurred under the Term Loan Facility bore interest at a variable rate and exposed us to interest rate risk. Interest is calculated under the terms of the Term Loan Facility based on our selection, from time to time, of one of the index rates available to us plus an applicable margin that varies based on certain factors. See “—Liquidity and Capital Resources—Long-Term Debt.” As of December 31, 2019, the principal amount outstanding for the Term Loan Facility was $495,000. The impact on interest expense of a 1% increase or decrease in the interest rate of the Term Loan Facility would be approximately $4,950 per year.</w:t>
      </w:r>
    </w:p>
    <w:p>
      <w:pPr>
        <w:spacing w:after="0" w:line="185" w:lineRule="exact"/>
        <w:rPr>
          <w:sz w:val="20"/>
          <w:szCs w:val="20"/>
          <w:color w:val="auto"/>
        </w:rPr>
      </w:pPr>
    </w:p>
    <w:p>
      <w:pPr>
        <w:ind w:right="20" w:firstLine="279"/>
        <w:spacing w:after="0" w:line="235" w:lineRule="auto"/>
        <w:rPr>
          <w:sz w:val="20"/>
          <w:szCs w:val="20"/>
          <w:color w:val="auto"/>
        </w:rPr>
      </w:pPr>
      <w:r>
        <w:rPr>
          <w:rFonts w:ascii="Arial" w:cs="Arial" w:eastAsia="Arial" w:hAnsi="Arial"/>
          <w:sz w:val="19"/>
          <w:szCs w:val="19"/>
          <w:color w:val="auto"/>
        </w:rPr>
        <w:t>Subsequent to December 31, 2019, we borrowed $800,000 in term loans under the Credit Agreement, and the loan proceeds were received in January 2020. The Credit Agreement bears interest based on a LIBOR rate plus a fixed margin. As proceeds from the Credit Agreement were used to repay the Term Loan Facility in full, our future exposure to changes in interest rates will be primarily limited to borrowings outstanding under the Credit Agreement. The impact on interest expense of a 1% increase or decrease in the interest rate of the Credit Agreement would be approximately $8,000 per year.</w:t>
      </w:r>
    </w:p>
    <w:p>
      <w:pPr>
        <w:spacing w:after="0" w:line="185" w:lineRule="exact"/>
        <w:rPr>
          <w:sz w:val="20"/>
          <w:szCs w:val="20"/>
          <w:color w:val="auto"/>
        </w:rPr>
      </w:pPr>
    </w:p>
    <w:p>
      <w:pPr>
        <w:ind w:right="40" w:firstLine="279"/>
        <w:spacing w:after="0"/>
        <w:rPr>
          <w:sz w:val="20"/>
          <w:szCs w:val="20"/>
          <w:color w:val="auto"/>
        </w:rPr>
      </w:pPr>
      <w:r>
        <w:rPr>
          <w:rFonts w:ascii="Arial" w:cs="Arial" w:eastAsia="Arial" w:hAnsi="Arial"/>
          <w:sz w:val="19"/>
          <w:szCs w:val="19"/>
          <w:color w:val="auto"/>
        </w:rPr>
        <w:t>The Senior Secured Bonds and Senior Unsecured Bonds were issued with a fixed rate of interest, and as such, a change in interest rates would impact the fair value of the Senior Secured Bonds and Senior Unsecured Bonds but such a change would have no impact on our results of operations or cash flows.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do not currently have any derivative arrangements to protect against fluctuations in interest rates applicable to our outstanding indebtedness.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Exchange Risk</w:t>
      </w:r>
    </w:p>
    <w:p>
      <w:pPr>
        <w:spacing w:after="0" w:line="200" w:lineRule="exact"/>
        <w:rPr>
          <w:sz w:val="20"/>
          <w:szCs w:val="20"/>
          <w:color w:val="auto"/>
        </w:rPr>
      </w:pPr>
    </w:p>
    <w:p>
      <w:pPr>
        <w:ind w:right="80" w:firstLine="279"/>
        <w:spacing w:after="0" w:line="235" w:lineRule="auto"/>
        <w:rPr>
          <w:sz w:val="20"/>
          <w:szCs w:val="20"/>
          <w:color w:val="auto"/>
        </w:rPr>
      </w:pPr>
      <w:r>
        <w:rPr>
          <w:rFonts w:ascii="Arial" w:cs="Arial" w:eastAsia="Arial" w:hAnsi="Arial"/>
          <w:sz w:val="19"/>
          <w:szCs w:val="19"/>
          <w:color w:val="auto"/>
        </w:rPr>
        <w:t>We primarily conduct our operations in U.S. dollars, and as such, our results of operations and cash flows have not materially been impacted by fluctuations due to changes in foreign currency exchange rates. We currently incur a limited amount of costs in foreign jurisdictions that are paid in local currencies, but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187"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3"/>
          <w:szCs w:val="13"/>
          <w:b w:val="1"/>
          <w:bCs w:val="1"/>
          <w:color w:val="auto"/>
        </w:rPr>
        <w:t>Financial Statements and Supplementary Data.</w:t>
      </w:r>
    </w:p>
    <w:p>
      <w:pPr>
        <w:spacing w:after="0" w:line="220" w:lineRule="exact"/>
        <w:rPr>
          <w:sz w:val="20"/>
          <w:szCs w:val="20"/>
          <w:color w:val="auto"/>
        </w:rPr>
      </w:pPr>
    </w:p>
    <w:p>
      <w:pPr>
        <w:ind w:right="460" w:firstLine="279"/>
        <w:spacing w:after="0" w:line="250" w:lineRule="auto"/>
        <w:rPr>
          <w:sz w:val="20"/>
          <w:szCs w:val="20"/>
          <w:color w:val="auto"/>
        </w:rPr>
      </w:pPr>
      <w:r>
        <w:rPr>
          <w:rFonts w:ascii="Arial" w:cs="Arial" w:eastAsia="Arial" w:hAnsi="Arial"/>
          <w:sz w:val="19"/>
          <w:szCs w:val="19"/>
          <w:color w:val="auto"/>
        </w:rPr>
        <w:t>Our Consolidated Financial Statements, together with the report of our independent registered public accounting firm, begin on page F-1 of this Annual Report and are incorporated herein by reference.</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Evaluation of Disclosure Controls and Procedures</w:t>
      </w:r>
    </w:p>
    <w:p>
      <w:pPr>
        <w:spacing w:after="0" w:line="200" w:lineRule="exact"/>
        <w:rPr>
          <w:sz w:val="20"/>
          <w:szCs w:val="20"/>
          <w:color w:val="auto"/>
        </w:rPr>
      </w:pPr>
    </w:p>
    <w:p>
      <w:pPr>
        <w:ind w:right="140" w:firstLine="279"/>
        <w:spacing w:after="0" w:line="264"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2019.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2019 at the reasonable assurance level.</w:t>
      </w:r>
    </w:p>
    <w:p>
      <w:pPr>
        <w:sectPr>
          <w:pgSz w:w="11900" w:h="16838" w:orient="portrait"/>
          <w:cols w:equalWidth="0" w:num="1">
            <w:col w:w="11420"/>
          </w:cols>
          <w:pgMar w:left="240" w:top="124" w:right="23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26567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62" w:name="page63"/>
    <w:bookmarkEnd w:id="6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00" w:lineRule="exact"/>
        <w:rPr>
          <w:sz w:val="20"/>
          <w:szCs w:val="20"/>
          <w:color w:val="auto"/>
        </w:rPr>
      </w:pPr>
    </w:p>
    <w:p>
      <w:pPr>
        <w:ind w:right="80" w:firstLine="279"/>
        <w:spacing w:after="0"/>
        <w:rPr>
          <w:sz w:val="20"/>
          <w:szCs w:val="20"/>
          <w:color w:val="auto"/>
        </w:rPr>
      </w:pPr>
      <w:r>
        <w:rPr>
          <w:rFonts w:ascii="Arial" w:cs="Arial" w:eastAsia="Arial" w:hAnsi="Arial"/>
          <w:sz w:val="19"/>
          <w:szCs w:val="19"/>
          <w:color w:val="auto"/>
        </w:rPr>
        <w:t>There were no changes in our internal control over financial reporting (as defined in Rule 13a-15(f) and Rule 15d-15(f) under the Exchange Act) that occurred during our last quarter of 2019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Report on Internal Control Over Financial Reporting</w:t>
      </w:r>
    </w:p>
    <w:p>
      <w:pPr>
        <w:spacing w:after="0" w:line="200" w:lineRule="exact"/>
        <w:rPr>
          <w:sz w:val="20"/>
          <w:szCs w:val="20"/>
          <w:color w:val="auto"/>
        </w:rPr>
      </w:pPr>
    </w:p>
    <w:p>
      <w:pPr>
        <w:ind w:firstLine="279"/>
        <w:spacing w:after="0" w:line="24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5" w:lineRule="exact"/>
        <w:rPr>
          <w:sz w:val="20"/>
          <w:szCs w:val="20"/>
          <w:color w:val="auto"/>
        </w:rPr>
      </w:pPr>
    </w:p>
    <w:p>
      <w:pPr>
        <w:ind w:right="600" w:firstLine="279"/>
        <w:spacing w:after="0" w:line="254" w:lineRule="auto"/>
        <w:rPr>
          <w:sz w:val="20"/>
          <w:szCs w:val="20"/>
          <w:color w:val="auto"/>
        </w:rPr>
      </w:pPr>
      <w:r>
        <w:rPr>
          <w:rFonts w:ascii="Arial" w:cs="Arial" w:eastAsia="Arial" w:hAnsi="Arial"/>
          <w:sz w:val="18"/>
          <w:szCs w:val="18"/>
          <w:color w:val="auto"/>
        </w:rPr>
        <w:t>As of December 31, 2019, our management assessed the effectiveness of our internal control over financial reporting based on the criteria for effective internal control over financial reporting established in “Internal Control – Integrated Framework (2013)”, issued by the Committee of Sponsoring Organizations of the Treadway Commission. Based on this assessment and those criteria, management determined that we maintained effective internal control over financial reporting as of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Attestation Report of the Registered Public Accounting Firm</w:t>
      </w:r>
    </w:p>
    <w:p>
      <w:pPr>
        <w:spacing w:after="0" w:line="200" w:lineRule="exact"/>
        <w:rPr>
          <w:sz w:val="20"/>
          <w:szCs w:val="20"/>
          <w:color w:val="auto"/>
        </w:rPr>
      </w:pPr>
    </w:p>
    <w:p>
      <w:pPr>
        <w:ind w:right="240" w:firstLine="310"/>
        <w:spacing w:after="0" w:line="250" w:lineRule="auto"/>
        <w:rPr>
          <w:sz w:val="20"/>
          <w:szCs w:val="20"/>
          <w:color w:val="auto"/>
        </w:rPr>
      </w:pPr>
      <w:r>
        <w:rPr>
          <w:rFonts w:ascii="Arial" w:cs="Arial" w:eastAsia="Arial" w:hAnsi="Arial"/>
          <w:sz w:val="19"/>
          <w:szCs w:val="19"/>
          <w:color w:val="auto"/>
        </w:rPr>
        <w:t>Our independent registered public accounting firm will not be required to formally attest to the effectiveness of our internal controls over financial reporting for as long as we are an “emerging growth company” pursuant to the provisions of the JOBS Act.</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3" w:name="page64"/>
    <w:bookmarkEnd w:id="6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PART III</w:t>
      </w:r>
    </w:p>
    <w:p>
      <w:pPr>
        <w:spacing w:after="0" w:line="206"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information required by this Item 10 is set forth in the Company’s Proxy Statement to be filed with the SEC within 120 days after December 31, 2019 in connection with our 2020 annual meeting of shareholders and is incorporated herein by reference.</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The information required by this Item 11 is set forth in the Company’s Proxy Statement to be filed with the SEC within 120 days after December 31, 2019 in connection with our 2020 annual meeting of shareholders and is incorporated herein by reference.</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information required by this Item 12 is set forth in the Company’s Proxy Statement to be filed with the SEC within 120 days after December 31, 2019 in connection with our 2020 annual meeting of shareholders and is incorporated herein by reference.</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information required by this Item 13 is set forth in the Company’s Proxy Statement to be filed with the SEC within 120 days after December 31, 2019 in connection with our 2020 annual meeting of shareholders and is incorporated herein by reference.</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The information required by this Item 14 is set forth in the Company’s Proxy Statement to be filed with the SEC within 120 days after December 31, 2019 in connection with our 2020 annual meeting of shareholders and is incorporated herein by reference.</w:t>
      </w:r>
    </w:p>
    <w:p>
      <w:pPr>
        <w:spacing w:after="0" w:line="338"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060"/>
          </w:cols>
          <w:pgMar w:left="240" w:top="124" w:right="599" w:bottom="1440" w:gutter="0" w:footer="0" w:header="0"/>
        </w:sectPr>
      </w:pPr>
    </w:p>
    <w:bookmarkStart w:id="64" w:name="page65"/>
    <w:bookmarkEnd w:id="64"/>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PART IV</w:t>
      </w:r>
    </w:p>
    <w:p>
      <w:pPr>
        <w:spacing w:after="0" w:line="206" w:lineRule="exact"/>
        <w:rPr>
          <w:sz w:val="20"/>
          <w:szCs w:val="20"/>
          <w:color w:val="auto"/>
        </w:rPr>
      </w:pPr>
    </w:p>
    <w:p>
      <w:pPr>
        <w:ind w:left="7"/>
        <w:spacing w:after="0"/>
        <w:tabs>
          <w:tab w:leader="none" w:pos="687"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3"/>
          <w:szCs w:val="13"/>
          <w:b w:val="1"/>
          <w:bCs w:val="1"/>
          <w:color w:val="auto"/>
        </w:rPr>
        <w:t>Exhibits, Financial Statement Schedules.</w:t>
      </w:r>
    </w:p>
    <w:p>
      <w:pPr>
        <w:spacing w:after="0" w:line="200" w:lineRule="exact"/>
        <w:rPr>
          <w:sz w:val="20"/>
          <w:szCs w:val="20"/>
          <w:color w:val="auto"/>
        </w:rPr>
      </w:pPr>
    </w:p>
    <w:p>
      <w:pPr>
        <w:spacing w:after="0" w:line="238" w:lineRule="exact"/>
        <w:rPr>
          <w:sz w:val="20"/>
          <w:szCs w:val="20"/>
          <w:color w:val="auto"/>
        </w:rPr>
      </w:pPr>
    </w:p>
    <w:p>
      <w:pPr>
        <w:ind w:left="7"/>
        <w:spacing w:after="0"/>
        <w:tabs>
          <w:tab w:leader="none" w:pos="547" w:val="left"/>
        </w:tabs>
        <w:rPr>
          <w:sz w:val="20"/>
          <w:szCs w:val="20"/>
          <w:color w:val="auto"/>
        </w:rPr>
      </w:pPr>
      <w:r>
        <w:rPr>
          <w:rFonts w:ascii="Arial" w:cs="Arial" w:eastAsia="Arial" w:hAnsi="Arial"/>
          <w:sz w:val="15"/>
          <w:szCs w:val="15"/>
          <w:color w:val="auto"/>
        </w:rPr>
        <w:t>(a)(1)</w:t>
        <w:tab/>
        <w:t>Financial Statements.</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19"/>
          <w:szCs w:val="19"/>
          <w:color w:val="auto"/>
        </w:rPr>
        <w:t>See “Index to Financial Statements” set forth on page F-1.</w:t>
      </w:r>
    </w:p>
    <w:p>
      <w:pPr>
        <w:spacing w:after="0" w:line="208" w:lineRule="exact"/>
        <w:rPr>
          <w:sz w:val="20"/>
          <w:szCs w:val="20"/>
          <w:color w:val="auto"/>
        </w:rPr>
      </w:pPr>
    </w:p>
    <w:p>
      <w:pPr>
        <w:ind w:left="567" w:hanging="567"/>
        <w:spacing w:after="0"/>
        <w:tabs>
          <w:tab w:leader="none" w:pos="567" w:val="left"/>
        </w:tabs>
        <w:numPr>
          <w:ilvl w:val="0"/>
          <w:numId w:val="25"/>
        </w:numPr>
        <w:rPr>
          <w:rFonts w:ascii="Arial" w:cs="Arial" w:eastAsia="Arial" w:hAnsi="Arial"/>
          <w:sz w:val="15"/>
          <w:szCs w:val="15"/>
          <w:color w:val="auto"/>
        </w:rPr>
      </w:pPr>
      <w:r>
        <w:rPr>
          <w:rFonts w:ascii="Arial" w:cs="Arial" w:eastAsia="Arial" w:hAnsi="Arial"/>
          <w:sz w:val="15"/>
          <w:szCs w:val="15"/>
          <w:color w:val="auto"/>
        </w:rPr>
        <w:t>Financial Statement Schedules.</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19"/>
          <w:szCs w:val="19"/>
          <w:color w:val="auto"/>
        </w:rPr>
        <w:t>See Schedule I and Schedule II set forth on page F-31.</w:t>
      </w:r>
    </w:p>
    <w:p>
      <w:pPr>
        <w:spacing w:after="0" w:line="208" w:lineRule="exact"/>
        <w:rPr>
          <w:sz w:val="20"/>
          <w:szCs w:val="20"/>
          <w:color w:val="auto"/>
        </w:rPr>
      </w:pPr>
    </w:p>
    <w:p>
      <w:pPr>
        <w:ind w:left="567" w:hanging="567"/>
        <w:spacing w:after="0"/>
        <w:tabs>
          <w:tab w:leader="none" w:pos="567"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Exhibits.</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exhibits required to be filed by this Item 15(b) are set forth in the Exhibit Index included below.</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680" w:type="dxa"/>
            <w:vAlign w:val="bottom"/>
            <w:gridSpan w:val="4"/>
          </w:tcPr>
          <w:p>
            <w:pPr>
              <w:ind w:left="60"/>
              <w:spacing w:after="0"/>
              <w:rPr>
                <w:sz w:val="20"/>
                <w:szCs w:val="20"/>
                <w:color w:val="auto"/>
              </w:rPr>
            </w:pPr>
            <w:r>
              <w:rPr>
                <w:rFonts w:ascii="Arial" w:cs="Arial" w:eastAsia="Arial" w:hAnsi="Arial"/>
                <w:sz w:val="15"/>
                <w:szCs w:val="15"/>
                <w:b w:val="1"/>
                <w:bCs w:val="1"/>
                <w:color w:val="auto"/>
              </w:rPr>
              <w:t>Exhibit</w:t>
            </w:r>
          </w:p>
        </w:tc>
        <w:tc>
          <w:tcPr>
            <w:tcW w:w="240" w:type="dxa"/>
            <w:vAlign w:val="bottom"/>
          </w:tcPr>
          <w:p>
            <w:pPr>
              <w:spacing w:after="0"/>
              <w:rPr>
                <w:sz w:val="16"/>
                <w:szCs w:val="16"/>
                <w:color w:val="auto"/>
              </w:rPr>
            </w:pPr>
          </w:p>
        </w:tc>
        <w:tc>
          <w:tcPr>
            <w:tcW w:w="10520" w:type="dxa"/>
            <w:vAlign w:val="bottom"/>
          </w:tcPr>
          <w:p>
            <w:pPr>
              <w:spacing w:after="0"/>
              <w:rPr>
                <w:sz w:val="16"/>
                <w:szCs w:val="16"/>
                <w:color w:val="auto"/>
              </w:rPr>
            </w:pPr>
          </w:p>
        </w:tc>
      </w:tr>
      <w:tr>
        <w:trPr>
          <w:trHeight w:val="206"/>
        </w:trPr>
        <w:tc>
          <w:tcPr>
            <w:tcW w:w="68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Number</w:t>
            </w:r>
          </w:p>
        </w:tc>
        <w:tc>
          <w:tcPr>
            <w:tcW w:w="240" w:type="dxa"/>
            <w:vAlign w:val="bottom"/>
            <w:tcBorders>
              <w:bottom w:val="single" w:sz="8" w:color="CCEEFF"/>
            </w:tcBorders>
          </w:tcPr>
          <w:p>
            <w:pPr>
              <w:spacing w:after="0"/>
              <w:rPr>
                <w:sz w:val="17"/>
                <w:szCs w:val="17"/>
                <w:color w:val="auto"/>
              </w:rPr>
            </w:pPr>
          </w:p>
        </w:tc>
        <w:tc>
          <w:tcPr>
            <w:tcW w:w="10520" w:type="dxa"/>
            <w:vAlign w:val="bottom"/>
            <w:tcBorders>
              <w:bottom w:val="single" w:sz="8" w:color="auto"/>
            </w:tcBorders>
          </w:tcPr>
          <w:p>
            <w:pPr>
              <w:ind w:left="4840"/>
              <w:spacing w:after="0"/>
              <w:rPr>
                <w:sz w:val="20"/>
                <w:szCs w:val="20"/>
                <w:color w:val="auto"/>
              </w:rPr>
            </w:pPr>
            <w:r>
              <w:rPr>
                <w:rFonts w:ascii="Arial" w:cs="Arial" w:eastAsia="Arial" w:hAnsi="Arial"/>
                <w:sz w:val="15"/>
                <w:szCs w:val="15"/>
                <w:b w:val="1"/>
                <w:bCs w:val="1"/>
                <w:color w:val="auto"/>
              </w:rPr>
              <w:t>Description</w:t>
            </w:r>
          </w:p>
        </w:tc>
      </w:tr>
      <w:tr>
        <w:trPr>
          <w:trHeight w:val="151"/>
        </w:trPr>
        <w:tc>
          <w:tcPr>
            <w:tcW w:w="180" w:type="dxa"/>
            <w:vAlign w:val="bottom"/>
            <w:tcBorders>
              <w:bottom w:val="single" w:sz="8" w:color="0000EE"/>
            </w:tcBorders>
            <w:shd w:val="clear" w:color="auto" w:fill="CCEEFF"/>
          </w:tcPr>
          <w:p>
            <w:pPr>
              <w:spacing w:after="0" w:line="151" w:lineRule="exact"/>
              <w:rPr>
                <w:rFonts w:ascii="Arial" w:cs="Arial" w:eastAsia="Arial" w:hAnsi="Arial"/>
                <w:sz w:val="15"/>
                <w:szCs w:val="15"/>
                <w:color w:val="0000EE"/>
                <w:w w:val="76"/>
              </w:rPr>
            </w:pPr>
            <w:hyperlink r:id="rId75">
              <w:r>
                <w:rPr>
                  <w:rFonts w:ascii="Arial" w:cs="Arial" w:eastAsia="Arial" w:hAnsi="Arial"/>
                  <w:sz w:val="15"/>
                  <w:szCs w:val="15"/>
                  <w:color w:val="0000EE"/>
                  <w:w w:val="76"/>
                </w:rPr>
                <w:t>3.</w:t>
              </w:r>
              <w:r>
                <w:rPr>
                  <w:rFonts w:ascii="Arial" w:cs="Arial" w:eastAsia="Arial" w:hAnsi="Arial"/>
                  <w:sz w:val="15"/>
                  <w:szCs w:val="15"/>
                  <w:u w:val="single" w:color="auto"/>
                  <w:color w:val="0000EE"/>
                  <w:w w:val="76"/>
                </w:rPr>
                <w:t>1</w:t>
              </w:r>
            </w:hyperlink>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52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w w:val="96"/>
              </w:rPr>
              <w:t>Certificate of Formation of New Fortress Energy LLC (incorporated by reference to Exhibit 3.1 to the Registrant’s Registration Statement on Form S-1 (File No. 333-</w:t>
            </w:r>
          </w:p>
        </w:tc>
      </w:tr>
      <w:tr>
        <w:trPr>
          <w:trHeight w:val="201"/>
        </w:trPr>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7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228339), filed with the Commission on November 9, 2018)</w:t>
            </w:r>
          </w:p>
        </w:tc>
      </w:tr>
      <w:tr>
        <w:trPr>
          <w:trHeight w:val="151"/>
        </w:trPr>
        <w:tc>
          <w:tcPr>
            <w:tcW w:w="180" w:type="dxa"/>
            <w:vAlign w:val="bottom"/>
            <w:tcBorders>
              <w:bottom w:val="single" w:sz="8" w:color="0000EE"/>
            </w:tcBorders>
          </w:tcPr>
          <w:p>
            <w:pPr>
              <w:spacing w:after="0" w:line="151" w:lineRule="exact"/>
              <w:rPr>
                <w:rFonts w:ascii="Arial" w:cs="Arial" w:eastAsia="Arial" w:hAnsi="Arial"/>
                <w:sz w:val="15"/>
                <w:szCs w:val="15"/>
                <w:color w:val="0000EE"/>
                <w:w w:val="76"/>
              </w:rPr>
            </w:pPr>
            <w:hyperlink r:id="rId76">
              <w:r>
                <w:rPr>
                  <w:rFonts w:ascii="Arial" w:cs="Arial" w:eastAsia="Arial" w:hAnsi="Arial"/>
                  <w:sz w:val="15"/>
                  <w:szCs w:val="15"/>
                  <w:color w:val="0000EE"/>
                  <w:w w:val="76"/>
                </w:rPr>
                <w:t>3.</w:t>
              </w:r>
              <w:r>
                <w:rPr>
                  <w:rFonts w:ascii="Arial" w:cs="Arial" w:eastAsia="Arial" w:hAnsi="Arial"/>
                  <w:sz w:val="15"/>
                  <w:szCs w:val="15"/>
                  <w:u w:val="single" w:color="auto"/>
                  <w:color w:val="0000EE"/>
                  <w:w w:val="76"/>
                </w:rPr>
                <w:t>2</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760" w:type="dxa"/>
            <w:vAlign w:val="bottom"/>
            <w:gridSpan w:val="2"/>
          </w:tcPr>
          <w:p>
            <w:pPr>
              <w:ind w:left="240"/>
              <w:spacing w:after="0" w:line="151" w:lineRule="exact"/>
              <w:rPr>
                <w:sz w:val="20"/>
                <w:szCs w:val="20"/>
                <w:color w:val="auto"/>
              </w:rPr>
            </w:pPr>
            <w:r>
              <w:rPr>
                <w:rFonts w:ascii="Arial" w:cs="Arial" w:eastAsia="Arial" w:hAnsi="Arial"/>
                <w:sz w:val="15"/>
                <w:szCs w:val="15"/>
                <w:color w:val="auto"/>
                <w:w w:val="96"/>
              </w:rPr>
              <w:t>Certificate of Amendment to Certificate of Formation of New Fortress Energy LLC (incorporated by reference to Exhibit 3.2 to the Registrant’s Registration Statement</w:t>
            </w:r>
          </w:p>
        </w:tc>
      </w:tr>
      <w:tr>
        <w:trPr>
          <w:trHeight w:val="200"/>
        </w:trPr>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760" w:type="dxa"/>
            <w:vAlign w:val="bottom"/>
            <w:gridSpan w:val="2"/>
          </w:tcPr>
          <w:p>
            <w:pPr>
              <w:ind w:left="240"/>
              <w:spacing w:after="0"/>
              <w:rPr>
                <w:sz w:val="20"/>
                <w:szCs w:val="20"/>
                <w:color w:val="auto"/>
              </w:rPr>
            </w:pPr>
            <w:r>
              <w:rPr>
                <w:rFonts w:ascii="Arial" w:cs="Arial" w:eastAsia="Arial" w:hAnsi="Arial"/>
                <w:sz w:val="15"/>
                <w:szCs w:val="15"/>
                <w:color w:val="auto"/>
              </w:rPr>
              <w:t>on Form S-1 (File No. 333-228339), filed with the Commission on November 9, 2018)</w:t>
            </w:r>
          </w:p>
        </w:tc>
      </w:tr>
      <w:tr>
        <w:trPr>
          <w:trHeight w:val="151"/>
        </w:trPr>
        <w:tc>
          <w:tcPr>
            <w:tcW w:w="180" w:type="dxa"/>
            <w:vAlign w:val="bottom"/>
            <w:tcBorders>
              <w:bottom w:val="single" w:sz="8" w:color="0000EE"/>
            </w:tcBorders>
            <w:shd w:val="clear" w:color="auto" w:fill="CCEEFF"/>
          </w:tcPr>
          <w:p>
            <w:pPr>
              <w:spacing w:after="0" w:line="151" w:lineRule="exact"/>
              <w:rPr>
                <w:rFonts w:ascii="Arial" w:cs="Arial" w:eastAsia="Arial" w:hAnsi="Arial"/>
                <w:sz w:val="15"/>
                <w:szCs w:val="15"/>
                <w:color w:val="0000EE"/>
                <w:w w:val="76"/>
              </w:rPr>
            </w:pPr>
            <w:hyperlink r:id="rId77">
              <w:r>
                <w:rPr>
                  <w:rFonts w:ascii="Arial" w:cs="Arial" w:eastAsia="Arial" w:hAnsi="Arial"/>
                  <w:sz w:val="15"/>
                  <w:szCs w:val="15"/>
                  <w:color w:val="0000EE"/>
                  <w:w w:val="76"/>
                </w:rPr>
                <w:t>3.</w:t>
              </w:r>
              <w:r>
                <w:rPr>
                  <w:rFonts w:ascii="Arial" w:cs="Arial" w:eastAsia="Arial" w:hAnsi="Arial"/>
                  <w:sz w:val="15"/>
                  <w:szCs w:val="15"/>
                  <w:u w:val="single" w:color="auto"/>
                  <w:color w:val="0000EE"/>
                  <w:w w:val="76"/>
                </w:rPr>
                <w:t>3</w:t>
              </w:r>
            </w:hyperlink>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760" w:type="dxa"/>
            <w:vAlign w:val="bottom"/>
            <w:tcBorders>
              <w:bottom w:val="single" w:sz="8" w:color="CCEEFF"/>
            </w:tcBorders>
            <w:gridSpan w:val="2"/>
            <w:shd w:val="clear" w:color="auto" w:fill="CCEEFF"/>
          </w:tcPr>
          <w:p>
            <w:pPr>
              <w:ind w:left="240"/>
              <w:spacing w:after="0" w:line="151" w:lineRule="exact"/>
              <w:rPr>
                <w:sz w:val="20"/>
                <w:szCs w:val="20"/>
                <w:color w:val="auto"/>
              </w:rPr>
            </w:pPr>
            <w:r>
              <w:rPr>
                <w:rFonts w:ascii="Arial" w:cs="Arial" w:eastAsia="Arial" w:hAnsi="Arial"/>
                <w:sz w:val="15"/>
                <w:szCs w:val="15"/>
                <w:color w:val="auto"/>
                <w:w w:val="96"/>
              </w:rPr>
              <w:t>First Amended and Restated Limited Liability Company Agreement of New Fortress Energy LLC, dated February 4, 2019 (incorporated by reference to Exhibit 3.1 to</w:t>
            </w:r>
          </w:p>
        </w:tc>
      </w:tr>
      <w:tr>
        <w:trPr>
          <w:trHeight w:val="201"/>
        </w:trPr>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7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the Registrant’s Form 8-K (File No. 001-38790), filed with the Commission on February 5, 2019)</w:t>
            </w:r>
          </w:p>
        </w:tc>
      </w:tr>
      <w:tr>
        <w:trPr>
          <w:trHeight w:val="151"/>
        </w:trPr>
        <w:tc>
          <w:tcPr>
            <w:tcW w:w="340" w:type="dxa"/>
            <w:vAlign w:val="bottom"/>
            <w:gridSpan w:val="3"/>
          </w:tcPr>
          <w:p>
            <w:pPr>
              <w:spacing w:after="0" w:line="151" w:lineRule="exact"/>
              <w:rPr>
                <w:rFonts w:ascii="Arial" w:cs="Arial" w:eastAsia="Arial" w:hAnsi="Arial"/>
                <w:sz w:val="15"/>
                <w:szCs w:val="15"/>
                <w:color w:val="0000EE"/>
              </w:rPr>
            </w:pPr>
            <w:hyperlink w:anchor="page104">
              <w:r>
                <w:rPr>
                  <w:rFonts w:ascii="Arial" w:cs="Arial" w:eastAsia="Arial" w:hAnsi="Arial"/>
                  <w:sz w:val="15"/>
                  <w:szCs w:val="15"/>
                  <w:color w:val="0000EE"/>
                </w:rPr>
                <w:t>4.</w:t>
              </w:r>
              <w:r>
                <w:rPr>
                  <w:rFonts w:ascii="Arial" w:cs="Arial" w:eastAsia="Arial" w:hAnsi="Arial"/>
                  <w:sz w:val="15"/>
                  <w:szCs w:val="15"/>
                  <w:u w:val="single" w:color="auto"/>
                  <w:color w:val="0000EE"/>
                </w:rPr>
                <w:t>1*</w:t>
              </w:r>
            </w:hyperlink>
          </w:p>
        </w:tc>
        <w:tc>
          <w:tcPr>
            <w:tcW w:w="340" w:type="dxa"/>
            <w:vAlign w:val="bottom"/>
          </w:tcPr>
          <w:p>
            <w:pPr>
              <w:spacing w:after="0"/>
              <w:rPr>
                <w:sz w:val="13"/>
                <w:szCs w:val="13"/>
                <w:color w:val="auto"/>
              </w:rPr>
            </w:pPr>
          </w:p>
        </w:tc>
        <w:tc>
          <w:tcPr>
            <w:tcW w:w="10760" w:type="dxa"/>
            <w:vAlign w:val="bottom"/>
            <w:gridSpan w:val="2"/>
          </w:tcPr>
          <w:p>
            <w:pPr>
              <w:ind w:left="240"/>
              <w:spacing w:after="0" w:line="151" w:lineRule="exact"/>
              <w:rPr>
                <w:sz w:val="20"/>
                <w:szCs w:val="20"/>
                <w:color w:val="auto"/>
              </w:rPr>
            </w:pPr>
            <w:r>
              <w:rPr>
                <w:rFonts w:ascii="Arial" w:cs="Arial" w:eastAsia="Arial" w:hAnsi="Arial"/>
                <w:sz w:val="15"/>
                <w:szCs w:val="15"/>
                <w:color w:val="auto"/>
              </w:rPr>
              <w:t>Description of the Registrant’s Securities Registered Pursuant to Section 12 of the Securities Exchange Act of 1934</w:t>
            </w:r>
          </w:p>
        </w:tc>
      </w:tr>
      <w:tr>
        <w:trPr>
          <w:trHeight w:val="27"/>
        </w:trPr>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520" w:type="dxa"/>
            <w:vAlign w:val="bottom"/>
          </w:tcPr>
          <w:p>
            <w:pPr>
              <w:spacing w:after="0"/>
              <w:rPr>
                <w:sz w:val="2"/>
                <w:szCs w:val="2"/>
                <w:color w:val="auto"/>
              </w:rPr>
            </w:pPr>
          </w:p>
        </w:tc>
      </w:tr>
      <w:tr>
        <w:trPr>
          <w:trHeight w:val="158"/>
        </w:trPr>
        <w:tc>
          <w:tcPr>
            <w:tcW w:w="340" w:type="dxa"/>
            <w:vAlign w:val="bottom"/>
            <w:gridSpan w:val="3"/>
            <w:shd w:val="clear" w:color="auto" w:fill="CCEEFF"/>
          </w:tcPr>
          <w:p>
            <w:pPr>
              <w:spacing w:after="0" w:line="159" w:lineRule="exact"/>
              <w:rPr>
                <w:rFonts w:ascii="Arial" w:cs="Arial" w:eastAsia="Arial" w:hAnsi="Arial"/>
                <w:sz w:val="15"/>
                <w:szCs w:val="15"/>
                <w:color w:val="0000EE"/>
              </w:rPr>
            </w:pPr>
            <w:hyperlink r:id="rId78">
              <w:r>
                <w:rPr>
                  <w:rFonts w:ascii="Arial" w:cs="Arial" w:eastAsia="Arial" w:hAnsi="Arial"/>
                  <w:sz w:val="15"/>
                  <w:szCs w:val="15"/>
                  <w:color w:val="0000EE"/>
                </w:rPr>
                <w:t>10.</w:t>
              </w:r>
              <w:r>
                <w:rPr>
                  <w:rFonts w:ascii="Arial" w:cs="Arial" w:eastAsia="Arial" w:hAnsi="Arial"/>
                  <w:sz w:val="15"/>
                  <w:szCs w:val="15"/>
                  <w:u w:val="single" w:color="auto"/>
                  <w:color w:val="0000EE"/>
                </w:rPr>
                <w:t>1</w:t>
              </w:r>
            </w:hyperlink>
          </w:p>
        </w:tc>
        <w:tc>
          <w:tcPr>
            <w:tcW w:w="340" w:type="dxa"/>
            <w:vAlign w:val="bottom"/>
            <w:shd w:val="clear" w:color="auto" w:fill="CCEEFF"/>
          </w:tcPr>
          <w:p>
            <w:pPr>
              <w:spacing w:after="0"/>
              <w:rPr>
                <w:sz w:val="13"/>
                <w:szCs w:val="13"/>
                <w:color w:val="auto"/>
              </w:rPr>
            </w:pPr>
          </w:p>
        </w:tc>
        <w:tc>
          <w:tcPr>
            <w:tcW w:w="1076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5"/>
                <w:szCs w:val="15"/>
                <w:color w:val="auto"/>
                <w:w w:val="95"/>
              </w:rPr>
              <w:t>Contribution Agreement, dated February 4, 2019, by and among New Fortress Energy LLC, New Fortress Intermediate LLC, New Fortress Energy Holdings LLC, NFE</w:t>
            </w:r>
          </w:p>
        </w:tc>
      </w:tr>
      <w:tr>
        <w:trPr>
          <w:trHeight w:val="190"/>
        </w:trPr>
        <w:tc>
          <w:tcPr>
            <w:tcW w:w="1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7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w w:val="97"/>
              </w:rPr>
              <w:t>Atlantic Holdings LLC and NFE Sub LLC (incorporated by reference to Exhibit 10.1 to the Registrant’s Form 8-K (File No. 001-38790), filed with the Commission on</w:t>
            </w:r>
          </w:p>
        </w:tc>
      </w:tr>
      <w:tr>
        <w:trPr>
          <w:trHeight w:val="196"/>
        </w:trPr>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7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February 5, 2019)</w:t>
            </w:r>
          </w:p>
        </w:tc>
      </w:tr>
      <w:tr>
        <w:trPr>
          <w:trHeight w:val="151"/>
        </w:trPr>
        <w:tc>
          <w:tcPr>
            <w:tcW w:w="340" w:type="dxa"/>
            <w:vAlign w:val="bottom"/>
            <w:gridSpan w:val="3"/>
          </w:tcPr>
          <w:p>
            <w:pPr>
              <w:spacing w:after="0" w:line="151" w:lineRule="exact"/>
              <w:rPr>
                <w:rFonts w:ascii="Arial" w:cs="Arial" w:eastAsia="Arial" w:hAnsi="Arial"/>
                <w:sz w:val="15"/>
                <w:szCs w:val="15"/>
                <w:color w:val="0000EE"/>
              </w:rPr>
            </w:pPr>
            <w:hyperlink r:id="rId79">
              <w:r>
                <w:rPr>
                  <w:rFonts w:ascii="Arial" w:cs="Arial" w:eastAsia="Arial" w:hAnsi="Arial"/>
                  <w:sz w:val="15"/>
                  <w:szCs w:val="15"/>
                  <w:color w:val="0000EE"/>
                </w:rPr>
                <w:t>10.</w:t>
              </w:r>
              <w:r>
                <w:rPr>
                  <w:rFonts w:ascii="Arial" w:cs="Arial" w:eastAsia="Arial" w:hAnsi="Arial"/>
                  <w:sz w:val="15"/>
                  <w:szCs w:val="15"/>
                  <w:u w:val="single" w:color="auto"/>
                  <w:color w:val="0000EE"/>
                </w:rPr>
                <w:t>2</w:t>
              </w:r>
            </w:hyperlink>
          </w:p>
        </w:tc>
        <w:tc>
          <w:tcPr>
            <w:tcW w:w="340" w:type="dxa"/>
            <w:vAlign w:val="bottom"/>
          </w:tcPr>
          <w:p>
            <w:pPr>
              <w:spacing w:after="0"/>
              <w:rPr>
                <w:sz w:val="13"/>
                <w:szCs w:val="13"/>
                <w:color w:val="auto"/>
              </w:rPr>
            </w:pPr>
          </w:p>
        </w:tc>
        <w:tc>
          <w:tcPr>
            <w:tcW w:w="10760" w:type="dxa"/>
            <w:vAlign w:val="bottom"/>
            <w:gridSpan w:val="2"/>
          </w:tcPr>
          <w:p>
            <w:pPr>
              <w:ind w:left="240"/>
              <w:spacing w:after="0" w:line="151" w:lineRule="exact"/>
              <w:rPr>
                <w:sz w:val="20"/>
                <w:szCs w:val="20"/>
                <w:color w:val="auto"/>
              </w:rPr>
            </w:pPr>
            <w:r>
              <w:rPr>
                <w:rFonts w:ascii="Arial" w:cs="Arial" w:eastAsia="Arial" w:hAnsi="Arial"/>
                <w:sz w:val="15"/>
                <w:szCs w:val="15"/>
                <w:color w:val="auto"/>
                <w:w w:val="95"/>
              </w:rPr>
              <w:t>Amended and Restated Limited Liability Company Agreement of New Fortress Intermediate LLC, dated February 4, 2019 (incorporated by reference to Exhibit 10.2 to</w:t>
            </w:r>
          </w:p>
        </w:tc>
      </w:tr>
      <w:tr>
        <w:trPr>
          <w:trHeight w:val="200"/>
        </w:trPr>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760" w:type="dxa"/>
            <w:vAlign w:val="bottom"/>
            <w:gridSpan w:val="2"/>
          </w:tcPr>
          <w:p>
            <w:pPr>
              <w:ind w:left="240"/>
              <w:spacing w:after="0"/>
              <w:rPr>
                <w:sz w:val="20"/>
                <w:szCs w:val="20"/>
                <w:color w:val="auto"/>
              </w:rPr>
            </w:pPr>
            <w:r>
              <w:rPr>
                <w:rFonts w:ascii="Arial" w:cs="Arial" w:eastAsia="Arial" w:hAnsi="Arial"/>
                <w:sz w:val="15"/>
                <w:szCs w:val="15"/>
                <w:color w:val="auto"/>
              </w:rPr>
              <w:t>the Registrant’s Form 8-K (File No. 001-38790), filed with the Commission on February 5, 2019)</w:t>
            </w:r>
          </w:p>
        </w:tc>
      </w:tr>
      <w:tr>
        <w:trPr>
          <w:trHeight w:val="151"/>
        </w:trPr>
        <w:tc>
          <w:tcPr>
            <w:tcW w:w="680" w:type="dxa"/>
            <w:vAlign w:val="bottom"/>
            <w:gridSpan w:val="4"/>
            <w:shd w:val="clear" w:color="auto" w:fill="CCEEFF"/>
          </w:tcPr>
          <w:p>
            <w:pPr>
              <w:spacing w:after="0" w:line="151" w:lineRule="exact"/>
              <w:rPr>
                <w:rFonts w:ascii="Arial" w:cs="Arial" w:eastAsia="Arial" w:hAnsi="Arial"/>
                <w:sz w:val="15"/>
                <w:szCs w:val="15"/>
                <w:color w:val="0000EE"/>
              </w:rPr>
            </w:pPr>
            <w:hyperlink r:id="rId80">
              <w:r>
                <w:rPr>
                  <w:rFonts w:ascii="Arial" w:cs="Arial" w:eastAsia="Arial" w:hAnsi="Arial"/>
                  <w:sz w:val="15"/>
                  <w:szCs w:val="15"/>
                  <w:color w:val="0000EE"/>
                </w:rPr>
                <w:t>10.</w:t>
              </w:r>
              <w:r>
                <w:rPr>
                  <w:rFonts w:ascii="Arial" w:cs="Arial" w:eastAsia="Arial" w:hAnsi="Arial"/>
                  <w:sz w:val="15"/>
                  <w:szCs w:val="15"/>
                  <w:u w:val="single" w:color="auto"/>
                  <w:color w:val="0000EE"/>
                </w:rPr>
                <w:t>3†</w:t>
              </w:r>
            </w:hyperlink>
          </w:p>
        </w:tc>
        <w:tc>
          <w:tcPr>
            <w:tcW w:w="10760" w:type="dxa"/>
            <w:vAlign w:val="bottom"/>
            <w:gridSpan w:val="2"/>
            <w:shd w:val="clear" w:color="auto" w:fill="CCEEFF"/>
          </w:tcPr>
          <w:p>
            <w:pPr>
              <w:ind w:left="240"/>
              <w:spacing w:after="0" w:line="151" w:lineRule="exact"/>
              <w:rPr>
                <w:sz w:val="20"/>
                <w:szCs w:val="20"/>
                <w:color w:val="auto"/>
              </w:rPr>
            </w:pPr>
            <w:r>
              <w:rPr>
                <w:rFonts w:ascii="Arial" w:cs="Arial" w:eastAsia="Arial" w:hAnsi="Arial"/>
                <w:sz w:val="15"/>
                <w:szCs w:val="15"/>
                <w:color w:val="auto"/>
                <w:w w:val="97"/>
              </w:rPr>
              <w:t>New Fortress Energy LLC 2019 Omnibus Incentive Plan (incorporated by reference to Exhibit 4.4 to the Registrant’s Registration Statement on Form S-8 (File No.</w:t>
            </w:r>
          </w:p>
        </w:tc>
      </w:tr>
      <w:tr>
        <w:trPr>
          <w:trHeight w:val="201"/>
        </w:trPr>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7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333-229507), filed with the Commission on February 4, 2019)</w:t>
            </w:r>
          </w:p>
        </w:tc>
      </w:tr>
      <w:tr>
        <w:trPr>
          <w:trHeight w:val="151"/>
        </w:trPr>
        <w:tc>
          <w:tcPr>
            <w:tcW w:w="680" w:type="dxa"/>
            <w:vAlign w:val="bottom"/>
            <w:gridSpan w:val="4"/>
          </w:tcPr>
          <w:p>
            <w:pPr>
              <w:spacing w:after="0" w:line="151" w:lineRule="exact"/>
              <w:rPr>
                <w:rFonts w:ascii="Arial" w:cs="Arial" w:eastAsia="Arial" w:hAnsi="Arial"/>
                <w:sz w:val="15"/>
                <w:szCs w:val="15"/>
                <w:color w:val="0000EE"/>
              </w:rPr>
            </w:pPr>
            <w:hyperlink r:id="rId81">
              <w:r>
                <w:rPr>
                  <w:rFonts w:ascii="Arial" w:cs="Arial" w:eastAsia="Arial" w:hAnsi="Arial"/>
                  <w:sz w:val="15"/>
                  <w:szCs w:val="15"/>
                  <w:color w:val="0000EE"/>
                </w:rPr>
                <w:t>10.</w:t>
              </w:r>
              <w:r>
                <w:rPr>
                  <w:rFonts w:ascii="Arial" w:cs="Arial" w:eastAsia="Arial" w:hAnsi="Arial"/>
                  <w:sz w:val="15"/>
                  <w:szCs w:val="15"/>
                  <w:u w:val="single" w:color="auto"/>
                  <w:color w:val="0000EE"/>
                </w:rPr>
                <w:t>4†</w:t>
              </w:r>
            </w:hyperlink>
          </w:p>
        </w:tc>
        <w:tc>
          <w:tcPr>
            <w:tcW w:w="10760" w:type="dxa"/>
            <w:vAlign w:val="bottom"/>
            <w:gridSpan w:val="2"/>
          </w:tcPr>
          <w:p>
            <w:pPr>
              <w:ind w:left="240"/>
              <w:spacing w:after="0" w:line="151" w:lineRule="exact"/>
              <w:rPr>
                <w:sz w:val="20"/>
                <w:szCs w:val="20"/>
                <w:color w:val="auto"/>
              </w:rPr>
            </w:pPr>
            <w:r>
              <w:rPr>
                <w:rFonts w:ascii="Arial" w:cs="Arial" w:eastAsia="Arial" w:hAnsi="Arial"/>
                <w:sz w:val="15"/>
                <w:szCs w:val="15"/>
                <w:color w:val="auto"/>
                <w:w w:val="95"/>
              </w:rPr>
              <w:t>Form of Director Restricted Share Unit Award Agreement (incorporated by reference to Exhibit 10.4 to the Registrant’s Registration Statement on Form S-1/A (File No.</w:t>
            </w:r>
          </w:p>
        </w:tc>
      </w:tr>
      <w:tr>
        <w:trPr>
          <w:trHeight w:val="200"/>
        </w:trPr>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760" w:type="dxa"/>
            <w:vAlign w:val="bottom"/>
            <w:gridSpan w:val="2"/>
          </w:tcPr>
          <w:p>
            <w:pPr>
              <w:ind w:left="240"/>
              <w:spacing w:after="0"/>
              <w:rPr>
                <w:sz w:val="20"/>
                <w:szCs w:val="20"/>
                <w:color w:val="auto"/>
              </w:rPr>
            </w:pPr>
            <w:r>
              <w:rPr>
                <w:rFonts w:ascii="Arial" w:cs="Arial" w:eastAsia="Arial" w:hAnsi="Arial"/>
                <w:sz w:val="15"/>
                <w:szCs w:val="15"/>
                <w:color w:val="auto"/>
              </w:rPr>
              <w:t>333-228339), filed with the Commission on December 24, 2018)</w:t>
            </w:r>
          </w:p>
        </w:tc>
      </w:tr>
      <w:tr>
        <w:trPr>
          <w:trHeight w:val="151"/>
        </w:trPr>
        <w:tc>
          <w:tcPr>
            <w:tcW w:w="680" w:type="dxa"/>
            <w:vAlign w:val="bottom"/>
            <w:gridSpan w:val="4"/>
            <w:shd w:val="clear" w:color="auto" w:fill="CCEEFF"/>
          </w:tcPr>
          <w:p>
            <w:pPr>
              <w:spacing w:after="0" w:line="151" w:lineRule="exact"/>
              <w:rPr>
                <w:rFonts w:ascii="Arial" w:cs="Arial" w:eastAsia="Arial" w:hAnsi="Arial"/>
                <w:sz w:val="15"/>
                <w:szCs w:val="15"/>
                <w:color w:val="0000EE"/>
              </w:rPr>
            </w:pPr>
            <w:hyperlink r:id="rId82">
              <w:r>
                <w:rPr>
                  <w:rFonts w:ascii="Arial" w:cs="Arial" w:eastAsia="Arial" w:hAnsi="Arial"/>
                  <w:sz w:val="15"/>
                  <w:szCs w:val="15"/>
                  <w:color w:val="0000EE"/>
                </w:rPr>
                <w:t>10.</w:t>
              </w:r>
              <w:r>
                <w:rPr>
                  <w:rFonts w:ascii="Arial" w:cs="Arial" w:eastAsia="Arial" w:hAnsi="Arial"/>
                  <w:sz w:val="15"/>
                  <w:szCs w:val="15"/>
                  <w:u w:val="single" w:color="auto"/>
                  <w:color w:val="0000EE"/>
                </w:rPr>
                <w:t>5†</w:t>
              </w:r>
            </w:hyperlink>
          </w:p>
        </w:tc>
        <w:tc>
          <w:tcPr>
            <w:tcW w:w="10760" w:type="dxa"/>
            <w:vAlign w:val="bottom"/>
            <w:gridSpan w:val="2"/>
            <w:shd w:val="clear" w:color="auto" w:fill="CCEEFF"/>
          </w:tcPr>
          <w:p>
            <w:pPr>
              <w:ind w:left="240"/>
              <w:spacing w:after="0" w:line="151" w:lineRule="exact"/>
              <w:rPr>
                <w:sz w:val="20"/>
                <w:szCs w:val="20"/>
                <w:color w:val="auto"/>
              </w:rPr>
            </w:pPr>
            <w:r>
              <w:rPr>
                <w:rFonts w:ascii="Arial" w:cs="Arial" w:eastAsia="Arial" w:hAnsi="Arial"/>
                <w:sz w:val="15"/>
                <w:szCs w:val="15"/>
                <w:color w:val="auto"/>
                <w:w w:val="98"/>
              </w:rPr>
              <w:t>Offer Letter, dated March 14, 2017, by and between NFE Management LLC and Christopher Guinta (incorporated by reference to Exhibit 10.5 to the Registrant’s</w:t>
            </w:r>
          </w:p>
        </w:tc>
      </w:tr>
      <w:tr>
        <w:trPr>
          <w:trHeight w:val="201"/>
        </w:trPr>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7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Registration Statement on Form S-1/A (File No. 333-228339), filed with the Commission on January 14, 2019)</w:t>
            </w:r>
          </w:p>
        </w:tc>
      </w:tr>
      <w:tr>
        <w:trPr>
          <w:trHeight w:val="151"/>
        </w:trPr>
        <w:tc>
          <w:tcPr>
            <w:tcW w:w="680" w:type="dxa"/>
            <w:vAlign w:val="bottom"/>
            <w:gridSpan w:val="4"/>
          </w:tcPr>
          <w:p>
            <w:pPr>
              <w:spacing w:after="0" w:line="151" w:lineRule="exact"/>
              <w:rPr>
                <w:rFonts w:ascii="Arial" w:cs="Arial" w:eastAsia="Arial" w:hAnsi="Arial"/>
                <w:sz w:val="15"/>
                <w:szCs w:val="15"/>
                <w:color w:val="0000EE"/>
              </w:rPr>
            </w:pPr>
            <w:hyperlink r:id="rId83">
              <w:r>
                <w:rPr>
                  <w:rFonts w:ascii="Arial" w:cs="Arial" w:eastAsia="Arial" w:hAnsi="Arial"/>
                  <w:sz w:val="15"/>
                  <w:szCs w:val="15"/>
                  <w:color w:val="0000EE"/>
                </w:rPr>
                <w:t>10.</w:t>
              </w:r>
              <w:r>
                <w:rPr>
                  <w:rFonts w:ascii="Arial" w:cs="Arial" w:eastAsia="Arial" w:hAnsi="Arial"/>
                  <w:sz w:val="15"/>
                  <w:szCs w:val="15"/>
                  <w:u w:val="single" w:color="auto"/>
                  <w:color w:val="0000EE"/>
                </w:rPr>
                <w:t>6†</w:t>
              </w:r>
            </w:hyperlink>
          </w:p>
        </w:tc>
        <w:tc>
          <w:tcPr>
            <w:tcW w:w="10760" w:type="dxa"/>
            <w:vAlign w:val="bottom"/>
            <w:gridSpan w:val="2"/>
          </w:tcPr>
          <w:p>
            <w:pPr>
              <w:ind w:left="240"/>
              <w:spacing w:after="0" w:line="151" w:lineRule="exact"/>
              <w:rPr>
                <w:sz w:val="20"/>
                <w:szCs w:val="20"/>
                <w:color w:val="auto"/>
              </w:rPr>
            </w:pPr>
            <w:r>
              <w:rPr>
                <w:rFonts w:ascii="Arial" w:cs="Arial" w:eastAsia="Arial" w:hAnsi="Arial"/>
                <w:sz w:val="15"/>
                <w:szCs w:val="15"/>
                <w:color w:val="auto"/>
                <w:w w:val="99"/>
              </w:rPr>
              <w:t>Offer Letter, dated August 30, 2018, by and between NFE Management LLC and Michael J. Utsler (incorporated by reference to Exhibit 10.6 to the Registrant’s</w:t>
            </w:r>
          </w:p>
        </w:tc>
      </w:tr>
      <w:tr>
        <w:trPr>
          <w:trHeight w:val="200"/>
        </w:trPr>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760" w:type="dxa"/>
            <w:vAlign w:val="bottom"/>
            <w:gridSpan w:val="2"/>
          </w:tcPr>
          <w:p>
            <w:pPr>
              <w:ind w:left="240"/>
              <w:spacing w:after="0"/>
              <w:rPr>
                <w:sz w:val="20"/>
                <w:szCs w:val="20"/>
                <w:color w:val="auto"/>
              </w:rPr>
            </w:pPr>
            <w:r>
              <w:rPr>
                <w:rFonts w:ascii="Arial" w:cs="Arial" w:eastAsia="Arial" w:hAnsi="Arial"/>
                <w:sz w:val="15"/>
                <w:szCs w:val="15"/>
                <w:color w:val="auto"/>
              </w:rPr>
              <w:t>Registration Statement ono Form S-1/A (File No. 333-228339), filed with the Commission on January 14, 2019)</w:t>
            </w:r>
          </w:p>
        </w:tc>
      </w:tr>
      <w:tr>
        <w:trPr>
          <w:trHeight w:val="151"/>
        </w:trPr>
        <w:tc>
          <w:tcPr>
            <w:tcW w:w="340" w:type="dxa"/>
            <w:vAlign w:val="bottom"/>
            <w:gridSpan w:val="3"/>
            <w:shd w:val="clear" w:color="auto" w:fill="CCEEFF"/>
          </w:tcPr>
          <w:p>
            <w:pPr>
              <w:spacing w:after="0" w:line="151" w:lineRule="exact"/>
              <w:rPr>
                <w:rFonts w:ascii="Arial" w:cs="Arial" w:eastAsia="Arial" w:hAnsi="Arial"/>
                <w:sz w:val="15"/>
                <w:szCs w:val="15"/>
                <w:color w:val="0000EE"/>
              </w:rPr>
            </w:pPr>
            <w:hyperlink r:id="rId84">
              <w:r>
                <w:rPr>
                  <w:rFonts w:ascii="Arial" w:cs="Arial" w:eastAsia="Arial" w:hAnsi="Arial"/>
                  <w:sz w:val="15"/>
                  <w:szCs w:val="15"/>
                  <w:color w:val="0000EE"/>
                </w:rPr>
                <w:t>10.</w:t>
              </w:r>
              <w:r>
                <w:rPr>
                  <w:rFonts w:ascii="Arial" w:cs="Arial" w:eastAsia="Arial" w:hAnsi="Arial"/>
                  <w:sz w:val="15"/>
                  <w:szCs w:val="15"/>
                  <w:u w:val="single" w:color="auto"/>
                  <w:color w:val="0000EE"/>
                </w:rPr>
                <w:t>7</w:t>
              </w:r>
            </w:hyperlink>
          </w:p>
        </w:tc>
        <w:tc>
          <w:tcPr>
            <w:tcW w:w="340" w:type="dxa"/>
            <w:vAlign w:val="bottom"/>
            <w:shd w:val="clear" w:color="auto" w:fill="CCEEFF"/>
          </w:tcPr>
          <w:p>
            <w:pPr>
              <w:spacing w:after="0"/>
              <w:rPr>
                <w:sz w:val="13"/>
                <w:szCs w:val="13"/>
                <w:color w:val="auto"/>
              </w:rPr>
            </w:pPr>
          </w:p>
        </w:tc>
        <w:tc>
          <w:tcPr>
            <w:tcW w:w="10760" w:type="dxa"/>
            <w:vAlign w:val="bottom"/>
            <w:gridSpan w:val="2"/>
            <w:shd w:val="clear" w:color="auto" w:fill="CCEEFF"/>
          </w:tcPr>
          <w:p>
            <w:pPr>
              <w:ind w:left="240"/>
              <w:spacing w:after="0" w:line="151" w:lineRule="exact"/>
              <w:rPr>
                <w:sz w:val="20"/>
                <w:szCs w:val="20"/>
                <w:color w:val="auto"/>
              </w:rPr>
            </w:pPr>
            <w:r>
              <w:rPr>
                <w:rFonts w:ascii="Arial" w:cs="Arial" w:eastAsia="Arial" w:hAnsi="Arial"/>
                <w:sz w:val="15"/>
                <w:szCs w:val="15"/>
                <w:color w:val="auto"/>
                <w:w w:val="97"/>
              </w:rPr>
              <w:t>Shareholders’ Agreement, dated February 4, 2019, by and among New Fortress Energy LLC, New Fortress Energy Holdings LLC, Wesley R. Edens and Randal A.</w:t>
            </w:r>
          </w:p>
        </w:tc>
      </w:tr>
      <w:tr>
        <w:trPr>
          <w:trHeight w:val="201"/>
        </w:trPr>
        <w:tc>
          <w:tcPr>
            <w:tcW w:w="1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7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rPr>
              <w:t>Nardone (incorporated by reference to Exhibit 4.1 to the Registrant’s Form 8-K (File No. 001-38790), filed with the Commission on February 5, 2019)</w:t>
            </w:r>
          </w:p>
        </w:tc>
      </w:tr>
      <w:tr>
        <w:trPr>
          <w:trHeight w:val="151"/>
        </w:trPr>
        <w:tc>
          <w:tcPr>
            <w:tcW w:w="340" w:type="dxa"/>
            <w:vAlign w:val="bottom"/>
            <w:gridSpan w:val="3"/>
          </w:tcPr>
          <w:p>
            <w:pPr>
              <w:spacing w:after="0" w:line="151" w:lineRule="exact"/>
              <w:rPr>
                <w:rFonts w:ascii="Arial" w:cs="Arial" w:eastAsia="Arial" w:hAnsi="Arial"/>
                <w:sz w:val="15"/>
                <w:szCs w:val="15"/>
                <w:color w:val="0000EE"/>
              </w:rPr>
            </w:pPr>
            <w:hyperlink r:id="rId85">
              <w:r>
                <w:rPr>
                  <w:rFonts w:ascii="Arial" w:cs="Arial" w:eastAsia="Arial" w:hAnsi="Arial"/>
                  <w:sz w:val="15"/>
                  <w:szCs w:val="15"/>
                  <w:color w:val="0000EE"/>
                </w:rPr>
                <w:t>10.</w:t>
              </w:r>
              <w:r>
                <w:rPr>
                  <w:rFonts w:ascii="Arial" w:cs="Arial" w:eastAsia="Arial" w:hAnsi="Arial"/>
                  <w:sz w:val="15"/>
                  <w:szCs w:val="15"/>
                  <w:u w:val="single" w:color="auto"/>
                  <w:color w:val="0000EE"/>
                </w:rPr>
                <w:t>8</w:t>
              </w:r>
            </w:hyperlink>
          </w:p>
        </w:tc>
        <w:tc>
          <w:tcPr>
            <w:tcW w:w="340" w:type="dxa"/>
            <w:vAlign w:val="bottom"/>
          </w:tcPr>
          <w:p>
            <w:pPr>
              <w:spacing w:after="0"/>
              <w:rPr>
                <w:sz w:val="13"/>
                <w:szCs w:val="13"/>
                <w:color w:val="auto"/>
              </w:rPr>
            </w:pPr>
          </w:p>
        </w:tc>
        <w:tc>
          <w:tcPr>
            <w:tcW w:w="10760" w:type="dxa"/>
            <w:vAlign w:val="bottom"/>
            <w:gridSpan w:val="2"/>
          </w:tcPr>
          <w:p>
            <w:pPr>
              <w:ind w:left="240"/>
              <w:spacing w:after="0" w:line="151" w:lineRule="exact"/>
              <w:rPr>
                <w:sz w:val="20"/>
                <w:szCs w:val="20"/>
                <w:color w:val="auto"/>
              </w:rPr>
            </w:pPr>
            <w:r>
              <w:rPr>
                <w:rFonts w:ascii="Arial" w:cs="Arial" w:eastAsia="Arial" w:hAnsi="Arial"/>
                <w:sz w:val="15"/>
                <w:szCs w:val="15"/>
                <w:color w:val="auto"/>
                <w:w w:val="95"/>
              </w:rPr>
              <w:t>Administrative Services Agreement, dated February 4, 2019, by and between New Fortress Intermediate LLC and FIG LLC (incorporated by reference to Exhibit 10.3</w:t>
            </w:r>
          </w:p>
        </w:tc>
      </w:tr>
      <w:tr>
        <w:trPr>
          <w:trHeight w:val="200"/>
        </w:trPr>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760" w:type="dxa"/>
            <w:vAlign w:val="bottom"/>
            <w:gridSpan w:val="2"/>
          </w:tcPr>
          <w:p>
            <w:pPr>
              <w:ind w:left="240"/>
              <w:spacing w:after="0"/>
              <w:rPr>
                <w:sz w:val="20"/>
                <w:szCs w:val="20"/>
                <w:color w:val="auto"/>
              </w:rPr>
            </w:pPr>
            <w:r>
              <w:rPr>
                <w:rFonts w:ascii="Arial" w:cs="Arial" w:eastAsia="Arial" w:hAnsi="Arial"/>
                <w:sz w:val="15"/>
                <w:szCs w:val="15"/>
                <w:color w:val="auto"/>
              </w:rPr>
              <w:t>to the Registrant’s Form 8-K (File No. 001-38790), filed with the Commission on February 5, 2019)</w:t>
            </w:r>
          </w:p>
        </w:tc>
      </w:tr>
      <w:tr>
        <w:trPr>
          <w:trHeight w:val="513"/>
        </w:trPr>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760" w:type="dxa"/>
            <w:vAlign w:val="bottom"/>
            <w:gridSpan w:val="2"/>
          </w:tcPr>
          <w:p>
            <w:pPr>
              <w:jc w:val="right"/>
              <w:ind w:right="5583"/>
              <w:spacing w:after="0"/>
              <w:rPr>
                <w:sz w:val="20"/>
                <w:szCs w:val="20"/>
                <w:color w:val="auto"/>
              </w:rPr>
            </w:pPr>
            <w:r>
              <w:rPr>
                <w:rFonts w:ascii="Arial" w:cs="Arial" w:eastAsia="Arial" w:hAnsi="Arial"/>
                <w:sz w:val="12"/>
                <w:szCs w:val="12"/>
                <w:color w:val="auto"/>
              </w:rPr>
              <w:t>63</w:t>
            </w:r>
          </w:p>
        </w:tc>
      </w:tr>
      <w:tr>
        <w:trPr>
          <w:trHeight w:val="37"/>
        </w:trPr>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520" w:type="dxa"/>
            <w:vAlign w:val="bottom"/>
            <w:tcBorders>
              <w:bottom w:val="single" w:sz="8" w:color="auto"/>
            </w:tcBorders>
          </w:tcPr>
          <w:p>
            <w:pPr>
              <w:spacing w:after="0"/>
              <w:rPr>
                <w:sz w:val="3"/>
                <w:szCs w:val="3"/>
                <w:color w:val="auto"/>
              </w:rPr>
            </w:pPr>
          </w:p>
        </w:tc>
      </w:tr>
    </w:tbl>
    <w:p>
      <w:pPr>
        <w:sectPr>
          <w:pgSz w:w="11900" w:h="16838" w:orient="portrait"/>
          <w:cols w:equalWidth="0" w:num="1">
            <w:col w:w="11447"/>
          </w:cols>
          <w:pgMar w:left="233" w:top="124" w:right="21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Borders>
              <w:bottom w:val="single" w:sz="8" w:color="0000EE"/>
            </w:tcBorders>
            <w:gridSpan w:val="5"/>
          </w:tcPr>
          <w:p>
            <w:pPr>
              <w:spacing w:after="0"/>
              <w:rPr>
                <w:rFonts w:ascii="Arial" w:cs="Arial" w:eastAsia="Arial" w:hAnsi="Arial"/>
                <w:sz w:val="12"/>
                <w:szCs w:val="12"/>
                <w:i w:val="1"/>
                <w:iCs w:val="1"/>
                <w:color w:val="0000EE"/>
                <w:w w:val="88"/>
              </w:rPr>
            </w:pPr>
            <w:hyperlink w:anchor="page2">
              <w:r>
                <w:rPr>
                  <w:rFonts w:ascii="Arial" w:cs="Arial" w:eastAsia="Arial" w:hAnsi="Arial"/>
                  <w:sz w:val="12"/>
                  <w:szCs w:val="12"/>
                  <w:i w:val="1"/>
                  <w:iCs w:val="1"/>
                  <w:color w:val="0000EE"/>
                  <w:w w:val="88"/>
                </w:rPr>
                <w:t>Table of Contents</w:t>
              </w:r>
            </w:hyperlink>
          </w:p>
        </w:tc>
        <w:tc>
          <w:tcPr>
            <w:tcW w:w="60" w:type="dxa"/>
            <w:vAlign w:val="bottom"/>
          </w:tcPr>
          <w:p>
            <w:pPr>
              <w:spacing w:after="0"/>
              <w:rPr>
                <w:sz w:val="12"/>
                <w:szCs w:val="12"/>
                <w:color w:val="auto"/>
              </w:rPr>
            </w:pPr>
          </w:p>
        </w:tc>
        <w:tc>
          <w:tcPr>
            <w:tcW w:w="10520" w:type="dxa"/>
            <w:vAlign w:val="bottom"/>
          </w:tcPr>
          <w:p>
            <w:pPr>
              <w:spacing w:after="0"/>
              <w:rPr>
                <w:sz w:val="12"/>
                <w:szCs w:val="12"/>
                <w:color w:val="auto"/>
              </w:rPr>
            </w:pPr>
          </w:p>
        </w:tc>
      </w:tr>
      <w:tr>
        <w:trPr>
          <w:trHeight w:val="312"/>
        </w:trPr>
        <w:tc>
          <w:tcPr>
            <w:tcW w:w="860" w:type="dxa"/>
            <w:vAlign w:val="bottom"/>
            <w:gridSpan w:val="5"/>
          </w:tcPr>
          <w:p>
            <w:pPr>
              <w:ind w:left="6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24"/>
                <w:szCs w:val="24"/>
                <w:color w:val="auto"/>
              </w:rPr>
            </w:pPr>
          </w:p>
        </w:tc>
        <w:tc>
          <w:tcPr>
            <w:tcW w:w="10520" w:type="dxa"/>
            <w:vAlign w:val="bottom"/>
          </w:tcPr>
          <w:p>
            <w:pPr>
              <w:spacing w:after="0"/>
              <w:rPr>
                <w:sz w:val="24"/>
                <w:szCs w:val="24"/>
                <w:color w:val="auto"/>
              </w:rPr>
            </w:pPr>
          </w:p>
        </w:tc>
      </w:tr>
      <w:tr>
        <w:trPr>
          <w:trHeight w:val="206"/>
        </w:trPr>
        <w:tc>
          <w:tcPr>
            <w:tcW w:w="860" w:type="dxa"/>
            <w:vAlign w:val="bottom"/>
            <w:gridSpan w:val="5"/>
          </w:tcPr>
          <w:p>
            <w:pPr>
              <w:ind w:left="2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10520" w:type="dxa"/>
            <w:vAlign w:val="bottom"/>
          </w:tcPr>
          <w:p>
            <w:pPr>
              <w:ind w:left="4840"/>
              <w:spacing w:after="0"/>
              <w:rPr>
                <w:sz w:val="20"/>
                <w:szCs w:val="20"/>
                <w:color w:val="auto"/>
              </w:rPr>
            </w:pPr>
            <w:r>
              <w:rPr>
                <w:rFonts w:ascii="Arial" w:cs="Arial" w:eastAsia="Arial" w:hAnsi="Arial"/>
                <w:sz w:val="15"/>
                <w:szCs w:val="15"/>
                <w:b w:val="1"/>
                <w:bCs w:val="1"/>
                <w:color w:val="auto"/>
              </w:rPr>
              <w:t>Description</w:t>
            </w:r>
          </w:p>
        </w:tc>
      </w:tr>
      <w:tr>
        <w:trPr>
          <w:trHeight w:val="151"/>
        </w:trPr>
        <w:tc>
          <w:tcPr>
            <w:tcW w:w="340" w:type="dxa"/>
            <w:vAlign w:val="bottom"/>
            <w:tcBorders>
              <w:top w:val="single" w:sz="8" w:color="auto"/>
            </w:tcBorders>
            <w:gridSpan w:val="2"/>
            <w:shd w:val="clear" w:color="auto" w:fill="CCEEFF"/>
          </w:tcPr>
          <w:p>
            <w:pPr>
              <w:spacing w:after="0" w:line="151" w:lineRule="exact"/>
              <w:rPr>
                <w:rFonts w:ascii="Arial" w:cs="Arial" w:eastAsia="Arial" w:hAnsi="Arial"/>
                <w:sz w:val="15"/>
                <w:szCs w:val="15"/>
                <w:color w:val="0000EE"/>
              </w:rPr>
            </w:pPr>
            <w:hyperlink r:id="rId86">
              <w:r>
                <w:rPr>
                  <w:rFonts w:ascii="Arial" w:cs="Arial" w:eastAsia="Arial" w:hAnsi="Arial"/>
                  <w:sz w:val="15"/>
                  <w:szCs w:val="15"/>
                  <w:color w:val="0000EE"/>
                </w:rPr>
                <w:t>10.</w:t>
              </w:r>
              <w:r>
                <w:rPr>
                  <w:rFonts w:ascii="Arial" w:cs="Arial" w:eastAsia="Arial" w:hAnsi="Arial"/>
                  <w:sz w:val="15"/>
                  <w:szCs w:val="15"/>
                  <w:u w:val="single" w:color="auto"/>
                  <w:color w:val="0000EE"/>
                </w:rPr>
                <w:t>9</w:t>
              </w:r>
            </w:hyperlink>
          </w:p>
        </w:tc>
        <w:tc>
          <w:tcPr>
            <w:tcW w:w="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5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w w:val="98"/>
              </w:rPr>
              <w:t>Credit Agreement, dated August 15, 2018, by and between New Fortress Energy Holdings LLC, NFE Atlantic Holdings LLC, as borrower, Morgan Stanley Senior</w:t>
            </w:r>
          </w:p>
        </w:tc>
      </w:tr>
      <w:tr>
        <w:trPr>
          <w:trHeight w:val="190"/>
        </w:trPr>
        <w:tc>
          <w:tcPr>
            <w:tcW w:w="2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Funding, Inc., as administrative agent and the subsidiary guarantors and lenders parties thereto (incorporated by reference to Exhibit 10.11 to the Registrant’s</w:t>
            </w:r>
          </w:p>
        </w:tc>
      </w:tr>
      <w:tr>
        <w:trPr>
          <w:trHeight w:val="196"/>
        </w:trPr>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Registration Statement on Form S-1 (File No. 333-228339), filed with the Commission on November 9, 2018)</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87">
              <w:r>
                <w:rPr>
                  <w:rFonts w:ascii="Arial" w:cs="Arial" w:eastAsia="Arial" w:hAnsi="Arial"/>
                  <w:sz w:val="15"/>
                  <w:szCs w:val="15"/>
                  <w:color w:val="0000EE"/>
                </w:rPr>
                <w:t>‡10.10</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5"/>
              </w:rPr>
              <w:t>Gas Sales Agreement, dated August 5, 2015, by and between New Fortress Energy LLC and Jamaica Public Service Company Limited (incorporated by reference to</w:t>
            </w:r>
          </w:p>
        </w:tc>
      </w:tr>
      <w:tr>
        <w:trPr>
          <w:trHeight w:val="200"/>
        </w:trPr>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Exhibit 10.12 to the Registrant’s Registration Statement on Form S-1 (File No. 333-228339), filed with the Commission on November 9, 2018)</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88">
              <w:r>
                <w:rPr>
                  <w:rFonts w:ascii="Arial" w:cs="Arial" w:eastAsia="Arial" w:hAnsi="Arial"/>
                  <w:sz w:val="15"/>
                  <w:szCs w:val="15"/>
                  <w:color w:val="0000EE"/>
                </w:rPr>
                <w:t>‡10.11</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rPr>
              <w:t>First Amendment to Gas Sales Agreement, dated May 23, 2016, by and between NFE North Holdings Limited and Jamaica Public Service Company Limited</w:t>
            </w:r>
          </w:p>
        </w:tc>
      </w:tr>
      <w:tr>
        <w:trPr>
          <w:trHeight w:val="190"/>
        </w:trPr>
        <w:tc>
          <w:tcPr>
            <w:tcW w:w="26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w w:val="96"/>
              </w:rPr>
              <w:t>(incorporated by reference to Exhibit 10.13 to the Registrant’s Registration Statement on Form S-1 (File No. 333-228339), filed with the Commission on November 9,</w:t>
            </w:r>
          </w:p>
        </w:tc>
      </w:tr>
      <w:tr>
        <w:trPr>
          <w:trHeight w:val="196"/>
        </w:trPr>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2018)</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89">
              <w:r>
                <w:rPr>
                  <w:rFonts w:ascii="Arial" w:cs="Arial" w:eastAsia="Arial" w:hAnsi="Arial"/>
                  <w:sz w:val="15"/>
                  <w:szCs w:val="15"/>
                  <w:color w:val="0000EE"/>
                </w:rPr>
                <w:t>10.</w:t>
              </w:r>
              <w:r>
                <w:rPr>
                  <w:rFonts w:ascii="Arial" w:cs="Arial" w:eastAsia="Arial" w:hAnsi="Arial"/>
                  <w:sz w:val="15"/>
                  <w:szCs w:val="15"/>
                  <w:u w:val="single" w:color="auto"/>
                  <w:color w:val="0000EE"/>
                </w:rPr>
                <w:t>12†</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rPr>
              <w:t>Indemnification Agreement (Edens) (incorporated by reference to Exhibit 10.4 to the Registrant’s Form 8-K (File No. 001-38790), filed with the Commission on</w:t>
            </w:r>
          </w:p>
        </w:tc>
      </w:tr>
      <w:tr>
        <w:trPr>
          <w:trHeight w:val="200"/>
        </w:trPr>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90">
              <w:r>
                <w:rPr>
                  <w:rFonts w:ascii="Arial" w:cs="Arial" w:eastAsia="Arial" w:hAnsi="Arial"/>
                  <w:sz w:val="15"/>
                  <w:szCs w:val="15"/>
                  <w:color w:val="0000EE"/>
                </w:rPr>
                <w:t>10.</w:t>
              </w:r>
              <w:r>
                <w:rPr>
                  <w:rFonts w:ascii="Arial" w:cs="Arial" w:eastAsia="Arial" w:hAnsi="Arial"/>
                  <w:sz w:val="15"/>
                  <w:szCs w:val="15"/>
                  <w:u w:val="single" w:color="auto"/>
                  <w:color w:val="0000EE"/>
                </w:rPr>
                <w:t>13†</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rPr>
              <w:t>Indemnification Agreement (Guinta) (incorporated by reference to Exhibit 10.5 to the Registrant’s Form 8-K (File No. 001-38790), filed with the Commission on</w:t>
            </w:r>
          </w:p>
        </w:tc>
      </w:tr>
      <w:tr>
        <w:trPr>
          <w:trHeight w:val="201"/>
        </w:trPr>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91">
              <w:r>
                <w:rPr>
                  <w:rFonts w:ascii="Arial" w:cs="Arial" w:eastAsia="Arial" w:hAnsi="Arial"/>
                  <w:sz w:val="15"/>
                  <w:szCs w:val="15"/>
                  <w:color w:val="0000EE"/>
                </w:rPr>
                <w:t>10.</w:t>
              </w:r>
              <w:r>
                <w:rPr>
                  <w:rFonts w:ascii="Arial" w:cs="Arial" w:eastAsia="Arial" w:hAnsi="Arial"/>
                  <w:sz w:val="15"/>
                  <w:szCs w:val="15"/>
                  <w:u w:val="single" w:color="auto"/>
                  <w:color w:val="0000EE"/>
                </w:rPr>
                <w:t>14†</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rPr>
              <w:t>Indemnification Agreement (Utsler) (incorporated by reference to Exhibit 10.6 to the Registrant’s Form 8-K (File No. 001-38790), filed with the Commission on</w:t>
            </w:r>
          </w:p>
        </w:tc>
      </w:tr>
      <w:tr>
        <w:trPr>
          <w:trHeight w:val="200"/>
        </w:trPr>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92">
              <w:r>
                <w:rPr>
                  <w:rFonts w:ascii="Arial" w:cs="Arial" w:eastAsia="Arial" w:hAnsi="Arial"/>
                  <w:sz w:val="15"/>
                  <w:szCs w:val="15"/>
                  <w:color w:val="0000EE"/>
                </w:rPr>
                <w:t>10.</w:t>
              </w:r>
              <w:r>
                <w:rPr>
                  <w:rFonts w:ascii="Arial" w:cs="Arial" w:eastAsia="Arial" w:hAnsi="Arial"/>
                  <w:sz w:val="15"/>
                  <w:szCs w:val="15"/>
                  <w:u w:val="single" w:color="auto"/>
                  <w:color w:val="0000EE"/>
                </w:rPr>
                <w:t>15†</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9"/>
              </w:rPr>
              <w:t>Indemnification Agreement (Catterall) (incorporated by reference to Exhibit 10.7 to the Registrant’s Form 8-K (File No. 001-38790), filed with the Commission on</w:t>
            </w:r>
          </w:p>
        </w:tc>
      </w:tr>
      <w:tr>
        <w:trPr>
          <w:trHeight w:val="201"/>
        </w:trPr>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93">
              <w:r>
                <w:rPr>
                  <w:rFonts w:ascii="Arial" w:cs="Arial" w:eastAsia="Arial" w:hAnsi="Arial"/>
                  <w:sz w:val="15"/>
                  <w:szCs w:val="15"/>
                  <w:color w:val="0000EE"/>
                </w:rPr>
                <w:t>10.</w:t>
              </w:r>
              <w:r>
                <w:rPr>
                  <w:rFonts w:ascii="Arial" w:cs="Arial" w:eastAsia="Arial" w:hAnsi="Arial"/>
                  <w:sz w:val="15"/>
                  <w:szCs w:val="15"/>
                  <w:u w:val="single" w:color="auto"/>
                  <w:color w:val="0000EE"/>
                </w:rPr>
                <w:t>16†</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rPr>
              <w:t>Indemnification Agreement (Grain) (incorporated by reference to Exhibit 10.8 to the Registrant’s Form 8-K (File No. 001-38790), filed with the Commission on</w:t>
            </w:r>
          </w:p>
        </w:tc>
      </w:tr>
      <w:tr>
        <w:trPr>
          <w:trHeight w:val="200"/>
        </w:trPr>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94">
              <w:r>
                <w:rPr>
                  <w:rFonts w:ascii="Arial" w:cs="Arial" w:eastAsia="Arial" w:hAnsi="Arial"/>
                  <w:sz w:val="15"/>
                  <w:szCs w:val="15"/>
                  <w:color w:val="0000EE"/>
                </w:rPr>
                <w:t>10.</w:t>
              </w:r>
              <w:r>
                <w:rPr>
                  <w:rFonts w:ascii="Arial" w:cs="Arial" w:eastAsia="Arial" w:hAnsi="Arial"/>
                  <w:sz w:val="15"/>
                  <w:szCs w:val="15"/>
                  <w:u w:val="single" w:color="auto"/>
                  <w:color w:val="0000EE"/>
                </w:rPr>
                <w:t>17†</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rPr>
              <w:t>Indemnification Agreement (Griffin) (incorporated by reference to Exhibit 10.9 to the Registrant’s Form 8-K (File No. 001-38790), filed with the Commission on</w:t>
            </w:r>
          </w:p>
        </w:tc>
      </w:tr>
      <w:tr>
        <w:trPr>
          <w:trHeight w:val="201"/>
        </w:trPr>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95">
              <w:r>
                <w:rPr>
                  <w:rFonts w:ascii="Arial" w:cs="Arial" w:eastAsia="Arial" w:hAnsi="Arial"/>
                  <w:sz w:val="15"/>
                  <w:szCs w:val="15"/>
                  <w:color w:val="0000EE"/>
                </w:rPr>
                <w:t>10.</w:t>
              </w:r>
              <w:r>
                <w:rPr>
                  <w:rFonts w:ascii="Arial" w:cs="Arial" w:eastAsia="Arial" w:hAnsi="Arial"/>
                  <w:sz w:val="15"/>
                  <w:szCs w:val="15"/>
                  <w:u w:val="single" w:color="auto"/>
                  <w:color w:val="0000EE"/>
                </w:rPr>
                <w:t>18†</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rPr>
              <w:t>Indemnification Agreement (Mack) (incorporated by reference to Exhibit 10.10 to the Registrant’s Form 8-K (File No. 001-38790), filed with the Commission on</w:t>
            </w:r>
          </w:p>
        </w:tc>
      </w:tr>
      <w:tr>
        <w:trPr>
          <w:trHeight w:val="200"/>
        </w:trPr>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96">
              <w:r>
                <w:rPr>
                  <w:rFonts w:ascii="Arial" w:cs="Arial" w:eastAsia="Arial" w:hAnsi="Arial"/>
                  <w:sz w:val="15"/>
                  <w:szCs w:val="15"/>
                  <w:color w:val="0000EE"/>
                </w:rPr>
                <w:t>10.</w:t>
              </w:r>
              <w:r>
                <w:rPr>
                  <w:rFonts w:ascii="Arial" w:cs="Arial" w:eastAsia="Arial" w:hAnsi="Arial"/>
                  <w:sz w:val="15"/>
                  <w:szCs w:val="15"/>
                  <w:u w:val="single" w:color="auto"/>
                  <w:color w:val="0000EE"/>
                </w:rPr>
                <w:t>19†</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8"/>
              </w:rPr>
              <w:t>Indemnification Agreement (Nardone) (incorporated by reference to Exhibit 10.11 to the Registrant’s Form 8-K (File No. 001-38790), filed with the Commission on</w:t>
            </w:r>
          </w:p>
        </w:tc>
      </w:tr>
      <w:tr>
        <w:trPr>
          <w:trHeight w:val="201"/>
        </w:trPr>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97">
              <w:r>
                <w:rPr>
                  <w:rFonts w:ascii="Arial" w:cs="Arial" w:eastAsia="Arial" w:hAnsi="Arial"/>
                  <w:sz w:val="15"/>
                  <w:szCs w:val="15"/>
                  <w:color w:val="0000EE"/>
                </w:rPr>
                <w:t>10.</w:t>
              </w:r>
              <w:r>
                <w:rPr>
                  <w:rFonts w:ascii="Arial" w:cs="Arial" w:eastAsia="Arial" w:hAnsi="Arial"/>
                  <w:sz w:val="15"/>
                  <w:szCs w:val="15"/>
                  <w:u w:val="single" w:color="auto"/>
                  <w:color w:val="0000EE"/>
                </w:rPr>
                <w:t>20†</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8"/>
              </w:rPr>
              <w:t>Indemnification Agreement (Wanner) (incorporated by reference to Exhibit 10.12 to the Registrant’s Form 8-K (File No. 001-38790), filed with the Commission on</w:t>
            </w:r>
          </w:p>
        </w:tc>
      </w:tr>
      <w:tr>
        <w:trPr>
          <w:trHeight w:val="200"/>
        </w:trPr>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98">
              <w:r>
                <w:rPr>
                  <w:rFonts w:ascii="Arial" w:cs="Arial" w:eastAsia="Arial" w:hAnsi="Arial"/>
                  <w:sz w:val="15"/>
                  <w:szCs w:val="15"/>
                  <w:color w:val="0000EE"/>
                </w:rPr>
                <w:t>10.</w:t>
              </w:r>
              <w:r>
                <w:rPr>
                  <w:rFonts w:ascii="Arial" w:cs="Arial" w:eastAsia="Arial" w:hAnsi="Arial"/>
                  <w:sz w:val="15"/>
                  <w:szCs w:val="15"/>
                  <w:u w:val="single" w:color="auto"/>
                  <w:color w:val="0000EE"/>
                </w:rPr>
                <w:t>21†</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7"/>
              </w:rPr>
              <w:t>Indemnification Agreement (Wilkinson) (incorporated by reference to Exhibit 10.13 to the Registrant’s Form 8-K (File No. 001-38790), filed with the Commission on</w:t>
            </w:r>
          </w:p>
        </w:tc>
      </w:tr>
      <w:tr>
        <w:trPr>
          <w:trHeight w:val="201"/>
        </w:trPr>
        <w:tc>
          <w:tcPr>
            <w:tcW w:w="2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February 5, 2019)</w:t>
            </w:r>
          </w:p>
        </w:tc>
      </w:tr>
      <w:tr>
        <w:trPr>
          <w:trHeight w:val="151"/>
        </w:trPr>
        <w:tc>
          <w:tcPr>
            <w:tcW w:w="340" w:type="dxa"/>
            <w:vAlign w:val="bottom"/>
            <w:tcBorders>
              <w:bottom w:val="single" w:sz="8" w:color="0000EE"/>
            </w:tcBorders>
            <w:gridSpan w:val="2"/>
          </w:tcPr>
          <w:p>
            <w:pPr>
              <w:spacing w:after="0" w:line="151" w:lineRule="exact"/>
              <w:rPr>
                <w:rFonts w:ascii="Arial" w:cs="Arial" w:eastAsia="Arial" w:hAnsi="Arial"/>
                <w:sz w:val="15"/>
                <w:szCs w:val="15"/>
                <w:color w:val="0000EE"/>
                <w:w w:val="85"/>
              </w:rPr>
            </w:pPr>
            <w:hyperlink r:id="rId99">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22</w:t>
              </w:r>
            </w:hyperlink>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9"/>
              </w:rPr>
              <w:t>Amendment Agreement to Credit Agreement, dated December 31, 2018, by and among New Fortress Energy Holdings LLC, NFE Atlantic Holdings LLC, as the</w:t>
            </w:r>
          </w:p>
        </w:tc>
      </w:tr>
      <w:tr>
        <w:trPr>
          <w:trHeight w:val="190"/>
        </w:trPr>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w w:val="95"/>
              </w:rPr>
              <w:t>borrower, Morgan Stanley Senior Funding, Inc., as administrative agent and the subsidiary guarantors and lenders parties thereto (incorporated by reference to Exhibit</w:t>
            </w:r>
          </w:p>
        </w:tc>
      </w:tr>
      <w:tr>
        <w:trPr>
          <w:trHeight w:val="196"/>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10.15 to the Registrant’s Registration Statement on Form S-1/A (File No. 333-228339), filed with the Commission on January 14, 2019)</w:t>
            </w:r>
          </w:p>
        </w:tc>
      </w:tr>
      <w:tr>
        <w:trPr>
          <w:trHeight w:val="151"/>
        </w:trPr>
        <w:tc>
          <w:tcPr>
            <w:tcW w:w="340" w:type="dxa"/>
            <w:vAlign w:val="bottom"/>
            <w:tcBorders>
              <w:bottom w:val="single" w:sz="8" w:color="0000EE"/>
            </w:tcBorders>
            <w:gridSpan w:val="2"/>
            <w:shd w:val="clear" w:color="auto" w:fill="CCEEFF"/>
          </w:tcPr>
          <w:p>
            <w:pPr>
              <w:spacing w:after="0" w:line="151" w:lineRule="exact"/>
              <w:rPr>
                <w:rFonts w:ascii="Arial" w:cs="Arial" w:eastAsia="Arial" w:hAnsi="Arial"/>
                <w:sz w:val="15"/>
                <w:szCs w:val="15"/>
                <w:color w:val="0000EE"/>
                <w:w w:val="85"/>
              </w:rPr>
            </w:pPr>
            <w:hyperlink r:id="rId100">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23</w:t>
              </w:r>
            </w:hyperlink>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580" w:type="dxa"/>
            <w:vAlign w:val="bottom"/>
            <w:tcBorders>
              <w:bottom w:val="single" w:sz="8" w:color="CCEEFF"/>
            </w:tcBorders>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2"/>
              </w:rPr>
              <w:t>Amendment Agreement, dated as of February 11, 2019 to Credit Agreement, dated as of August 15, 2018 and as amended and restated as of December 31, 2018, among</w:t>
            </w:r>
          </w:p>
        </w:tc>
      </w:tr>
      <w:tr>
        <w:trPr>
          <w:trHeight w:val="190"/>
        </w:trPr>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8"/>
              </w:rPr>
              <w:t>New Fortress Intermediate LLC, NFE Atlantic Holdings LLC, the subsidiary guarantors from time to time party thereto, lenders parties thereto and Morgan Stanley</w:t>
            </w:r>
          </w:p>
        </w:tc>
      </w:tr>
      <w:tr>
        <w:trPr>
          <w:trHeight w:val="186"/>
        </w:trPr>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Senior Funding, Inc., as administrative agent. (incorporated by reference to Exhibit 10.25 to the Registrant’s Form 10-K (File No. 001-38790), filed with the</w:t>
            </w:r>
          </w:p>
        </w:tc>
      </w:tr>
      <w:tr>
        <w:trPr>
          <w:trHeight w:val="196"/>
        </w:trPr>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Commission on March 26, 2019)</w:t>
            </w:r>
          </w:p>
        </w:tc>
      </w:tr>
      <w:tr>
        <w:trPr>
          <w:trHeight w:val="151"/>
        </w:trPr>
        <w:tc>
          <w:tcPr>
            <w:tcW w:w="340" w:type="dxa"/>
            <w:vAlign w:val="bottom"/>
            <w:tcBorders>
              <w:bottom w:val="single" w:sz="8" w:color="0000EE"/>
            </w:tcBorders>
            <w:gridSpan w:val="2"/>
          </w:tcPr>
          <w:p>
            <w:pPr>
              <w:spacing w:after="0" w:line="151" w:lineRule="exact"/>
              <w:rPr>
                <w:rFonts w:ascii="Arial" w:cs="Arial" w:eastAsia="Arial" w:hAnsi="Arial"/>
                <w:sz w:val="15"/>
                <w:szCs w:val="15"/>
                <w:color w:val="0000EE"/>
                <w:w w:val="85"/>
              </w:rPr>
            </w:pPr>
            <w:hyperlink r:id="rId101">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24</w:t>
              </w:r>
            </w:hyperlink>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5"/>
              </w:rPr>
              <w:t>Second Amendment Agreement, dated as of March 13, 2019 to the Credit Agreement, dated as of August 15, 2018 and as amended and restated as of December 31,</w:t>
            </w:r>
          </w:p>
        </w:tc>
      </w:tr>
      <w:tr>
        <w:trPr>
          <w:trHeight w:val="200"/>
        </w:trPr>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w w:val="95"/>
              </w:rPr>
              <w:t>2018, and as amended as of February 11, 2019, among New Fortress Intermediate LLC, NFE Atlantic Holdings LLC, the subsidiary guarantors from time to time party</w:t>
            </w:r>
          </w:p>
        </w:tc>
      </w:tr>
    </w:tbl>
    <w:p>
      <w:pPr>
        <w:ind w:left="920" w:right="240"/>
        <w:spacing w:after="0" w:line="277" w:lineRule="auto"/>
        <w:rPr>
          <w:sz w:val="20"/>
          <w:szCs w:val="20"/>
          <w:color w:val="auto"/>
        </w:rPr>
      </w:pPr>
      <w:r>
        <w:rPr>
          <w:rFonts w:ascii="Arial" w:cs="Arial" w:eastAsia="Arial" w:hAnsi="Arial"/>
          <w:sz w:val="15"/>
          <w:szCs w:val="15"/>
          <w:color w:val="auto"/>
        </w:rPr>
        <w:t>thereto, lenders parties thereto and Morgan Stanley Senior Funding, Inc., as administrative agent. (incorporated by reference to Exhibit 10.26 to the Registrant’s Form 10-K (File No. 001-38790), filed with the Commission on March 26, 2019)</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66" w:name="page67"/>
    <w:bookmarkEnd w:id="66"/>
    <w:tbl>
      <w:tblPr>
        <w:tblLayout w:type="fixed"/>
        <w:tblInd w:w="7" w:type="dxa"/>
        <w:tblCellMar>
          <w:top w:w="0" w:type="dxa"/>
          <w:left w:w="0" w:type="dxa"/>
          <w:bottom w:w="0" w:type="dxa"/>
          <w:right w:w="0" w:type="dxa"/>
        </w:tblCellMar>
      </w:tblPr>
      <w:tr>
        <w:trPr>
          <w:trHeight w:val="138"/>
        </w:trPr>
        <w:tc>
          <w:tcPr>
            <w:tcW w:w="860" w:type="dxa"/>
            <w:vAlign w:val="bottom"/>
            <w:tcBorders>
              <w:bottom w:val="single" w:sz="8" w:color="0000EE"/>
            </w:tcBorders>
            <w:gridSpan w:val="5"/>
          </w:tcPr>
          <w:p>
            <w:pPr>
              <w:spacing w:after="0"/>
              <w:rPr>
                <w:rFonts w:ascii="Arial" w:cs="Arial" w:eastAsia="Arial" w:hAnsi="Arial"/>
                <w:sz w:val="12"/>
                <w:szCs w:val="12"/>
                <w:i w:val="1"/>
                <w:iCs w:val="1"/>
                <w:color w:val="0000EE"/>
                <w:w w:val="88"/>
              </w:rPr>
            </w:pPr>
            <w:hyperlink w:anchor="page2">
              <w:r>
                <w:rPr>
                  <w:rFonts w:ascii="Arial" w:cs="Arial" w:eastAsia="Arial" w:hAnsi="Arial"/>
                  <w:sz w:val="12"/>
                  <w:szCs w:val="12"/>
                  <w:i w:val="1"/>
                  <w:iCs w:val="1"/>
                  <w:color w:val="0000EE"/>
                  <w:w w:val="88"/>
                </w:rPr>
                <w:t>Table of Contents</w:t>
              </w:r>
            </w:hyperlink>
          </w:p>
        </w:tc>
        <w:tc>
          <w:tcPr>
            <w:tcW w:w="60" w:type="dxa"/>
            <w:vAlign w:val="bottom"/>
          </w:tcPr>
          <w:p>
            <w:pPr>
              <w:spacing w:after="0"/>
              <w:rPr>
                <w:sz w:val="12"/>
                <w:szCs w:val="12"/>
                <w:color w:val="auto"/>
              </w:rPr>
            </w:pPr>
          </w:p>
        </w:tc>
        <w:tc>
          <w:tcPr>
            <w:tcW w:w="10520" w:type="dxa"/>
            <w:vAlign w:val="bottom"/>
          </w:tcPr>
          <w:p>
            <w:pPr>
              <w:spacing w:after="0"/>
              <w:rPr>
                <w:sz w:val="12"/>
                <w:szCs w:val="12"/>
                <w:color w:val="auto"/>
              </w:rPr>
            </w:pPr>
          </w:p>
        </w:tc>
      </w:tr>
      <w:tr>
        <w:trPr>
          <w:trHeight w:val="312"/>
        </w:trPr>
        <w:tc>
          <w:tcPr>
            <w:tcW w:w="860" w:type="dxa"/>
            <w:vAlign w:val="bottom"/>
            <w:gridSpan w:val="5"/>
          </w:tcPr>
          <w:p>
            <w:pPr>
              <w:ind w:left="6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24"/>
                <w:szCs w:val="24"/>
                <w:color w:val="auto"/>
              </w:rPr>
            </w:pPr>
          </w:p>
        </w:tc>
        <w:tc>
          <w:tcPr>
            <w:tcW w:w="10520" w:type="dxa"/>
            <w:vAlign w:val="bottom"/>
          </w:tcPr>
          <w:p>
            <w:pPr>
              <w:spacing w:after="0"/>
              <w:rPr>
                <w:sz w:val="24"/>
                <w:szCs w:val="24"/>
                <w:color w:val="auto"/>
              </w:rPr>
            </w:pPr>
          </w:p>
        </w:tc>
      </w:tr>
      <w:tr>
        <w:trPr>
          <w:trHeight w:val="206"/>
        </w:trPr>
        <w:tc>
          <w:tcPr>
            <w:tcW w:w="860" w:type="dxa"/>
            <w:vAlign w:val="bottom"/>
            <w:gridSpan w:val="5"/>
          </w:tcPr>
          <w:p>
            <w:pPr>
              <w:ind w:left="2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10520" w:type="dxa"/>
            <w:vAlign w:val="bottom"/>
          </w:tcPr>
          <w:p>
            <w:pPr>
              <w:ind w:left="4840"/>
              <w:spacing w:after="0"/>
              <w:rPr>
                <w:sz w:val="20"/>
                <w:szCs w:val="20"/>
                <w:color w:val="auto"/>
              </w:rPr>
            </w:pPr>
            <w:r>
              <w:rPr>
                <w:rFonts w:ascii="Arial" w:cs="Arial" w:eastAsia="Arial" w:hAnsi="Arial"/>
                <w:sz w:val="15"/>
                <w:szCs w:val="15"/>
                <w:b w:val="1"/>
                <w:bCs w:val="1"/>
                <w:color w:val="auto"/>
              </w:rPr>
              <w:t>Description</w:t>
            </w:r>
          </w:p>
        </w:tc>
      </w:tr>
      <w:tr>
        <w:trPr>
          <w:trHeight w:val="151"/>
        </w:trPr>
        <w:tc>
          <w:tcPr>
            <w:tcW w:w="340" w:type="dxa"/>
            <w:vAlign w:val="bottom"/>
            <w:tcBorders>
              <w:top w:val="single" w:sz="8" w:color="auto"/>
              <w:bottom w:val="single" w:sz="8" w:color="0000EE"/>
            </w:tcBorders>
            <w:shd w:val="clear" w:color="auto" w:fill="CCEEFF"/>
          </w:tcPr>
          <w:p>
            <w:pPr>
              <w:spacing w:after="0" w:line="151" w:lineRule="exact"/>
              <w:rPr>
                <w:rFonts w:ascii="Arial" w:cs="Arial" w:eastAsia="Arial" w:hAnsi="Arial"/>
                <w:sz w:val="15"/>
                <w:szCs w:val="15"/>
                <w:color w:val="0000EE"/>
                <w:w w:val="85"/>
              </w:rPr>
            </w:pPr>
            <w:hyperlink r:id="rId103">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25</w:t>
              </w:r>
            </w:hyperlink>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520" w:type="dxa"/>
            <w:vAlign w:val="bottom"/>
            <w:tcBorders>
              <w:top w:val="single" w:sz="8" w:color="auto"/>
              <w:bottom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w w:val="94"/>
              </w:rPr>
              <w:t>Master LNG Sale and Purchase Agreement, dated December 20, 2016, by and between Centrica LNG Company Limited and NFE North Trading Limited (incorporated</w:t>
            </w:r>
          </w:p>
        </w:tc>
      </w:tr>
      <w:tr>
        <w:trPr>
          <w:trHeight w:val="201"/>
        </w:trPr>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by reference to Exhibit 10.16 to the Registrant’s Registration Statement on Form S-1/A (File No. 333-228339), filed with the Commission on January 14, 2019)</w:t>
            </w:r>
          </w:p>
        </w:tc>
      </w:tr>
      <w:tr>
        <w:trPr>
          <w:trHeight w:val="151"/>
        </w:trPr>
        <w:tc>
          <w:tcPr>
            <w:tcW w:w="340" w:type="dxa"/>
            <w:vAlign w:val="bottom"/>
            <w:tcBorders>
              <w:bottom w:val="single" w:sz="8" w:color="0000EE"/>
            </w:tcBorders>
          </w:tcPr>
          <w:p>
            <w:pPr>
              <w:spacing w:after="0" w:line="151" w:lineRule="exact"/>
              <w:rPr>
                <w:rFonts w:ascii="Arial" w:cs="Arial" w:eastAsia="Arial" w:hAnsi="Arial"/>
                <w:sz w:val="15"/>
                <w:szCs w:val="15"/>
                <w:color w:val="0000EE"/>
                <w:w w:val="85"/>
              </w:rPr>
            </w:pPr>
            <w:hyperlink r:id="rId104">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26</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7"/>
              </w:rPr>
              <w:t>Engineering, Procurement and Construction Agreement for the Marcellus LNG Production Facility I, dated January 8, 2019, by and between Bradford County Real</w:t>
            </w:r>
          </w:p>
        </w:tc>
      </w:tr>
      <w:tr>
        <w:trPr>
          <w:trHeight w:val="190"/>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w w:val="95"/>
              </w:rPr>
              <w:t>Estate Partners LLC and Black &amp; Veatch Construction, Inc. (incorporated by reference to Exhibit 10.17 to the Registrant’s Registration Statement on Form S-1/A (File</w:t>
            </w:r>
          </w:p>
        </w:tc>
      </w:tr>
      <w:tr>
        <w:trPr>
          <w:trHeight w:val="196"/>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No. 333-228339), filed with the Commission on January 25, 2019)</w:t>
            </w:r>
          </w:p>
        </w:tc>
      </w:tr>
      <w:tr>
        <w:trPr>
          <w:trHeight w:val="151"/>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r:id="rId105">
              <w:r>
                <w:rPr>
                  <w:rFonts w:ascii="Arial" w:cs="Arial" w:eastAsia="Arial" w:hAnsi="Arial"/>
                  <w:sz w:val="15"/>
                  <w:szCs w:val="15"/>
                  <w:color w:val="0000EE"/>
                </w:rPr>
                <w:t>10.</w:t>
              </w:r>
              <w:r>
                <w:rPr>
                  <w:rFonts w:ascii="Arial" w:cs="Arial" w:eastAsia="Arial" w:hAnsi="Arial"/>
                  <w:sz w:val="15"/>
                  <w:szCs w:val="15"/>
                  <w:u w:val="single" w:color="auto"/>
                  <w:color w:val="0000EE"/>
                </w:rPr>
                <w:t>27†</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5"/>
              </w:rPr>
              <w:t>Indemnification Agreement, dated as of March 17, 2019, by and between New Fortress Energy LLC and Yunyoung Shin (incorporated by reference to Exhibit 10.29 to</w:t>
            </w:r>
          </w:p>
        </w:tc>
      </w:tr>
      <w:tr>
        <w:trPr>
          <w:trHeight w:val="201"/>
        </w:trPr>
        <w:tc>
          <w:tcPr>
            <w:tcW w:w="3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58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5"/>
                <w:szCs w:val="15"/>
                <w:color w:val="auto"/>
              </w:rPr>
              <w:t>the Registrant’s Annual Report on Form 10-K (File 001-38790), filed with the Commission on March 26, 2019)</w:t>
            </w:r>
          </w:p>
        </w:tc>
      </w:tr>
      <w:tr>
        <w:trPr>
          <w:trHeight w:val="151"/>
        </w:trPr>
        <w:tc>
          <w:tcPr>
            <w:tcW w:w="340" w:type="dxa"/>
            <w:vAlign w:val="bottom"/>
            <w:tcBorders>
              <w:bottom w:val="single" w:sz="8" w:color="0000EE"/>
            </w:tcBorders>
          </w:tcPr>
          <w:p>
            <w:pPr>
              <w:spacing w:after="0" w:line="151" w:lineRule="exact"/>
              <w:rPr>
                <w:rFonts w:ascii="Arial" w:cs="Arial" w:eastAsia="Arial" w:hAnsi="Arial"/>
                <w:sz w:val="15"/>
                <w:szCs w:val="15"/>
                <w:color w:val="0000EE"/>
                <w:w w:val="85"/>
              </w:rPr>
            </w:pPr>
            <w:hyperlink r:id="rId106">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28</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8"/>
              </w:rPr>
              <w:t>Credit Agreement, dated January 10, 2020, by and among New Fortress Intermediate LLC, NFE Atlantic Holdings LLC, each person listed as a guarantor on the</w:t>
            </w:r>
          </w:p>
        </w:tc>
      </w:tr>
      <w:tr>
        <w:trPr>
          <w:trHeight w:val="190"/>
        </w:trPr>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signature pages thereto, the lenders from time to time party thereto and Cortland Capital Market Services LLC, as collateral agent and administrative agent</w:t>
            </w:r>
          </w:p>
        </w:tc>
      </w:tr>
      <w:tr>
        <w:trPr>
          <w:trHeight w:val="196"/>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(incorporated by reference to Exhibit 10.1 to the Registrant’s Form 8-K (File No. 001-38790), filed with the Commission on January 13, 2020)</w:t>
            </w:r>
          </w:p>
        </w:tc>
      </w:tr>
      <w:tr>
        <w:trPr>
          <w:trHeight w:val="151"/>
        </w:trPr>
        <w:tc>
          <w:tcPr>
            <w:tcW w:w="340" w:type="dxa"/>
            <w:vAlign w:val="bottom"/>
            <w:tcBorders>
              <w:bottom w:val="single" w:sz="8" w:color="0000EE"/>
            </w:tcBorders>
            <w:shd w:val="clear" w:color="auto" w:fill="CCEEFF"/>
          </w:tcPr>
          <w:p>
            <w:pPr>
              <w:spacing w:after="0" w:line="151" w:lineRule="exact"/>
              <w:rPr>
                <w:rFonts w:ascii="Arial" w:cs="Arial" w:eastAsia="Arial" w:hAnsi="Arial"/>
                <w:sz w:val="15"/>
                <w:szCs w:val="15"/>
                <w:color w:val="0000EE"/>
                <w:w w:val="85"/>
              </w:rPr>
            </w:pPr>
            <w:hyperlink r:id="rId107">
              <w:r>
                <w:rPr>
                  <w:rFonts w:ascii="Arial" w:cs="Arial" w:eastAsia="Arial" w:hAnsi="Arial"/>
                  <w:sz w:val="15"/>
                  <w:szCs w:val="15"/>
                  <w:color w:val="0000EE"/>
                  <w:w w:val="85"/>
                </w:rPr>
                <w:t>10.</w:t>
              </w:r>
              <w:r>
                <w:rPr>
                  <w:rFonts w:ascii="Arial" w:cs="Arial" w:eastAsia="Arial" w:hAnsi="Arial"/>
                  <w:sz w:val="15"/>
                  <w:szCs w:val="15"/>
                  <w:u w:val="single" w:color="auto"/>
                  <w:color w:val="0000EE"/>
                  <w:w w:val="85"/>
                </w:rPr>
                <w:t>29</w:t>
              </w:r>
            </w:hyperlink>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580" w:type="dxa"/>
            <w:vAlign w:val="bottom"/>
            <w:tcBorders>
              <w:bottom w:val="single" w:sz="8" w:color="CCEEFF"/>
            </w:tcBorders>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4"/>
              </w:rPr>
              <w:t>Third Amendment Agreement, dated as of September 2, 2019, to the Credit Agreement, dated as of August 15, 2018 and as amended and restated as of December 31,</w:t>
            </w:r>
          </w:p>
        </w:tc>
      </w:tr>
      <w:tr>
        <w:trPr>
          <w:trHeight w:val="190"/>
        </w:trPr>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3"/>
              </w:rPr>
              <w:t>2018, and as amended as of February 11, 2019 and March 13, 2019, among New Fortress Intermediate LLC, NFE Atlantic Holdings LLC, the subsidiary guarantors from</w:t>
            </w:r>
          </w:p>
        </w:tc>
      </w:tr>
      <w:tr>
        <w:trPr>
          <w:trHeight w:val="186"/>
        </w:trPr>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96"/>
              </w:rPr>
              <w:t>time to time party thereto, lenders parties thereto and Morgan Stanley Senior Funding, Inc., as administrative agent (incorporated by reference to Exhibit 10.1 to the</w:t>
            </w:r>
          </w:p>
        </w:tc>
      </w:tr>
      <w:tr>
        <w:trPr>
          <w:trHeight w:val="196"/>
        </w:trPr>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Registrant’s Form 8-K (File No. 001-38790), filed with the Commission on September 6, 2019)</w:t>
            </w:r>
          </w:p>
        </w:tc>
      </w:tr>
      <w:tr>
        <w:trPr>
          <w:trHeight w:val="151"/>
        </w:trPr>
        <w:tc>
          <w:tcPr>
            <w:tcW w:w="860" w:type="dxa"/>
            <w:vAlign w:val="bottom"/>
            <w:gridSpan w:val="5"/>
          </w:tcPr>
          <w:p>
            <w:pPr>
              <w:spacing w:after="0" w:line="151" w:lineRule="exact"/>
              <w:rPr>
                <w:rFonts w:ascii="Arial" w:cs="Arial" w:eastAsia="Arial" w:hAnsi="Arial"/>
                <w:sz w:val="15"/>
                <w:szCs w:val="15"/>
                <w:color w:val="0000EE"/>
              </w:rPr>
            </w:pPr>
            <w:hyperlink r:id="rId108">
              <w:r>
                <w:rPr>
                  <w:rFonts w:ascii="Arial" w:cs="Arial" w:eastAsia="Arial" w:hAnsi="Arial"/>
                  <w:sz w:val="15"/>
                  <w:szCs w:val="15"/>
                  <w:color w:val="0000EE"/>
                </w:rPr>
                <w:t>10.</w:t>
              </w:r>
              <w:r>
                <w:rPr>
                  <w:rFonts w:ascii="Arial" w:cs="Arial" w:eastAsia="Arial" w:hAnsi="Arial"/>
                  <w:sz w:val="15"/>
                  <w:szCs w:val="15"/>
                  <w:u w:val="single" w:color="auto"/>
                  <w:color w:val="0000EE"/>
                </w:rPr>
                <w:t>30†</w:t>
              </w:r>
            </w:hyperlink>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4"/>
              </w:rPr>
              <w:t>Form of Employee Restricted Share Unit Award Agreement (incorporated by reference to Exhibit 10.5 to the Registrant’s Quarterly Report on Form 10-Q (File No. 001-</w:t>
            </w:r>
          </w:p>
        </w:tc>
      </w:tr>
      <w:tr>
        <w:trPr>
          <w:trHeight w:val="200"/>
        </w:trPr>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38790), filed with the Commission on May 15, 2019)</w:t>
            </w:r>
          </w:p>
        </w:tc>
      </w:tr>
      <w:tr>
        <w:trPr>
          <w:trHeight w:val="166"/>
        </w:trPr>
        <w:tc>
          <w:tcPr>
            <w:tcW w:w="860" w:type="dxa"/>
            <w:vAlign w:val="bottom"/>
            <w:gridSpan w:val="5"/>
            <w:shd w:val="clear" w:color="auto" w:fill="CCEEFF"/>
          </w:tcPr>
          <w:p>
            <w:pPr>
              <w:spacing w:after="0" w:line="151" w:lineRule="exact"/>
              <w:rPr>
                <w:rFonts w:ascii="Arial" w:cs="Arial" w:eastAsia="Arial" w:hAnsi="Arial"/>
                <w:sz w:val="15"/>
                <w:szCs w:val="15"/>
                <w:color w:val="0000EE"/>
              </w:rPr>
            </w:pPr>
            <w:hyperlink w:anchor="page113">
              <w:r>
                <w:rPr>
                  <w:rFonts w:ascii="Arial" w:cs="Arial" w:eastAsia="Arial" w:hAnsi="Arial"/>
                  <w:sz w:val="15"/>
                  <w:szCs w:val="15"/>
                  <w:color w:val="0000EE"/>
                </w:rPr>
                <w:t>10.</w:t>
              </w:r>
              <w:r>
                <w:rPr>
                  <w:rFonts w:ascii="Arial" w:cs="Arial" w:eastAsia="Arial" w:hAnsi="Arial"/>
                  <w:sz w:val="15"/>
                  <w:szCs w:val="15"/>
                  <w:u w:val="single" w:color="auto"/>
                  <w:color w:val="0000EE"/>
                </w:rPr>
                <w:t>31*†</w:t>
              </w:r>
            </w:hyperlink>
          </w:p>
        </w:tc>
        <w:tc>
          <w:tcPr>
            <w:tcW w:w="10580" w:type="dxa"/>
            <w:vAlign w:val="bottom"/>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rPr>
              <w:t>Separation Agreement, dated as of November 25, 2019, between NFE Management LLC and Michael J. Utsler</w:t>
            </w:r>
          </w:p>
        </w:tc>
      </w:tr>
      <w:tr>
        <w:trPr>
          <w:trHeight w:val="158"/>
        </w:trPr>
        <w:tc>
          <w:tcPr>
            <w:tcW w:w="340" w:type="dxa"/>
            <w:vAlign w:val="bottom"/>
            <w:tcBorders>
              <w:top w:val="single" w:sz="8" w:color="0000EE"/>
              <w:bottom w:val="single" w:sz="8" w:color="0000EE"/>
            </w:tcBorders>
          </w:tcPr>
          <w:p>
            <w:pPr>
              <w:spacing w:after="0" w:line="151" w:lineRule="exact"/>
              <w:rPr>
                <w:rFonts w:ascii="Arial" w:cs="Arial" w:eastAsia="Arial" w:hAnsi="Arial"/>
                <w:sz w:val="15"/>
                <w:szCs w:val="15"/>
                <w:color w:val="0000EE"/>
                <w:w w:val="91"/>
              </w:rPr>
            </w:pPr>
            <w:hyperlink w:anchor="page119">
              <w:r>
                <w:rPr>
                  <w:rFonts w:ascii="Arial" w:cs="Arial" w:eastAsia="Arial" w:hAnsi="Arial"/>
                  <w:sz w:val="15"/>
                  <w:szCs w:val="15"/>
                  <w:color w:val="0000EE"/>
                  <w:w w:val="91"/>
                </w:rPr>
                <w:t>21.</w:t>
              </w:r>
              <w:r>
                <w:rPr>
                  <w:rFonts w:ascii="Arial" w:cs="Arial" w:eastAsia="Arial" w:hAnsi="Arial"/>
                  <w:sz w:val="15"/>
                  <w:szCs w:val="15"/>
                  <w:u w:val="single" w:color="auto"/>
                  <w:color w:val="0000EE"/>
                  <w:w w:val="91"/>
                </w:rPr>
                <w:t>1*</w:t>
              </w:r>
            </w:hyperlink>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580" w:type="dxa"/>
            <w:vAlign w:val="bottom"/>
            <w:tcBorders>
              <w:top w:val="single" w:sz="8" w:color="CCEEFF"/>
            </w:tcBorders>
            <w:gridSpan w:val="2"/>
          </w:tcPr>
          <w:p>
            <w:pPr>
              <w:ind w:left="60"/>
              <w:spacing w:after="0" w:line="151" w:lineRule="exact"/>
              <w:rPr>
                <w:sz w:val="20"/>
                <w:szCs w:val="20"/>
                <w:color w:val="auto"/>
              </w:rPr>
            </w:pPr>
            <w:r>
              <w:rPr>
                <w:rFonts w:ascii="Arial" w:cs="Arial" w:eastAsia="Arial" w:hAnsi="Arial"/>
                <w:sz w:val="15"/>
                <w:szCs w:val="15"/>
                <w:color w:val="auto"/>
              </w:rPr>
              <w:t>List of Subsidiaries of New Fortress Energy LLC</w:t>
            </w:r>
          </w:p>
        </w:tc>
      </w:tr>
      <w:tr>
        <w:trPr>
          <w:trHeight w:val="173"/>
        </w:trPr>
        <w:tc>
          <w:tcPr>
            <w:tcW w:w="340" w:type="dxa"/>
            <w:vAlign w:val="bottom"/>
            <w:tcBorders>
              <w:bottom w:val="single" w:sz="8" w:color="0000EE"/>
            </w:tcBorders>
            <w:shd w:val="clear" w:color="auto" w:fill="CCEEFF"/>
          </w:tcPr>
          <w:p>
            <w:pPr>
              <w:spacing w:after="0" w:line="159" w:lineRule="exact"/>
              <w:rPr>
                <w:rFonts w:ascii="Arial" w:cs="Arial" w:eastAsia="Arial" w:hAnsi="Arial"/>
                <w:sz w:val="15"/>
                <w:szCs w:val="15"/>
                <w:color w:val="0000EE"/>
                <w:w w:val="91"/>
              </w:rPr>
            </w:pPr>
            <w:hyperlink w:anchor="page121">
              <w:r>
                <w:rPr>
                  <w:rFonts w:ascii="Arial" w:cs="Arial" w:eastAsia="Arial" w:hAnsi="Arial"/>
                  <w:sz w:val="15"/>
                  <w:szCs w:val="15"/>
                  <w:color w:val="0000EE"/>
                  <w:w w:val="91"/>
                </w:rPr>
                <w:t>23.</w:t>
              </w:r>
              <w:r>
                <w:rPr>
                  <w:rFonts w:ascii="Arial" w:cs="Arial" w:eastAsia="Arial" w:hAnsi="Arial"/>
                  <w:sz w:val="15"/>
                  <w:szCs w:val="15"/>
                  <w:u w:val="single" w:color="auto"/>
                  <w:color w:val="0000EE"/>
                  <w:w w:val="91"/>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580" w:type="dxa"/>
            <w:vAlign w:val="bottom"/>
            <w:tcBorders>
              <w:bottom w:val="single" w:sz="8" w:color="CCEEFF"/>
            </w:tcBorders>
            <w:gridSpan w:val="2"/>
            <w:shd w:val="clear" w:color="auto" w:fill="CCEEFF"/>
          </w:tcPr>
          <w:p>
            <w:pPr>
              <w:ind w:left="60"/>
              <w:spacing w:after="0" w:line="159" w:lineRule="exact"/>
              <w:rPr>
                <w:sz w:val="20"/>
                <w:szCs w:val="20"/>
                <w:color w:val="auto"/>
              </w:rPr>
            </w:pPr>
            <w:r>
              <w:rPr>
                <w:rFonts w:ascii="Arial" w:cs="Arial" w:eastAsia="Arial" w:hAnsi="Arial"/>
                <w:sz w:val="15"/>
                <w:szCs w:val="15"/>
                <w:color w:val="auto"/>
              </w:rPr>
              <w:t>Consent of Ernst &amp; Young L.L.P.</w:t>
            </w:r>
          </w:p>
        </w:tc>
      </w:tr>
      <w:tr>
        <w:trPr>
          <w:trHeight w:val="151"/>
        </w:trPr>
        <w:tc>
          <w:tcPr>
            <w:tcW w:w="340" w:type="dxa"/>
            <w:vAlign w:val="bottom"/>
            <w:tcBorders>
              <w:bottom w:val="single" w:sz="8" w:color="0000EE"/>
            </w:tcBorders>
          </w:tcPr>
          <w:p>
            <w:pPr>
              <w:spacing w:after="0" w:line="151" w:lineRule="exact"/>
              <w:rPr>
                <w:rFonts w:ascii="Arial" w:cs="Arial" w:eastAsia="Arial" w:hAnsi="Arial"/>
                <w:sz w:val="15"/>
                <w:szCs w:val="15"/>
                <w:color w:val="0000EE"/>
                <w:w w:val="91"/>
              </w:rPr>
            </w:pPr>
            <w:hyperlink w:anchor="page122">
              <w:r>
                <w:rPr>
                  <w:rFonts w:ascii="Arial" w:cs="Arial" w:eastAsia="Arial" w:hAnsi="Arial"/>
                  <w:sz w:val="15"/>
                  <w:szCs w:val="15"/>
                  <w:color w:val="0000EE"/>
                  <w:w w:val="91"/>
                </w:rPr>
                <w:t>31.</w:t>
              </w:r>
              <w:r>
                <w:rPr>
                  <w:rFonts w:ascii="Arial" w:cs="Arial" w:eastAsia="Arial" w:hAnsi="Arial"/>
                  <w:sz w:val="15"/>
                  <w:szCs w:val="15"/>
                  <w:u w:val="single" w:color="auto"/>
                  <w:color w:val="0000EE"/>
                  <w:w w:val="91"/>
                </w:rPr>
                <w:t>1*</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w w:val="97"/>
              </w:rPr>
              <w:t>Certification by Chief Executive Officer pursuant to Rule 13a-14(a) and 15d-14(a) of the Exchange Act Rules, as adopted pursuant to Section 302 of the Sarbanes-</w:t>
            </w:r>
          </w:p>
        </w:tc>
      </w:tr>
      <w:tr>
        <w:trPr>
          <w:trHeight w:val="200"/>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Oxley Act of 2002.</w:t>
            </w:r>
          </w:p>
        </w:tc>
      </w:tr>
      <w:tr>
        <w:trPr>
          <w:trHeight w:val="151"/>
        </w:trPr>
        <w:tc>
          <w:tcPr>
            <w:tcW w:w="340" w:type="dxa"/>
            <w:vAlign w:val="bottom"/>
            <w:tcBorders>
              <w:bottom w:val="single" w:sz="8" w:color="0000EE"/>
            </w:tcBorders>
            <w:shd w:val="clear" w:color="auto" w:fill="CCEEFF"/>
          </w:tcPr>
          <w:p>
            <w:pPr>
              <w:spacing w:after="0" w:line="151" w:lineRule="exact"/>
              <w:rPr>
                <w:rFonts w:ascii="Arial" w:cs="Arial" w:eastAsia="Arial" w:hAnsi="Arial"/>
                <w:sz w:val="15"/>
                <w:szCs w:val="15"/>
                <w:color w:val="0000EE"/>
                <w:w w:val="91"/>
              </w:rPr>
            </w:pPr>
            <w:hyperlink w:anchor="page123">
              <w:r>
                <w:rPr>
                  <w:rFonts w:ascii="Arial" w:cs="Arial" w:eastAsia="Arial" w:hAnsi="Arial"/>
                  <w:sz w:val="15"/>
                  <w:szCs w:val="15"/>
                  <w:color w:val="0000EE"/>
                  <w:w w:val="91"/>
                </w:rPr>
                <w:t>31.</w:t>
              </w:r>
              <w:r>
                <w:rPr>
                  <w:rFonts w:ascii="Arial" w:cs="Arial" w:eastAsia="Arial" w:hAnsi="Arial"/>
                  <w:sz w:val="15"/>
                  <w:szCs w:val="15"/>
                  <w:u w:val="single" w:color="auto"/>
                  <w:color w:val="0000EE"/>
                  <w:w w:val="91"/>
                </w:rPr>
                <w:t>2*</w:t>
              </w:r>
            </w:hyperlink>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580" w:type="dxa"/>
            <w:vAlign w:val="bottom"/>
            <w:tcBorders>
              <w:bottom w:val="single" w:sz="8" w:color="CCEEFF"/>
            </w:tcBorders>
            <w:gridSpan w:val="2"/>
            <w:shd w:val="clear" w:color="auto" w:fill="CCEEFF"/>
          </w:tcPr>
          <w:p>
            <w:pPr>
              <w:ind w:left="60"/>
              <w:spacing w:after="0" w:line="151" w:lineRule="exact"/>
              <w:rPr>
                <w:sz w:val="20"/>
                <w:szCs w:val="20"/>
                <w:color w:val="auto"/>
              </w:rPr>
            </w:pPr>
            <w:r>
              <w:rPr>
                <w:rFonts w:ascii="Arial" w:cs="Arial" w:eastAsia="Arial" w:hAnsi="Arial"/>
                <w:sz w:val="15"/>
                <w:szCs w:val="15"/>
                <w:color w:val="auto"/>
                <w:w w:val="94"/>
              </w:rPr>
              <w:t>Certification by Chief Financial Officer pursuant to Rule 13a-14(a) and 15d-14(a) of the Exchange Act Rules, as adopted pursuant to Section 302 of the Sarbanes-Oxley</w:t>
            </w:r>
          </w:p>
        </w:tc>
      </w:tr>
      <w:tr>
        <w:trPr>
          <w:trHeight w:val="201"/>
        </w:trPr>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Act of 2002.</w:t>
            </w:r>
          </w:p>
        </w:tc>
      </w:tr>
      <w:tr>
        <w:trPr>
          <w:trHeight w:val="158"/>
        </w:trPr>
        <w:tc>
          <w:tcPr>
            <w:tcW w:w="420" w:type="dxa"/>
            <w:vAlign w:val="bottom"/>
            <w:tcBorders>
              <w:bottom w:val="single" w:sz="8" w:color="0000EE"/>
            </w:tcBorders>
            <w:gridSpan w:val="2"/>
          </w:tcPr>
          <w:p>
            <w:pPr>
              <w:spacing w:after="0" w:line="151" w:lineRule="exact"/>
              <w:rPr>
                <w:rFonts w:ascii="Arial" w:cs="Arial" w:eastAsia="Arial" w:hAnsi="Arial"/>
                <w:sz w:val="15"/>
                <w:szCs w:val="15"/>
                <w:color w:val="0000EE"/>
                <w:w w:val="97"/>
              </w:rPr>
            </w:pPr>
            <w:hyperlink w:anchor="page124">
              <w:r>
                <w:rPr>
                  <w:rFonts w:ascii="Arial" w:cs="Arial" w:eastAsia="Arial" w:hAnsi="Arial"/>
                  <w:sz w:val="15"/>
                  <w:szCs w:val="15"/>
                  <w:color w:val="0000EE"/>
                  <w:w w:val="97"/>
                </w:rPr>
                <w:t>32.</w:t>
              </w:r>
              <w:r>
                <w:rPr>
                  <w:rFonts w:ascii="Arial" w:cs="Arial" w:eastAsia="Arial" w:hAnsi="Arial"/>
                  <w:sz w:val="15"/>
                  <w:szCs w:val="15"/>
                  <w:u w:val="single" w:color="auto"/>
                  <w:color w:val="0000EE"/>
                  <w:w w:val="97"/>
                </w:rPr>
                <w:t>1**</w:t>
              </w:r>
            </w:hyperlink>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580" w:type="dxa"/>
            <w:vAlign w:val="bottom"/>
            <w:gridSpan w:val="2"/>
          </w:tcPr>
          <w:p>
            <w:pPr>
              <w:ind w:left="60"/>
              <w:spacing w:after="0" w:line="151" w:lineRule="exact"/>
              <w:rPr>
                <w:sz w:val="20"/>
                <w:szCs w:val="20"/>
                <w:color w:val="auto"/>
              </w:rPr>
            </w:pPr>
            <w:r>
              <w:rPr>
                <w:rFonts w:ascii="Arial" w:cs="Arial" w:eastAsia="Arial" w:hAnsi="Arial"/>
                <w:sz w:val="15"/>
                <w:szCs w:val="15"/>
                <w:color w:val="auto"/>
              </w:rPr>
              <w:t>Certifications by Chief Executive Officer pursuant to Title 18 U.S.C. Section 1350, as adopted pursuant to Section 906 of Sarbanes-Oxley Act of 2002.</w:t>
            </w:r>
          </w:p>
        </w:tc>
      </w:tr>
      <w:tr>
        <w:trPr>
          <w:trHeight w:val="173"/>
        </w:trPr>
        <w:tc>
          <w:tcPr>
            <w:tcW w:w="420" w:type="dxa"/>
            <w:vAlign w:val="bottom"/>
            <w:tcBorders>
              <w:bottom w:val="single" w:sz="8" w:color="0000EE"/>
            </w:tcBorders>
            <w:gridSpan w:val="2"/>
            <w:shd w:val="clear" w:color="auto" w:fill="CCEEFF"/>
          </w:tcPr>
          <w:p>
            <w:pPr>
              <w:spacing w:after="0" w:line="159" w:lineRule="exact"/>
              <w:rPr>
                <w:rFonts w:ascii="Arial" w:cs="Arial" w:eastAsia="Arial" w:hAnsi="Arial"/>
                <w:sz w:val="15"/>
                <w:szCs w:val="15"/>
                <w:color w:val="0000EE"/>
                <w:w w:val="97"/>
              </w:rPr>
            </w:pPr>
            <w:hyperlink w:anchor="page125">
              <w:r>
                <w:rPr>
                  <w:rFonts w:ascii="Arial" w:cs="Arial" w:eastAsia="Arial" w:hAnsi="Arial"/>
                  <w:sz w:val="15"/>
                  <w:szCs w:val="15"/>
                  <w:color w:val="0000EE"/>
                  <w:w w:val="97"/>
                </w:rPr>
                <w:t>32.</w:t>
              </w:r>
              <w:r>
                <w:rPr>
                  <w:rFonts w:ascii="Arial" w:cs="Arial" w:eastAsia="Arial" w:hAnsi="Arial"/>
                  <w:sz w:val="15"/>
                  <w:szCs w:val="15"/>
                  <w:u w:val="single" w:color="auto"/>
                  <w:color w:val="0000EE"/>
                  <w:w w:val="97"/>
                </w:rPr>
                <w:t>2**</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580" w:type="dxa"/>
            <w:vAlign w:val="bottom"/>
            <w:tcBorders>
              <w:bottom w:val="single" w:sz="8" w:color="CCEEFF"/>
            </w:tcBorders>
            <w:gridSpan w:val="2"/>
            <w:shd w:val="clear" w:color="auto" w:fill="CCEEFF"/>
          </w:tcPr>
          <w:p>
            <w:pPr>
              <w:ind w:left="60"/>
              <w:spacing w:after="0" w:line="159" w:lineRule="exact"/>
              <w:rPr>
                <w:sz w:val="20"/>
                <w:szCs w:val="20"/>
                <w:color w:val="auto"/>
              </w:rPr>
            </w:pPr>
            <w:r>
              <w:rPr>
                <w:rFonts w:ascii="Arial" w:cs="Arial" w:eastAsia="Arial" w:hAnsi="Arial"/>
                <w:sz w:val="15"/>
                <w:szCs w:val="15"/>
                <w:color w:val="auto"/>
              </w:rPr>
              <w:t>Certifications by Chief Financial Officer pursuant to Title 18 U.S.C. Section 1350, as adopted pursuant to Section 906 of Sarbanes-Oxley Act of 2002.</w:t>
            </w:r>
          </w:p>
        </w:tc>
      </w:tr>
      <w:tr>
        <w:trPr>
          <w:trHeight w:val="186"/>
        </w:trPr>
        <w:tc>
          <w:tcPr>
            <w:tcW w:w="860" w:type="dxa"/>
            <w:vAlign w:val="bottom"/>
            <w:gridSpan w:val="5"/>
          </w:tcPr>
          <w:p>
            <w:pPr>
              <w:spacing w:after="0"/>
              <w:rPr>
                <w:sz w:val="20"/>
                <w:szCs w:val="20"/>
                <w:color w:val="auto"/>
              </w:rPr>
            </w:pPr>
            <w:r>
              <w:rPr>
                <w:rFonts w:ascii="Arial" w:cs="Arial" w:eastAsia="Arial" w:hAnsi="Arial"/>
                <w:sz w:val="15"/>
                <w:szCs w:val="15"/>
                <w:color w:val="auto"/>
              </w:rPr>
              <w:t>101.INS*</w:t>
            </w: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XBRL Instance Document</w:t>
            </w:r>
          </w:p>
        </w:tc>
      </w:tr>
      <w:tr>
        <w:trPr>
          <w:trHeight w:val="186"/>
        </w:trPr>
        <w:tc>
          <w:tcPr>
            <w:tcW w:w="86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101.SCH*</w:t>
            </w: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XBRL Schema Document</w:t>
            </w:r>
          </w:p>
        </w:tc>
      </w:tr>
      <w:tr>
        <w:trPr>
          <w:trHeight w:val="186"/>
        </w:trPr>
        <w:tc>
          <w:tcPr>
            <w:tcW w:w="860" w:type="dxa"/>
            <w:vAlign w:val="bottom"/>
            <w:gridSpan w:val="5"/>
          </w:tcPr>
          <w:p>
            <w:pPr>
              <w:spacing w:after="0"/>
              <w:rPr>
                <w:sz w:val="20"/>
                <w:szCs w:val="20"/>
                <w:color w:val="auto"/>
              </w:rPr>
            </w:pPr>
            <w:r>
              <w:rPr>
                <w:rFonts w:ascii="Arial" w:cs="Arial" w:eastAsia="Arial" w:hAnsi="Arial"/>
                <w:sz w:val="15"/>
                <w:szCs w:val="15"/>
                <w:color w:val="auto"/>
              </w:rPr>
              <w:t>101.CAL*</w:t>
            </w: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XBRL Calculation Linkbase Document</w:t>
            </w:r>
          </w:p>
        </w:tc>
      </w:tr>
      <w:tr>
        <w:trPr>
          <w:trHeight w:val="186"/>
        </w:trPr>
        <w:tc>
          <w:tcPr>
            <w:tcW w:w="86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101.LAB*</w:t>
            </w: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XBRL Label Linkbase Document</w:t>
            </w:r>
          </w:p>
        </w:tc>
      </w:tr>
      <w:tr>
        <w:trPr>
          <w:trHeight w:val="186"/>
        </w:trPr>
        <w:tc>
          <w:tcPr>
            <w:tcW w:w="860" w:type="dxa"/>
            <w:vAlign w:val="bottom"/>
            <w:gridSpan w:val="5"/>
          </w:tcPr>
          <w:p>
            <w:pPr>
              <w:spacing w:after="0"/>
              <w:rPr>
                <w:sz w:val="20"/>
                <w:szCs w:val="20"/>
                <w:color w:val="auto"/>
              </w:rPr>
            </w:pPr>
            <w:r>
              <w:rPr>
                <w:rFonts w:ascii="Arial" w:cs="Arial" w:eastAsia="Arial" w:hAnsi="Arial"/>
                <w:sz w:val="15"/>
                <w:szCs w:val="15"/>
                <w:color w:val="auto"/>
              </w:rPr>
              <w:t>101.PRE*</w:t>
            </w:r>
          </w:p>
        </w:tc>
        <w:tc>
          <w:tcPr>
            <w:tcW w:w="10580" w:type="dxa"/>
            <w:vAlign w:val="bottom"/>
            <w:gridSpan w:val="2"/>
          </w:tcPr>
          <w:p>
            <w:pPr>
              <w:ind w:left="60"/>
              <w:spacing w:after="0"/>
              <w:rPr>
                <w:sz w:val="20"/>
                <w:szCs w:val="20"/>
                <w:color w:val="auto"/>
              </w:rPr>
            </w:pPr>
            <w:r>
              <w:rPr>
                <w:rFonts w:ascii="Arial" w:cs="Arial" w:eastAsia="Arial" w:hAnsi="Arial"/>
                <w:sz w:val="15"/>
                <w:szCs w:val="15"/>
                <w:color w:val="auto"/>
              </w:rPr>
              <w:t>XBRL Presentation Linkbase Document</w:t>
            </w:r>
          </w:p>
        </w:tc>
      </w:tr>
      <w:tr>
        <w:trPr>
          <w:trHeight w:val="186"/>
        </w:trPr>
        <w:tc>
          <w:tcPr>
            <w:tcW w:w="86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101.DEF*</w:t>
            </w:r>
          </w:p>
        </w:tc>
        <w:tc>
          <w:tcPr>
            <w:tcW w:w="105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XBRL Taxonomy Extension Definition Linkbase Document</w:t>
            </w:r>
          </w:p>
        </w:tc>
      </w:tr>
    </w:tbl>
    <w:p>
      <w:pPr>
        <w:spacing w:after="0" w:line="199" w:lineRule="exact"/>
        <w:rPr>
          <w:sz w:val="20"/>
          <w:szCs w:val="20"/>
          <w:color w:val="auto"/>
        </w:rPr>
      </w:pPr>
    </w:p>
    <w:p>
      <w:pPr>
        <w:ind w:left="287" w:hanging="287"/>
        <w:spacing w:after="0"/>
        <w:tabs>
          <w:tab w:leader="none" w:pos="287" w:val="left"/>
        </w:tabs>
        <w:numPr>
          <w:ilvl w:val="0"/>
          <w:numId w:val="27"/>
        </w:numPr>
        <w:rPr>
          <w:rFonts w:ascii="Arial" w:cs="Arial" w:eastAsia="Arial" w:hAnsi="Arial"/>
          <w:sz w:val="15"/>
          <w:szCs w:val="15"/>
          <w:color w:val="auto"/>
        </w:rPr>
      </w:pPr>
      <w:r>
        <w:rPr>
          <w:rFonts w:ascii="Arial" w:cs="Arial" w:eastAsia="Arial" w:hAnsi="Arial"/>
          <w:sz w:val="15"/>
          <w:szCs w:val="15"/>
          <w:color w:val="auto"/>
        </w:rPr>
        <w:t>Filed as an exhibit to this Annual Report</w:t>
      </w:r>
    </w:p>
    <w:p>
      <w:pPr>
        <w:spacing w:after="0" w:line="222" w:lineRule="exact"/>
        <w:rPr>
          <w:sz w:val="20"/>
          <w:szCs w:val="20"/>
          <w:color w:val="auto"/>
        </w:rPr>
      </w:pPr>
    </w:p>
    <w:p>
      <w:pPr>
        <w:ind w:left="287" w:hanging="287"/>
        <w:spacing w:after="0"/>
        <w:tabs>
          <w:tab w:leader="none" w:pos="287" w:val="left"/>
        </w:tabs>
        <w:numPr>
          <w:ilvl w:val="0"/>
          <w:numId w:val="28"/>
        </w:numPr>
        <w:rPr>
          <w:rFonts w:ascii="Arial" w:cs="Arial" w:eastAsia="Arial" w:hAnsi="Arial"/>
          <w:sz w:val="15"/>
          <w:szCs w:val="15"/>
          <w:color w:val="auto"/>
        </w:rPr>
      </w:pPr>
      <w:r>
        <w:rPr>
          <w:rFonts w:ascii="Arial" w:cs="Arial" w:eastAsia="Arial" w:hAnsi="Arial"/>
          <w:sz w:val="15"/>
          <w:szCs w:val="15"/>
          <w:color w:val="auto"/>
        </w:rPr>
        <w:t>Furnished as an exhibit to this Annual Report</w:t>
      </w:r>
    </w:p>
    <w:p>
      <w:pPr>
        <w:spacing w:after="0" w:line="222"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   Compensatory plan or arrangement</w:t>
      </w:r>
    </w:p>
    <w:p>
      <w:pPr>
        <w:spacing w:after="0" w:line="222"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5"/>
          <w:szCs w:val="15"/>
          <w:color w:val="auto"/>
        </w:rPr>
        <w:t>‡   Confidential treatment was granted with respect to certain portions of this exhibit. Omitted portions filed separately with the SEC.</w:t>
      </w:r>
    </w:p>
    <w:p>
      <w:pPr>
        <w:spacing w:after="0" w:line="216" w:lineRule="exact"/>
        <w:rPr>
          <w:sz w:val="20"/>
          <w:szCs w:val="20"/>
          <w:color w:val="auto"/>
        </w:rPr>
      </w:pPr>
    </w:p>
    <w:p>
      <w:pPr>
        <w:ind w:left="7"/>
        <w:spacing w:after="0"/>
        <w:tabs>
          <w:tab w:leader="none" w:pos="687"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None.</w:t>
      </w:r>
    </w:p>
    <w:p>
      <w:pPr>
        <w:spacing w:after="0" w:line="36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18" w:right="219" w:bottom="1440" w:gutter="0" w:footer="0" w:header="0"/>
        </w:sectPr>
      </w:pPr>
    </w:p>
    <w:bookmarkStart w:id="67" w:name="page68"/>
    <w:bookmarkEnd w:id="67"/>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04" w:lineRule="exact"/>
        <w:rPr>
          <w:sz w:val="20"/>
          <w:szCs w:val="20"/>
          <w:color w:val="auto"/>
        </w:rPr>
      </w:pPr>
    </w:p>
    <w:p>
      <w:pPr>
        <w:ind w:right="460" w:firstLine="310"/>
        <w:spacing w:after="0" w:line="250" w:lineRule="auto"/>
        <w:rPr>
          <w:sz w:val="20"/>
          <w:szCs w:val="20"/>
          <w:color w:val="auto"/>
        </w:rPr>
      </w:pPr>
      <w:r>
        <w:rPr>
          <w:rFonts w:ascii="Arial" w:cs="Arial" w:eastAsia="Arial" w:hAnsi="Arial"/>
          <w:sz w:val="19"/>
          <w:szCs w:val="19"/>
          <w:color w:val="auto"/>
        </w:rPr>
        <w:t>Pursuant to the requirements of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NEW FORTRESS ENERGY LLC</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Date: March 4, 2020</w:t>
      </w:r>
    </w:p>
    <w:p>
      <w:pPr>
        <w:spacing w:after="0" w:line="13" w:lineRule="exact"/>
        <w:rPr>
          <w:sz w:val="20"/>
          <w:szCs w:val="20"/>
          <w:color w:val="auto"/>
        </w:rPr>
      </w:pPr>
    </w:p>
    <w:tbl>
      <w:tblPr>
        <w:tblLayout w:type="fixed"/>
        <w:tblInd w:w="5720" w:type="dxa"/>
        <w:tblCellMar>
          <w:top w:w="0" w:type="dxa"/>
          <w:left w:w="0" w:type="dxa"/>
          <w:bottom w:w="0" w:type="dxa"/>
          <w:right w:w="0" w:type="dxa"/>
        </w:tblCellMar>
      </w:tblPr>
      <w:tr>
        <w:trPr>
          <w:trHeight w:val="201"/>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Christopher S. Guinta</w:t>
            </w:r>
          </w:p>
        </w:tc>
      </w:tr>
      <w:tr>
        <w:trPr>
          <w:trHeight w:val="175"/>
        </w:trPr>
        <w:tc>
          <w:tcPr>
            <w:tcW w:w="680" w:type="dxa"/>
            <w:vAlign w:val="bottom"/>
          </w:tcPr>
          <w:p>
            <w:pPr>
              <w:spacing w:after="0"/>
              <w:rPr>
                <w:sz w:val="20"/>
                <w:szCs w:val="20"/>
                <w:color w:val="auto"/>
              </w:rPr>
            </w:pPr>
            <w:r>
              <w:rPr>
                <w:rFonts w:ascii="Arial" w:cs="Arial" w:eastAsia="Arial" w:hAnsi="Arial"/>
                <w:sz w:val="15"/>
                <w:szCs w:val="15"/>
                <w:color w:val="auto"/>
              </w:rPr>
              <w:t>Name:</w:t>
            </w:r>
          </w:p>
        </w:tc>
        <w:tc>
          <w:tcPr>
            <w:tcW w:w="5040" w:type="dxa"/>
            <w:vAlign w:val="bottom"/>
          </w:tcPr>
          <w:p>
            <w:pPr>
              <w:spacing w:after="0"/>
              <w:rPr>
                <w:sz w:val="20"/>
                <w:szCs w:val="20"/>
                <w:color w:val="auto"/>
              </w:rPr>
            </w:pPr>
            <w:r>
              <w:rPr>
                <w:rFonts w:ascii="Arial" w:cs="Arial" w:eastAsia="Arial" w:hAnsi="Arial"/>
                <w:sz w:val="15"/>
                <w:szCs w:val="15"/>
                <w:color w:val="auto"/>
              </w:rPr>
              <w:t>Christopher S. Guinta</w:t>
            </w:r>
          </w:p>
        </w:tc>
      </w:tr>
      <w:tr>
        <w:trPr>
          <w:trHeight w:val="196"/>
        </w:trPr>
        <w:tc>
          <w:tcPr>
            <w:tcW w:w="680" w:type="dxa"/>
            <w:vAlign w:val="bottom"/>
          </w:tcPr>
          <w:p>
            <w:pPr>
              <w:spacing w:after="0"/>
              <w:rPr>
                <w:sz w:val="20"/>
                <w:szCs w:val="20"/>
                <w:color w:val="auto"/>
              </w:rPr>
            </w:pPr>
            <w:r>
              <w:rPr>
                <w:rFonts w:ascii="Arial" w:cs="Arial" w:eastAsia="Arial" w:hAnsi="Arial"/>
                <w:sz w:val="15"/>
                <w:szCs w:val="15"/>
                <w:color w:val="auto"/>
              </w:rPr>
              <w:t>Title:</w:t>
            </w:r>
          </w:p>
        </w:tc>
        <w:tc>
          <w:tcPr>
            <w:tcW w:w="5040" w:type="dxa"/>
            <w:vAlign w:val="bottom"/>
          </w:tcPr>
          <w:p>
            <w:pPr>
              <w:spacing w:after="0"/>
              <w:rPr>
                <w:sz w:val="20"/>
                <w:szCs w:val="20"/>
                <w:color w:val="auto"/>
              </w:rPr>
            </w:pPr>
            <w:r>
              <w:rPr>
                <w:rFonts w:ascii="Arial" w:cs="Arial" w:eastAsia="Arial" w:hAnsi="Arial"/>
                <w:sz w:val="15"/>
                <w:szCs w:val="15"/>
                <w:color w:val="auto"/>
              </w:rPr>
              <w:t>Chief Financial Officer</w:t>
            </w:r>
          </w:p>
        </w:tc>
      </w:tr>
    </w:tbl>
    <w:p>
      <w:pPr>
        <w:spacing w:after="0" w:line="191" w:lineRule="exact"/>
        <w:rPr>
          <w:sz w:val="20"/>
          <w:szCs w:val="20"/>
          <w:color w:val="auto"/>
        </w:rPr>
      </w:pPr>
    </w:p>
    <w:p>
      <w:pPr>
        <w:ind w:right="380" w:firstLine="279"/>
        <w:spacing w:after="0" w:line="250"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Name</w:t>
            </w:r>
          </w:p>
        </w:tc>
        <w:tc>
          <w:tcPr>
            <w:tcW w:w="240" w:type="dxa"/>
            <w:vAlign w:val="bottom"/>
          </w:tcPr>
          <w:p>
            <w:pPr>
              <w:spacing w:after="0"/>
              <w:rPr>
                <w:sz w:val="17"/>
                <w:szCs w:val="17"/>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Title</w:t>
            </w:r>
          </w:p>
        </w:tc>
        <w:tc>
          <w:tcPr>
            <w:tcW w:w="220" w:type="dxa"/>
            <w:vAlign w:val="bottom"/>
          </w:tcPr>
          <w:p>
            <w:pPr>
              <w:spacing w:after="0"/>
              <w:rPr>
                <w:sz w:val="17"/>
                <w:szCs w:val="17"/>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Date</w:t>
            </w:r>
          </w:p>
        </w:tc>
        <w:tc>
          <w:tcPr>
            <w:tcW w:w="0" w:type="dxa"/>
            <w:vAlign w:val="bottom"/>
          </w:tcPr>
          <w:p>
            <w:pPr>
              <w:spacing w:after="0"/>
              <w:rPr>
                <w:sz w:val="1"/>
                <w:szCs w:val="1"/>
                <w:color w:val="auto"/>
              </w:rPr>
            </w:pPr>
          </w:p>
        </w:tc>
      </w:tr>
      <w:tr>
        <w:trPr>
          <w:trHeight w:val="361"/>
        </w:trPr>
        <w:tc>
          <w:tcPr>
            <w:tcW w:w="2880" w:type="dxa"/>
            <w:vAlign w:val="bottom"/>
          </w:tcPr>
          <w:p>
            <w:pPr>
              <w:jc w:val="center"/>
              <w:spacing w:after="0"/>
              <w:rPr>
                <w:sz w:val="20"/>
                <w:szCs w:val="20"/>
                <w:color w:val="auto"/>
              </w:rPr>
            </w:pPr>
            <w:r>
              <w:rPr>
                <w:rFonts w:ascii="Arial" w:cs="Arial" w:eastAsia="Arial" w:hAnsi="Arial"/>
                <w:sz w:val="15"/>
                <w:szCs w:val="15"/>
                <w:color w:val="auto"/>
                <w:w w:val="91"/>
              </w:rPr>
              <w:t>/s/ Wesley R. Edens</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Chief Executive Officer and Chairman</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5480" w:type="dxa"/>
            <w:vAlign w:val="bottom"/>
            <w:gridSpan w:val="2"/>
            <w:vMerge w:val="restart"/>
          </w:tcPr>
          <w:p>
            <w:pPr>
              <w:jc w:val="center"/>
              <w:ind w:right="220"/>
              <w:spacing w:after="0"/>
              <w:rPr>
                <w:sz w:val="20"/>
                <w:szCs w:val="20"/>
                <w:color w:val="auto"/>
              </w:rPr>
            </w:pPr>
            <w:r>
              <w:rPr>
                <w:rFonts w:ascii="Arial" w:cs="Arial" w:eastAsia="Arial" w:hAnsi="Arial"/>
                <w:sz w:val="15"/>
                <w:szCs w:val="15"/>
                <w:i w:val="1"/>
                <w:iCs w:val="1"/>
                <w:color w:val="auto"/>
                <w:w w:val="98"/>
              </w:rPr>
              <w:t>(Principal Executive Officer)</w:t>
            </w: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0"/>
              </w:rPr>
              <w:t>Wesley R. Edens</w:t>
            </w:r>
          </w:p>
        </w:tc>
        <w:tc>
          <w:tcPr>
            <w:tcW w:w="240" w:type="dxa"/>
            <w:vAlign w:val="bottom"/>
            <w:vMerge w:val="continue"/>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880" w:type="dxa"/>
            <w:vAlign w:val="bottom"/>
          </w:tcPr>
          <w:p>
            <w:pPr>
              <w:jc w:val="center"/>
              <w:spacing w:after="0"/>
              <w:rPr>
                <w:sz w:val="20"/>
                <w:szCs w:val="20"/>
                <w:color w:val="auto"/>
              </w:rPr>
            </w:pPr>
            <w:r>
              <w:rPr>
                <w:rFonts w:ascii="Arial" w:cs="Arial" w:eastAsia="Arial" w:hAnsi="Arial"/>
                <w:sz w:val="15"/>
                <w:szCs w:val="15"/>
                <w:color w:val="auto"/>
                <w:w w:val="93"/>
              </w:rPr>
              <w:t>/s/ Christopher S. Guinta</w:t>
            </w:r>
          </w:p>
        </w:tc>
        <w:tc>
          <w:tcPr>
            <w:tcW w:w="240" w:type="dxa"/>
            <w:vAlign w:val="bottom"/>
          </w:tcPr>
          <w:p>
            <w:pPr>
              <w:spacing w:after="0"/>
              <w:rPr>
                <w:sz w:val="24"/>
                <w:szCs w:val="24"/>
                <w:color w:val="auto"/>
              </w:rPr>
            </w:pPr>
          </w:p>
        </w:tc>
        <w:tc>
          <w:tcPr>
            <w:tcW w:w="548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Chief Financial Officer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5480" w:type="dxa"/>
            <w:vAlign w:val="bottom"/>
            <w:gridSpan w:val="2"/>
            <w:vMerge w:val="restart"/>
          </w:tcPr>
          <w:p>
            <w:pPr>
              <w:jc w:val="center"/>
              <w:ind w:right="220"/>
              <w:spacing w:after="0"/>
              <w:rPr>
                <w:sz w:val="20"/>
                <w:szCs w:val="20"/>
                <w:color w:val="auto"/>
              </w:rPr>
            </w:pPr>
            <w:r>
              <w:rPr>
                <w:rFonts w:ascii="Arial" w:cs="Arial" w:eastAsia="Arial" w:hAnsi="Arial"/>
                <w:sz w:val="15"/>
                <w:szCs w:val="15"/>
                <w:i w:val="1"/>
                <w:iCs w:val="1"/>
                <w:color w:val="auto"/>
              </w:rPr>
              <w:t>(Principal Financial Officer)</w:t>
            </w: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4"/>
              </w:rPr>
              <w:t>Christopher S. Guinta</w:t>
            </w:r>
          </w:p>
        </w:tc>
        <w:tc>
          <w:tcPr>
            <w:tcW w:w="240" w:type="dxa"/>
            <w:vAlign w:val="bottom"/>
            <w:vMerge w:val="continue"/>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880" w:type="dxa"/>
            <w:vAlign w:val="bottom"/>
          </w:tcPr>
          <w:p>
            <w:pPr>
              <w:jc w:val="center"/>
              <w:spacing w:after="0"/>
              <w:rPr>
                <w:sz w:val="20"/>
                <w:szCs w:val="20"/>
                <w:color w:val="auto"/>
              </w:rPr>
            </w:pPr>
            <w:r>
              <w:rPr>
                <w:rFonts w:ascii="Arial" w:cs="Arial" w:eastAsia="Arial" w:hAnsi="Arial"/>
                <w:sz w:val="15"/>
                <w:szCs w:val="15"/>
                <w:color w:val="auto"/>
                <w:w w:val="95"/>
              </w:rPr>
              <w:t>/s/ Yunyoung Shin</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Chief Accounting Officer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25"/>
        </w:trPr>
        <w:tc>
          <w:tcPr>
            <w:tcW w:w="28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5480" w:type="dxa"/>
            <w:vAlign w:val="bottom"/>
            <w:gridSpan w:val="2"/>
            <w:vMerge w:val="restart"/>
          </w:tcPr>
          <w:p>
            <w:pPr>
              <w:jc w:val="center"/>
              <w:ind w:right="220"/>
              <w:spacing w:after="0"/>
              <w:rPr>
                <w:sz w:val="20"/>
                <w:szCs w:val="20"/>
                <w:color w:val="auto"/>
              </w:rPr>
            </w:pPr>
            <w:r>
              <w:rPr>
                <w:rFonts w:ascii="Arial" w:cs="Arial" w:eastAsia="Arial" w:hAnsi="Arial"/>
                <w:sz w:val="15"/>
                <w:szCs w:val="15"/>
                <w:i w:val="1"/>
                <w:iCs w:val="1"/>
                <w:color w:val="auto"/>
                <w:w w:val="97"/>
              </w:rPr>
              <w:t>(Principal Accounting Officer)</w:t>
            </w: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4"/>
              </w:rPr>
              <w:t>Yunyoung Shin</w:t>
            </w:r>
          </w:p>
        </w:tc>
        <w:tc>
          <w:tcPr>
            <w:tcW w:w="240" w:type="dxa"/>
            <w:vAlign w:val="bottom"/>
            <w:vMerge w:val="continue"/>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Randal A. Nardone</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4"/>
              </w:rPr>
              <w:t>Randal A. Nardone</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 C. William Griffin</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rPr>
              <w:t>C. William Griffin</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John J. Mack</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2"/>
              </w:rPr>
              <w:t>John J. Mack</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Matthew Wilkinson</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9"/>
              </w:rPr>
              <w:t>Matthew Wilkinson</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David J. Grain</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6"/>
              </w:rPr>
              <w:t>David J. Grain</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/s/ Desmond Iain Catterall</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4"/>
              </w:rPr>
              <w:t>Desmond Iain Catterall</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Katherine E. Wanner</w:t>
            </w:r>
          </w:p>
        </w:tc>
        <w:tc>
          <w:tcPr>
            <w:tcW w:w="240" w:type="dxa"/>
            <w:vAlign w:val="bottom"/>
          </w:tcPr>
          <w:p>
            <w:pPr>
              <w:spacing w:after="0"/>
              <w:rPr>
                <w:sz w:val="24"/>
                <w:szCs w:val="24"/>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5"/>
                <w:szCs w:val="15"/>
                <w:color w:val="auto"/>
                <w:w w:val="95"/>
              </w:rPr>
              <w:t>Director</w:t>
            </w:r>
          </w:p>
        </w:tc>
        <w:tc>
          <w:tcPr>
            <w:tcW w:w="2840" w:type="dxa"/>
            <w:vAlign w:val="bottom"/>
          </w:tcPr>
          <w:p>
            <w:pPr>
              <w:jc w:val="center"/>
              <w:spacing w:after="0"/>
              <w:rPr>
                <w:sz w:val="20"/>
                <w:szCs w:val="20"/>
                <w:color w:val="auto"/>
              </w:rPr>
            </w:pPr>
            <w:r>
              <w:rPr>
                <w:rFonts w:ascii="Arial" w:cs="Arial" w:eastAsia="Arial" w:hAnsi="Arial"/>
                <w:sz w:val="15"/>
                <w:szCs w:val="15"/>
                <w:color w:val="auto"/>
                <w:w w:val="95"/>
              </w:rPr>
              <w:t>March 4, 2020</w:t>
            </w:r>
          </w:p>
        </w:tc>
        <w:tc>
          <w:tcPr>
            <w:tcW w:w="0" w:type="dxa"/>
            <w:vAlign w:val="bottom"/>
          </w:tcPr>
          <w:p>
            <w:pPr>
              <w:spacing w:after="0"/>
              <w:rPr>
                <w:sz w:val="1"/>
                <w:szCs w:val="1"/>
                <w:color w:val="auto"/>
              </w:rPr>
            </w:pPr>
          </w:p>
        </w:tc>
      </w:tr>
      <w:tr>
        <w:trPr>
          <w:trHeight w:val="196"/>
        </w:trPr>
        <w:tc>
          <w:tcPr>
            <w:tcW w:w="2880" w:type="dxa"/>
            <w:vAlign w:val="bottom"/>
          </w:tcPr>
          <w:p>
            <w:pPr>
              <w:jc w:val="center"/>
              <w:spacing w:after="0"/>
              <w:rPr>
                <w:sz w:val="20"/>
                <w:szCs w:val="20"/>
                <w:color w:val="auto"/>
              </w:rPr>
            </w:pPr>
            <w:r>
              <w:rPr>
                <w:rFonts w:ascii="Arial" w:cs="Arial" w:eastAsia="Arial" w:hAnsi="Arial"/>
                <w:sz w:val="15"/>
                <w:szCs w:val="15"/>
                <w:color w:val="auto"/>
                <w:w w:val="91"/>
              </w:rPr>
              <w:t>Katherine E. Wanner</w:t>
            </w:r>
          </w:p>
        </w:tc>
        <w:tc>
          <w:tcPr>
            <w:tcW w:w="2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2880" w:type="dxa"/>
            <w:vAlign w:val="bottom"/>
          </w:tcPr>
          <w:p>
            <w:pPr>
              <w:spacing w:after="0"/>
              <w:rPr>
                <w:sz w:val="24"/>
                <w:szCs w:val="24"/>
                <w:color w:val="auto"/>
              </w:rPr>
            </w:pPr>
          </w:p>
        </w:tc>
        <w:tc>
          <w:tcPr>
            <w:tcW w:w="5500" w:type="dxa"/>
            <w:vAlign w:val="bottom"/>
            <w:gridSpan w:val="2"/>
          </w:tcPr>
          <w:p>
            <w:pPr>
              <w:jc w:val="right"/>
              <w:ind w:right="2523"/>
              <w:spacing w:after="0"/>
              <w:rPr>
                <w:sz w:val="20"/>
                <w:szCs w:val="20"/>
                <w:color w:val="auto"/>
              </w:rPr>
            </w:pPr>
            <w:r>
              <w:rPr>
                <w:rFonts w:ascii="Arial" w:cs="Arial" w:eastAsia="Arial" w:hAnsi="Arial"/>
                <w:sz w:val="12"/>
                <w:szCs w:val="12"/>
                <w:color w:val="auto"/>
              </w:rPr>
              <w:t>66</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68" w:name="page69"/>
    <w:bookmarkEnd w:id="6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Index to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64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Page</w:t>
            </w:r>
          </w:p>
        </w:tc>
      </w:tr>
      <w:tr>
        <w:trPr>
          <w:trHeight w:val="166"/>
        </w:trPr>
        <w:tc>
          <w:tcPr>
            <w:tcW w:w="4020" w:type="dxa"/>
            <w:vAlign w:val="bottom"/>
            <w:gridSpan w:val="6"/>
            <w:shd w:val="clear" w:color="auto" w:fill="CCEEFF"/>
          </w:tcPr>
          <w:p>
            <w:pPr>
              <w:spacing w:after="0" w:line="151" w:lineRule="exact"/>
              <w:rPr>
                <w:rFonts w:ascii="Arial" w:cs="Arial" w:eastAsia="Arial" w:hAnsi="Arial"/>
                <w:sz w:val="15"/>
                <w:szCs w:val="15"/>
                <w:color w:val="0000EE"/>
              </w:rPr>
            </w:pPr>
            <w:hyperlink w:anchor="page70">
              <w:r>
                <w:rPr>
                  <w:rFonts w:ascii="Arial" w:cs="Arial" w:eastAsia="Arial" w:hAnsi="Arial"/>
                  <w:sz w:val="15"/>
                  <w:szCs w:val="15"/>
                  <w:color w:val="0000EE"/>
                </w:rPr>
                <w:t>Report of Independent Registered Public Accounting Firm</w:t>
              </w:r>
            </w:hyperlink>
          </w:p>
        </w:tc>
        <w:tc>
          <w:tcPr>
            <w:tcW w:w="6480" w:type="dxa"/>
            <w:vAlign w:val="bottom"/>
            <w:shd w:val="clear" w:color="auto" w:fill="CCEEFF"/>
          </w:tcPr>
          <w:p>
            <w:pPr>
              <w:spacing w:after="0"/>
              <w:rPr>
                <w:sz w:val="14"/>
                <w:szCs w:val="14"/>
                <w:color w:val="auto"/>
              </w:rPr>
            </w:pPr>
          </w:p>
        </w:tc>
        <w:tc>
          <w:tcPr>
            <w:tcW w:w="940" w:type="dxa"/>
            <w:vAlign w:val="bottom"/>
            <w:shd w:val="clear" w:color="auto" w:fill="CCEEFF"/>
          </w:tcPr>
          <w:p>
            <w:pPr>
              <w:ind w:left="720"/>
              <w:spacing w:after="0" w:line="151" w:lineRule="exact"/>
              <w:rPr>
                <w:sz w:val="20"/>
                <w:szCs w:val="20"/>
                <w:color w:val="auto"/>
              </w:rPr>
            </w:pPr>
            <w:r>
              <w:rPr>
                <w:rFonts w:ascii="Arial" w:cs="Arial" w:eastAsia="Arial" w:hAnsi="Arial"/>
                <w:sz w:val="15"/>
                <w:szCs w:val="15"/>
                <w:color w:val="auto"/>
                <w:w w:val="88"/>
              </w:rPr>
              <w:t>F-2</w:t>
            </w:r>
          </w:p>
        </w:tc>
      </w:tr>
      <w:tr>
        <w:trPr>
          <w:trHeight w:val="151"/>
        </w:trPr>
        <w:tc>
          <w:tcPr>
            <w:tcW w:w="1800" w:type="dxa"/>
            <w:vAlign w:val="bottom"/>
            <w:tcBorders>
              <w:top w:val="single" w:sz="8" w:color="0000EE"/>
              <w:bottom w:val="single" w:sz="8" w:color="0000EE"/>
            </w:tcBorders>
          </w:tcPr>
          <w:p>
            <w:pPr>
              <w:spacing w:after="0" w:line="151" w:lineRule="exact"/>
              <w:rPr>
                <w:rFonts w:ascii="Arial" w:cs="Arial" w:eastAsia="Arial" w:hAnsi="Arial"/>
                <w:sz w:val="15"/>
                <w:szCs w:val="15"/>
                <w:color w:val="0000EE"/>
                <w:w w:val="90"/>
              </w:rPr>
            </w:pPr>
            <w:hyperlink w:anchor="page71">
              <w:r>
                <w:rPr>
                  <w:rFonts w:ascii="Arial" w:cs="Arial" w:eastAsia="Arial" w:hAnsi="Arial"/>
                  <w:sz w:val="15"/>
                  <w:szCs w:val="15"/>
                  <w:color w:val="0000EE"/>
                  <w:w w:val="90"/>
                </w:rPr>
                <w:t>Consolidated Balance Sheets</w:t>
              </w:r>
            </w:hyperlink>
          </w:p>
        </w:tc>
        <w:tc>
          <w:tcPr>
            <w:tcW w:w="1820" w:type="dxa"/>
            <w:vAlign w:val="bottom"/>
            <w:tcBorders>
              <w:top w:val="single" w:sz="8" w:color="0000EE"/>
            </w:tcBorders>
            <w:gridSpan w:val="3"/>
          </w:tcPr>
          <w:p>
            <w:pPr>
              <w:spacing w:after="0"/>
              <w:rPr>
                <w:sz w:val="13"/>
                <w:szCs w:val="13"/>
                <w:color w:val="auto"/>
              </w:rPr>
            </w:pPr>
          </w:p>
        </w:tc>
        <w:tc>
          <w:tcPr>
            <w:tcW w:w="400" w:type="dxa"/>
            <w:vAlign w:val="bottom"/>
            <w:tcBorders>
              <w:top w:val="single" w:sz="8" w:color="CCEEFF"/>
            </w:tcBorders>
            <w:gridSpan w:val="2"/>
          </w:tcPr>
          <w:p>
            <w:pPr>
              <w:spacing w:after="0"/>
              <w:rPr>
                <w:sz w:val="13"/>
                <w:szCs w:val="13"/>
                <w:color w:val="auto"/>
              </w:rPr>
            </w:pPr>
          </w:p>
        </w:tc>
        <w:tc>
          <w:tcPr>
            <w:tcW w:w="648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ind w:left="720"/>
              <w:spacing w:after="0" w:line="151" w:lineRule="exact"/>
              <w:rPr>
                <w:sz w:val="20"/>
                <w:szCs w:val="20"/>
                <w:color w:val="auto"/>
              </w:rPr>
            </w:pPr>
            <w:r>
              <w:rPr>
                <w:rFonts w:ascii="Arial" w:cs="Arial" w:eastAsia="Arial" w:hAnsi="Arial"/>
                <w:sz w:val="15"/>
                <w:szCs w:val="15"/>
                <w:color w:val="auto"/>
                <w:w w:val="88"/>
              </w:rPr>
              <w:t>F-3</w:t>
            </w:r>
          </w:p>
        </w:tc>
      </w:tr>
      <w:tr>
        <w:trPr>
          <w:trHeight w:val="181"/>
        </w:trPr>
        <w:tc>
          <w:tcPr>
            <w:tcW w:w="4020" w:type="dxa"/>
            <w:vAlign w:val="bottom"/>
            <w:tcBorders>
              <w:bottom w:val="single" w:sz="8" w:color="0000EE"/>
            </w:tcBorders>
            <w:gridSpan w:val="6"/>
            <w:shd w:val="clear" w:color="auto" w:fill="CCEEFF"/>
          </w:tcPr>
          <w:p>
            <w:pPr>
              <w:spacing w:after="0" w:line="166" w:lineRule="exact"/>
              <w:rPr>
                <w:rFonts w:ascii="Arial" w:cs="Arial" w:eastAsia="Arial" w:hAnsi="Arial"/>
                <w:sz w:val="15"/>
                <w:szCs w:val="15"/>
                <w:color w:val="0000EE"/>
                <w:w w:val="91"/>
              </w:rPr>
            </w:pPr>
            <w:hyperlink w:anchor="page72">
              <w:r>
                <w:rPr>
                  <w:rFonts w:ascii="Arial" w:cs="Arial" w:eastAsia="Arial" w:hAnsi="Arial"/>
                  <w:sz w:val="15"/>
                  <w:szCs w:val="15"/>
                  <w:color w:val="0000EE"/>
                  <w:w w:val="91"/>
                </w:rPr>
                <w:t>Consolidated Statements of Operations and Comprehensive Loss</w:t>
              </w:r>
            </w:hyperlink>
          </w:p>
        </w:tc>
        <w:tc>
          <w:tcPr>
            <w:tcW w:w="64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ind w:left="720"/>
              <w:spacing w:after="0" w:line="166" w:lineRule="exact"/>
              <w:rPr>
                <w:sz w:val="20"/>
                <w:szCs w:val="20"/>
                <w:color w:val="auto"/>
              </w:rPr>
            </w:pPr>
            <w:r>
              <w:rPr>
                <w:rFonts w:ascii="Arial" w:cs="Arial" w:eastAsia="Arial" w:hAnsi="Arial"/>
                <w:sz w:val="15"/>
                <w:szCs w:val="15"/>
                <w:color w:val="auto"/>
                <w:w w:val="88"/>
              </w:rPr>
              <w:t>F-4</w:t>
            </w:r>
          </w:p>
        </w:tc>
      </w:tr>
      <w:tr>
        <w:trPr>
          <w:trHeight w:val="151"/>
        </w:trPr>
        <w:tc>
          <w:tcPr>
            <w:tcW w:w="3780" w:type="dxa"/>
            <w:vAlign w:val="bottom"/>
            <w:tcBorders>
              <w:bottom w:val="single" w:sz="8" w:color="0000EE"/>
            </w:tcBorders>
            <w:gridSpan w:val="5"/>
          </w:tcPr>
          <w:p>
            <w:pPr>
              <w:spacing w:after="0" w:line="151" w:lineRule="exact"/>
              <w:rPr>
                <w:rFonts w:ascii="Arial" w:cs="Arial" w:eastAsia="Arial" w:hAnsi="Arial"/>
                <w:sz w:val="15"/>
                <w:szCs w:val="15"/>
                <w:color w:val="0000EE"/>
                <w:w w:val="92"/>
              </w:rPr>
            </w:pPr>
            <w:hyperlink w:anchor="page73">
              <w:r>
                <w:rPr>
                  <w:rFonts w:ascii="Arial" w:cs="Arial" w:eastAsia="Arial" w:hAnsi="Arial"/>
                  <w:sz w:val="15"/>
                  <w:szCs w:val="15"/>
                  <w:color w:val="0000EE"/>
                  <w:w w:val="92"/>
                </w:rPr>
                <w:t>Consolidated Statements of Changes in Stockholders’ Equity</w:t>
              </w:r>
            </w:hyperlink>
          </w:p>
        </w:tc>
        <w:tc>
          <w:tcPr>
            <w:tcW w:w="2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40" w:type="dxa"/>
            <w:vAlign w:val="bottom"/>
          </w:tcPr>
          <w:p>
            <w:pPr>
              <w:ind w:left="720"/>
              <w:spacing w:after="0" w:line="151" w:lineRule="exact"/>
              <w:rPr>
                <w:sz w:val="20"/>
                <w:szCs w:val="20"/>
                <w:color w:val="auto"/>
              </w:rPr>
            </w:pPr>
            <w:r>
              <w:rPr>
                <w:rFonts w:ascii="Arial" w:cs="Arial" w:eastAsia="Arial" w:hAnsi="Arial"/>
                <w:sz w:val="15"/>
                <w:szCs w:val="15"/>
                <w:color w:val="auto"/>
                <w:w w:val="88"/>
              </w:rPr>
              <w:t>F-5</w:t>
            </w:r>
          </w:p>
        </w:tc>
      </w:tr>
      <w:tr>
        <w:trPr>
          <w:trHeight w:val="166"/>
        </w:trPr>
        <w:tc>
          <w:tcPr>
            <w:tcW w:w="4020" w:type="dxa"/>
            <w:vAlign w:val="bottom"/>
            <w:gridSpan w:val="6"/>
            <w:shd w:val="clear" w:color="auto" w:fill="CCEEFF"/>
          </w:tcPr>
          <w:p>
            <w:pPr>
              <w:spacing w:after="0" w:line="166" w:lineRule="exact"/>
              <w:rPr>
                <w:rFonts w:ascii="Arial" w:cs="Arial" w:eastAsia="Arial" w:hAnsi="Arial"/>
                <w:sz w:val="15"/>
                <w:szCs w:val="15"/>
                <w:color w:val="0000EE"/>
              </w:rPr>
            </w:pPr>
            <w:hyperlink w:anchor="page74">
              <w:r>
                <w:rPr>
                  <w:rFonts w:ascii="Arial" w:cs="Arial" w:eastAsia="Arial" w:hAnsi="Arial"/>
                  <w:sz w:val="15"/>
                  <w:szCs w:val="15"/>
                  <w:color w:val="0000EE"/>
                </w:rPr>
                <w:t>Consolidated Statements of Cash Flows</w:t>
              </w:r>
            </w:hyperlink>
          </w:p>
        </w:tc>
        <w:tc>
          <w:tcPr>
            <w:tcW w:w="6480" w:type="dxa"/>
            <w:vAlign w:val="bottom"/>
            <w:shd w:val="clear" w:color="auto" w:fill="CCEEFF"/>
          </w:tcPr>
          <w:p>
            <w:pPr>
              <w:spacing w:after="0"/>
              <w:rPr>
                <w:sz w:val="14"/>
                <w:szCs w:val="14"/>
                <w:color w:val="auto"/>
              </w:rPr>
            </w:pPr>
          </w:p>
        </w:tc>
        <w:tc>
          <w:tcPr>
            <w:tcW w:w="940" w:type="dxa"/>
            <w:vAlign w:val="bottom"/>
            <w:shd w:val="clear" w:color="auto" w:fill="CCEEFF"/>
          </w:tcPr>
          <w:p>
            <w:pPr>
              <w:ind w:left="720"/>
              <w:spacing w:after="0" w:line="166" w:lineRule="exact"/>
              <w:rPr>
                <w:sz w:val="20"/>
                <w:szCs w:val="20"/>
                <w:color w:val="auto"/>
              </w:rPr>
            </w:pPr>
            <w:r>
              <w:rPr>
                <w:rFonts w:ascii="Arial" w:cs="Arial" w:eastAsia="Arial" w:hAnsi="Arial"/>
                <w:sz w:val="15"/>
                <w:szCs w:val="15"/>
                <w:color w:val="auto"/>
                <w:w w:val="88"/>
              </w:rPr>
              <w:t>F-6</w:t>
            </w:r>
          </w:p>
        </w:tc>
      </w:tr>
      <w:tr>
        <w:trPr>
          <w:trHeight w:val="35"/>
        </w:trPr>
        <w:tc>
          <w:tcPr>
            <w:tcW w:w="180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r>
        <w:trPr>
          <w:trHeight w:val="151"/>
        </w:trPr>
        <w:tc>
          <w:tcPr>
            <w:tcW w:w="4020" w:type="dxa"/>
            <w:vAlign w:val="bottom"/>
            <w:gridSpan w:val="6"/>
          </w:tcPr>
          <w:p>
            <w:pPr>
              <w:spacing w:after="0" w:line="151" w:lineRule="exact"/>
              <w:rPr>
                <w:rFonts w:ascii="Arial" w:cs="Arial" w:eastAsia="Arial" w:hAnsi="Arial"/>
                <w:sz w:val="15"/>
                <w:szCs w:val="15"/>
                <w:color w:val="0000EE"/>
              </w:rPr>
            </w:pPr>
            <w:hyperlink w:anchor="page75">
              <w:r>
                <w:rPr>
                  <w:rFonts w:ascii="Arial" w:cs="Arial" w:eastAsia="Arial" w:hAnsi="Arial"/>
                  <w:sz w:val="15"/>
                  <w:szCs w:val="15"/>
                  <w:color w:val="0000EE"/>
                </w:rPr>
                <w:t>Notes to Consolidated Financial Statements</w:t>
              </w:r>
            </w:hyperlink>
          </w:p>
        </w:tc>
        <w:tc>
          <w:tcPr>
            <w:tcW w:w="6480" w:type="dxa"/>
            <w:vAlign w:val="bottom"/>
          </w:tcPr>
          <w:p>
            <w:pPr>
              <w:spacing w:after="0"/>
              <w:rPr>
                <w:sz w:val="13"/>
                <w:szCs w:val="13"/>
                <w:color w:val="auto"/>
              </w:rPr>
            </w:pPr>
          </w:p>
        </w:tc>
        <w:tc>
          <w:tcPr>
            <w:tcW w:w="940" w:type="dxa"/>
            <w:vAlign w:val="bottom"/>
          </w:tcPr>
          <w:p>
            <w:pPr>
              <w:ind w:left="720"/>
              <w:spacing w:after="0" w:line="151" w:lineRule="exact"/>
              <w:rPr>
                <w:sz w:val="20"/>
                <w:szCs w:val="20"/>
                <w:color w:val="auto"/>
              </w:rPr>
            </w:pPr>
            <w:r>
              <w:rPr>
                <w:rFonts w:ascii="Arial" w:cs="Arial" w:eastAsia="Arial" w:hAnsi="Arial"/>
                <w:sz w:val="15"/>
                <w:szCs w:val="15"/>
                <w:color w:val="auto"/>
                <w:w w:val="88"/>
              </w:rPr>
              <w:t>F-7</w:t>
            </w:r>
          </w:p>
        </w:tc>
      </w:tr>
      <w:tr>
        <w:trPr>
          <w:trHeight w:val="527"/>
        </w:trPr>
        <w:tc>
          <w:tcPr>
            <w:tcW w:w="18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20" w:type="dxa"/>
            <w:vAlign w:val="bottom"/>
            <w:gridSpan w:val="2"/>
          </w:tcPr>
          <w:p>
            <w:pPr>
              <w:ind w:left="1600"/>
              <w:spacing w:after="0"/>
              <w:rPr>
                <w:sz w:val="20"/>
                <w:szCs w:val="20"/>
                <w:color w:val="auto"/>
              </w:rPr>
            </w:pPr>
            <w:r>
              <w:rPr>
                <w:rFonts w:ascii="Arial" w:cs="Arial" w:eastAsia="Arial" w:hAnsi="Arial"/>
                <w:sz w:val="12"/>
                <w:szCs w:val="12"/>
                <w:color w:val="auto"/>
              </w:rPr>
              <w:t>F-1</w:t>
            </w:r>
          </w:p>
        </w:tc>
      </w:tr>
      <w:tr>
        <w:trPr>
          <w:trHeight w:val="37"/>
        </w:trPr>
        <w:tc>
          <w:tcPr>
            <w:tcW w:w="1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69" w:name="page70"/>
    <w:bookmarkEnd w:id="6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Shareholders of New Fortress Energy LLC</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the accompanying consolidated balance sheets of New Fortress Energy LLC (the “Company”) as of December 31, 2019 and 2018, the related consolidated statements of operations and comprehensive loss, changes in stockholders’ equity and cash flows for each of the three years in the period ended December 31, 2019, and the related notes and the financial statement schedules listed in the Index at Item 15(a)(2)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 </w:t>
      </w:r>
      <w:r>
        <w:rPr>
          <w:rFonts w:ascii="Arial" w:cs="Arial" w:eastAsia="Arial" w:hAnsi="Arial"/>
          <w:sz w:val="15"/>
          <w:szCs w:val="15"/>
          <w:color w:val="auto"/>
        </w:rPr>
        <w:t>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2016.</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March 4, 2020</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0" w:name="page71"/>
    <w:bookmarkEnd w:id="7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Balance Sheets</w:t>
      </w:r>
    </w:p>
    <w:p>
      <w:pPr>
        <w:spacing w:after="0" w:line="229" w:lineRule="auto"/>
        <w:rPr>
          <w:sz w:val="20"/>
          <w:szCs w:val="20"/>
          <w:color w:val="auto"/>
        </w:rPr>
      </w:pPr>
      <w:r>
        <w:rPr>
          <w:rFonts w:ascii="Arial" w:cs="Arial" w:eastAsia="Arial" w:hAnsi="Arial"/>
          <w:sz w:val="19"/>
          <w:szCs w:val="19"/>
          <w:b w:val="1"/>
          <w:bCs w:val="1"/>
          <w:color w:val="auto"/>
        </w:rPr>
        <w:t>As of December 31,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thousands of U.S. dollars,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December 31,</w:t>
            </w: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8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69"/>
        </w:trPr>
        <w:tc>
          <w:tcPr>
            <w:tcW w:w="8800" w:type="dxa"/>
            <w:vAlign w:val="bottom"/>
          </w:tcPr>
          <w:p>
            <w:pPr>
              <w:spacing w:after="0" w:line="169" w:lineRule="exact"/>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8800" w:type="dxa"/>
            <w:vAlign w:val="bottom"/>
          </w:tcPr>
          <w:p>
            <w:pPr>
              <w:ind w:left="140"/>
              <w:spacing w:after="0"/>
              <w:rPr>
                <w:sz w:val="20"/>
                <w:szCs w:val="20"/>
                <w:color w:val="auto"/>
              </w:rPr>
            </w:pPr>
            <w:r>
              <w:rPr>
                <w:rFonts w:ascii="Arial" w:cs="Arial" w:eastAsia="Arial" w:hAnsi="Arial"/>
                <w:sz w:val="15"/>
                <w:szCs w:val="15"/>
                <w:b w:val="1"/>
                <w:bCs w:val="1"/>
                <w:color w:val="auto"/>
              </w:rPr>
              <w:t>Current assets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27,098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78,301</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Restricted cash</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30,966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30</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Receivables, net of allowances of $0 and $257, respectively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49,890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28,530</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Inventory</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63,432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15,959</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leases, net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943</w:t>
            </w: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38,652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30,017</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current assets</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211,120</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153,780</w:t>
            </w: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Restricted cash</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34,971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22,522</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Construction in progress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466,587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254,700</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192,222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94,040</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Finance leases, net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91,174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92,207</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Intangibles, net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43,540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43,057</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Investment in equity securities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2,540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3,656</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asset, net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185</w:t>
            </w: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Other non-current assets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81,626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35,255</w:t>
            </w:r>
          </w:p>
        </w:tc>
      </w:tr>
      <w:tr>
        <w:trPr>
          <w:trHeight w:val="226"/>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1,123,814</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699,402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2"/>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b w:val="1"/>
                <w:bCs w:val="1"/>
                <w:color w:val="auto"/>
              </w:rPr>
              <w:t>Current liabilities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Term loan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272,192</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11,593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43,177</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Accrued liabilities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54,943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67,512</w:t>
            </w: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Due to affiliates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10,252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4,481</w:t>
            </w:r>
          </w:p>
        </w:tc>
      </w:tr>
      <w:tr>
        <w:trPr>
          <w:trHeight w:val="189"/>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25,475</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17,393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b w:val="1"/>
                <w:bCs w:val="1"/>
                <w:color w:val="auto"/>
              </w:rPr>
              <w:t>Total current liabilities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102,263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404,755</w:t>
            </w:r>
          </w:p>
        </w:tc>
      </w:tr>
      <w:tr>
        <w:trPr>
          <w:trHeight w:val="186"/>
        </w:trPr>
        <w:tc>
          <w:tcPr>
            <w:tcW w:w="8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Long-term debt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619,057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liability, net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Other long-term liabilities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14,929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12,000</w:t>
            </w:r>
          </w:p>
        </w:tc>
      </w:tr>
      <w:tr>
        <w:trPr>
          <w:trHeight w:val="189"/>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736,490</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416,755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Commitments and contingences (Note 19)</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w w:val="97"/>
              </w:rPr>
              <w:t>Members’ capital, no par value, 500,000,000 shares authorized, 67,983,095 shares issued and outstanding as of December 31, 2018</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426,741</w:t>
            </w:r>
          </w:p>
        </w:tc>
      </w:tr>
      <w:tr>
        <w:trPr>
          <w:trHeight w:val="175"/>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Class A shares, 23,607,096 shares, issued and outstanding as of December 31, 2019; 0 shares issued and outstanding as of December 31,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8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130,658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8800" w:type="dxa"/>
            <w:vAlign w:val="bottom"/>
          </w:tcPr>
          <w:p>
            <w:pPr>
              <w:ind w:left="140"/>
              <w:spacing w:after="0"/>
              <w:rPr>
                <w:sz w:val="20"/>
                <w:szCs w:val="20"/>
                <w:color w:val="auto"/>
              </w:rPr>
            </w:pPr>
            <w:r>
              <w:rPr>
                <w:rFonts w:ascii="Arial" w:cs="Arial" w:eastAsia="Arial" w:hAnsi="Arial"/>
                <w:sz w:val="15"/>
                <w:szCs w:val="15"/>
                <w:color w:val="auto"/>
                <w:w w:val="92"/>
              </w:rPr>
              <w:t>Class B shares, 144,342,572 shares, issued and outstanding as of December 31, 2019; 0 shares issued and outstanding as of December 31,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800" w:type="dxa"/>
            <w:vAlign w:val="bottom"/>
          </w:tcPr>
          <w:p>
            <w:pPr>
              <w:ind w:left="240"/>
              <w:spacing w:after="0"/>
              <w:rPr>
                <w:sz w:val="20"/>
                <w:szCs w:val="20"/>
                <w:color w:val="auto"/>
              </w:rPr>
            </w:pPr>
            <w:r>
              <w:rPr>
                <w:rFonts w:ascii="Arial" w:cs="Arial" w:eastAsia="Arial" w:hAnsi="Arial"/>
                <w:sz w:val="15"/>
                <w:szCs w:val="15"/>
                <w:color w:val="auto"/>
              </w:rPr>
              <w:t>2018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(45,823)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(158,423)</w:t>
            </w: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stockholders’ equity attributable to NFE</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84,805</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268,307</w:t>
            </w:r>
          </w:p>
        </w:tc>
        <w:tc>
          <w:tcPr>
            <w:tcW w:w="100" w:type="dxa"/>
            <w:vAlign w:val="bottom"/>
            <w:shd w:val="clear" w:color="auto" w:fill="CCEEFF"/>
          </w:tcPr>
          <w:p>
            <w:pPr>
              <w:spacing w:after="0"/>
              <w:rPr>
                <w:sz w:val="16"/>
                <w:szCs w:val="16"/>
                <w:color w:val="auto"/>
              </w:rPr>
            </w:pP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Non-controlling interest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302,519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14,340</w:t>
            </w:r>
          </w:p>
        </w:tc>
      </w:tr>
      <w:tr>
        <w:trPr>
          <w:trHeight w:val="189"/>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387,324</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282,647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8800" w:type="dxa"/>
            <w:vAlign w:val="bottom"/>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1,123,814</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699,402</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1" w:name="page72"/>
    <w:bookmarkEnd w:id="7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Operations and Comprehensive Loss</w:t>
      </w:r>
    </w:p>
    <w:p>
      <w:pPr>
        <w:spacing w:after="0" w:line="229" w:lineRule="auto"/>
        <w:rPr>
          <w:sz w:val="20"/>
          <w:szCs w:val="20"/>
          <w:color w:val="auto"/>
        </w:rPr>
      </w:pPr>
      <w:r>
        <w:rPr>
          <w:rFonts w:ascii="Arial" w:cs="Arial" w:eastAsia="Arial" w:hAnsi="Arial"/>
          <w:sz w:val="19"/>
          <w:szCs w:val="19"/>
          <w:b w:val="1"/>
          <w:bCs w:val="1"/>
          <w:color w:val="auto"/>
        </w:rPr>
        <w:t>For the years ended December 31, 2019,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thousands of U.S. dollars,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5"/>
                <w:szCs w:val="15"/>
                <w:b w:val="1"/>
                <w:bCs w:val="1"/>
                <w:color w:val="auto"/>
              </w:rPr>
              <w:t>Revenues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revenue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145,500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96,906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82,104</w:t>
            </w:r>
          </w:p>
        </w:tc>
      </w:tr>
      <w:tr>
        <w:trPr>
          <w:trHeight w:val="189"/>
        </w:trPr>
        <w:tc>
          <w:tcPr>
            <w:tcW w:w="7440" w:type="dxa"/>
            <w:vAlign w:val="bottom"/>
          </w:tcPr>
          <w:p>
            <w:pPr>
              <w:ind w:left="140"/>
              <w:spacing w:after="0"/>
              <w:rPr>
                <w:sz w:val="20"/>
                <w:szCs w:val="20"/>
                <w:color w:val="auto"/>
              </w:rPr>
            </w:pPr>
            <w:r>
              <w:rPr>
                <w:rFonts w:ascii="Arial" w:cs="Arial" w:eastAsia="Arial" w:hAnsi="Arial"/>
                <w:sz w:val="15"/>
                <w:szCs w:val="15"/>
                <w:color w:val="auto"/>
              </w:rPr>
              <w:t>Other revenue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43,625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15,395</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15,158</w:t>
            </w:r>
          </w:p>
        </w:tc>
      </w:tr>
      <w:tr>
        <w:trPr>
          <w:trHeight w:val="189"/>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189,125</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112,301</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97,262</w:t>
            </w:r>
          </w:p>
        </w:tc>
        <w:tc>
          <w:tcPr>
            <w:tcW w:w="100" w:type="dxa"/>
            <w:vAlign w:val="bottom"/>
            <w:shd w:val="clear" w:color="auto" w:fill="CCEEFF"/>
          </w:tcPr>
          <w:p>
            <w:pPr>
              <w:spacing w:after="0"/>
              <w:rPr>
                <w:sz w:val="16"/>
                <w:szCs w:val="16"/>
                <w:color w:val="auto"/>
              </w:rPr>
            </w:pPr>
          </w:p>
        </w:tc>
      </w:tr>
      <w:tr>
        <w:trPr>
          <w:trHeight w:val="186"/>
        </w:trPr>
        <w:tc>
          <w:tcPr>
            <w:tcW w:w="74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7440" w:type="dxa"/>
            <w:vAlign w:val="bottom"/>
          </w:tcPr>
          <w:p>
            <w:pPr>
              <w:ind w:left="140"/>
              <w:spacing w:after="0"/>
              <w:rPr>
                <w:sz w:val="20"/>
                <w:szCs w:val="20"/>
                <w:color w:val="auto"/>
              </w:rPr>
            </w:pPr>
            <w:r>
              <w:rPr>
                <w:rFonts w:ascii="Arial" w:cs="Arial" w:eastAsia="Arial" w:hAnsi="Arial"/>
                <w:sz w:val="15"/>
                <w:szCs w:val="15"/>
                <w:color w:val="auto"/>
              </w:rPr>
              <w:t>Cost of sales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183,359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95,742</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78,692</w:t>
            </w:r>
          </w:p>
        </w:tc>
      </w:tr>
      <w:tr>
        <w:trPr>
          <w:trHeight w:val="186"/>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Operations and maintenance</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26,899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7,456</w:t>
            </w:r>
          </w:p>
        </w:tc>
      </w:tr>
      <w:tr>
        <w:trPr>
          <w:trHeight w:val="186"/>
        </w:trPr>
        <w:tc>
          <w:tcPr>
            <w:tcW w:w="7440" w:type="dxa"/>
            <w:vAlign w:val="bottom"/>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152,922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62,137</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33,343</w:t>
            </w:r>
          </w:p>
        </w:tc>
      </w:tr>
      <w:tr>
        <w:trPr>
          <w:trHeight w:val="186"/>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mitigation sales</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5,280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744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7,940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3,321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2,761</w:t>
            </w:r>
          </w:p>
        </w:tc>
      </w:tr>
      <w:tr>
        <w:trPr>
          <w:trHeight w:val="189"/>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376,400</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170,789</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122,252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6"/>
        </w:trPr>
        <w:tc>
          <w:tcPr>
            <w:tcW w:w="7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Operating loss</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(187,275)</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(58,488)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(24,990)</w:t>
            </w:r>
          </w:p>
        </w:tc>
      </w:tr>
      <w:tr>
        <w:trPr>
          <w:trHeight w:val="186"/>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19,412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6,456</w:t>
            </w: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Other income, net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(2,807)</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(784)</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(301)</w:t>
            </w:r>
          </w:p>
        </w:tc>
      </w:tr>
      <w:tr>
        <w:trPr>
          <w:trHeight w:val="18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Loss on extinguishment of debt, net</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9,568</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7440" w:type="dxa"/>
            <w:vAlign w:val="bottom"/>
          </w:tcPr>
          <w:p>
            <w:pPr>
              <w:ind w:left="140"/>
              <w:spacing w:after="0"/>
              <w:rPr>
                <w:sz w:val="20"/>
                <w:szCs w:val="20"/>
                <w:color w:val="auto"/>
              </w:rPr>
            </w:pPr>
            <w:r>
              <w:rPr>
                <w:rFonts w:ascii="Arial" w:cs="Arial" w:eastAsia="Arial" w:hAnsi="Arial"/>
                <w:sz w:val="15"/>
                <w:szCs w:val="15"/>
                <w:b w:val="1"/>
                <w:bCs w:val="1"/>
                <w:color w:val="auto"/>
              </w:rPr>
              <w:t>Loss before taxes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(203,880)</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(78,520)</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(31,145)</w:t>
            </w: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Tax expense (benefit)</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526</w:t>
            </w:r>
          </w:p>
        </w:tc>
      </w:tr>
      <w:tr>
        <w:trPr>
          <w:trHeight w:val="23"/>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6"/>
        </w:trPr>
        <w:tc>
          <w:tcPr>
            <w:tcW w:w="7440" w:type="dxa"/>
            <w:vAlign w:val="bottom"/>
          </w:tcPr>
          <w:p>
            <w:pPr>
              <w:ind w:left="140"/>
              <w:spacing w:after="0"/>
              <w:rPr>
                <w:sz w:val="20"/>
                <w:szCs w:val="20"/>
                <w:color w:val="auto"/>
              </w:rPr>
            </w:pPr>
            <w:r>
              <w:rPr>
                <w:rFonts w:ascii="Arial" w:cs="Arial" w:eastAsia="Arial" w:hAnsi="Arial"/>
                <w:sz w:val="15"/>
                <w:szCs w:val="15"/>
                <w:b w:val="1"/>
                <w:bCs w:val="1"/>
                <w:color w:val="auto"/>
              </w:rPr>
              <w:t>Net loss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(204,319)</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(78,182)</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(31,671)</w:t>
            </w:r>
          </w:p>
        </w:tc>
      </w:tr>
      <w:tr>
        <w:trPr>
          <w:trHeight w:val="18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170,510</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7440" w:type="dxa"/>
            <w:vAlign w:val="bottom"/>
          </w:tcPr>
          <w:p>
            <w:pPr>
              <w:ind w:left="140"/>
              <w:spacing w:after="0"/>
              <w:rPr>
                <w:sz w:val="20"/>
                <w:szCs w:val="20"/>
                <w:color w:val="auto"/>
              </w:rPr>
            </w:pPr>
            <w:r>
              <w:rPr>
                <w:rFonts w:ascii="Arial" w:cs="Arial" w:eastAsia="Arial" w:hAnsi="Arial"/>
                <w:sz w:val="15"/>
                <w:szCs w:val="15"/>
                <w:b w:val="1"/>
                <w:bCs w:val="1"/>
                <w:color w:val="auto"/>
              </w:rPr>
              <w:t>Net loss attributable to stockholders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(33,809)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(78,076)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(31,671)</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Net loss per share – basic and diluted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(1.62)</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Weighted average number of shares outstanding – basic and diluted</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20,862,555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5"/>
                <w:szCs w:val="15"/>
                <w:b w:val="1"/>
                <w:bCs w:val="1"/>
                <w:color w:val="auto"/>
              </w:rPr>
              <w:t>Other comprehensive loss: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(204,319)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(78,182)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(31,671)</w:t>
            </w: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Unrealized loss on currency translation adjustment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Unrealized loss (gain) on available-for-sale investment</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(1,303)</w:t>
            </w:r>
          </w:p>
        </w:tc>
      </w:tr>
      <w:tr>
        <w:trPr>
          <w:trHeight w:val="23"/>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6"/>
        </w:trPr>
        <w:tc>
          <w:tcPr>
            <w:tcW w:w="7440" w:type="dxa"/>
            <w:vAlign w:val="bottom"/>
          </w:tcPr>
          <w:p>
            <w:pPr>
              <w:spacing w:after="0"/>
              <w:rPr>
                <w:sz w:val="20"/>
                <w:szCs w:val="20"/>
                <w:color w:val="auto"/>
              </w:rPr>
            </w:pPr>
            <w:r>
              <w:rPr>
                <w:rFonts w:ascii="Arial" w:cs="Arial" w:eastAsia="Arial" w:hAnsi="Arial"/>
                <w:sz w:val="15"/>
                <w:szCs w:val="15"/>
                <w:color w:val="auto"/>
              </w:rPr>
              <w:t>Comprehensive loss</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(204,538)</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(80,859)</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(30,368)</w:t>
            </w:r>
          </w:p>
        </w:tc>
      </w:tr>
      <w:tr>
        <w:trPr>
          <w:trHeight w:val="18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Comprehensive loss attributable to non-controlling interest</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170,699</w:t>
            </w: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7440" w:type="dxa"/>
            <w:vAlign w:val="bottom"/>
          </w:tcPr>
          <w:p>
            <w:pPr>
              <w:ind w:left="140"/>
              <w:spacing w:after="0"/>
              <w:rPr>
                <w:sz w:val="20"/>
                <w:szCs w:val="20"/>
                <w:color w:val="auto"/>
              </w:rPr>
            </w:pPr>
            <w:r>
              <w:rPr>
                <w:rFonts w:ascii="Arial" w:cs="Arial" w:eastAsia="Arial" w:hAnsi="Arial"/>
                <w:sz w:val="15"/>
                <w:szCs w:val="15"/>
                <w:b w:val="1"/>
                <w:bCs w:val="1"/>
                <w:color w:val="auto"/>
              </w:rPr>
              <w:t>Comprehensive loss attributable to stockholders</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(33,839)</w:t>
            </w:r>
          </w:p>
        </w:tc>
        <w:tc>
          <w:tcPr>
            <w:tcW w:w="260" w:type="dxa"/>
            <w:vAlign w:val="bottom"/>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(80,753)</w:t>
            </w: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(30,368)</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2" w:name="page73"/>
    <w:bookmarkEnd w:id="7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Changes in Stockholders’ Equity</w:t>
      </w:r>
    </w:p>
    <w:p>
      <w:pPr>
        <w:spacing w:after="0" w:line="229" w:lineRule="auto"/>
        <w:rPr>
          <w:sz w:val="20"/>
          <w:szCs w:val="20"/>
          <w:color w:val="auto"/>
        </w:rPr>
      </w:pPr>
      <w:r>
        <w:rPr>
          <w:rFonts w:ascii="Arial" w:cs="Arial" w:eastAsia="Arial" w:hAnsi="Arial"/>
          <w:sz w:val="19"/>
          <w:szCs w:val="19"/>
          <w:b w:val="1"/>
          <w:bCs w:val="1"/>
          <w:color w:val="auto"/>
        </w:rPr>
        <w:t>For the years ended December 31, 2019,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thousands of U.S. dollars,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1700" w:type="dxa"/>
            <w:vAlign w:val="bottom"/>
            <w:gridSpan w:val="5"/>
            <w:vMerge w:val="restart"/>
          </w:tcPr>
          <w:p>
            <w:pPr>
              <w:jc w:val="right"/>
              <w:ind w:right="340"/>
              <w:spacing w:after="0"/>
              <w:rPr>
                <w:sz w:val="20"/>
                <w:szCs w:val="20"/>
                <w:color w:val="auto"/>
              </w:rPr>
            </w:pPr>
            <w:r>
              <w:rPr>
                <w:rFonts w:ascii="Arial" w:cs="Arial" w:eastAsia="Arial" w:hAnsi="Arial"/>
                <w:sz w:val="15"/>
                <w:szCs w:val="15"/>
                <w:b w:val="1"/>
                <w:bCs w:val="1"/>
                <w:color w:val="auto"/>
              </w:rPr>
              <w:t>Members’ Capital</w:t>
            </w:r>
          </w:p>
        </w:tc>
        <w:tc>
          <w:tcPr>
            <w:tcW w:w="1580" w:type="dxa"/>
            <w:vAlign w:val="bottom"/>
            <w:gridSpan w:val="5"/>
            <w:vMerge w:val="restart"/>
          </w:tcPr>
          <w:p>
            <w:pPr>
              <w:jc w:val="right"/>
              <w:ind w:right="380"/>
              <w:spacing w:after="0"/>
              <w:rPr>
                <w:sz w:val="20"/>
                <w:szCs w:val="20"/>
                <w:color w:val="auto"/>
              </w:rPr>
            </w:pPr>
            <w:r>
              <w:rPr>
                <w:rFonts w:ascii="Arial" w:cs="Arial" w:eastAsia="Arial" w:hAnsi="Arial"/>
                <w:sz w:val="15"/>
                <w:szCs w:val="15"/>
                <w:b w:val="1"/>
                <w:bCs w:val="1"/>
                <w:color w:val="auto"/>
              </w:rPr>
              <w:t>Class A shares</w:t>
            </w:r>
          </w:p>
        </w:tc>
        <w:tc>
          <w:tcPr>
            <w:tcW w:w="1320" w:type="dxa"/>
            <w:vAlign w:val="bottom"/>
            <w:gridSpan w:val="3"/>
            <w:vMerge w:val="restart"/>
          </w:tcPr>
          <w:p>
            <w:pPr>
              <w:ind w:left="260"/>
              <w:spacing w:after="0"/>
              <w:rPr>
                <w:sz w:val="20"/>
                <w:szCs w:val="20"/>
                <w:color w:val="auto"/>
              </w:rPr>
            </w:pPr>
            <w:r>
              <w:rPr>
                <w:rFonts w:ascii="Arial" w:cs="Arial" w:eastAsia="Arial" w:hAnsi="Arial"/>
                <w:sz w:val="15"/>
                <w:szCs w:val="15"/>
                <w:b w:val="1"/>
                <w:bCs w:val="1"/>
                <w:color w:val="auto"/>
                <w:w w:val="96"/>
              </w:rPr>
              <w:t>Class B shares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3"/>
              </w:rPr>
              <w:t>Accumulated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1700" w:type="dxa"/>
            <w:vAlign w:val="bottom"/>
            <w:gridSpan w:val="5"/>
            <w:vMerge w:val="continue"/>
          </w:tcPr>
          <w:p>
            <w:pPr>
              <w:spacing w:after="0"/>
              <w:rPr>
                <w:sz w:val="16"/>
                <w:szCs w:val="16"/>
                <w:color w:val="auto"/>
              </w:rPr>
            </w:pPr>
          </w:p>
        </w:tc>
        <w:tc>
          <w:tcPr>
            <w:tcW w:w="1580" w:type="dxa"/>
            <w:vAlign w:val="bottom"/>
            <w:gridSpan w:val="5"/>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Stock</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5"/>
              </w:rPr>
              <w:t>other</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8"/>
        </w:trPr>
        <w:tc>
          <w:tcPr>
            <w:tcW w:w="12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0" w:type="dxa"/>
            <w:vAlign w:val="bottom"/>
            <w:gridSpan w:val="16"/>
          </w:tcPr>
          <w:p>
            <w:pPr>
              <w:ind w:left="80"/>
              <w:spacing w:after="0" w:line="158" w:lineRule="exact"/>
              <w:rPr>
                <w:sz w:val="20"/>
                <w:szCs w:val="20"/>
                <w:color w:val="auto"/>
              </w:rPr>
            </w:pPr>
            <w:r>
              <w:rPr>
                <w:rFonts w:ascii="Arial" w:cs="Arial" w:eastAsia="Arial" w:hAnsi="Arial"/>
                <w:sz w:val="15"/>
                <w:szCs w:val="15"/>
                <w:b w:val="1"/>
                <w:bCs w:val="1"/>
                <w:color w:val="auto"/>
                <w:w w:val="98"/>
              </w:rPr>
              <w:t>subscription  Accumulated  comprehensive  Non-controlling  stockholders’</w:t>
            </w: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Units</w:t>
            </w:r>
          </w:p>
        </w:tc>
        <w:tc>
          <w:tcPr>
            <w:tcW w:w="800" w:type="dxa"/>
            <w:vAlign w:val="bottom"/>
            <w:gridSpan w:val="3"/>
          </w:tcPr>
          <w:p>
            <w:pPr>
              <w:ind w:left="20"/>
              <w:spacing w:after="0"/>
              <w:rPr>
                <w:sz w:val="20"/>
                <w:szCs w:val="20"/>
                <w:color w:val="auto"/>
              </w:rPr>
            </w:pPr>
            <w:r>
              <w:rPr>
                <w:rFonts w:ascii="Arial" w:cs="Arial" w:eastAsia="Arial" w:hAnsi="Arial"/>
                <w:sz w:val="15"/>
                <w:szCs w:val="15"/>
                <w:b w:val="1"/>
                <w:bCs w:val="1"/>
                <w:color w:val="auto"/>
              </w:rPr>
              <w:t>Amounts</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Shares</w:t>
            </w:r>
          </w:p>
        </w:tc>
        <w:tc>
          <w:tcPr>
            <w:tcW w:w="74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w w:val="95"/>
              </w:rPr>
              <w:t>Amount</w:t>
            </w:r>
          </w:p>
        </w:tc>
        <w:tc>
          <w:tcPr>
            <w:tcW w:w="9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8"/>
              </w:rPr>
              <w:t>receivable</w:t>
            </w:r>
          </w:p>
        </w:tc>
        <w:tc>
          <w:tcPr>
            <w:tcW w:w="14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deficit</w:t>
            </w:r>
          </w:p>
        </w:tc>
        <w:tc>
          <w:tcPr>
            <w:tcW w:w="116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86"/>
              </w:rPr>
              <w:t>(loss) income</w:t>
            </w:r>
          </w:p>
        </w:tc>
        <w:tc>
          <w:tcPr>
            <w:tcW w:w="16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Interest</w:t>
            </w:r>
          </w:p>
        </w:tc>
        <w:tc>
          <w:tcPr>
            <w:tcW w:w="16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as of</w:t>
            </w: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January 1, 2017</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65,000,000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336,683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(48,676)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1,363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289,370</w:t>
            </w: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color w:val="auto"/>
              </w:rPr>
              <w:t>Net loss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(31,671)</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(31,671)</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comprehensive</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income</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1,303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1,303</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40"/>
              <w:spacing w:after="0"/>
              <w:rPr>
                <w:sz w:val="20"/>
                <w:szCs w:val="20"/>
                <w:color w:val="auto"/>
              </w:rPr>
            </w:pPr>
            <w:r>
              <w:rPr>
                <w:rFonts w:ascii="Arial" w:cs="Arial" w:eastAsia="Arial" w:hAnsi="Arial"/>
                <w:sz w:val="15"/>
                <w:szCs w:val="15"/>
                <w:color w:val="auto"/>
              </w:rPr>
              <w:t>contributions</w:t>
            </w:r>
          </w:p>
        </w:tc>
        <w:tc>
          <w:tcPr>
            <w:tcW w:w="800" w:type="dxa"/>
            <w:vAlign w:val="bottom"/>
          </w:tcPr>
          <w:p>
            <w:pPr>
              <w:jc w:val="right"/>
              <w:spacing w:after="0"/>
              <w:rPr>
                <w:sz w:val="20"/>
                <w:szCs w:val="20"/>
                <w:color w:val="auto"/>
              </w:rPr>
            </w:pPr>
            <w:r>
              <w:rPr>
                <w:rFonts w:ascii="Arial" w:cs="Arial" w:eastAsia="Arial" w:hAnsi="Arial"/>
                <w:sz w:val="15"/>
                <w:szCs w:val="15"/>
                <w:color w:val="auto"/>
              </w:rPr>
              <w:t>2,317,252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70,100</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70,100</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issuing</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capital</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Stock</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240"/>
              <w:spacing w:after="0"/>
              <w:rPr>
                <w:sz w:val="20"/>
                <w:szCs w:val="20"/>
                <w:color w:val="auto"/>
              </w:rPr>
            </w:pPr>
            <w:r>
              <w:rPr>
                <w:rFonts w:ascii="Arial" w:cs="Arial" w:eastAsia="Arial" w:hAnsi="Arial"/>
                <w:sz w:val="15"/>
                <w:szCs w:val="15"/>
                <w:color w:val="auto"/>
              </w:rPr>
              <w:t>subscription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80" w:type="dxa"/>
            <w:vAlign w:val="bottom"/>
          </w:tcPr>
          <w:p>
            <w:pPr>
              <w:ind w:left="240"/>
              <w:spacing w:after="0"/>
              <w:rPr>
                <w:sz w:val="20"/>
                <w:szCs w:val="20"/>
                <w:color w:val="auto"/>
              </w:rPr>
            </w:pPr>
            <w:r>
              <w:rPr>
                <w:rFonts w:ascii="Arial" w:cs="Arial" w:eastAsia="Arial" w:hAnsi="Arial"/>
                <w:sz w:val="15"/>
                <w:szCs w:val="15"/>
                <w:color w:val="auto"/>
              </w:rPr>
              <w:t>receivable</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(1,652,215)</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(50,000)</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as of</w:t>
            </w: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2017</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65,665,037</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406,591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(80,347)</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2,666</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278,910</w:t>
            </w: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color w:val="auto"/>
              </w:rPr>
              <w:t>Net loss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(78,076)</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(106)</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(78,182)</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comprehensive</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(2,677)</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(2,677)</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40"/>
              <w:spacing w:after="0"/>
              <w:rPr>
                <w:sz w:val="20"/>
                <w:szCs w:val="20"/>
                <w:color w:val="auto"/>
              </w:rPr>
            </w:pPr>
            <w:r>
              <w:rPr>
                <w:rFonts w:ascii="Arial" w:cs="Arial" w:eastAsia="Arial" w:hAnsi="Arial"/>
                <w:sz w:val="15"/>
                <w:szCs w:val="15"/>
                <w:color w:val="auto"/>
              </w:rPr>
              <w:t>contributions</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665,843</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20,150</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20,150</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subscription</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receivable</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1,652,215</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Acquisition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80" w:type="dxa"/>
            <w:vAlign w:val="bottom"/>
          </w:tcPr>
          <w:p>
            <w:pPr>
              <w:ind w:left="240"/>
              <w:spacing w:after="0"/>
              <w:rPr>
                <w:sz w:val="20"/>
                <w:szCs w:val="20"/>
                <w:color w:val="auto"/>
              </w:rPr>
            </w:pPr>
            <w:r>
              <w:rPr>
                <w:rFonts w:ascii="Arial" w:cs="Arial" w:eastAsia="Arial" w:hAnsi="Arial"/>
                <w:sz w:val="15"/>
                <w:szCs w:val="15"/>
                <w:color w:val="auto"/>
              </w:rPr>
              <w:t>Shannon LNG</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14,446</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14,446</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as of</w:t>
            </w: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2018</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67,983,095</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9"/>
              </w:rPr>
              <w:t>426,741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(158,423)</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w:t>
            </w: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14,340</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282,647</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5"/>
                <w:szCs w:val="15"/>
                <w:i w:val="1"/>
                <w:iCs w:val="1"/>
                <w:color w:val="auto"/>
              </w:rPr>
              <w:t>Activity prior to</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the IPO and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related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organizational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transactions: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(7,923)</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w:t>
            </w:r>
          </w:p>
        </w:tc>
        <w:tc>
          <w:tcPr>
            <w:tcW w:w="160" w:type="dxa"/>
            <w:vAlign w:val="bottom"/>
            <w:shd w:val="clear" w:color="auto" w:fill="CCEEFF"/>
          </w:tcPr>
          <w:p>
            <w:pPr>
              <w:spacing w:after="0"/>
              <w:rPr>
                <w:sz w:val="16"/>
                <w:szCs w:val="16"/>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(91)</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(8,003)</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5"/>
                <w:szCs w:val="15"/>
                <w:i w:val="1"/>
                <w:iCs w:val="1"/>
                <w:color w:val="auto"/>
              </w:rPr>
              <w:t>Effects of the IPO</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and related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organizational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140"/>
              <w:spacing w:after="0"/>
              <w:rPr>
                <w:sz w:val="20"/>
                <w:szCs w:val="20"/>
                <w:color w:val="auto"/>
              </w:rPr>
            </w:pPr>
            <w:r>
              <w:rPr>
                <w:rFonts w:ascii="Arial" w:cs="Arial" w:eastAsia="Arial" w:hAnsi="Arial"/>
                <w:sz w:val="15"/>
                <w:szCs w:val="15"/>
                <w:i w:val="1"/>
                <w:iCs w:val="1"/>
                <w:color w:val="auto"/>
              </w:rPr>
              <w:t>transactions: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20"/>
                <w:szCs w:val="20"/>
                <w:color w:val="auto"/>
              </w:rPr>
            </w:pPr>
            <w:r>
              <w:rPr>
                <w:rFonts w:ascii="Arial" w:cs="Arial" w:eastAsia="Arial" w:hAnsi="Arial"/>
                <w:sz w:val="15"/>
                <w:szCs w:val="15"/>
                <w:color w:val="auto"/>
              </w:rPr>
              <w:t>Issuance of Class</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 shares in the</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IPO, net of</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underwriting</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discount and</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offering costs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20,837,272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32,136</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235,874</w:t>
            </w: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268,010</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Effects of the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240"/>
              <w:spacing w:after="0"/>
              <w:rPr>
                <w:sz w:val="20"/>
                <w:szCs w:val="20"/>
                <w:color w:val="auto"/>
              </w:rPr>
            </w:pPr>
            <w:r>
              <w:rPr>
                <w:rFonts w:ascii="Arial" w:cs="Arial" w:eastAsia="Arial" w:hAnsi="Arial"/>
                <w:sz w:val="15"/>
                <w:szCs w:val="15"/>
                <w:color w:val="auto"/>
              </w:rPr>
              <w:t>reorganization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40"/>
              <w:spacing w:after="0"/>
              <w:rPr>
                <w:sz w:val="20"/>
                <w:szCs w:val="20"/>
                <w:color w:val="auto"/>
              </w:rPr>
            </w:pPr>
            <w:r>
              <w:rPr>
                <w:rFonts w:ascii="Arial" w:cs="Arial" w:eastAsia="Arial" w:hAnsi="Arial"/>
                <w:sz w:val="15"/>
                <w:szCs w:val="15"/>
                <w:color w:val="auto"/>
              </w:rPr>
              <w:t>transactions</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(67,983,095)</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5"/>
                <w:szCs w:val="15"/>
                <w:color w:val="auto"/>
                <w:w w:val="90"/>
              </w:rPr>
              <w:t>(426,741)</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51,092</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w w:val="98"/>
              </w:rPr>
              <w:t>147,058,824</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146,420</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229,229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Activity</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subsequent to</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the IPO and</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related</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organizational</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transactions:</w:t>
            </w:r>
          </w:p>
        </w:tc>
        <w:tc>
          <w:tcPr>
            <w:tcW w:w="8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140"/>
              <w:spacing w:after="0"/>
              <w:rPr>
                <w:sz w:val="20"/>
                <w:szCs w:val="20"/>
                <w:color w:val="auto"/>
              </w:rPr>
            </w:pPr>
            <w:r>
              <w:rPr>
                <w:rFonts w:ascii="Arial" w:cs="Arial" w:eastAsia="Arial" w:hAnsi="Arial"/>
                <w:sz w:val="15"/>
                <w:szCs w:val="15"/>
                <w:color w:val="auto"/>
              </w:rPr>
              <w:t>Net loss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(25,897)</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(170,419)</w:t>
            </w:r>
          </w:p>
        </w:tc>
        <w:tc>
          <w:tcPr>
            <w:tcW w:w="1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(196,316)</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comprehensive</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w:t>
            </w: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Share-based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240"/>
              <w:spacing w:after="0"/>
              <w:rPr>
                <w:sz w:val="20"/>
                <w:szCs w:val="20"/>
                <w:color w:val="auto"/>
              </w:rPr>
            </w:pPr>
            <w:r>
              <w:rPr>
                <w:rFonts w:ascii="Arial" w:cs="Arial" w:eastAsia="Arial" w:hAnsi="Arial"/>
                <w:sz w:val="15"/>
                <w:szCs w:val="15"/>
                <w:color w:val="auto"/>
              </w:rPr>
              <w:t>compensation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80" w:type="dxa"/>
            <w:vAlign w:val="bottom"/>
          </w:tcPr>
          <w:p>
            <w:pPr>
              <w:ind w:left="240"/>
              <w:spacing w:after="0"/>
              <w:rPr>
                <w:sz w:val="20"/>
                <w:szCs w:val="20"/>
                <w:color w:val="auto"/>
              </w:rPr>
            </w:pPr>
            <w:r>
              <w:rPr>
                <w:rFonts w:ascii="Arial" w:cs="Arial" w:eastAsia="Arial" w:hAnsi="Arial"/>
                <w:sz w:val="15"/>
                <w:szCs w:val="15"/>
                <w:color w:val="auto"/>
              </w:rPr>
              <w:t>expense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41,205</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41,205</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Exchange of</w:t>
            </w:r>
          </w:p>
        </w:tc>
        <w:tc>
          <w:tcPr>
            <w:tcW w:w="8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NFI Units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2,716,252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6,225</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(2,716,252)</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(6,225)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1280" w:type="dxa"/>
            <w:vAlign w:val="bottom"/>
          </w:tcPr>
          <w:p>
            <w:pPr>
              <w:ind w:left="140"/>
              <w:spacing w:after="0"/>
              <w:rPr>
                <w:sz w:val="20"/>
                <w:szCs w:val="20"/>
                <w:color w:val="auto"/>
              </w:rPr>
            </w:pPr>
            <w:r>
              <w:rPr>
                <w:rFonts w:ascii="Arial" w:cs="Arial" w:eastAsia="Arial" w:hAnsi="Arial"/>
                <w:sz w:val="15"/>
                <w:szCs w:val="15"/>
                <w:color w:val="auto"/>
              </w:rPr>
              <w:t>Issuance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80" w:type="dxa"/>
            <w:vAlign w:val="bottom"/>
          </w:tcPr>
          <w:p>
            <w:pPr>
              <w:ind w:left="240"/>
              <w:spacing w:after="0"/>
              <w:rPr>
                <w:sz w:val="20"/>
                <w:szCs w:val="20"/>
                <w:color w:val="auto"/>
              </w:rPr>
            </w:pPr>
            <w:r>
              <w:rPr>
                <w:rFonts w:ascii="Arial" w:cs="Arial" w:eastAsia="Arial" w:hAnsi="Arial"/>
                <w:sz w:val="15"/>
                <w:szCs w:val="15"/>
                <w:color w:val="auto"/>
              </w:rPr>
              <w:t>shares for</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80" w:type="dxa"/>
            <w:vAlign w:val="bottom"/>
          </w:tcPr>
          <w:p>
            <w:pPr>
              <w:ind w:left="240"/>
              <w:spacing w:after="0"/>
              <w:rPr>
                <w:sz w:val="20"/>
                <w:szCs w:val="20"/>
                <w:color w:val="auto"/>
              </w:rPr>
            </w:pPr>
            <w:r>
              <w:rPr>
                <w:rFonts w:ascii="Arial" w:cs="Arial" w:eastAsia="Arial" w:hAnsi="Arial"/>
                <w:sz w:val="15"/>
                <w:szCs w:val="15"/>
                <w:color w:val="auto"/>
              </w:rPr>
              <w:t>vested RSUs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53,572</w:t>
            </w: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as of</w:t>
            </w: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2019</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23,607,096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8"/>
              </w:rPr>
              <w:t>130,658</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8"/>
              </w:rPr>
              <w:t>144,342,572</w:t>
            </w:r>
          </w:p>
        </w:tc>
        <w:tc>
          <w:tcPr>
            <w:tcW w:w="3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(45,823)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302,519</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387,324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ectPr>
          <w:pgSz w:w="11900" w:h="16838" w:orient="portrait"/>
          <w:cols w:equalWidth="0" w:num="1">
            <w:col w:w="11520"/>
          </w:cols>
          <w:pgMar w:left="240" w:top="124" w:right="139" w:bottom="16" w:gutter="0" w:footer="0" w:header="0"/>
        </w:sect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1"/>
          <w:szCs w:val="1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726567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520"/>
          </w:cols>
          <w:pgMar w:left="240" w:top="124" w:right="139" w:bottom="16" w:gutter="0" w:footer="0" w:header="0"/>
          <w:type w:val="continuous"/>
        </w:sectPr>
      </w:pPr>
    </w:p>
    <w:bookmarkStart w:id="73" w:name="page74"/>
    <w:bookmarkEnd w:id="73"/>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Cash Flows</w:t>
      </w:r>
    </w:p>
    <w:p>
      <w:pPr>
        <w:spacing w:after="0" w:line="229" w:lineRule="auto"/>
        <w:rPr>
          <w:sz w:val="20"/>
          <w:szCs w:val="20"/>
          <w:color w:val="auto"/>
        </w:rPr>
      </w:pPr>
      <w:r>
        <w:rPr>
          <w:rFonts w:ascii="Arial" w:cs="Arial" w:eastAsia="Arial" w:hAnsi="Arial"/>
          <w:sz w:val="19"/>
          <w:szCs w:val="19"/>
          <w:b w:val="1"/>
          <w:bCs w:val="1"/>
          <w:color w:val="auto"/>
        </w:rPr>
        <w:t>For the years ended December 31, 2019, 2018 and 2017</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thousands of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(204,319)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(78,182)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(31,671)</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Adjustments for:</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Amortization of deferred financing costs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696</w:t>
            </w:r>
          </w:p>
        </w:tc>
      </w:tr>
      <w:tr>
        <w:trPr>
          <w:trHeight w:val="186"/>
        </w:trPr>
        <w:tc>
          <w:tcPr>
            <w:tcW w:w="7300" w:type="dxa"/>
            <w:vAlign w:val="bottom"/>
          </w:tcPr>
          <w:p>
            <w:pPr>
              <w:ind w:left="28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8,641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4,034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3,214</w:t>
            </w:r>
          </w:p>
        </w:tc>
      </w:tr>
      <w:tr>
        <w:trPr>
          <w:trHeight w:val="186"/>
        </w:trPr>
        <w:tc>
          <w:tcPr>
            <w:tcW w:w="7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extinguishment of debt, net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tcPr>
          <w:p>
            <w:pPr>
              <w:ind w:left="280"/>
              <w:spacing w:after="0"/>
              <w:rPr>
                <w:sz w:val="20"/>
                <w:szCs w:val="20"/>
                <w:color w:val="auto"/>
              </w:rPr>
            </w:pPr>
            <w:r>
              <w:rPr>
                <w:rFonts w:ascii="Arial" w:cs="Arial" w:eastAsia="Arial" w:hAnsi="Arial"/>
                <w:sz w:val="15"/>
                <w:szCs w:val="15"/>
                <w:color w:val="auto"/>
              </w:rPr>
              <w:t>Deferred taxes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(345)</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521</w:t>
            </w:r>
          </w:p>
        </w:tc>
      </w:tr>
      <w:tr>
        <w:trPr>
          <w:trHeight w:val="186"/>
        </w:trPr>
        <w:tc>
          <w:tcPr>
            <w:tcW w:w="7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Change in value of investment in equity securities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tcPr>
          <w:p>
            <w:pPr>
              <w:ind w:left="280"/>
              <w:spacing w:after="0"/>
              <w:rPr>
                <w:sz w:val="20"/>
                <w:szCs w:val="20"/>
                <w:color w:val="auto"/>
              </w:rPr>
            </w:pPr>
            <w:r>
              <w:rPr>
                <w:rFonts w:ascii="Arial" w:cs="Arial" w:eastAsia="Arial" w:hAnsi="Arial"/>
                <w:sz w:val="15"/>
                <w:szCs w:val="15"/>
                <w:color w:val="auto"/>
              </w:rPr>
              <w:t>Share-based compensation</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41,205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mitigation sales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2,622</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439</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1,342</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in receivables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(19,754)</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(9,516)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(3,114)</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(Increase) in inventories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(50,345)</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(4,807)</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(3,496)</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in other assets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(39,344)</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(28,338)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(21,738)</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Increase (Decrease) in accounts payable/accrued liabilities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3,036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12,232</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(110)</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in amounts due to affiliates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5,771</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894</w:t>
            </w:r>
          </w:p>
        </w:tc>
      </w:tr>
      <w:tr>
        <w:trPr>
          <w:trHeight w:val="189"/>
        </w:trPr>
        <w:tc>
          <w:tcPr>
            <w:tcW w:w="7300" w:type="dxa"/>
            <w:vAlign w:val="bottom"/>
          </w:tcPr>
          <w:p>
            <w:pPr>
              <w:ind w:left="140"/>
              <w:spacing w:after="0"/>
              <w:rPr>
                <w:sz w:val="20"/>
                <w:szCs w:val="20"/>
                <w:color w:val="auto"/>
              </w:rPr>
            </w:pPr>
            <w:r>
              <w:rPr>
                <w:rFonts w:ascii="Arial" w:cs="Arial" w:eastAsia="Arial" w:hAnsi="Arial"/>
                <w:sz w:val="15"/>
                <w:szCs w:val="15"/>
                <w:color w:val="auto"/>
              </w:rPr>
              <w:t>Increase (Decrease) in other liabilities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10,714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1,655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(1,430)</w:t>
            </w:r>
          </w:p>
        </w:tc>
      </w:tr>
      <w:tr>
        <w:trPr>
          <w:trHeight w:val="189"/>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Net cash used in operating activities</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(234,261)</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(93,227)</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(54,892)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Purchase of investment in equity securities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(1,667)</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(377,051)</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(181,151)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(28,727)</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Principal payments received on finance lease, net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887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724</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536</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 of consolidated subsidiary</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(4,028)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7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7300" w:type="dxa"/>
            <w:vAlign w:val="bottom"/>
          </w:tcPr>
          <w:p>
            <w:pPr>
              <w:ind w:left="280"/>
              <w:spacing w:after="0"/>
              <w:rPr>
                <w:sz w:val="20"/>
                <w:szCs w:val="20"/>
                <w:color w:val="auto"/>
              </w:rPr>
            </w:pPr>
            <w:r>
              <w:rPr>
                <w:rFonts w:ascii="Arial" w:cs="Arial" w:eastAsia="Arial" w:hAnsi="Arial"/>
                <w:sz w:val="15"/>
                <w:szCs w:val="15"/>
                <w:b w:val="1"/>
                <w:bCs w:val="1"/>
                <w:color w:val="auto"/>
              </w:rPr>
              <w:t>Net cash used in investing activities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(376,164)</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(184,455)</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(29,858)</w:t>
            </w:r>
          </w:p>
        </w:tc>
      </w:tr>
      <w:tr>
        <w:trPr>
          <w:trHeight w:val="186"/>
        </w:trPr>
        <w:tc>
          <w:tcPr>
            <w:tcW w:w="7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730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borrowings of debt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347,856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280,600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Payment of deferred financing costs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(8,259)</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(14,026)</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debt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(5,000)</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(76,520)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(5,828)</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Proceeds from IPO</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274,948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affiliate note</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(120)</w:t>
            </w:r>
          </w:p>
        </w:tc>
      </w:tr>
      <w:tr>
        <w:trPr>
          <w:trHeight w:val="186"/>
        </w:trPr>
        <w:tc>
          <w:tcPr>
            <w:tcW w:w="7300" w:type="dxa"/>
            <w:vAlign w:val="bottom"/>
          </w:tcPr>
          <w:p>
            <w:pPr>
              <w:ind w:left="140"/>
              <w:spacing w:after="0"/>
              <w:rPr>
                <w:sz w:val="20"/>
                <w:szCs w:val="20"/>
                <w:color w:val="auto"/>
              </w:rPr>
            </w:pPr>
            <w:r>
              <w:rPr>
                <w:rFonts w:ascii="Arial" w:cs="Arial" w:eastAsia="Arial" w:hAnsi="Arial"/>
                <w:sz w:val="15"/>
                <w:szCs w:val="15"/>
                <w:color w:val="auto"/>
              </w:rPr>
              <w:t>Capital contributed from Members</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20,150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20,100</w:t>
            </w:r>
          </w:p>
        </w:tc>
      </w:tr>
      <w:tr>
        <w:trPr>
          <w:trHeight w:val="186"/>
        </w:trPr>
        <w:tc>
          <w:tcPr>
            <w:tcW w:w="7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stock issuance costs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(6,938)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(192)</w:t>
            </w:r>
          </w:p>
        </w:tc>
      </w:tr>
      <w:tr>
        <w:trPr>
          <w:trHeight w:val="189"/>
        </w:trPr>
        <w:tc>
          <w:tcPr>
            <w:tcW w:w="7300" w:type="dxa"/>
            <w:vAlign w:val="bottom"/>
          </w:tcPr>
          <w:p>
            <w:pPr>
              <w:ind w:left="140"/>
              <w:spacing w:after="0"/>
              <w:rPr>
                <w:sz w:val="20"/>
                <w:szCs w:val="20"/>
                <w:color w:val="auto"/>
              </w:rPr>
            </w:pPr>
            <w:r>
              <w:rPr>
                <w:rFonts w:ascii="Arial" w:cs="Arial" w:eastAsia="Arial" w:hAnsi="Arial"/>
                <w:sz w:val="15"/>
                <w:szCs w:val="15"/>
                <w:color w:val="auto"/>
              </w:rPr>
              <w:t>Collection of subscription receivable</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50,000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7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Net cash provided by financing activities</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602,607</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260,204</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13,960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6"/>
        </w:trPr>
        <w:tc>
          <w:tcPr>
            <w:tcW w:w="7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(decrease) in cash, cash equivalents and restricted cash</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(7,818)</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(17,478)</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(70,790)</w:t>
            </w:r>
          </w:p>
        </w:tc>
      </w:tr>
      <w:tr>
        <w:trPr>
          <w:trHeight w:val="189"/>
        </w:trPr>
        <w:tc>
          <w:tcPr>
            <w:tcW w:w="7300" w:type="dxa"/>
            <w:vAlign w:val="bottom"/>
          </w:tcPr>
          <w:p>
            <w:pPr>
              <w:spacing w:after="0"/>
              <w:rPr>
                <w:sz w:val="20"/>
                <w:szCs w:val="20"/>
                <w:color w:val="auto"/>
              </w:rPr>
            </w:pPr>
            <w:r>
              <w:rPr>
                <w:rFonts w:ascii="Arial" w:cs="Arial" w:eastAsia="Arial" w:hAnsi="Arial"/>
                <w:sz w:val="15"/>
                <w:szCs w:val="15"/>
                <w:b w:val="1"/>
                <w:bCs w:val="1"/>
                <w:color w:val="auto"/>
              </w:rPr>
              <w:t>Cash, cash equivalents and restricted cash – beginning of period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100,853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118,331</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189,121</w:t>
            </w:r>
          </w:p>
        </w:tc>
      </w:tr>
      <w:tr>
        <w:trPr>
          <w:trHeight w:val="226"/>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Cash, cash equivalents and restricted cash – end of period</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93,035</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100,853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118,331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7300" w:type="dxa"/>
            <w:vAlign w:val="bottom"/>
          </w:tcPr>
          <w:p>
            <w:pPr>
              <w:spacing w:after="0"/>
              <w:rPr>
                <w:sz w:val="20"/>
                <w:szCs w:val="20"/>
                <w:color w:val="auto"/>
              </w:rPr>
            </w:pPr>
            <w:r>
              <w:rPr>
                <w:rFonts w:ascii="Arial" w:cs="Arial" w:eastAsia="Arial" w:hAnsi="Arial"/>
                <w:sz w:val="15"/>
                <w:szCs w:val="15"/>
                <w:color w:val="auto"/>
                <w:w w:val="94"/>
              </w:rPr>
              <w:t>Changes in accounts payable and accrued liabilities associated with construction in progress and property, plant and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300" w:type="dxa"/>
            <w:vAlign w:val="bottom"/>
          </w:tcPr>
          <w:p>
            <w:pPr>
              <w:ind w:left="140"/>
              <w:spacing w:after="0"/>
              <w:rPr>
                <w:sz w:val="20"/>
                <w:szCs w:val="20"/>
                <w:color w:val="auto"/>
              </w:rPr>
            </w:pPr>
            <w:r>
              <w:rPr>
                <w:rFonts w:ascii="Arial" w:cs="Arial" w:eastAsia="Arial" w:hAnsi="Arial"/>
                <w:sz w:val="15"/>
                <w:szCs w:val="15"/>
                <w:color w:val="auto"/>
              </w:rPr>
              <w:t>equipment additions</w:t>
            </w:r>
          </w:p>
        </w:tc>
        <w:tc>
          <w:tcPr>
            <w:tcW w:w="38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(48,150)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74,280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7,997</w:t>
            </w:r>
          </w:p>
        </w:tc>
      </w:tr>
      <w:tr>
        <w:trPr>
          <w:trHeight w:val="186"/>
        </w:trPr>
        <w:tc>
          <w:tcPr>
            <w:tcW w:w="7300" w:type="dxa"/>
            <w:vAlign w:val="bottom"/>
            <w:shd w:val="clear" w:color="auto" w:fill="CCEEFF"/>
          </w:tcPr>
          <w:p>
            <w:pPr>
              <w:spacing w:after="0"/>
              <w:rPr>
                <w:sz w:val="20"/>
                <w:szCs w:val="20"/>
                <w:color w:val="auto"/>
              </w:rPr>
            </w:pPr>
            <w:r>
              <w:rPr>
                <w:rFonts w:ascii="Arial" w:cs="Arial" w:eastAsia="Arial" w:hAnsi="Arial"/>
                <w:sz w:val="15"/>
                <w:szCs w:val="15"/>
                <w:color w:val="auto"/>
              </w:rPr>
              <w:t>Cash paid for interest, net of capitalized interest</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5,725</w:t>
            </w:r>
          </w:p>
        </w:tc>
      </w:tr>
      <w:tr>
        <w:trPr>
          <w:trHeight w:val="196"/>
        </w:trPr>
        <w:tc>
          <w:tcPr>
            <w:tcW w:w="7300" w:type="dxa"/>
            <w:vAlign w:val="bottom"/>
          </w:tcPr>
          <w:p>
            <w:pPr>
              <w:spacing w:after="0"/>
              <w:rPr>
                <w:sz w:val="20"/>
                <w:szCs w:val="20"/>
                <w:color w:val="auto"/>
              </w:rPr>
            </w:pPr>
            <w:r>
              <w:rPr>
                <w:rFonts w:ascii="Arial" w:cs="Arial" w:eastAsia="Arial" w:hAnsi="Arial"/>
                <w:sz w:val="15"/>
                <w:szCs w:val="15"/>
                <w:color w:val="auto"/>
              </w:rPr>
              <w:t>Cash paid for taxes</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4" w:name="page75"/>
    <w:bookmarkEnd w:id="74"/>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567" w:hanging="567"/>
        <w:spacing w:after="0"/>
        <w:tabs>
          <w:tab w:leader="none" w:pos="567"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w:t>
      </w:r>
    </w:p>
    <w:p>
      <w:pPr>
        <w:spacing w:after="0" w:line="220" w:lineRule="exact"/>
        <w:rPr>
          <w:sz w:val="20"/>
          <w:szCs w:val="20"/>
          <w:color w:val="auto"/>
        </w:rPr>
      </w:pPr>
    </w:p>
    <w:p>
      <w:pPr>
        <w:ind w:left="7" w:right="120"/>
        <w:spacing w:after="0" w:line="234" w:lineRule="auto"/>
        <w:rPr>
          <w:sz w:val="20"/>
          <w:szCs w:val="20"/>
          <w:color w:val="auto"/>
        </w:rPr>
      </w:pPr>
      <w:r>
        <w:rPr>
          <w:rFonts w:ascii="Arial" w:cs="Arial" w:eastAsia="Arial" w:hAnsi="Arial"/>
          <w:sz w:val="19"/>
          <w:szCs w:val="19"/>
          <w:color w:val="auto"/>
        </w:rPr>
        <w:t>New Fortress Energy LLC (“NFE,” together with its subsidiaries, the “Company”) is a Delaware limited liability company formed by New Fortress Energy Holdings LLC (‘New Fortress Energy Holdings”) on August 6, 2018. The Company is engaged in providing energy and logistical services to end-users worldwide seeking to convert their operating assets from automotive diesel oil (“ADO”) or heavy fuel oil to LNG or natural gas. The Company currently sources LNG from a combination of purchases under long-term supply contracts and the Company’s liquefaction facility in Miami, Florida. The Company has liquefaction and regasification operations in the United States and Jamaica and is developing assets in Mexico, Ireland, Nicaragua, and Angola.</w:t>
      </w:r>
    </w:p>
    <w:p>
      <w:pPr>
        <w:spacing w:after="0" w:line="186" w:lineRule="exact"/>
        <w:rPr>
          <w:sz w:val="20"/>
          <w:szCs w:val="20"/>
          <w:color w:val="auto"/>
        </w:rPr>
      </w:pPr>
    </w:p>
    <w:p>
      <w:pPr>
        <w:ind w:left="7" w:right="600"/>
        <w:spacing w:after="0" w:line="381" w:lineRule="auto"/>
        <w:rPr>
          <w:sz w:val="20"/>
          <w:szCs w:val="20"/>
          <w:color w:val="auto"/>
        </w:rPr>
      </w:pPr>
      <w:r>
        <w:rPr>
          <w:rFonts w:ascii="Arial" w:cs="Arial" w:eastAsia="Arial" w:hAnsi="Arial"/>
          <w:sz w:val="15"/>
          <w:szCs w:val="15"/>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w:t>
      </w:r>
    </w:p>
    <w:p>
      <w:pPr>
        <w:spacing w:after="0" w:line="82" w:lineRule="exact"/>
        <w:rPr>
          <w:sz w:val="20"/>
          <w:szCs w:val="20"/>
          <w:color w:val="auto"/>
        </w:rPr>
      </w:pPr>
    </w:p>
    <w:p>
      <w:pPr>
        <w:ind w:left="567" w:hanging="567"/>
        <w:spacing w:after="0"/>
        <w:tabs>
          <w:tab w:leader="none" w:pos="567"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principle accounting policies adopted are set out below.</w:t>
      </w:r>
    </w:p>
    <w:p>
      <w:pPr>
        <w:spacing w:after="0" w:line="202" w:lineRule="exact"/>
        <w:rPr>
          <w:sz w:val="20"/>
          <w:szCs w:val="20"/>
          <w:color w:val="auto"/>
        </w:rPr>
      </w:pPr>
    </w:p>
    <w:p>
      <w:pPr>
        <w:ind w:left="247" w:hanging="247"/>
        <w:spacing w:after="0"/>
        <w:tabs>
          <w:tab w:leader="none" w:pos="247" w:val="left"/>
        </w:tabs>
        <w:numPr>
          <w:ilvl w:val="0"/>
          <w:numId w:val="31"/>
        </w:numPr>
        <w:rPr>
          <w:rFonts w:ascii="Arial" w:cs="Arial" w:eastAsia="Arial" w:hAnsi="Arial"/>
          <w:sz w:val="15"/>
          <w:szCs w:val="15"/>
          <w:color w:val="auto"/>
        </w:rPr>
      </w:pPr>
      <w:r>
        <w:rPr>
          <w:rFonts w:ascii="Arial" w:cs="Arial" w:eastAsia="Arial" w:hAnsi="Arial"/>
          <w:sz w:val="15"/>
          <w:szCs w:val="15"/>
          <w:b w:val="1"/>
          <w:bCs w:val="1"/>
          <w:color w:val="auto"/>
        </w:rPr>
        <w:t>Basis of presentation and principles of consolidation</w:t>
      </w:r>
    </w:p>
    <w:p>
      <w:pPr>
        <w:spacing w:after="0" w:line="220" w:lineRule="exact"/>
        <w:rPr>
          <w:sz w:val="20"/>
          <w:szCs w:val="20"/>
          <w:color w:val="auto"/>
        </w:rPr>
      </w:pPr>
    </w:p>
    <w:p>
      <w:pPr>
        <w:ind w:left="7" w:right="120"/>
        <w:spacing w:after="0" w:line="269" w:lineRule="auto"/>
        <w:rPr>
          <w:sz w:val="20"/>
          <w:szCs w:val="20"/>
          <w:color w:val="auto"/>
        </w:rPr>
      </w:pPr>
      <w:r>
        <w:rPr>
          <w:rFonts w:ascii="Arial" w:cs="Arial" w:eastAsia="Arial" w:hAnsi="Arial"/>
          <w:sz w:val="17"/>
          <w:szCs w:val="17"/>
          <w:color w:val="auto"/>
        </w:rPr>
        <w:t>The consolidated financial statements were prepared in accordance with GAAP. The accompanying consolidated financial statements contained herein reflect all normal and recurring adjustments which are, in the opinion of management, necessary to provide a fair statement of the financial position, results of operations, and cash flows of the Company for the periods presented. The consolidated financial statements include the accounts of the Company and its wholly-owned and majority-owned consolidated subsidiaries. The ownership interest of other investors in consolidated subsidiaries is recorded as non-controlling interest. All significant intercompany transactions and balances have been eliminated in consolidation.</w:t>
      </w:r>
    </w:p>
    <w:p>
      <w:pPr>
        <w:spacing w:after="0" w:line="159" w:lineRule="exact"/>
        <w:rPr>
          <w:sz w:val="20"/>
          <w:szCs w:val="20"/>
          <w:color w:val="auto"/>
        </w:rPr>
      </w:pPr>
    </w:p>
    <w:p>
      <w:pPr>
        <w:ind w:left="7"/>
        <w:spacing w:after="0" w:line="261" w:lineRule="auto"/>
        <w:rPr>
          <w:sz w:val="20"/>
          <w:szCs w:val="20"/>
          <w:color w:val="auto"/>
        </w:rPr>
      </w:pPr>
      <w:r>
        <w:rPr>
          <w:rFonts w:ascii="Arial" w:cs="Arial" w:eastAsia="Arial" w:hAnsi="Arial"/>
          <w:sz w:val="17"/>
          <w:szCs w:val="17"/>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Immediately following the IPO, New Fortress Energy Holdings held a significant interest in NFE through its ownership of 147,058,824 Class B shares, representing an 88.0% voting and non-economic interest. New Fortress Energy Holdings also had an 88.0% economic interest in NFI through its ownership of 147,058,824 of NFI LLC Units. New Fortress Energy Holdings has been determined to be NFE’s predecessor for accounting purposes.</w:t>
      </w:r>
    </w:p>
    <w:p>
      <w:pPr>
        <w:spacing w:after="0" w:line="171" w:lineRule="exact"/>
        <w:rPr>
          <w:sz w:val="20"/>
          <w:szCs w:val="20"/>
          <w:color w:val="auto"/>
        </w:rPr>
      </w:pPr>
    </w:p>
    <w:p>
      <w:pPr>
        <w:ind w:left="7" w:right="80"/>
        <w:spacing w:after="0" w:line="273" w:lineRule="auto"/>
        <w:rPr>
          <w:sz w:val="20"/>
          <w:szCs w:val="20"/>
          <w:color w:val="auto"/>
        </w:rPr>
      </w:pPr>
      <w:r>
        <w:rPr>
          <w:rFonts w:ascii="Arial" w:cs="Arial" w:eastAsia="Arial" w:hAnsi="Arial"/>
          <w:sz w:val="17"/>
          <w:szCs w:val="17"/>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were 20,837,272 outstanding Class A shares. In connection with the exercise of the underwriters’ option to purchase an additional 837,272 Class A shares, NFE contributed such additional net proceeds to NFI in exchange for 837,272 NFI LLC Units.</w:t>
      </w:r>
    </w:p>
    <w:p>
      <w:pPr>
        <w:spacing w:after="0" w:line="156" w:lineRule="exact"/>
        <w:rPr>
          <w:sz w:val="20"/>
          <w:szCs w:val="20"/>
          <w:color w:val="auto"/>
        </w:rPr>
      </w:pPr>
    </w:p>
    <w:p>
      <w:pPr>
        <w:ind w:left="7" w:right="60"/>
        <w:spacing w:after="0" w:line="249" w:lineRule="auto"/>
        <w:rPr>
          <w:sz w:val="20"/>
          <w:szCs w:val="20"/>
          <w:color w:val="auto"/>
        </w:rPr>
      </w:pPr>
      <w:r>
        <w:rPr>
          <w:rFonts w:ascii="Arial" w:cs="Arial" w:eastAsia="Arial" w:hAnsi="Arial"/>
          <w:sz w:val="18"/>
          <w:szCs w:val="18"/>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consolidated balance sheets and statements of operations and comprehensive loss of New Fortress Energy Holdings for all periods prior to the IPO. The Company’s financial statements also include a non-controlling interest related to the portion of NFI LLC Units not owned by NFE. Prior to the IPO, NFE had no operations and had no assets or liabilities.</w:t>
      </w:r>
    </w:p>
    <w:p>
      <w:pPr>
        <w:spacing w:after="0" w:line="178" w:lineRule="exact"/>
        <w:rPr>
          <w:sz w:val="20"/>
          <w:szCs w:val="20"/>
          <w:color w:val="auto"/>
        </w:rPr>
      </w:pPr>
    </w:p>
    <w:p>
      <w:pPr>
        <w:ind w:left="247" w:hanging="247"/>
        <w:spacing w:after="0"/>
        <w:tabs>
          <w:tab w:leader="none" w:pos="247" w:val="left"/>
        </w:tabs>
        <w:numPr>
          <w:ilvl w:val="0"/>
          <w:numId w:val="32"/>
        </w:numPr>
        <w:rPr>
          <w:rFonts w:ascii="Arial" w:cs="Arial" w:eastAsia="Arial" w:hAnsi="Arial"/>
          <w:sz w:val="15"/>
          <w:szCs w:val="15"/>
          <w:color w:val="auto"/>
        </w:rPr>
      </w:pPr>
      <w:r>
        <w:rPr>
          <w:rFonts w:ascii="Arial" w:cs="Arial" w:eastAsia="Arial" w:hAnsi="Arial"/>
          <w:sz w:val="15"/>
          <w:szCs w:val="15"/>
          <w:b w:val="1"/>
          <w:bCs w:val="1"/>
          <w:color w:val="auto"/>
        </w:rPr>
        <w:t>Use of estimates</w:t>
      </w:r>
    </w:p>
    <w:p>
      <w:pPr>
        <w:spacing w:after="0" w:line="220" w:lineRule="exact"/>
        <w:rPr>
          <w:sz w:val="20"/>
          <w:szCs w:val="20"/>
          <w:color w:val="auto"/>
        </w:rPr>
      </w:pPr>
    </w:p>
    <w:p>
      <w:pPr>
        <w:ind w:left="7" w:right="220"/>
        <w:spacing w:after="0" w:line="235"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relative fair value allocation between revenue and lease components of contracts with customers, total consideration and fair value of identifiable net assets related to acquisitions, and fair value of equity awards granted to both employees and non-employees.</w:t>
      </w:r>
    </w:p>
    <w:p>
      <w:pPr>
        <w:spacing w:after="0" w:line="351"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67"/>
          </w:cols>
          <w:pgMar w:left="233" w:top="124" w:right="299" w:bottom="1440" w:gutter="0" w:footer="0" w:header="0"/>
        </w:sectPr>
      </w:pPr>
    </w:p>
    <w:bookmarkStart w:id="75" w:name="page76"/>
    <w:bookmarkEnd w:id="75"/>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520"/>
        <w:spacing w:after="0" w:line="250" w:lineRule="auto"/>
        <w:rPr>
          <w:sz w:val="20"/>
          <w:szCs w:val="20"/>
          <w:color w:val="auto"/>
        </w:rPr>
      </w:pPr>
      <w:r>
        <w:rPr>
          <w:rFonts w:ascii="Arial" w:cs="Arial" w:eastAsia="Arial" w:hAnsi="Arial"/>
          <w:sz w:val="19"/>
          <w:szCs w:val="19"/>
          <w:color w:val="auto"/>
        </w:rPr>
        <w:t>Management evaluates its estimates and related assumptions regularly. Changes in facts and circumstances or additional information may result in revised estimates, and actual results may differ from these estimates.</w:t>
      </w:r>
    </w:p>
    <w:p>
      <w:pPr>
        <w:spacing w:after="0" w:line="175" w:lineRule="exact"/>
        <w:rPr>
          <w:sz w:val="20"/>
          <w:szCs w:val="20"/>
          <w:color w:val="auto"/>
        </w:rPr>
      </w:pPr>
    </w:p>
    <w:p>
      <w:pPr>
        <w:ind w:left="247" w:hanging="247"/>
        <w:spacing w:after="0"/>
        <w:tabs>
          <w:tab w:leader="none" w:pos="247"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Foreign currencies</w:t>
      </w:r>
    </w:p>
    <w:p>
      <w:pPr>
        <w:spacing w:after="0" w:line="220" w:lineRule="exact"/>
        <w:rPr>
          <w:sz w:val="20"/>
          <w:szCs w:val="20"/>
          <w:color w:val="auto"/>
        </w:rPr>
      </w:pPr>
    </w:p>
    <w:p>
      <w:pPr>
        <w:ind w:left="7"/>
        <w:spacing w:after="0" w:line="273" w:lineRule="auto"/>
        <w:rPr>
          <w:sz w:val="20"/>
          <w:szCs w:val="20"/>
          <w:color w:val="auto"/>
        </w:rPr>
      </w:pPr>
      <w:r>
        <w:rPr>
          <w:rFonts w:ascii="Arial" w:cs="Arial" w:eastAsia="Arial" w:hAnsi="Arial"/>
          <w:sz w:val="17"/>
          <w:szCs w:val="17"/>
          <w:color w:val="auto"/>
        </w:rPr>
        <w:t>The Company has certain foreign subsidiaries where the functional currency is the local currency. All of the assets and liabilities of these subsidiaries are converted to U.S. dollars at the exchange rate in effect at the balance sheet date, income and expense accounts are translated at average rates for the period, and shareholder’s equity accounts are translated at historical rates. The effects of translating financial statements of foreign operations into our reporting currency are recognized as a cumulative translation adjustment in consolidated other comprehensive income (loss).</w:t>
      </w:r>
    </w:p>
    <w:p>
      <w:pPr>
        <w:spacing w:after="0" w:line="156" w:lineRule="exact"/>
        <w:rPr>
          <w:sz w:val="20"/>
          <w:szCs w:val="20"/>
          <w:color w:val="auto"/>
        </w:rPr>
      </w:pPr>
    </w:p>
    <w:p>
      <w:pPr>
        <w:ind w:left="7" w:right="80"/>
        <w:spacing w:after="0" w:line="254" w:lineRule="auto"/>
        <w:rPr>
          <w:sz w:val="20"/>
          <w:szCs w:val="20"/>
          <w:color w:val="auto"/>
        </w:rPr>
      </w:pPr>
      <w:r>
        <w:rPr>
          <w:rFonts w:ascii="Arial" w:cs="Arial" w:eastAsia="Arial" w:hAnsi="Arial"/>
          <w:sz w:val="18"/>
          <w:szCs w:val="18"/>
          <w:color w:val="auto"/>
        </w:rPr>
        <w:t>The Company also has foreign subsidiaries that have a functional currency of the U.S. dollar. Purchases and sales of assets and income and expense items denominated in foreign currencies are remeasured into U.S. dollar amounts on the respective dates of such transactions. Net realized foreign currency gains or losses relating to the differences between these recorded amounts and the U.S. dollar equivalent actually received or paid are included within Other income, net in the consolidated statements of operations and comprehensive loss.</w:t>
      </w:r>
    </w:p>
    <w:p>
      <w:pPr>
        <w:spacing w:after="0" w:line="172" w:lineRule="exact"/>
        <w:rPr>
          <w:sz w:val="20"/>
          <w:szCs w:val="20"/>
          <w:color w:val="auto"/>
        </w:rPr>
      </w:pPr>
    </w:p>
    <w:p>
      <w:pPr>
        <w:ind w:left="247" w:hanging="247"/>
        <w:spacing w:after="0"/>
        <w:tabs>
          <w:tab w:leader="none" w:pos="247"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Cash and cash equivalents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at the time of purchase to be cash equivalents.</w:t>
      </w:r>
    </w:p>
    <w:p>
      <w:pPr>
        <w:spacing w:after="0" w:line="225" w:lineRule="exact"/>
        <w:rPr>
          <w:sz w:val="20"/>
          <w:szCs w:val="20"/>
          <w:color w:val="auto"/>
        </w:rPr>
      </w:pPr>
    </w:p>
    <w:p>
      <w:pPr>
        <w:ind w:left="247" w:hanging="247"/>
        <w:spacing w:after="0"/>
        <w:tabs>
          <w:tab w:leader="none" w:pos="247"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Restricted cash</w:t>
      </w:r>
    </w:p>
    <w:p>
      <w:pPr>
        <w:spacing w:after="0" w:line="220" w:lineRule="exact"/>
        <w:rPr>
          <w:sz w:val="20"/>
          <w:szCs w:val="20"/>
          <w:color w:val="auto"/>
        </w:rPr>
      </w:pPr>
    </w:p>
    <w:p>
      <w:pPr>
        <w:ind w:left="7" w:right="520"/>
        <w:spacing w:after="0" w:line="250" w:lineRule="auto"/>
        <w:rPr>
          <w:sz w:val="20"/>
          <w:szCs w:val="20"/>
          <w:color w:val="auto"/>
        </w:rPr>
      </w:pPr>
      <w:r>
        <w:rPr>
          <w:rFonts w:ascii="Arial" w:cs="Arial" w:eastAsia="Arial" w:hAnsi="Arial"/>
          <w:sz w:val="19"/>
          <w:szCs w:val="19"/>
          <w:color w:val="auto"/>
        </w:rPr>
        <w:t>Restricted cash consists of funds that are contractually restricted as to usage or withdrawal and have been presented separately from cash and cash equivalents on the consolidated balance sheets.</w:t>
      </w:r>
    </w:p>
    <w:p>
      <w:pPr>
        <w:spacing w:after="0" w:line="175" w:lineRule="exact"/>
        <w:rPr>
          <w:sz w:val="20"/>
          <w:szCs w:val="20"/>
          <w:color w:val="auto"/>
        </w:rPr>
      </w:pPr>
    </w:p>
    <w:p>
      <w:pPr>
        <w:ind w:left="227" w:hanging="227"/>
        <w:spacing w:after="0"/>
        <w:tabs>
          <w:tab w:leader="none" w:pos="227"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Receivables</w:t>
      </w:r>
    </w:p>
    <w:p>
      <w:pPr>
        <w:spacing w:after="0" w:line="220" w:lineRule="exact"/>
        <w:rPr>
          <w:sz w:val="20"/>
          <w:szCs w:val="20"/>
          <w:color w:val="auto"/>
        </w:rPr>
      </w:pPr>
    </w:p>
    <w:p>
      <w:pPr>
        <w:ind w:left="7" w:right="120"/>
        <w:spacing w:after="0" w:line="273" w:lineRule="auto"/>
        <w:rPr>
          <w:sz w:val="20"/>
          <w:szCs w:val="20"/>
          <w:color w:val="auto"/>
        </w:rPr>
      </w:pPr>
      <w:r>
        <w:rPr>
          <w:rFonts w:ascii="Arial" w:cs="Arial" w:eastAsia="Arial" w:hAnsi="Arial"/>
          <w:sz w:val="17"/>
          <w:szCs w:val="17"/>
          <w:color w:val="auto"/>
        </w:rPr>
        <w:t>Receivables are reported net of allowances for doubtful accounts. The Company maintains allowances for doubtful accounts for estimated losses resulting from the inability of customers to make required payments. The Company estimates the allowance for doubtful accounts based on a variety of factors including the length of time receivables are past due, the financial health of customers, unusual macroeconomic conditions, and historical experience. As of December 31, 2019 and 2018, the Company recognized an allowance for doubtful accounts of $0 and $257, respectively.</w:t>
      </w:r>
    </w:p>
    <w:p>
      <w:pPr>
        <w:spacing w:after="0" w:line="158" w:lineRule="exact"/>
        <w:rPr>
          <w:sz w:val="20"/>
          <w:szCs w:val="20"/>
          <w:color w:val="auto"/>
        </w:rPr>
      </w:pPr>
    </w:p>
    <w:p>
      <w:pPr>
        <w:ind w:left="247" w:hanging="247"/>
        <w:spacing w:after="0"/>
        <w:tabs>
          <w:tab w:leader="none" w:pos="247"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Inventories</w:t>
      </w:r>
    </w:p>
    <w:p>
      <w:pPr>
        <w:spacing w:after="0" w:line="220" w:lineRule="exact"/>
        <w:rPr>
          <w:sz w:val="20"/>
          <w:szCs w:val="20"/>
          <w:color w:val="auto"/>
        </w:rPr>
      </w:pPr>
    </w:p>
    <w:p>
      <w:pPr>
        <w:ind w:left="7" w:right="220"/>
        <w:spacing w:after="0"/>
        <w:rPr>
          <w:sz w:val="20"/>
          <w:szCs w:val="20"/>
          <w:color w:val="auto"/>
        </w:rPr>
      </w:pPr>
      <w:r>
        <w:rPr>
          <w:rFonts w:ascii="Arial" w:cs="Arial" w:eastAsia="Arial" w:hAnsi="Arial"/>
          <w:sz w:val="19"/>
          <w:szCs w:val="19"/>
          <w:color w:val="auto"/>
        </w:rPr>
        <w:t>LNG and natural gas inventories and ADO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spacing w:after="0" w:line="181" w:lineRule="exact"/>
        <w:rPr>
          <w:sz w:val="20"/>
          <w:szCs w:val="20"/>
          <w:color w:val="auto"/>
        </w:rPr>
      </w:pPr>
    </w:p>
    <w:p>
      <w:pPr>
        <w:ind w:left="7" w:right="140"/>
        <w:spacing w:after="0" w:line="250" w:lineRule="auto"/>
        <w:rPr>
          <w:sz w:val="20"/>
          <w:szCs w:val="20"/>
          <w:color w:val="auto"/>
        </w:rPr>
      </w:pPr>
      <w:r>
        <w:rPr>
          <w:rFonts w:ascii="Arial" w:cs="Arial" w:eastAsia="Arial" w:hAnsi="Arial"/>
          <w:sz w:val="19"/>
          <w:szCs w:val="19"/>
          <w:color w:val="auto"/>
        </w:rPr>
        <w:t>Inventory is adjusted to the lower of cost or net realizable value each quarter. Changes in the value of inventory are recorded within Cost of sales in the consolidated statements of operations and comprehensive loss.</w:t>
      </w:r>
    </w:p>
    <w:p>
      <w:pPr>
        <w:spacing w:after="0" w:line="172" w:lineRule="exact"/>
        <w:rPr>
          <w:sz w:val="20"/>
          <w:szCs w:val="20"/>
          <w:color w:val="auto"/>
        </w:rPr>
      </w:pPr>
    </w:p>
    <w:p>
      <w:pPr>
        <w:ind w:left="7" w:right="20"/>
        <w:spacing w:after="0" w:line="260" w:lineRule="auto"/>
        <w:rPr>
          <w:sz w:val="20"/>
          <w:szCs w:val="20"/>
          <w:color w:val="auto"/>
        </w:rPr>
      </w:pPr>
      <w:r>
        <w:rPr>
          <w:rFonts w:ascii="Arial" w:cs="Arial" w:eastAsia="Arial" w:hAnsi="Arial"/>
          <w:sz w:val="18"/>
          <w:szCs w:val="18"/>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 instances where gas cannot be contained and recycled back into the production process in the period in which the loss occurs.</w:t>
      </w:r>
    </w:p>
    <w:p>
      <w:pPr>
        <w:spacing w:after="0" w:line="166" w:lineRule="exact"/>
        <w:rPr>
          <w:sz w:val="20"/>
          <w:szCs w:val="20"/>
          <w:color w:val="auto"/>
        </w:rPr>
      </w:pPr>
    </w:p>
    <w:p>
      <w:pPr>
        <w:ind w:left="247" w:hanging="247"/>
        <w:spacing w:after="0"/>
        <w:tabs>
          <w:tab w:leader="none" w:pos="247"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Construction in progress</w:t>
      </w:r>
    </w:p>
    <w:p>
      <w:pPr>
        <w:spacing w:after="0" w:line="220" w:lineRule="exact"/>
        <w:rPr>
          <w:sz w:val="20"/>
          <w:szCs w:val="20"/>
          <w:color w:val="auto"/>
        </w:rPr>
      </w:pPr>
    </w:p>
    <w:p>
      <w:pPr>
        <w:ind w:left="7" w:right="100"/>
        <w:spacing w:after="0" w:line="235" w:lineRule="auto"/>
        <w:rPr>
          <w:sz w:val="20"/>
          <w:szCs w:val="20"/>
          <w:color w:val="auto"/>
        </w:rPr>
      </w:pPr>
      <w:r>
        <w:rPr>
          <w:rFonts w:ascii="Arial" w:cs="Arial" w:eastAsia="Arial" w:hAnsi="Arial"/>
          <w:sz w:val="19"/>
          <w:szCs w:val="19"/>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may be utilized in future projects. Depreciation is not recognized during the construction period.</w:t>
      </w:r>
    </w:p>
    <w:p>
      <w:pPr>
        <w:spacing w:after="0" w:line="185" w:lineRule="exact"/>
        <w:rPr>
          <w:sz w:val="20"/>
          <w:szCs w:val="20"/>
          <w:color w:val="auto"/>
        </w:rPr>
      </w:pPr>
    </w:p>
    <w:p>
      <w:pPr>
        <w:ind w:left="7" w:right="240"/>
        <w:spacing w:after="0" w:line="250" w:lineRule="auto"/>
        <w:rPr>
          <w:sz w:val="20"/>
          <w:szCs w:val="20"/>
          <w:color w:val="auto"/>
        </w:rPr>
      </w:pPr>
      <w:r>
        <w:rPr>
          <w:rFonts w:ascii="Arial" w:cs="Arial" w:eastAsia="Arial" w:hAnsi="Arial"/>
          <w:sz w:val="19"/>
          <w:szCs w:val="19"/>
          <w:color w:val="auto"/>
        </w:rPr>
        <w:t>The interest cost associated with major development and construction projects is capitalized during the construction period and included in the cost of the project in Construction in progress.</w:t>
      </w:r>
    </w:p>
    <w:p>
      <w:pPr>
        <w:spacing w:after="0" w:line="175" w:lineRule="exact"/>
        <w:rPr>
          <w:sz w:val="20"/>
          <w:szCs w:val="20"/>
          <w:color w:val="auto"/>
        </w:rPr>
      </w:pPr>
    </w:p>
    <w:p>
      <w:pPr>
        <w:ind w:left="227" w:hanging="227"/>
        <w:spacing w:after="0"/>
        <w:tabs>
          <w:tab w:leader="none" w:pos="227"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Property, plant and equipment, net</w:t>
      </w:r>
    </w:p>
    <w:p>
      <w:pPr>
        <w:spacing w:after="0" w:line="220" w:lineRule="exact"/>
        <w:rPr>
          <w:sz w:val="20"/>
          <w:szCs w:val="20"/>
          <w:color w:val="auto"/>
        </w:rPr>
      </w:pPr>
    </w:p>
    <w:p>
      <w:pPr>
        <w:ind w:left="7" w:right="60"/>
        <w:spacing w:after="0" w:line="269" w:lineRule="auto"/>
        <w:rPr>
          <w:sz w:val="20"/>
          <w:szCs w:val="20"/>
          <w:color w:val="auto"/>
        </w:rPr>
      </w:pPr>
      <w:r>
        <w:rPr>
          <w:rFonts w:ascii="Arial" w:cs="Arial" w:eastAsia="Arial" w:hAnsi="Arial"/>
          <w:sz w:val="17"/>
          <w:szCs w:val="17"/>
          <w:color w:val="auto"/>
        </w:rPr>
        <w:t>Property, plant and equipment is recorded at cost. Expenditures for construction activities and betterments that extend the useful life of the asset are capitalized. Major maintenance and overhauls are capitalized and will be depreciated over the period expected until the next anticipated major maintenance or overhaul, while expenditures for routine maintenance and repairs are charged to expense as incurred within Operations and maintenance in the consolidated statements of operations and comprehensive loss. The Company depreciates property, plant and equipment using the straight-line depreciation method over the estimated economic life of the asset or lease term, whichever is shorter using the following useful lives:</w:t>
      </w:r>
    </w:p>
    <w:p>
      <w:pPr>
        <w:sectPr>
          <w:pgSz w:w="11900" w:h="16838" w:orient="portrait"/>
          <w:cols w:equalWidth="0" w:num="1">
            <w:col w:w="11387"/>
          </w:cols>
          <w:pgMar w:left="233" w:top="124" w:right="279" w:bottom="1440" w:gutter="0" w:footer="0" w:header="0"/>
        </w:sectPr>
      </w:pPr>
    </w:p>
    <w:p>
      <w:pPr>
        <w:spacing w:after="0" w:line="325" w:lineRule="exact"/>
        <w:rPr>
          <w:sz w:val="20"/>
          <w:szCs w:val="20"/>
          <w:color w:val="auto"/>
        </w:rPr>
      </w:pPr>
    </w:p>
    <w:p>
      <w:pPr>
        <w:jc w:val="center"/>
        <w:ind w:right="-46"/>
        <w:spacing w:after="0"/>
        <w:rPr>
          <w:sz w:val="20"/>
          <w:szCs w:val="20"/>
          <w:color w:val="auto"/>
        </w:rPr>
      </w:pPr>
      <w:r>
        <w:rPr>
          <w:rFonts w:ascii="Arial" w:cs="Arial" w:eastAsia="Arial" w:hAnsi="Arial"/>
          <w:sz w:val="11"/>
          <w:szCs w:val="1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6567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87"/>
          </w:cols>
          <w:pgMar w:left="233" w:top="124" w:right="279" w:bottom="1440" w:gutter="0" w:footer="0" w:header="0"/>
          <w:type w:val="continuous"/>
        </w:sectPr>
      </w:pPr>
    </w:p>
    <w:bookmarkStart w:id="76" w:name="page77"/>
    <w:bookmarkEnd w:id="76"/>
    <w:tbl>
      <w:tblPr>
        <w:tblLayout w:type="fixed"/>
        <w:tblInd w:w="7" w:type="dxa"/>
        <w:tblCellMar>
          <w:top w:w="0" w:type="dxa"/>
          <w:left w:w="0" w:type="dxa"/>
          <w:bottom w:w="0" w:type="dxa"/>
          <w:right w:w="0" w:type="dxa"/>
        </w:tblCellMar>
      </w:tblPr>
      <w:tr>
        <w:trPr>
          <w:trHeight w:val="138"/>
        </w:trPr>
        <w:tc>
          <w:tcPr>
            <w:tcW w:w="5300" w:type="dxa"/>
            <w:vAlign w:val="bottom"/>
            <w:gridSpan w:val="2"/>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2"/>
        </w:trPr>
        <w:tc>
          <w:tcPr>
            <w:tcW w:w="860" w:type="dxa"/>
            <w:vAlign w:val="bottom"/>
            <w:tcBorders>
              <w:top w:val="single" w:sz="8" w:color="0000EE"/>
            </w:tcBorders>
          </w:tcPr>
          <w:p>
            <w:pPr>
              <w:spacing w:after="0"/>
              <w:rPr>
                <w:sz w:val="24"/>
                <w:szCs w:val="24"/>
                <w:color w:val="auto"/>
              </w:rPr>
            </w:pPr>
          </w:p>
        </w:tc>
        <w:tc>
          <w:tcPr>
            <w:tcW w:w="4440" w:type="dxa"/>
            <w:vAlign w:val="bottom"/>
          </w:tcPr>
          <w:p>
            <w:pPr>
              <w:spacing w:after="0"/>
              <w:rPr>
                <w:sz w:val="24"/>
                <w:szCs w:val="24"/>
                <w:color w:val="auto"/>
              </w:rPr>
            </w:pPr>
          </w:p>
        </w:tc>
        <w:tc>
          <w:tcPr>
            <w:tcW w:w="146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Useful life (Yrs)</w:t>
            </w:r>
          </w:p>
        </w:tc>
        <w:tc>
          <w:tcPr>
            <w:tcW w:w="100" w:type="dxa"/>
            <w:vAlign w:val="bottom"/>
          </w:tcPr>
          <w:p>
            <w:pPr>
              <w:spacing w:after="0"/>
              <w:rPr>
                <w:sz w:val="24"/>
                <w:szCs w:val="24"/>
                <w:color w:val="auto"/>
              </w:rPr>
            </w:pPr>
          </w:p>
        </w:tc>
      </w:tr>
      <w:tr>
        <w:trPr>
          <w:trHeight w:val="186"/>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LNG liquefaction facilities</w:t>
            </w:r>
          </w:p>
        </w:tc>
        <w:tc>
          <w:tcPr>
            <w:tcW w:w="1460" w:type="dxa"/>
            <w:vAlign w:val="bottom"/>
            <w:shd w:val="clear" w:color="auto" w:fill="CCEEFF"/>
          </w:tcPr>
          <w:p>
            <w:pPr>
              <w:jc w:val="center"/>
              <w:ind w:left="63"/>
              <w:spacing w:after="0"/>
              <w:rPr>
                <w:sz w:val="20"/>
                <w:szCs w:val="20"/>
                <w:color w:val="auto"/>
              </w:rPr>
            </w:pPr>
            <w:r>
              <w:rPr>
                <w:rFonts w:ascii="Arial" w:cs="Arial" w:eastAsia="Arial" w:hAnsi="Arial"/>
                <w:sz w:val="15"/>
                <w:szCs w:val="15"/>
                <w:color w:val="auto"/>
                <w:w w:val="93"/>
              </w:rPr>
              <w:t>20-30</w:t>
            </w:r>
          </w:p>
        </w:tc>
        <w:tc>
          <w:tcPr>
            <w:tcW w:w="100" w:type="dxa"/>
            <w:vAlign w:val="bottom"/>
            <w:shd w:val="clear" w:color="auto" w:fill="CCEEFF"/>
          </w:tcPr>
          <w:p>
            <w:pPr>
              <w:spacing w:after="0"/>
              <w:rPr>
                <w:sz w:val="16"/>
                <w:szCs w:val="16"/>
                <w:color w:val="auto"/>
              </w:rPr>
            </w:pPr>
          </w:p>
        </w:tc>
      </w:tr>
      <w:tr>
        <w:trPr>
          <w:trHeight w:val="186"/>
        </w:trPr>
        <w:tc>
          <w:tcPr>
            <w:tcW w:w="5300" w:type="dxa"/>
            <w:vAlign w:val="bottom"/>
            <w:gridSpan w:val="2"/>
          </w:tcPr>
          <w:p>
            <w:pPr>
              <w:spacing w:after="0"/>
              <w:rPr>
                <w:sz w:val="20"/>
                <w:szCs w:val="20"/>
                <w:color w:val="auto"/>
              </w:rPr>
            </w:pPr>
            <w:r>
              <w:rPr>
                <w:rFonts w:ascii="Arial" w:cs="Arial" w:eastAsia="Arial" w:hAnsi="Arial"/>
                <w:sz w:val="15"/>
                <w:szCs w:val="15"/>
                <w:color w:val="auto"/>
              </w:rPr>
              <w:t>Gas terminals</w:t>
            </w:r>
          </w:p>
        </w:tc>
        <w:tc>
          <w:tcPr>
            <w:tcW w:w="1460" w:type="dxa"/>
            <w:vAlign w:val="bottom"/>
          </w:tcPr>
          <w:p>
            <w:pPr>
              <w:jc w:val="center"/>
              <w:ind w:left="63"/>
              <w:spacing w:after="0"/>
              <w:rPr>
                <w:sz w:val="20"/>
                <w:szCs w:val="20"/>
                <w:color w:val="auto"/>
              </w:rPr>
            </w:pPr>
            <w:r>
              <w:rPr>
                <w:rFonts w:ascii="Arial" w:cs="Arial" w:eastAsia="Arial" w:hAnsi="Arial"/>
                <w:sz w:val="15"/>
                <w:szCs w:val="15"/>
                <w:color w:val="auto"/>
                <w:w w:val="93"/>
              </w:rPr>
              <w:t>5-45</w:t>
            </w:r>
          </w:p>
        </w:tc>
        <w:tc>
          <w:tcPr>
            <w:tcW w:w="100" w:type="dxa"/>
            <w:vAlign w:val="bottom"/>
          </w:tcPr>
          <w:p>
            <w:pPr>
              <w:spacing w:after="0"/>
              <w:rPr>
                <w:sz w:val="16"/>
                <w:szCs w:val="16"/>
                <w:color w:val="auto"/>
              </w:rPr>
            </w:pPr>
          </w:p>
        </w:tc>
      </w:tr>
      <w:tr>
        <w:trPr>
          <w:trHeight w:val="186"/>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Gas pipelines</w:t>
            </w:r>
          </w:p>
        </w:tc>
        <w:tc>
          <w:tcPr>
            <w:tcW w:w="1460" w:type="dxa"/>
            <w:vAlign w:val="bottom"/>
            <w:shd w:val="clear" w:color="auto" w:fill="CCEEFF"/>
          </w:tcPr>
          <w:p>
            <w:pPr>
              <w:jc w:val="center"/>
              <w:ind w:left="63"/>
              <w:spacing w:after="0"/>
              <w:rPr>
                <w:sz w:val="20"/>
                <w:szCs w:val="20"/>
                <w:color w:val="auto"/>
              </w:rPr>
            </w:pPr>
            <w:r>
              <w:rPr>
                <w:rFonts w:ascii="Arial" w:cs="Arial" w:eastAsia="Arial" w:hAnsi="Arial"/>
                <w:sz w:val="15"/>
                <w:szCs w:val="15"/>
                <w:color w:val="auto"/>
                <w:w w:val="93"/>
              </w:rPr>
              <w:t>4-45</w:t>
            </w:r>
          </w:p>
        </w:tc>
        <w:tc>
          <w:tcPr>
            <w:tcW w:w="100" w:type="dxa"/>
            <w:vAlign w:val="bottom"/>
            <w:shd w:val="clear" w:color="auto" w:fill="CCEEFF"/>
          </w:tcPr>
          <w:p>
            <w:pPr>
              <w:spacing w:after="0"/>
              <w:rPr>
                <w:sz w:val="16"/>
                <w:szCs w:val="16"/>
                <w:color w:val="auto"/>
              </w:rPr>
            </w:pPr>
          </w:p>
        </w:tc>
      </w:tr>
      <w:tr>
        <w:trPr>
          <w:trHeight w:val="186"/>
        </w:trPr>
        <w:tc>
          <w:tcPr>
            <w:tcW w:w="5300" w:type="dxa"/>
            <w:vAlign w:val="bottom"/>
            <w:gridSpan w:val="2"/>
          </w:tcPr>
          <w:p>
            <w:pPr>
              <w:spacing w:after="0"/>
              <w:rPr>
                <w:sz w:val="20"/>
                <w:szCs w:val="20"/>
                <w:color w:val="auto"/>
              </w:rPr>
            </w:pPr>
            <w:r>
              <w:rPr>
                <w:rFonts w:ascii="Arial" w:cs="Arial" w:eastAsia="Arial" w:hAnsi="Arial"/>
                <w:sz w:val="15"/>
                <w:szCs w:val="15"/>
                <w:color w:val="auto"/>
              </w:rPr>
              <w:t>ISO containers and other equipment</w:t>
            </w:r>
          </w:p>
        </w:tc>
        <w:tc>
          <w:tcPr>
            <w:tcW w:w="1460" w:type="dxa"/>
            <w:vAlign w:val="bottom"/>
          </w:tcPr>
          <w:p>
            <w:pPr>
              <w:jc w:val="center"/>
              <w:ind w:left="63"/>
              <w:spacing w:after="0"/>
              <w:rPr>
                <w:sz w:val="20"/>
                <w:szCs w:val="20"/>
                <w:color w:val="auto"/>
              </w:rPr>
            </w:pPr>
            <w:r>
              <w:rPr>
                <w:rFonts w:ascii="Arial" w:cs="Arial" w:eastAsia="Arial" w:hAnsi="Arial"/>
                <w:sz w:val="15"/>
                <w:szCs w:val="15"/>
                <w:color w:val="auto"/>
                <w:w w:val="93"/>
              </w:rPr>
              <w:t>3-40</w:t>
            </w:r>
          </w:p>
        </w:tc>
        <w:tc>
          <w:tcPr>
            <w:tcW w:w="100" w:type="dxa"/>
            <w:vAlign w:val="bottom"/>
          </w:tcPr>
          <w:p>
            <w:pPr>
              <w:spacing w:after="0"/>
              <w:rPr>
                <w:sz w:val="16"/>
                <w:szCs w:val="16"/>
                <w:color w:val="auto"/>
              </w:rPr>
            </w:pPr>
          </w:p>
        </w:tc>
      </w:tr>
      <w:tr>
        <w:trPr>
          <w:trHeight w:val="186"/>
        </w:trPr>
        <w:tc>
          <w:tcPr>
            <w:tcW w:w="5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Leasehold improvements</w:t>
            </w:r>
          </w:p>
        </w:tc>
        <w:tc>
          <w:tcPr>
            <w:tcW w:w="1460" w:type="dxa"/>
            <w:vAlign w:val="bottom"/>
            <w:shd w:val="clear" w:color="auto" w:fill="CCEEFF"/>
          </w:tcPr>
          <w:p>
            <w:pPr>
              <w:jc w:val="center"/>
              <w:ind w:left="63"/>
              <w:spacing w:after="0"/>
              <w:rPr>
                <w:sz w:val="20"/>
                <w:szCs w:val="20"/>
                <w:color w:val="auto"/>
              </w:rPr>
            </w:pPr>
            <w:r>
              <w:rPr>
                <w:rFonts w:ascii="Arial" w:cs="Arial" w:eastAsia="Arial" w:hAnsi="Arial"/>
                <w:sz w:val="15"/>
                <w:szCs w:val="15"/>
                <w:color w:val="auto"/>
                <w:w w:val="93"/>
              </w:rPr>
              <w:t>5-27</w:t>
            </w:r>
          </w:p>
        </w:tc>
        <w:tc>
          <w:tcPr>
            <w:tcW w:w="100" w:type="dxa"/>
            <w:vAlign w:val="bottom"/>
            <w:shd w:val="clear" w:color="auto" w:fill="CCEEFF"/>
          </w:tcPr>
          <w:p>
            <w:pPr>
              <w:spacing w:after="0"/>
              <w:rPr>
                <w:sz w:val="16"/>
                <w:szCs w:val="16"/>
                <w:color w:val="auto"/>
              </w:rPr>
            </w:pPr>
          </w:p>
        </w:tc>
      </w:tr>
    </w:tbl>
    <w:p>
      <w:pPr>
        <w:spacing w:after="0" w:line="190" w:lineRule="exact"/>
        <w:rPr>
          <w:sz w:val="20"/>
          <w:szCs w:val="20"/>
          <w:color w:val="auto"/>
        </w:rPr>
      </w:pPr>
    </w:p>
    <w:p>
      <w:pPr>
        <w:ind w:left="7" w:right="100"/>
        <w:spacing w:after="0" w:line="250" w:lineRule="auto"/>
        <w:rPr>
          <w:sz w:val="20"/>
          <w:szCs w:val="20"/>
          <w:color w:val="auto"/>
        </w:rPr>
      </w:pPr>
      <w:r>
        <w:rPr>
          <w:rFonts w:ascii="Arial" w:cs="Arial" w:eastAsia="Arial" w:hAnsi="Arial"/>
          <w:sz w:val="19"/>
          <w:szCs w:val="19"/>
          <w:color w:val="auto"/>
        </w:rPr>
        <w:t>The Company reviews the remaining useful life of its assets on a regular basis to determine whether changes have taken place that would suggest that a change to depreciation policies is warranted.</w:t>
      </w:r>
    </w:p>
    <w:p>
      <w:pPr>
        <w:spacing w:after="0" w:line="172" w:lineRule="exact"/>
        <w:rPr>
          <w:sz w:val="20"/>
          <w:szCs w:val="20"/>
          <w:color w:val="auto"/>
        </w:rPr>
      </w:pPr>
    </w:p>
    <w:p>
      <w:pPr>
        <w:ind w:left="7" w:right="420"/>
        <w:spacing w:after="0" w:line="277" w:lineRule="auto"/>
        <w:rPr>
          <w:sz w:val="20"/>
          <w:szCs w:val="20"/>
          <w:color w:val="auto"/>
        </w:rPr>
      </w:pPr>
      <w:r>
        <w:rPr>
          <w:rFonts w:ascii="Arial" w:cs="Arial" w:eastAsia="Arial" w:hAnsi="Arial"/>
          <w:sz w:val="18"/>
          <w:szCs w:val="18"/>
          <w:color w:val="auto"/>
        </w:rPr>
        <w:t>Upon retirement or disposal of property, plant and equipment, the cost and related accumulated depreciation are removed from the account, and the resulting gains or losses, if any, are recorded in the consolidated statements of operations and comprehensive loss.</w:t>
      </w:r>
    </w:p>
    <w:p>
      <w:pPr>
        <w:spacing w:after="0" w:line="152" w:lineRule="exact"/>
        <w:rPr>
          <w:sz w:val="20"/>
          <w:szCs w:val="20"/>
          <w:color w:val="auto"/>
        </w:rPr>
      </w:pPr>
    </w:p>
    <w:p>
      <w:pPr>
        <w:ind w:left="227" w:hanging="227"/>
        <w:spacing w:after="0"/>
        <w:tabs>
          <w:tab w:leader="none" w:pos="227"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Asset retirement obligations (“AROs”)</w:t>
      </w:r>
    </w:p>
    <w:p>
      <w:pPr>
        <w:spacing w:after="0" w:line="220" w:lineRule="exact"/>
        <w:rPr>
          <w:sz w:val="20"/>
          <w:szCs w:val="20"/>
          <w:color w:val="auto"/>
        </w:rPr>
      </w:pPr>
    </w:p>
    <w:p>
      <w:pPr>
        <w:ind w:left="7" w:right="140"/>
        <w:spacing w:after="0" w:line="251" w:lineRule="auto"/>
        <w:rPr>
          <w:sz w:val="20"/>
          <w:szCs w:val="20"/>
          <w:color w:val="auto"/>
        </w:rPr>
      </w:pPr>
      <w:r>
        <w:rPr>
          <w:rFonts w:ascii="Arial" w:cs="Arial" w:eastAsia="Arial" w:hAnsi="Arial"/>
          <w:sz w:val="18"/>
          <w:szCs w:val="18"/>
          <w:color w:val="auto"/>
        </w:rPr>
        <w:t>AROs are recognized for legal obligations associated with the retirement of long-lived assets that result from the acquisition, leasing, construction, development and/or normal use of the assets and for conditional AROs in which the timing or method of settlement are conditional on a future event. The fair value of a liability for an ARO is recognized in the period in which the liability is incurred if a reasonable estimate of fair value can be made and is accreted to its final value over the life of the liability. The initial fair value of the liability is added to the carrying amount of the associated asset. This additional carrying amount is depreciated over the estimated useful life of the asset.</w:t>
      </w:r>
    </w:p>
    <w:p>
      <w:pPr>
        <w:spacing w:after="0" w:line="172" w:lineRule="exact"/>
        <w:rPr>
          <w:sz w:val="20"/>
          <w:szCs w:val="20"/>
          <w:color w:val="auto"/>
        </w:rPr>
      </w:pPr>
    </w:p>
    <w:p>
      <w:pPr>
        <w:ind w:left="7" w:right="180"/>
        <w:spacing w:after="0" w:line="260" w:lineRule="auto"/>
        <w:rPr>
          <w:sz w:val="20"/>
          <w:szCs w:val="20"/>
          <w:color w:val="auto"/>
        </w:rPr>
      </w:pPr>
      <w:r>
        <w:rPr>
          <w:rFonts w:ascii="Arial" w:cs="Arial" w:eastAsia="Arial" w:hAnsi="Arial"/>
          <w:sz w:val="18"/>
          <w:szCs w:val="18"/>
          <w:color w:val="auto"/>
        </w:rPr>
        <w:t>The Company estimates the fair value of the ARO liability based on the present value of expected cash flows using a credit-adjusted risk-free rate. Liabilities for AROs may be incurred over more than one reporting period if the events that create the obligation occur over more than one period or if estimates change. There were no settlements of AROs during the years ended December 31, 2019 and 2018.</w:t>
      </w:r>
    </w:p>
    <w:p>
      <w:pPr>
        <w:spacing w:after="0" w:line="166" w:lineRule="exact"/>
        <w:rPr>
          <w:sz w:val="20"/>
          <w:szCs w:val="20"/>
          <w:color w:val="auto"/>
        </w:rPr>
      </w:pPr>
    </w:p>
    <w:p>
      <w:pPr>
        <w:ind w:left="247" w:hanging="247"/>
        <w:spacing w:after="0"/>
        <w:tabs>
          <w:tab w:leader="none" w:pos="247" w:val="left"/>
        </w:tabs>
        <w:numPr>
          <w:ilvl w:val="0"/>
          <w:numId w:val="41"/>
        </w:numPr>
        <w:rPr>
          <w:rFonts w:ascii="Arial" w:cs="Arial" w:eastAsia="Arial" w:hAnsi="Arial"/>
          <w:sz w:val="15"/>
          <w:szCs w:val="15"/>
          <w:color w:val="auto"/>
        </w:rPr>
      </w:pPr>
      <w:r>
        <w:rPr>
          <w:rFonts w:ascii="Arial" w:cs="Arial" w:eastAsia="Arial" w:hAnsi="Arial"/>
          <w:sz w:val="15"/>
          <w:szCs w:val="15"/>
          <w:b w:val="1"/>
          <w:bCs w:val="1"/>
          <w:color w:val="auto"/>
        </w:rPr>
        <w:t>Impairment of long-lived assets</w:t>
      </w:r>
    </w:p>
    <w:p>
      <w:pPr>
        <w:spacing w:after="0" w:line="220" w:lineRule="exact"/>
        <w:rPr>
          <w:sz w:val="20"/>
          <w:szCs w:val="20"/>
          <w:color w:val="auto"/>
        </w:rPr>
      </w:pPr>
    </w:p>
    <w:p>
      <w:pPr>
        <w:ind w:left="7" w:right="200"/>
        <w:spacing w:after="0" w:line="273" w:lineRule="auto"/>
        <w:rPr>
          <w:sz w:val="20"/>
          <w:szCs w:val="20"/>
          <w:color w:val="auto"/>
        </w:rPr>
      </w:pPr>
      <w:r>
        <w:rPr>
          <w:rFonts w:ascii="Arial" w:cs="Arial" w:eastAsia="Arial" w:hAnsi="Arial"/>
          <w:sz w:val="17"/>
          <w:szCs w:val="17"/>
          <w:color w:val="auto"/>
        </w:rPr>
        <w:t>The Company performs a recoverability assessment of each of its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156" w:lineRule="exact"/>
        <w:rPr>
          <w:sz w:val="20"/>
          <w:szCs w:val="20"/>
          <w:color w:val="auto"/>
        </w:rPr>
      </w:pPr>
    </w:p>
    <w:p>
      <w:pPr>
        <w:ind w:left="7" w:right="220"/>
        <w:spacing w:after="0"/>
        <w:rPr>
          <w:sz w:val="20"/>
          <w:szCs w:val="20"/>
          <w:color w:val="auto"/>
        </w:rPr>
      </w:pPr>
      <w:r>
        <w:rPr>
          <w:rFonts w:ascii="Arial" w:cs="Arial" w:eastAsia="Arial" w:hAnsi="Arial"/>
          <w:sz w:val="19"/>
          <w:szCs w:val="19"/>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81" w:lineRule="exact"/>
        <w:rPr>
          <w:sz w:val="20"/>
          <w:szCs w:val="20"/>
          <w:color w:val="auto"/>
        </w:rPr>
      </w:pPr>
    </w:p>
    <w:p>
      <w:pPr>
        <w:ind w:left="7" w:right="100"/>
        <w:spacing w:after="0"/>
        <w:rPr>
          <w:sz w:val="20"/>
          <w:szCs w:val="20"/>
          <w:color w:val="auto"/>
        </w:rPr>
      </w:pPr>
      <w:r>
        <w:rPr>
          <w:rFonts w:ascii="Arial" w:cs="Arial" w:eastAsia="Arial" w:hAnsi="Arial"/>
          <w:sz w:val="19"/>
          <w:szCs w:val="19"/>
          <w:color w:val="auto"/>
        </w:rPr>
        <w:t>Management develops the assumptions used in the recoverability assessment based on active contracts, current and future expectations of the global demand for LNG and natural gas, as well as information received from third party industry sources. The Company did not record an impairment during the years ended December 31, 2019, 2018, and 2017.</w:t>
      </w:r>
    </w:p>
    <w:p>
      <w:pPr>
        <w:spacing w:after="0" w:line="183" w:lineRule="exact"/>
        <w:rPr>
          <w:sz w:val="20"/>
          <w:szCs w:val="20"/>
          <w:color w:val="auto"/>
        </w:rPr>
      </w:pPr>
    </w:p>
    <w:p>
      <w:pPr>
        <w:ind w:left="227" w:hanging="227"/>
        <w:spacing w:after="0"/>
        <w:tabs>
          <w:tab w:leader="none" w:pos="227" w:val="left"/>
        </w:tabs>
        <w:numPr>
          <w:ilvl w:val="0"/>
          <w:numId w:val="42"/>
        </w:numPr>
        <w:rPr>
          <w:rFonts w:ascii="Arial" w:cs="Arial" w:eastAsia="Arial" w:hAnsi="Arial"/>
          <w:sz w:val="15"/>
          <w:szCs w:val="15"/>
          <w:color w:val="auto"/>
        </w:rPr>
      </w:pPr>
      <w:r>
        <w:rPr>
          <w:rFonts w:ascii="Arial" w:cs="Arial" w:eastAsia="Arial" w:hAnsi="Arial"/>
          <w:sz w:val="15"/>
          <w:szCs w:val="15"/>
          <w:b w:val="1"/>
          <w:bCs w:val="1"/>
          <w:color w:val="auto"/>
        </w:rPr>
        <w:t>Investment in equity securities</w:t>
      </w:r>
    </w:p>
    <w:p>
      <w:pPr>
        <w:spacing w:after="0" w:line="220" w:lineRule="exact"/>
        <w:rPr>
          <w:sz w:val="20"/>
          <w:szCs w:val="20"/>
          <w:color w:val="auto"/>
        </w:rPr>
      </w:pPr>
    </w:p>
    <w:p>
      <w:pPr>
        <w:jc w:val="both"/>
        <w:ind w:left="7"/>
        <w:spacing w:after="0"/>
        <w:rPr>
          <w:sz w:val="20"/>
          <w:szCs w:val="20"/>
          <w:color w:val="auto"/>
        </w:rPr>
      </w:pPr>
      <w:r>
        <w:rPr>
          <w:rFonts w:ascii="Arial" w:cs="Arial" w:eastAsia="Arial" w:hAnsi="Arial"/>
          <w:sz w:val="19"/>
          <w:szCs w:val="19"/>
          <w:color w:val="auto"/>
        </w:rPr>
        <w:t>The Company has adopted ASU 2016-01 (defined below) for the year beginning January 1, 2019. Under the new guidance, the investment in equity securities is carried at fair value with gains or losses recorded in earnings in Other income, net in the consolidated statements of operations and comprehensive loss. See “Note 10. Investment in equity securities” for more information.</w:t>
      </w:r>
    </w:p>
    <w:p>
      <w:pPr>
        <w:spacing w:after="0" w:line="181" w:lineRule="exact"/>
        <w:rPr>
          <w:sz w:val="20"/>
          <w:szCs w:val="20"/>
          <w:color w:val="auto"/>
        </w:rPr>
      </w:pPr>
    </w:p>
    <w:p>
      <w:pPr>
        <w:jc w:val="both"/>
        <w:ind w:left="7"/>
        <w:spacing w:after="0"/>
        <w:rPr>
          <w:sz w:val="20"/>
          <w:szCs w:val="20"/>
          <w:color w:val="auto"/>
        </w:rPr>
      </w:pPr>
      <w:r>
        <w:rPr>
          <w:rFonts w:ascii="Arial" w:cs="Arial" w:eastAsia="Arial" w:hAnsi="Arial"/>
          <w:sz w:val="19"/>
          <w:szCs w:val="19"/>
          <w:color w:val="auto"/>
        </w:rPr>
        <w:t>Prior to the adoption of this guidance, unrealized gains or losses for investment in equity securities were recorded in Other comprehensive income (loss). See “Note 3(b) Adoption of new and revised standards – New and amended standards adopted by the Company” for additional information related to the adoption of ASU 2016-01.</w:t>
      </w:r>
    </w:p>
    <w:p>
      <w:pPr>
        <w:spacing w:after="0" w:line="183" w:lineRule="exact"/>
        <w:rPr>
          <w:sz w:val="20"/>
          <w:szCs w:val="20"/>
          <w:color w:val="auto"/>
        </w:rPr>
      </w:pPr>
    </w:p>
    <w:p>
      <w:pPr>
        <w:ind w:left="307" w:hanging="307"/>
        <w:spacing w:after="0"/>
        <w:tabs>
          <w:tab w:leader="none" w:pos="307"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Intangible assets</w:t>
      </w:r>
    </w:p>
    <w:p>
      <w:pPr>
        <w:spacing w:after="0" w:line="220" w:lineRule="exact"/>
        <w:rPr>
          <w:sz w:val="20"/>
          <w:szCs w:val="20"/>
          <w:color w:val="auto"/>
        </w:rPr>
      </w:pPr>
    </w:p>
    <w:p>
      <w:pPr>
        <w:ind w:left="7" w:right="280"/>
        <w:spacing w:after="0"/>
        <w:rPr>
          <w:sz w:val="20"/>
          <w:szCs w:val="20"/>
          <w:color w:val="auto"/>
        </w:rPr>
      </w:pPr>
      <w:r>
        <w:rPr>
          <w:rFonts w:ascii="Arial" w:cs="Arial" w:eastAsia="Arial" w:hAnsi="Arial"/>
          <w:sz w:val="19"/>
          <w:szCs w:val="19"/>
          <w:color w:val="auto"/>
        </w:rPr>
        <w:t xml:space="preserve">The Company accounts for intangible assets in accordance with Accounting Standards Codification (“ASC”) 350, </w:t>
      </w:r>
      <w:r>
        <w:rPr>
          <w:rFonts w:ascii="Arial" w:cs="Arial" w:eastAsia="Arial" w:hAnsi="Arial"/>
          <w:sz w:val="19"/>
          <w:szCs w:val="19"/>
          <w:i w:val="1"/>
          <w:iCs w:val="1"/>
          <w:color w:val="auto"/>
        </w:rPr>
        <w:t>Intangibles – Goodwill and Other</w:t>
      </w:r>
      <w:r>
        <w:rPr>
          <w:rFonts w:ascii="Arial" w:cs="Arial" w:eastAsia="Arial" w:hAnsi="Arial"/>
          <w:sz w:val="19"/>
          <w:szCs w:val="19"/>
          <w:color w:val="auto"/>
        </w:rPr>
        <w:t>. Upon a business combination or asset acquisition, the Company may obtain identifiable intangible assets. Intangible assets with a finite life are amortized over the estimated useful life of the asset under the straight-line method.</w:t>
      </w:r>
    </w:p>
    <w:p>
      <w:pPr>
        <w:spacing w:after="0" w:line="181" w:lineRule="exact"/>
        <w:rPr>
          <w:sz w:val="20"/>
          <w:szCs w:val="20"/>
          <w:color w:val="auto"/>
        </w:rPr>
      </w:pPr>
    </w:p>
    <w:p>
      <w:pPr>
        <w:ind w:left="7" w:right="60"/>
        <w:spacing w:after="0" w:line="282" w:lineRule="auto"/>
        <w:rPr>
          <w:sz w:val="20"/>
          <w:szCs w:val="20"/>
          <w:color w:val="auto"/>
        </w:rPr>
      </w:pPr>
      <w:r>
        <w:rPr>
          <w:rFonts w:ascii="Arial" w:cs="Arial" w:eastAsia="Arial" w:hAnsi="Arial"/>
          <w:sz w:val="17"/>
          <w:szCs w:val="17"/>
          <w:color w:val="auto"/>
        </w:rPr>
        <w:t>Indefinite lived intangible assets are not amortized. Intangible assets with an indefinite useful life are tested for impairment on an annual basis or more frequently if changes in circumstances indicate that the carrying amount may not be recoverable. If the intangible asset is impaired, it is written down to its realizable value with a corresponding expense reflected in the consolidated statements of operations and comprehensive loss.</w:t>
      </w:r>
    </w:p>
    <w:p>
      <w:pPr>
        <w:spacing w:after="0" w:line="313"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67"/>
          </w:cols>
          <w:pgMar w:left="233" w:top="118" w:right="299" w:bottom="1440" w:gutter="0" w:footer="0" w:header="0"/>
        </w:sectPr>
      </w:pPr>
    </w:p>
    <w:bookmarkStart w:id="77" w:name="page78"/>
    <w:bookmarkEnd w:id="77"/>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247" w:hanging="247"/>
        <w:spacing w:after="0"/>
        <w:tabs>
          <w:tab w:leader="none" w:pos="247" w:val="left"/>
        </w:tabs>
        <w:numPr>
          <w:ilvl w:val="0"/>
          <w:numId w:val="44"/>
        </w:numPr>
        <w:rPr>
          <w:rFonts w:ascii="Arial" w:cs="Arial" w:eastAsia="Arial" w:hAnsi="Arial"/>
          <w:sz w:val="15"/>
          <w:szCs w:val="15"/>
          <w:color w:val="auto"/>
        </w:rPr>
      </w:pPr>
      <w:r>
        <w:rPr>
          <w:rFonts w:ascii="Arial" w:cs="Arial" w:eastAsia="Arial" w:hAnsi="Arial"/>
          <w:sz w:val="15"/>
          <w:szCs w:val="15"/>
          <w:b w:val="1"/>
          <w:bCs w:val="1"/>
          <w:color w:val="auto"/>
        </w:rPr>
        <w:t>Long-term debt and debt issuance costs</w:t>
      </w:r>
    </w:p>
    <w:p>
      <w:pPr>
        <w:spacing w:after="0" w:line="220" w:lineRule="exact"/>
        <w:rPr>
          <w:sz w:val="20"/>
          <w:szCs w:val="20"/>
          <w:color w:val="auto"/>
        </w:rPr>
      </w:pPr>
    </w:p>
    <w:p>
      <w:pPr>
        <w:ind w:left="7" w:right="80"/>
        <w:spacing w:after="0" w:line="237" w:lineRule="auto"/>
        <w:rPr>
          <w:sz w:val="20"/>
          <w:szCs w:val="20"/>
          <w:color w:val="auto"/>
        </w:rPr>
      </w:pPr>
      <w:r>
        <w:rPr>
          <w:rFonts w:ascii="Arial" w:cs="Arial" w:eastAsia="Arial" w:hAnsi="Arial"/>
          <w:sz w:val="19"/>
          <w:szCs w:val="19"/>
          <w:color w:val="auto"/>
        </w:rPr>
        <w:t>The Company’s debt consists of credit facilities with financial institutions and secured and unsecured bonds. Costs directly related to the issuance of debt are reported on the consolidated balance sheets as a reduction from the carrying amount of the recognized debt liability and amortized over the term of the debt using the effective interest method. Interest and related amortization of debt issuance costs recognized during major development and construction projects are capitalized and included in the cost of the project.</w:t>
      </w:r>
    </w:p>
    <w:p>
      <w:pPr>
        <w:spacing w:after="0" w:line="185" w:lineRule="exact"/>
        <w:rPr>
          <w:sz w:val="20"/>
          <w:szCs w:val="20"/>
          <w:color w:val="auto"/>
        </w:rPr>
      </w:pPr>
    </w:p>
    <w:p>
      <w:pPr>
        <w:ind w:left="247" w:hanging="247"/>
        <w:spacing w:after="0"/>
        <w:tabs>
          <w:tab w:leader="none" w:pos="247" w:val="left"/>
        </w:tabs>
        <w:numPr>
          <w:ilvl w:val="0"/>
          <w:numId w:val="45"/>
        </w:numPr>
        <w:rPr>
          <w:rFonts w:ascii="Arial" w:cs="Arial" w:eastAsia="Arial" w:hAnsi="Arial"/>
          <w:sz w:val="15"/>
          <w:szCs w:val="15"/>
          <w:color w:val="auto"/>
        </w:rPr>
      </w:pPr>
      <w:r>
        <w:rPr>
          <w:rFonts w:ascii="Arial" w:cs="Arial" w:eastAsia="Arial" w:hAnsi="Arial"/>
          <w:sz w:val="15"/>
          <w:szCs w:val="15"/>
          <w:b w:val="1"/>
          <w:bCs w:val="1"/>
          <w:color w:val="auto"/>
        </w:rPr>
        <w:t>Legal and contingencies</w:t>
      </w:r>
    </w:p>
    <w:p>
      <w:pPr>
        <w:spacing w:after="0" w:line="220" w:lineRule="exact"/>
        <w:rPr>
          <w:sz w:val="20"/>
          <w:szCs w:val="20"/>
          <w:color w:val="auto"/>
        </w:rPr>
      </w:pPr>
    </w:p>
    <w:p>
      <w:pPr>
        <w:ind w:left="7" w:right="100"/>
        <w:spacing w:after="0" w:line="235" w:lineRule="auto"/>
        <w:rPr>
          <w:sz w:val="20"/>
          <w:szCs w:val="20"/>
          <w:color w:val="auto"/>
        </w:rPr>
      </w:pPr>
      <w:r>
        <w:rPr>
          <w:rFonts w:ascii="Arial" w:cs="Arial" w:eastAsia="Arial" w:hAnsi="Arial"/>
          <w:sz w:val="19"/>
          <w:szCs w:val="19"/>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realized.</w:t>
      </w:r>
    </w:p>
    <w:p>
      <w:pPr>
        <w:spacing w:after="0" w:line="187" w:lineRule="exact"/>
        <w:rPr>
          <w:sz w:val="20"/>
          <w:szCs w:val="20"/>
          <w:color w:val="auto"/>
        </w:rPr>
      </w:pPr>
    </w:p>
    <w:p>
      <w:pPr>
        <w:ind w:left="247" w:hanging="247"/>
        <w:spacing w:after="0"/>
        <w:tabs>
          <w:tab w:leader="none" w:pos="247" w:val="left"/>
        </w:tabs>
        <w:numPr>
          <w:ilvl w:val="0"/>
          <w:numId w:val="46"/>
        </w:numPr>
        <w:rPr>
          <w:rFonts w:ascii="Arial" w:cs="Arial" w:eastAsia="Arial" w:hAnsi="Arial"/>
          <w:sz w:val="15"/>
          <w:szCs w:val="15"/>
          <w:color w:val="auto"/>
        </w:rPr>
      </w:pPr>
      <w:r>
        <w:rPr>
          <w:rFonts w:ascii="Arial" w:cs="Arial" w:eastAsia="Arial" w:hAnsi="Arial"/>
          <w:sz w:val="15"/>
          <w:szCs w:val="15"/>
          <w:b w:val="1"/>
          <w:bCs w:val="1"/>
          <w:color w:val="auto"/>
        </w:rPr>
        <w:t>Revenue recognition</w:t>
      </w:r>
    </w:p>
    <w:p>
      <w:pPr>
        <w:spacing w:after="0" w:line="220" w:lineRule="exact"/>
        <w:rPr>
          <w:sz w:val="20"/>
          <w:szCs w:val="20"/>
          <w:color w:val="auto"/>
        </w:rPr>
      </w:pPr>
    </w:p>
    <w:p>
      <w:pPr>
        <w:ind w:left="7" w:right="20"/>
        <w:spacing w:after="0" w:line="306" w:lineRule="auto"/>
        <w:rPr>
          <w:sz w:val="20"/>
          <w:szCs w:val="20"/>
          <w:color w:val="auto"/>
        </w:rPr>
      </w:pPr>
      <w:r>
        <w:rPr>
          <w:rFonts w:ascii="Arial" w:cs="Arial" w:eastAsia="Arial" w:hAnsi="Arial"/>
          <w:sz w:val="15"/>
          <w:szCs w:val="15"/>
          <w:color w:val="auto"/>
        </w:rPr>
        <w:t>The Company’s primary revenue stream is the sale of LNG or natural gas to its customers, which is presented as Operating revenue in the consolidated statements of operations and comprehensive loss. Natural gas is typically delivered by pipeline into the customer’s power generation facilities, and LNG is typically delivered in containers transported by truck to customer sites. Revenue from sales of natural gas delivered by pipeline to a power generation facility is recognized over time under the output method, as the customer takes control of the natural gas.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under both modes of delivery, the Company has presented Operating revenue on an aggregated basis.</w:t>
      </w:r>
    </w:p>
    <w:p>
      <w:pPr>
        <w:spacing w:after="0" w:line="133" w:lineRule="exact"/>
        <w:rPr>
          <w:sz w:val="20"/>
          <w:szCs w:val="20"/>
          <w:color w:val="auto"/>
        </w:rPr>
      </w:pPr>
    </w:p>
    <w:p>
      <w:pPr>
        <w:ind w:left="7" w:right="80"/>
        <w:spacing w:after="0"/>
        <w:rPr>
          <w:sz w:val="20"/>
          <w:szCs w:val="20"/>
          <w:color w:val="auto"/>
        </w:rPr>
      </w:pPr>
      <w:r>
        <w:rPr>
          <w:rFonts w:ascii="Arial" w:cs="Arial" w:eastAsia="Arial" w:hAnsi="Arial"/>
          <w:sz w:val="19"/>
          <w:szCs w:val="19"/>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181" w:lineRule="exact"/>
        <w:rPr>
          <w:sz w:val="20"/>
          <w:szCs w:val="20"/>
          <w:color w:val="auto"/>
        </w:rPr>
      </w:pPr>
    </w:p>
    <w:p>
      <w:pPr>
        <w:ind w:left="7" w:right="40"/>
        <w:spacing w:after="0" w:line="273" w:lineRule="auto"/>
        <w:rPr>
          <w:sz w:val="20"/>
          <w:szCs w:val="20"/>
          <w:color w:val="auto"/>
        </w:rPr>
      </w:pPr>
      <w:r>
        <w:rPr>
          <w:rFonts w:ascii="Arial" w:cs="Arial" w:eastAsia="Arial" w:hAnsi="Arial"/>
          <w:sz w:val="17"/>
          <w:szCs w:val="17"/>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56" w:lineRule="exact"/>
        <w:rPr>
          <w:sz w:val="20"/>
          <w:szCs w:val="20"/>
          <w:color w:val="auto"/>
        </w:rPr>
      </w:pPr>
    </w:p>
    <w:p>
      <w:pPr>
        <w:ind w:left="7" w:right="80"/>
        <w:spacing w:after="0" w:line="267" w:lineRule="auto"/>
        <w:rPr>
          <w:sz w:val="20"/>
          <w:szCs w:val="20"/>
          <w:color w:val="auto"/>
        </w:rPr>
      </w:pPr>
      <w:r>
        <w:rPr>
          <w:rFonts w:ascii="Arial" w:cs="Arial" w:eastAsia="Arial" w:hAnsi="Arial"/>
          <w:sz w:val="17"/>
          <w:szCs w:val="17"/>
          <w:color w:val="auto"/>
        </w:rPr>
        <w:t>The leases of certain facilities and equipment to customers are accounted for as direct financing or operating leases. Direct financing leases, net on the consolidated balance sheets represents the minimum lease payments due, net of unearned revenue. The lease payments are segregated into principal and interest components similar to a loan. Unearned revenue is recognized on an effective interest method over the lease term and included in Other revenue in the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consolidated statements of operations and comprehensive loss.</w:t>
      </w:r>
    </w:p>
    <w:p>
      <w:pPr>
        <w:spacing w:after="0" w:line="159" w:lineRule="exact"/>
        <w:rPr>
          <w:sz w:val="20"/>
          <w:szCs w:val="20"/>
          <w:color w:val="auto"/>
        </w:rPr>
      </w:pPr>
    </w:p>
    <w:p>
      <w:pPr>
        <w:ind w:left="7" w:right="20"/>
        <w:spacing w:after="0" w:line="309" w:lineRule="auto"/>
        <w:rPr>
          <w:sz w:val="20"/>
          <w:szCs w:val="20"/>
          <w:color w:val="auto"/>
        </w:rPr>
      </w:pPr>
      <w:r>
        <w:rPr>
          <w:rFonts w:ascii="Arial" w:cs="Arial" w:eastAsia="Arial" w:hAnsi="Arial"/>
          <w:sz w:val="15"/>
          <w:szCs w:val="15"/>
          <w:color w:val="auto"/>
        </w:rPr>
        <w:t>In addition to the revenue recognized from the leasing components of agreements with customers, Other revenue includes revenue recognized from the construction and installation of equipment to transform customers’ facilities to operate utilizing natural gas or to allow customers to receive power or other outputs from our power generation facilities. Revenue from these development services is recognized over time as the Company transfers control of the asset to the customer, unless the customer is not able to obtain control over asset under construction until such services are completed, in which case,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31" w:lineRule="exact"/>
        <w:rPr>
          <w:sz w:val="20"/>
          <w:szCs w:val="20"/>
          <w:color w:val="auto"/>
        </w:rPr>
      </w:pPr>
    </w:p>
    <w:p>
      <w:pPr>
        <w:ind w:left="7" w:right="280"/>
        <w:spacing w:after="0"/>
        <w:rPr>
          <w:sz w:val="20"/>
          <w:szCs w:val="20"/>
          <w:color w:val="auto"/>
        </w:rPr>
      </w:pPr>
      <w:r>
        <w:rPr>
          <w:rFonts w:ascii="Arial" w:cs="Arial" w:eastAsia="Arial" w:hAnsi="Arial"/>
          <w:sz w:val="19"/>
          <w:szCs w:val="19"/>
          <w:color w:val="auto"/>
        </w:rPr>
        <w:t>Shipping and handling costs are not considered to be separate performance obligations. These costs are recognized in the period in which the costs are incurred and presented within Cost of sales in the consolidated statements of operations and comprehensive loss. All such shipping and handling activities are performed prior to the customer obtaining control of the LNG or natural gas.</w:t>
      </w:r>
    </w:p>
    <w:p>
      <w:pPr>
        <w:spacing w:after="0" w:line="181" w:lineRule="exact"/>
        <w:rPr>
          <w:sz w:val="20"/>
          <w:szCs w:val="20"/>
          <w:color w:val="auto"/>
        </w:rPr>
      </w:pPr>
    </w:p>
    <w:p>
      <w:pPr>
        <w:ind w:left="7" w:right="240"/>
        <w:spacing w:after="0"/>
        <w:rPr>
          <w:sz w:val="20"/>
          <w:szCs w:val="20"/>
          <w:color w:val="auto"/>
        </w:rPr>
      </w:pPr>
      <w:r>
        <w:rPr>
          <w:rFonts w:ascii="Arial" w:cs="Arial" w:eastAsia="Arial" w:hAnsi="Arial"/>
          <w:sz w:val="19"/>
          <w:szCs w:val="19"/>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loss on a net basis and, accordingly, such taxes are excluded from reported revenues.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24" w:right="219" w:bottom="1440" w:gutter="0" w:footer="0" w:header="0"/>
        </w:sectPr>
      </w:pPr>
    </w:p>
    <w:bookmarkStart w:id="78" w:name="page79"/>
    <w:bookmarkEnd w:id="7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247" w:hanging="247"/>
        <w:spacing w:after="0"/>
        <w:tabs>
          <w:tab w:leader="none" w:pos="247"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Loss on mitigation sales</w:t>
      </w:r>
    </w:p>
    <w:p>
      <w:pPr>
        <w:spacing w:after="0" w:line="220" w:lineRule="exact"/>
        <w:rPr>
          <w:sz w:val="20"/>
          <w:szCs w:val="20"/>
          <w:color w:val="auto"/>
        </w:rPr>
      </w:pPr>
    </w:p>
    <w:p>
      <w:pPr>
        <w:ind w:left="7" w:right="160"/>
        <w:spacing w:after="0" w:line="235" w:lineRule="auto"/>
        <w:rPr>
          <w:sz w:val="20"/>
          <w:szCs w:val="20"/>
          <w:color w:val="auto"/>
        </w:rPr>
      </w:pPr>
      <w:r>
        <w:rPr>
          <w:rFonts w:ascii="Arial" w:cs="Arial" w:eastAsia="Arial" w:hAnsi="Arial"/>
          <w:sz w:val="19"/>
          <w:szCs w:val="19"/>
          <w:color w:val="auto"/>
        </w:rPr>
        <w:t>In connection with the purchase of firm cargoes of LNG, if the Company is unable to take physical possession of a portion of the contracted quantity due to capacity limitations, the supplier will attempt to sell the undelivered quantity through a mitigation sale. The Company may incur a loss on a mitigation sale if the supplier is unable to sell the undelivered quantity for a price greater than the contracted price with the Company. Losses incurred due to the Company’s capacity limitations are not indicative of the market value of the LNG purchased from the supplier, and these costs are not related to inventory delivered to the Company’s customers.</w:t>
      </w:r>
    </w:p>
    <w:p>
      <w:pPr>
        <w:spacing w:after="0" w:line="185" w:lineRule="exact"/>
        <w:rPr>
          <w:sz w:val="20"/>
          <w:szCs w:val="20"/>
          <w:color w:val="auto"/>
        </w:rPr>
      </w:pPr>
    </w:p>
    <w:p>
      <w:pPr>
        <w:ind w:left="7" w:right="140"/>
        <w:spacing w:after="0" w:line="250" w:lineRule="auto"/>
        <w:rPr>
          <w:sz w:val="20"/>
          <w:szCs w:val="20"/>
          <w:color w:val="auto"/>
        </w:rPr>
      </w:pPr>
      <w:r>
        <w:rPr>
          <w:rFonts w:ascii="Arial" w:cs="Arial" w:eastAsia="Arial" w:hAnsi="Arial"/>
          <w:sz w:val="19"/>
          <w:szCs w:val="19"/>
          <w:color w:val="auto"/>
        </w:rPr>
        <w:t>During the year ended December 31, 2019, the Company has recognized losses of $5,280 within Loss on mitigation sales in the consolidated statements of operations and comprehensive loss.</w:t>
      </w:r>
    </w:p>
    <w:p>
      <w:pPr>
        <w:spacing w:after="0" w:line="175" w:lineRule="exact"/>
        <w:rPr>
          <w:sz w:val="20"/>
          <w:szCs w:val="20"/>
          <w:color w:val="auto"/>
        </w:rPr>
      </w:pPr>
    </w:p>
    <w:p>
      <w:pPr>
        <w:ind w:left="227" w:hanging="227"/>
        <w:spacing w:after="0"/>
        <w:tabs>
          <w:tab w:leader="none" w:pos="227"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Leases, as lessee</w:t>
      </w:r>
    </w:p>
    <w:p>
      <w:pPr>
        <w:spacing w:after="0" w:line="220" w:lineRule="exact"/>
        <w:rPr>
          <w:sz w:val="20"/>
          <w:szCs w:val="20"/>
          <w:color w:val="auto"/>
        </w:rPr>
      </w:pPr>
    </w:p>
    <w:p>
      <w:pPr>
        <w:ind w:left="7" w:right="140"/>
        <w:spacing w:after="0"/>
        <w:rPr>
          <w:sz w:val="20"/>
          <w:szCs w:val="20"/>
          <w:color w:val="auto"/>
        </w:rPr>
      </w:pPr>
      <w:r>
        <w:rPr>
          <w:rFonts w:ascii="Arial" w:cs="Arial" w:eastAsia="Arial" w:hAnsi="Arial"/>
          <w:sz w:val="19"/>
          <w:szCs w:val="19"/>
          <w:color w:val="auto"/>
        </w:rPr>
        <w:t>Lease agreements are evaluated to classify the lease as capital or operating leases. When substantially all of the risks and benefits of property ownership have been transferred to the Company, as determined by the test criteria in the current authoritative guidance, the lease is recognized as a capital lease. All other leases are classified as operating leases.</w:t>
      </w:r>
    </w:p>
    <w:p>
      <w:pPr>
        <w:spacing w:after="0" w:line="181" w:lineRule="exact"/>
        <w:rPr>
          <w:sz w:val="20"/>
          <w:szCs w:val="20"/>
          <w:color w:val="auto"/>
        </w:rPr>
      </w:pPr>
    </w:p>
    <w:p>
      <w:pPr>
        <w:ind w:left="7" w:right="180"/>
        <w:spacing w:after="0" w:line="250" w:lineRule="auto"/>
        <w:rPr>
          <w:sz w:val="20"/>
          <w:szCs w:val="20"/>
          <w:color w:val="auto"/>
        </w:rPr>
      </w:pPr>
      <w:r>
        <w:rPr>
          <w:rFonts w:ascii="Arial" w:cs="Arial" w:eastAsia="Arial" w:hAnsi="Arial"/>
          <w:sz w:val="19"/>
          <w:szCs w:val="19"/>
          <w:color w:val="auto"/>
        </w:rPr>
        <w:t>Lease payments under operating leases are recognized in the consolidated statements of operations and comprehensive loss on a straight-line basis over the term of the relevant lease.</w:t>
      </w:r>
    </w:p>
    <w:p>
      <w:pPr>
        <w:spacing w:after="0" w:line="175" w:lineRule="exact"/>
        <w:rPr>
          <w:sz w:val="20"/>
          <w:szCs w:val="20"/>
          <w:color w:val="auto"/>
        </w:rPr>
      </w:pPr>
    </w:p>
    <w:p>
      <w:pPr>
        <w:ind w:left="247" w:hanging="247"/>
        <w:spacing w:after="0"/>
        <w:tabs>
          <w:tab w:leader="none" w:pos="247"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Share-based compensation</w:t>
      </w:r>
    </w:p>
    <w:p>
      <w:pPr>
        <w:spacing w:after="0" w:line="220" w:lineRule="exact"/>
        <w:rPr>
          <w:sz w:val="20"/>
          <w:szCs w:val="20"/>
          <w:color w:val="auto"/>
        </w:rPr>
      </w:pPr>
    </w:p>
    <w:p>
      <w:pPr>
        <w:ind w:left="7" w:right="100"/>
        <w:spacing w:after="0" w:line="246" w:lineRule="auto"/>
        <w:rPr>
          <w:sz w:val="20"/>
          <w:szCs w:val="20"/>
          <w:color w:val="auto"/>
        </w:rPr>
      </w:pPr>
      <w:r>
        <w:rPr>
          <w:rFonts w:ascii="Arial" w:cs="Arial" w:eastAsia="Arial" w:hAnsi="Arial"/>
          <w:sz w:val="18"/>
          <w:szCs w:val="18"/>
          <w:color w:val="auto"/>
        </w:rPr>
        <w:t xml:space="preserve">In connection with the IPO, the Company adopted the New Fortress Energy LLC 2019 Omnibus Incentive Plan (the “Incentive Plan”), effective as of February 4, 2019. Under the Incentive Plan, the Company may issue options, share appreciation rights, restricted shares, restricted share units (“RSUs”), share bonuses or other share-based awards to selected officers, employees, non-employee directors and select non-employees of NFE or its affiliates. The Company accounts for share-based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and ASC 505, </w:t>
      </w:r>
      <w:r>
        <w:rPr>
          <w:rFonts w:ascii="Arial" w:cs="Arial" w:eastAsia="Arial" w:hAnsi="Arial"/>
          <w:sz w:val="18"/>
          <w:szCs w:val="18"/>
          <w:i w:val="1"/>
          <w:iCs w:val="1"/>
          <w:color w:val="auto"/>
        </w:rPr>
        <w:t>Equity</w:t>
      </w:r>
      <w:r>
        <w:rPr>
          <w:rFonts w:ascii="Arial" w:cs="Arial" w:eastAsia="Arial" w:hAnsi="Arial"/>
          <w:sz w:val="18"/>
          <w:szCs w:val="18"/>
          <w:color w:val="auto"/>
        </w:rPr>
        <w:t>, which require all share-based payments to employees and members of the board of directors to be recognized as expense in the consolidated financial statements based on their grant date fair values. The Company has elected not to estimate forfeitures of its share-based compensation awards but will recognize the reversal in compensation expense in the period in which the forfeiture occurs. Upon creation of the Incentive Plan, the Company early adopted ASU 2018-07 (as defined below). See “Note 3(b). Adoption of new and revised standards – New and amended standards adopted by the Company” for additional information related to ASU 2018-07 and “Note 21. Share-based compensation” for additional information related to share-based compensation.</w:t>
      </w:r>
    </w:p>
    <w:p>
      <w:pPr>
        <w:spacing w:after="0" w:line="181" w:lineRule="exact"/>
        <w:rPr>
          <w:sz w:val="20"/>
          <w:szCs w:val="20"/>
          <w:color w:val="auto"/>
        </w:rPr>
      </w:pPr>
    </w:p>
    <w:p>
      <w:pPr>
        <w:ind w:left="227" w:hanging="227"/>
        <w:spacing w:after="0"/>
        <w:tabs>
          <w:tab w:leader="none" w:pos="227"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Taxation</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Federal and state income taxes</w:t>
      </w:r>
    </w:p>
    <w:p>
      <w:pPr>
        <w:spacing w:after="0" w:line="200" w:lineRule="exact"/>
        <w:rPr>
          <w:sz w:val="20"/>
          <w:szCs w:val="20"/>
          <w:color w:val="auto"/>
        </w:rPr>
      </w:pPr>
    </w:p>
    <w:p>
      <w:pPr>
        <w:ind w:left="7" w:right="100"/>
        <w:spacing w:after="0"/>
        <w:rPr>
          <w:sz w:val="20"/>
          <w:szCs w:val="20"/>
          <w:color w:val="auto"/>
        </w:rPr>
      </w:pPr>
      <w:r>
        <w:rPr>
          <w:rFonts w:ascii="Arial" w:cs="Arial" w:eastAsia="Arial" w:hAnsi="Arial"/>
          <w:sz w:val="19"/>
          <w:szCs w:val="19"/>
          <w:color w:val="auto"/>
        </w:rPr>
        <w:t>In conjunction with the closing of the Company’s IPO, New Fortress Energy Holdings contributed all of its interests in consolidated subsidiaries that comprised substantially all of its historical operations to NFI, a partnership for U.S. tax purposes, in exchange for NFI LLC Units. NFE has elected to be taxed as a corporation and is subject to corporate U.S. federal and state income taxes.</w:t>
      </w:r>
    </w:p>
    <w:p>
      <w:pPr>
        <w:spacing w:after="0" w:line="181" w:lineRule="exact"/>
        <w:rPr>
          <w:sz w:val="20"/>
          <w:szCs w:val="20"/>
          <w:color w:val="auto"/>
        </w:rPr>
      </w:pPr>
    </w:p>
    <w:p>
      <w:pPr>
        <w:ind w:left="7"/>
        <w:spacing w:after="0" w:line="313" w:lineRule="auto"/>
        <w:rPr>
          <w:sz w:val="20"/>
          <w:szCs w:val="20"/>
          <w:color w:val="auto"/>
        </w:rPr>
      </w:pPr>
      <w:r>
        <w:rPr>
          <w:rFonts w:ascii="Arial" w:cs="Arial" w:eastAsia="Arial" w:hAnsi="Arial"/>
          <w:sz w:val="15"/>
          <w:szCs w:val="15"/>
          <w:color w:val="auto"/>
        </w:rPr>
        <w:t xml:space="preserve">The Company accounts for income taxes in accordance with ASC 740,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130" w:lineRule="exact"/>
        <w:rPr>
          <w:sz w:val="20"/>
          <w:szCs w:val="20"/>
          <w:color w:val="auto"/>
        </w:rPr>
      </w:pPr>
    </w:p>
    <w:p>
      <w:pPr>
        <w:ind w:left="7" w:right="120"/>
        <w:spacing w:after="0" w:line="234" w:lineRule="auto"/>
        <w:rPr>
          <w:sz w:val="20"/>
          <w:szCs w:val="20"/>
          <w:color w:val="auto"/>
        </w:rPr>
      </w:pPr>
      <w:r>
        <w:rPr>
          <w:rFonts w:ascii="Arial" w:cs="Arial" w:eastAsia="Arial" w:hAnsi="Arial"/>
          <w:sz w:val="19"/>
          <w:szCs w:val="19"/>
          <w:color w:val="auto"/>
        </w:rPr>
        <w:t>The Company recognizes the effect of tax positions only if those positions are more likely than not of being sustained. Recognized tax positions are measured at the largest amount that is greater than 50 percent likely of being realized.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Foreign taxes</w:t>
      </w:r>
    </w:p>
    <w:p>
      <w:pPr>
        <w:spacing w:after="0" w:line="200" w:lineRule="exact"/>
        <w:rPr>
          <w:sz w:val="20"/>
          <w:szCs w:val="20"/>
          <w:color w:val="auto"/>
        </w:rPr>
      </w:pPr>
    </w:p>
    <w:p>
      <w:pPr>
        <w:ind w:left="7" w:right="320"/>
        <w:spacing w:after="0" w:line="250" w:lineRule="auto"/>
        <w:rPr>
          <w:sz w:val="20"/>
          <w:szCs w:val="20"/>
          <w:color w:val="auto"/>
        </w:rPr>
      </w:pPr>
      <w:r>
        <w:rPr>
          <w:rFonts w:ascii="Arial" w:cs="Arial" w:eastAsia="Arial" w:hAnsi="Arial"/>
          <w:sz w:val="19"/>
          <w:szCs w:val="19"/>
          <w:color w:val="auto"/>
        </w:rPr>
        <w:t>Certain subsidiaries of the Company are subject to income tax in the local jurisdiction in which they operate; foreign taxes are computed based on the taxable income and the local jurisdictional tax rate.</w:t>
      </w:r>
    </w:p>
    <w:p>
      <w:pPr>
        <w:spacing w:after="0" w:line="33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24" w:right="219" w:bottom="1440" w:gutter="0" w:footer="0" w:header="0"/>
        </w:sectPr>
      </w:pPr>
    </w:p>
    <w:bookmarkStart w:id="79" w:name="page80"/>
    <w:bookmarkEnd w:id="79"/>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Other taxes</w:t>
      </w:r>
    </w:p>
    <w:p>
      <w:pPr>
        <w:spacing w:after="0" w:line="200" w:lineRule="exact"/>
        <w:rPr>
          <w:sz w:val="20"/>
          <w:szCs w:val="20"/>
          <w:color w:val="auto"/>
        </w:rPr>
      </w:pPr>
    </w:p>
    <w:p>
      <w:pPr>
        <w:jc w:val="both"/>
        <w:ind w:left="7" w:right="20"/>
        <w:spacing w:after="0" w:line="282" w:lineRule="auto"/>
        <w:rPr>
          <w:sz w:val="20"/>
          <w:szCs w:val="20"/>
          <w:color w:val="auto"/>
        </w:rPr>
      </w:pPr>
      <w:r>
        <w:rPr>
          <w:rFonts w:ascii="Arial" w:cs="Arial" w:eastAsia="Arial" w:hAnsi="Arial"/>
          <w:sz w:val="17"/>
          <w:szCs w:val="17"/>
          <w:color w:val="auto"/>
        </w:rPr>
        <w:t>Certain subsidiaries may be subject to payroll taxes, excise taxes, property taxes, sales and use taxes, as well as income taxes in foreign countries in which they conduct business. In addition, certain subsidiaries are exposed to local state taxes, such as franchise taxes. Local state taxes that are not income taxes are recorded within Other income, net in the consolidated statements of operations and comprehensive loss.</w:t>
      </w:r>
    </w:p>
    <w:p>
      <w:pPr>
        <w:spacing w:after="0" w:line="150" w:lineRule="exact"/>
        <w:rPr>
          <w:sz w:val="20"/>
          <w:szCs w:val="20"/>
          <w:color w:val="auto"/>
        </w:rPr>
      </w:pPr>
    </w:p>
    <w:p>
      <w:pPr>
        <w:ind w:left="247" w:hanging="247"/>
        <w:spacing w:after="0"/>
        <w:tabs>
          <w:tab w:leader="none" w:pos="247" w:val="left"/>
        </w:tabs>
        <w:numPr>
          <w:ilvl w:val="0"/>
          <w:numId w:val="51"/>
        </w:numPr>
        <w:rPr>
          <w:rFonts w:ascii="Arial" w:cs="Arial" w:eastAsia="Arial" w:hAnsi="Arial"/>
          <w:sz w:val="15"/>
          <w:szCs w:val="15"/>
          <w:color w:val="auto"/>
        </w:rPr>
      </w:pPr>
      <w:r>
        <w:rPr>
          <w:rFonts w:ascii="Arial" w:cs="Arial" w:eastAsia="Arial" w:hAnsi="Arial"/>
          <w:sz w:val="15"/>
          <w:szCs w:val="15"/>
          <w:b w:val="1"/>
          <w:bCs w:val="1"/>
          <w:color w:val="auto"/>
        </w:rPr>
        <w:t>Net loss per share</w:t>
      </w:r>
    </w:p>
    <w:p>
      <w:pPr>
        <w:spacing w:after="0" w:line="220" w:lineRule="exact"/>
        <w:rPr>
          <w:sz w:val="20"/>
          <w:szCs w:val="20"/>
          <w:color w:val="auto"/>
        </w:rPr>
      </w:pPr>
    </w:p>
    <w:p>
      <w:pPr>
        <w:jc w:val="both"/>
        <w:ind w:left="7" w:right="20"/>
        <w:spacing w:after="0"/>
        <w:rPr>
          <w:sz w:val="20"/>
          <w:szCs w:val="20"/>
          <w:color w:val="auto"/>
        </w:rPr>
      </w:pPr>
      <w:r>
        <w:rPr>
          <w:rFonts w:ascii="Arial" w:cs="Arial" w:eastAsia="Arial" w:hAnsi="Arial"/>
          <w:sz w:val="19"/>
          <w:szCs w:val="19"/>
          <w:color w:val="auto"/>
        </w:rPr>
        <w:t>Basic net loss per share (“EPS”) is computed by dividing net loss attributable to Class A shares by the weighted average number of Class A shares outstanding during the period following the reorganization. Class B shares represent non-economic interests in the Company, and as such, earnings are not allocated to Class B shares.</w:t>
      </w:r>
    </w:p>
    <w:p>
      <w:pPr>
        <w:spacing w:after="0" w:line="181" w:lineRule="exact"/>
        <w:rPr>
          <w:sz w:val="20"/>
          <w:szCs w:val="20"/>
          <w:color w:val="auto"/>
        </w:rPr>
      </w:pPr>
    </w:p>
    <w:p>
      <w:pPr>
        <w:jc w:val="both"/>
        <w:ind w:left="7" w:right="20"/>
        <w:spacing w:after="0" w:line="269" w:lineRule="auto"/>
        <w:rPr>
          <w:sz w:val="20"/>
          <w:szCs w:val="20"/>
          <w:color w:val="auto"/>
        </w:rPr>
      </w:pPr>
      <w:r>
        <w:rPr>
          <w:rFonts w:ascii="Arial" w:cs="Arial" w:eastAsia="Arial" w:hAnsi="Arial"/>
          <w:sz w:val="17"/>
          <w:szCs w:val="17"/>
          <w:color w:val="auto"/>
        </w:rPr>
        <w:t>Diluted EPS reflects potential dilution and is computed by dividing net loss attributable to Class A shares by the weighted average number of Class A shares outstanding during the period following the reorganization increased by the number of additional Class A shares that would have been outstanding, including NFI LLC Units convertible into Class A shares and unvested RSUs. The dilutive effect of outstanding awards, if any, is reflected in diluted earnings per share by application of the treasury stock method or if-converted method, as applicable. Refer to “Note 20. Earnings per share” for additional information. For the year ended December 31, 2019, there was no potentially dilutive shares outstanding.</w:t>
      </w:r>
    </w:p>
    <w:p>
      <w:pPr>
        <w:spacing w:after="0" w:line="162" w:lineRule="exact"/>
        <w:rPr>
          <w:sz w:val="20"/>
          <w:szCs w:val="20"/>
          <w:color w:val="auto"/>
        </w:rPr>
      </w:pPr>
    </w:p>
    <w:p>
      <w:pPr>
        <w:ind w:left="567" w:hanging="567"/>
        <w:spacing w:after="0"/>
        <w:tabs>
          <w:tab w:leader="none" w:pos="567"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Adoption of new and revised standards</w:t>
      </w:r>
    </w:p>
    <w:p>
      <w:pPr>
        <w:spacing w:after="0" w:line="220" w:lineRule="exact"/>
        <w:rPr>
          <w:sz w:val="20"/>
          <w:szCs w:val="20"/>
          <w:color w:val="auto"/>
        </w:rPr>
      </w:pPr>
    </w:p>
    <w:p>
      <w:pPr>
        <w:jc w:val="both"/>
        <w:ind w:left="7" w:right="320"/>
        <w:spacing w:after="0" w:line="282" w:lineRule="auto"/>
        <w:rPr>
          <w:sz w:val="20"/>
          <w:szCs w:val="20"/>
          <w:color w:val="auto"/>
        </w:rPr>
      </w:pPr>
      <w:r>
        <w:rPr>
          <w:rFonts w:ascii="Arial" w:cs="Arial" w:eastAsia="Arial" w:hAnsi="Arial"/>
          <w:sz w:val="17"/>
          <w:szCs w:val="17"/>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56" w:lineRule="exact"/>
        <w:rPr>
          <w:sz w:val="20"/>
          <w:szCs w:val="20"/>
          <w:color w:val="auto"/>
        </w:rPr>
      </w:pPr>
    </w:p>
    <w:p>
      <w:pPr>
        <w:ind w:left="427" w:hanging="427"/>
        <w:spacing w:after="0"/>
        <w:tabs>
          <w:tab w:leader="none" w:pos="427" w:val="left"/>
        </w:tabs>
        <w:numPr>
          <w:ilvl w:val="0"/>
          <w:numId w:val="53"/>
        </w:numPr>
        <w:rPr>
          <w:rFonts w:ascii="Arial" w:cs="Arial" w:eastAsia="Arial" w:hAnsi="Arial"/>
          <w:sz w:val="15"/>
          <w:szCs w:val="15"/>
          <w:color w:val="auto"/>
        </w:rPr>
      </w:pPr>
      <w:r>
        <w:rPr>
          <w:rFonts w:ascii="Arial" w:cs="Arial" w:eastAsia="Arial" w:hAnsi="Arial"/>
          <w:sz w:val="15"/>
          <w:szCs w:val="15"/>
          <w:color w:val="auto"/>
        </w:rPr>
        <w:t>New standards, amendments, and interpretations issued but not effective for the financial year beginning January 1, 2019:</w:t>
      </w:r>
    </w:p>
    <w:p>
      <w:pPr>
        <w:spacing w:after="0" w:line="214" w:lineRule="exact"/>
        <w:rPr>
          <w:sz w:val="20"/>
          <w:szCs w:val="20"/>
          <w:color w:val="auto"/>
        </w:rPr>
      </w:pPr>
    </w:p>
    <w:p>
      <w:pPr>
        <w:ind w:left="7" w:right="280"/>
        <w:spacing w:after="0" w:line="260"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ASC 842 amends the existing accounting standards for lease accounting, including requiring lessees to recognize most leases on their balance sheet and making targeted changes to lessor accounting. Entities are also required to provide enhanced disclosure about leasing arrangements.</w:t>
      </w:r>
    </w:p>
    <w:p>
      <w:pPr>
        <w:spacing w:after="0" w:line="164" w:lineRule="exact"/>
        <w:rPr>
          <w:sz w:val="20"/>
          <w:szCs w:val="20"/>
          <w:color w:val="auto"/>
        </w:rPr>
      </w:pPr>
    </w:p>
    <w:p>
      <w:pPr>
        <w:ind w:left="7" w:right="100"/>
        <w:spacing w:after="0" w:line="308" w:lineRule="auto"/>
        <w:rPr>
          <w:sz w:val="20"/>
          <w:szCs w:val="20"/>
          <w:color w:val="auto"/>
        </w:rPr>
      </w:pPr>
      <w:r>
        <w:rPr>
          <w:rFonts w:ascii="Arial" w:cs="Arial" w:eastAsia="Arial" w:hAnsi="Arial"/>
          <w:sz w:val="17"/>
          <w:szCs w:val="17"/>
          <w:color w:val="auto"/>
        </w:rPr>
        <w:t>The Company will adopt the standard effective January 1, 2020 utilizing the modified retrospective transition method to apply the new guidance, which allows the Company to recognize and measure leases upon adoption without modifying the comparative period financial statements.</w:t>
      </w:r>
    </w:p>
    <w:p>
      <w:pPr>
        <w:spacing w:after="0" w:line="126" w:lineRule="exact"/>
        <w:rPr>
          <w:sz w:val="20"/>
          <w:szCs w:val="20"/>
          <w:color w:val="auto"/>
        </w:rPr>
      </w:pPr>
    </w:p>
    <w:p>
      <w:pPr>
        <w:ind w:left="7" w:right="80"/>
        <w:spacing w:after="0" w:line="298" w:lineRule="auto"/>
        <w:rPr>
          <w:sz w:val="20"/>
          <w:szCs w:val="20"/>
          <w:color w:val="auto"/>
        </w:rPr>
      </w:pPr>
      <w:r>
        <w:rPr>
          <w:rFonts w:ascii="Arial" w:cs="Arial" w:eastAsia="Arial" w:hAnsi="Arial"/>
          <w:sz w:val="15"/>
          <w:szCs w:val="15"/>
          <w:color w:val="auto"/>
        </w:rPr>
        <w:t>The Company has determined its plan for election of the practical expedients as permitted under the transition guidance within ASC 842. The Company has decided that it will not elect the package of practical expedients and therefore, as part of transition, the Company will reassess the previous conclusions made under ASC 840 related to the identification of leases, classification of leases, and initial direct costs based on the standards of ASC</w:t>
      </w:r>
    </w:p>
    <w:p>
      <w:pPr>
        <w:spacing w:after="0" w:line="1" w:lineRule="exact"/>
        <w:rPr>
          <w:sz w:val="20"/>
          <w:szCs w:val="20"/>
          <w:color w:val="auto"/>
        </w:rPr>
      </w:pPr>
    </w:p>
    <w:p>
      <w:pPr>
        <w:ind w:left="7" w:hanging="7"/>
        <w:spacing w:after="0" w:line="262" w:lineRule="auto"/>
        <w:tabs>
          <w:tab w:leader="none" w:pos="379"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connection with the reassessment of previous conclusions, the Company determined that the direct financing lease recognized related to the Montego Bay Terminal would no longer be a lease under ASC 842. The Company expects to recognize a transition adjustment that will remove the unamortized net investment for the direct financing lease and recognize the underlying assets as Property, plant and equipment, net of depreciation that would have been recognized since the commissioning of the Montego Bay Terminal. Upon transition to ASC 842, the Company will recognize payments previously allocated to the leasing component of the gas sales agreement with this customer within Operating revenues in the consolidated statements of operations and comprehensive loss. Under ASC 840, amounts allocated to the leasing component have been recognized on an effective interest method over the lease term with only the portion representing interest income recognized as Other revenues.</w:t>
      </w:r>
    </w:p>
    <w:p>
      <w:pPr>
        <w:spacing w:after="0" w:line="163" w:lineRule="exact"/>
        <w:rPr>
          <w:sz w:val="20"/>
          <w:szCs w:val="20"/>
          <w:color w:val="auto"/>
        </w:rPr>
      </w:pPr>
    </w:p>
    <w:p>
      <w:pPr>
        <w:ind w:left="7" w:right="60"/>
        <w:spacing w:after="0" w:line="254" w:lineRule="auto"/>
        <w:rPr>
          <w:sz w:val="20"/>
          <w:szCs w:val="20"/>
          <w:color w:val="auto"/>
        </w:rPr>
      </w:pPr>
      <w:r>
        <w:rPr>
          <w:rFonts w:ascii="Arial" w:cs="Arial" w:eastAsia="Arial" w:hAnsi="Arial"/>
          <w:sz w:val="18"/>
          <w:szCs w:val="18"/>
          <w:color w:val="auto"/>
        </w:rPr>
        <w:t>The Company will elect the practical expedients that will exempt leases with an initial term of 12 months or less from being recognized on the balance sheet and will carry forward the current accounting treatment for existing land easements. Lease and non-lease components will be combined as a single lease component for most asset classes, with the exception of the Company’s vessel time charters. The Company has not elected the hindsight practical expedient and therefore will not use hindsight to reassess conclusion on lease terms and impairment.</w:t>
      </w:r>
    </w:p>
    <w:p>
      <w:pPr>
        <w:spacing w:after="0" w:line="169" w:lineRule="exact"/>
        <w:rPr>
          <w:sz w:val="20"/>
          <w:szCs w:val="20"/>
          <w:color w:val="auto"/>
        </w:rPr>
      </w:pPr>
    </w:p>
    <w:p>
      <w:pPr>
        <w:ind w:left="7" w:right="100"/>
        <w:spacing w:after="0" w:line="234" w:lineRule="auto"/>
        <w:rPr>
          <w:sz w:val="20"/>
          <w:szCs w:val="20"/>
          <w:color w:val="auto"/>
        </w:rPr>
      </w:pPr>
      <w:r>
        <w:rPr>
          <w:rFonts w:ascii="Arial" w:cs="Arial" w:eastAsia="Arial" w:hAnsi="Arial"/>
          <w:sz w:val="19"/>
          <w:szCs w:val="19"/>
          <w:color w:val="auto"/>
        </w:rPr>
        <w:t>The Company has finalized its evaluation of the existing operating leases and the adoption of ASC 842 will have a material impact on the Company’s consolidated balance sheets due to the recognition of significant right-of-use assets and lease liabilities. The right-of-use assets and lease liabilities will be determined based on the present value of the future fixed lease payments, which are materially consistent with the future minimum rental commitments for operating leases, as detailed in Note 23. Additionally, upon adoption port access rights and initial lease costs, as detailed within Note 15, will be reclassified to the right-of-use assets. We are finalizing our incremental borrowing rate methodology that will be used in valuing the right of use assets and operating lease liabilities.</w:t>
      </w:r>
    </w:p>
    <w:p>
      <w:pPr>
        <w:spacing w:after="0" w:line="186" w:lineRule="exact"/>
        <w:rPr>
          <w:sz w:val="20"/>
          <w:szCs w:val="20"/>
          <w:color w:val="auto"/>
        </w:rPr>
      </w:pPr>
    </w:p>
    <w:p>
      <w:pPr>
        <w:ind w:left="7" w:right="20"/>
        <w:spacing w:after="0" w:line="24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Disclosure Framework –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which requires financial assets measured at amortized cost basis, including trade receivables,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net of the amount expected to be collected. The measurement of all expected credit losses will be based on historical experience, current conditions, and reasonable and supportable forecasts. In October 2019, the FASB voted to approve a proposal to defer the effective date of ASC 2016-13 for certain entities, including emerging growth companies that take advantage of the extended transition period, to fiscal years beginning after December 15, 2022. This proposal would be applicable to the Company. The Company is currently evaluating the impact of adopting this new guidance on its consolidated financial statements and timing of adoption.</w:t>
      </w:r>
    </w:p>
    <w:p>
      <w:pPr>
        <w:sectPr>
          <w:pgSz w:w="11900" w:h="16838" w:orient="portrait"/>
          <w:cols w:equalWidth="0" w:num="1">
            <w:col w:w="11387"/>
          </w:cols>
          <w:pgMar w:left="233" w:top="124" w:right="279" w:bottom="1440" w:gutter="0" w:footer="0" w:header="0"/>
        </w:sectPr>
      </w:pPr>
    </w:p>
    <w:p>
      <w:pPr>
        <w:spacing w:after="0" w:line="341" w:lineRule="exact"/>
        <w:rPr>
          <w:sz w:val="20"/>
          <w:szCs w:val="20"/>
          <w:color w:val="auto"/>
        </w:rPr>
      </w:pPr>
    </w:p>
    <w:p>
      <w:pPr>
        <w:jc w:val="center"/>
        <w:ind w:right="-66"/>
        <w:spacing w:after="0"/>
        <w:rPr>
          <w:sz w:val="20"/>
          <w:szCs w:val="20"/>
          <w:color w:val="auto"/>
        </w:rPr>
      </w:pPr>
      <w:r>
        <w:rPr>
          <w:rFonts w:ascii="Arial" w:cs="Arial" w:eastAsia="Arial" w:hAnsi="Arial"/>
          <w:sz w:val="11"/>
          <w:szCs w:val="1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6567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87"/>
          </w:cols>
          <w:pgMar w:left="233" w:top="124" w:right="279" w:bottom="1440" w:gutter="0" w:footer="0" w:header="0"/>
          <w:type w:val="continuous"/>
        </w:sectPr>
      </w:pPr>
    </w:p>
    <w:bookmarkStart w:id="80" w:name="page81"/>
    <w:bookmarkEnd w:id="80"/>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line="254"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(“ASU 2018-13”), which provides additional guidance to improve the effectiveness of disclosure requirements on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The Company will adopt ASU 2018-13 for the year beginning January 1, 2020. As this guidance is only related to qualitative financial disclosures, it will not have a material impact on the Company’s consolidated financial statements.</w:t>
      </w:r>
    </w:p>
    <w:p>
      <w:pPr>
        <w:spacing w:after="0" w:line="169" w:lineRule="exact"/>
        <w:rPr>
          <w:sz w:val="20"/>
          <w:szCs w:val="20"/>
          <w:color w:val="auto"/>
        </w:rPr>
      </w:pPr>
    </w:p>
    <w:p>
      <w:pPr>
        <w:ind w:left="7" w:right="100"/>
        <w:spacing w:after="0" w:line="24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w:t>
      </w:r>
      <w:r>
        <w:rPr>
          <w:rFonts w:ascii="Arial" w:cs="Arial" w:eastAsia="Arial" w:hAnsi="Arial"/>
          <w:sz w:val="18"/>
          <w:szCs w:val="18"/>
          <w:color w:val="auto"/>
        </w:rPr>
        <w:t>, which requires a customer in a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to follow the internal-use software guidance in ASC 350-40 to determine which implementation costs to capitalize as assets. A customer’s accounting for the costs of the hosting component of the arrangement is not affected by the new guidance. This ASU is effective for the Company on January 1, 2021, with early adoption permitted. The Company is currently evaluating the impact of adopting this new guidance on its consolidated financial statements and the timing of adoption.</w:t>
      </w:r>
    </w:p>
    <w:p>
      <w:pPr>
        <w:spacing w:after="0" w:line="184" w:lineRule="exact"/>
        <w:rPr>
          <w:sz w:val="20"/>
          <w:szCs w:val="20"/>
          <w:color w:val="auto"/>
        </w:rPr>
      </w:pPr>
    </w:p>
    <w:p>
      <w:pPr>
        <w:ind w:left="427" w:hanging="427"/>
        <w:spacing w:after="0"/>
        <w:tabs>
          <w:tab w:leader="none" w:pos="427" w:val="left"/>
        </w:tabs>
        <w:numPr>
          <w:ilvl w:val="0"/>
          <w:numId w:val="55"/>
        </w:numPr>
        <w:rPr>
          <w:rFonts w:ascii="Arial" w:cs="Arial" w:eastAsia="Arial" w:hAnsi="Arial"/>
          <w:sz w:val="15"/>
          <w:szCs w:val="15"/>
          <w:color w:val="auto"/>
        </w:rPr>
      </w:pPr>
      <w:r>
        <w:rPr>
          <w:rFonts w:ascii="Arial" w:cs="Arial" w:eastAsia="Arial" w:hAnsi="Arial"/>
          <w:sz w:val="15"/>
          <w:szCs w:val="15"/>
          <w:color w:val="auto"/>
        </w:rPr>
        <w:t>New and amended standards adopted by the Company:</w:t>
      </w:r>
    </w:p>
    <w:p>
      <w:pPr>
        <w:spacing w:after="0" w:line="214" w:lineRule="exact"/>
        <w:rPr>
          <w:sz w:val="20"/>
          <w:szCs w:val="20"/>
          <w:color w:val="auto"/>
        </w:rPr>
      </w:pPr>
    </w:p>
    <w:p>
      <w:pPr>
        <w:ind w:left="7" w:right="40"/>
        <w:spacing w:after="0" w:line="248"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(“ASC 606”)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The Company adopted ASC 606 on January 1, 2019 using the modified retrospective method, which required the Company to apply the new revenue standard to (i) all new revenue contracts entered into after January 1, 2019 and (ii) all existing revenue contracts as of January 1, 2019 through a cumulative adjustment to the Company’s retained earnings balance. The adoption of ASC 606 did not have any impact on the Company’s historical retained earnings.</w:t>
      </w:r>
    </w:p>
    <w:p>
      <w:pPr>
        <w:spacing w:after="0" w:line="176" w:lineRule="exact"/>
        <w:rPr>
          <w:sz w:val="20"/>
          <w:szCs w:val="20"/>
          <w:color w:val="auto"/>
        </w:rPr>
      </w:pPr>
    </w:p>
    <w:p>
      <w:pPr>
        <w:ind w:left="7" w:right="80"/>
        <w:spacing w:after="0" w:line="265"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w:t>
      </w:r>
      <w:r>
        <w:rPr>
          <w:rFonts w:ascii="Arial" w:cs="Arial" w:eastAsia="Arial" w:hAnsi="Arial"/>
          <w:sz w:val="17"/>
          <w:szCs w:val="17"/>
          <w:color w:val="auto"/>
        </w:rPr>
        <w:t xml:space="preserve"> (Subtopic 825-10): </w:t>
      </w:r>
      <w:r>
        <w:rPr>
          <w:rFonts w:ascii="Arial" w:cs="Arial" w:eastAsia="Arial" w:hAnsi="Arial"/>
          <w:sz w:val="17"/>
          <w:szCs w:val="17"/>
          <w:i w:val="1"/>
          <w:iCs w:val="1"/>
          <w:color w:val="auto"/>
        </w:rPr>
        <w:t>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 which makes targeted improvements to the accounting for, and presentation and disclosure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The Company has adopted this guidance for the year beginning January 1, 2019 by recognizing an immaterial adjustment to beginning retained earnings for the net unrealized loss on an equity investment with a readily determinable fair value.</w:t>
      </w:r>
    </w:p>
    <w:p>
      <w:pPr>
        <w:spacing w:after="0" w:line="162" w:lineRule="exact"/>
        <w:rPr>
          <w:sz w:val="20"/>
          <w:szCs w:val="20"/>
          <w:color w:val="auto"/>
        </w:rPr>
      </w:pPr>
    </w:p>
    <w:p>
      <w:pPr>
        <w:ind w:left="7" w:right="180"/>
        <w:spacing w:after="0" w:line="336" w:lineRule="auto"/>
        <w:rPr>
          <w:sz w:val="20"/>
          <w:szCs w:val="20"/>
          <w:color w:val="auto"/>
        </w:rPr>
      </w:pPr>
      <w:r>
        <w:rPr>
          <w:rFonts w:ascii="Arial" w:cs="Arial" w:eastAsia="Arial" w:hAnsi="Arial"/>
          <w:sz w:val="15"/>
          <w:szCs w:val="15"/>
          <w:color w:val="auto"/>
        </w:rPr>
        <w:t xml:space="preserve">In August 2016, the FASB issued ASU 2016-15, </w:t>
      </w:r>
      <w:r>
        <w:rPr>
          <w:rFonts w:ascii="Arial" w:cs="Arial" w:eastAsia="Arial" w:hAnsi="Arial"/>
          <w:sz w:val="15"/>
          <w:szCs w:val="15"/>
          <w:i w:val="1"/>
          <w:iCs w:val="1"/>
          <w:color w:val="auto"/>
        </w:rPr>
        <w:t>Statement of Cash Flows</w:t>
      </w:r>
      <w:r>
        <w:rPr>
          <w:rFonts w:ascii="Arial" w:cs="Arial" w:eastAsia="Arial" w:hAnsi="Arial"/>
          <w:sz w:val="15"/>
          <w:szCs w:val="15"/>
          <w:color w:val="auto"/>
        </w:rPr>
        <w:t xml:space="preserve"> (Topic 230): </w:t>
      </w:r>
      <w:r>
        <w:rPr>
          <w:rFonts w:ascii="Arial" w:cs="Arial" w:eastAsia="Arial" w:hAnsi="Arial"/>
          <w:sz w:val="15"/>
          <w:szCs w:val="15"/>
          <w:i w:val="1"/>
          <w:iCs w:val="1"/>
          <w:color w:val="auto"/>
        </w:rPr>
        <w:t>Classification of Certain Cash Receipts and Cash Payments</w:t>
      </w:r>
      <w:r>
        <w:rPr>
          <w:rFonts w:ascii="Arial" w:cs="Arial" w:eastAsia="Arial" w:hAnsi="Arial"/>
          <w:sz w:val="15"/>
          <w:szCs w:val="15"/>
          <w:color w:val="auto"/>
        </w:rPr>
        <w:t>, which provides guidance on eight specific cash flow issues with an intention to reduce the existing diversity in practice. The Company has adopted this guidance for the year beginning January 1, 2019, and its adoption did not have a material impact on the Company’s consolidated financial statements.</w:t>
      </w:r>
    </w:p>
    <w:p>
      <w:pPr>
        <w:spacing w:after="0" w:line="112" w:lineRule="exact"/>
        <w:rPr>
          <w:sz w:val="20"/>
          <w:szCs w:val="20"/>
          <w:color w:val="auto"/>
        </w:rPr>
      </w:pPr>
    </w:p>
    <w:p>
      <w:pPr>
        <w:ind w:left="7" w:right="80"/>
        <w:spacing w:after="0" w:line="234" w:lineRule="auto"/>
        <w:rPr>
          <w:sz w:val="20"/>
          <w:szCs w:val="20"/>
          <w:color w:val="auto"/>
        </w:rPr>
      </w:pPr>
      <w:r>
        <w:rPr>
          <w:rFonts w:ascii="Arial" w:cs="Arial" w:eastAsia="Arial" w:hAnsi="Arial"/>
          <w:sz w:val="19"/>
          <w:szCs w:val="19"/>
          <w:color w:val="auto"/>
        </w:rPr>
        <w:t xml:space="preserve">In November 2016, the FASB issued ASU 2016-18, </w:t>
      </w:r>
      <w:r>
        <w:rPr>
          <w:rFonts w:ascii="Arial" w:cs="Arial" w:eastAsia="Arial" w:hAnsi="Arial"/>
          <w:sz w:val="19"/>
          <w:szCs w:val="19"/>
          <w:i w:val="1"/>
          <w:iCs w:val="1"/>
          <w:color w:val="auto"/>
        </w:rPr>
        <w:t>Statement of Cash Flows</w:t>
      </w:r>
      <w:r>
        <w:rPr>
          <w:rFonts w:ascii="Arial" w:cs="Arial" w:eastAsia="Arial" w:hAnsi="Arial"/>
          <w:sz w:val="19"/>
          <w:szCs w:val="19"/>
          <w:color w:val="auto"/>
        </w:rPr>
        <w:t xml:space="preserve"> (Topic 230): </w:t>
      </w:r>
      <w:r>
        <w:rPr>
          <w:rFonts w:ascii="Arial" w:cs="Arial" w:eastAsia="Arial" w:hAnsi="Arial"/>
          <w:sz w:val="19"/>
          <w:szCs w:val="19"/>
          <w:i w:val="1"/>
          <w:iCs w:val="1"/>
          <w:color w:val="auto"/>
        </w:rPr>
        <w:t>Restricted Cash</w:t>
      </w:r>
      <w:r>
        <w:rPr>
          <w:rFonts w:ascii="Arial" w:cs="Arial" w:eastAsia="Arial" w:hAnsi="Arial"/>
          <w:sz w:val="19"/>
          <w:szCs w:val="19"/>
          <w:color w:val="auto"/>
        </w:rPr>
        <w:t>, which requires that statements of cash flows explain the change during the period in the total of cash, cash equivalents, and amounts generally described as restricted cash and restricted cash equivalents. This change is intended to limit the diversity in practice in the treatment of restricted cash in the statement of cash flows. The adoption of this standard resulted in the Company no longer showing the changes in restricted cash balances as a component of cash flows from investing or financing activities but instead including the balances of both current and long-term restricted cash with cash and cash equivalents in total cash, cash equivalents and restricted cash for the beginning and end of the periods presented. The Company has adopted this guidance for the year beginning January 1, 2019.</w:t>
      </w:r>
    </w:p>
    <w:p>
      <w:pPr>
        <w:spacing w:after="0" w:line="182" w:lineRule="exact"/>
        <w:rPr>
          <w:sz w:val="20"/>
          <w:szCs w:val="20"/>
          <w:color w:val="auto"/>
        </w:rPr>
      </w:pPr>
    </w:p>
    <w:p>
      <w:pPr>
        <w:ind w:left="7"/>
        <w:spacing w:after="0" w:line="251"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Reporting Comprehensive Income</w:t>
      </w:r>
      <w:r>
        <w:rPr>
          <w:rFonts w:ascii="Arial" w:cs="Arial" w:eastAsia="Arial" w:hAnsi="Arial"/>
          <w:sz w:val="18"/>
          <w:szCs w:val="18"/>
          <w:color w:val="auto"/>
        </w:rPr>
        <w:t xml:space="preserve"> (Topic 220) which allows a reclassification from accumulated other comprehensive income (loss) to retained earnings for tax effects resulting from the comprehensive tax legislation enacted by the U.S. government commonly referred to as the Tax Cuts and Jobs Act. The Company has adopted this guidance for the year beginning January 1, 2019. The Company had no tax impacts recorded in accumulated other comprehensive income (loss) prior to adoption of the standard, and therefore adoption of the standard had no impact on the Company’s consolidated financial statements.</w:t>
      </w:r>
    </w:p>
    <w:p>
      <w:pPr>
        <w:spacing w:after="0" w:line="172" w:lineRule="exact"/>
        <w:rPr>
          <w:sz w:val="20"/>
          <w:szCs w:val="20"/>
          <w:color w:val="auto"/>
        </w:rPr>
      </w:pPr>
    </w:p>
    <w:p>
      <w:pPr>
        <w:ind w:left="7" w:right="140"/>
        <w:spacing w:after="0" w:line="235" w:lineRule="auto"/>
        <w:rPr>
          <w:sz w:val="20"/>
          <w:szCs w:val="20"/>
          <w:color w:val="auto"/>
        </w:rPr>
      </w:pPr>
      <w:r>
        <w:rPr>
          <w:rFonts w:ascii="Arial" w:cs="Arial" w:eastAsia="Arial" w:hAnsi="Arial"/>
          <w:sz w:val="19"/>
          <w:szCs w:val="19"/>
          <w:color w:val="auto"/>
        </w:rPr>
        <w:t xml:space="preserve">In September 2018, the FASB issued ASU 2018-07, </w:t>
      </w:r>
      <w:r>
        <w:rPr>
          <w:rFonts w:ascii="Arial" w:cs="Arial" w:eastAsia="Arial" w:hAnsi="Arial"/>
          <w:sz w:val="19"/>
          <w:szCs w:val="19"/>
          <w:i w:val="1"/>
          <w:iCs w:val="1"/>
          <w:color w:val="auto"/>
        </w:rPr>
        <w:t>Compensation - Stock Compensation Improvements to Non-employee Share-Based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Accounting </w:t>
      </w:r>
      <w:r>
        <w:rPr>
          <w:rFonts w:ascii="Arial" w:cs="Arial" w:eastAsia="Arial" w:hAnsi="Arial"/>
          <w:sz w:val="19"/>
          <w:szCs w:val="19"/>
          <w:color w:val="auto"/>
        </w:rPr>
        <w:t>(“ASU 2018-07”), which simplifies the accounting for share-based payments granted to non-employees for goods and services. Under ASU</w:t>
      </w:r>
      <w:r>
        <w:rPr>
          <w:rFonts w:ascii="Arial" w:cs="Arial" w:eastAsia="Arial" w:hAnsi="Arial"/>
          <w:sz w:val="19"/>
          <w:szCs w:val="19"/>
          <w:i w:val="1"/>
          <w:iCs w:val="1"/>
          <w:color w:val="auto"/>
        </w:rPr>
        <w:t xml:space="preserve"> </w:t>
      </w:r>
      <w:r>
        <w:rPr>
          <w:rFonts w:ascii="Arial" w:cs="Arial" w:eastAsia="Arial" w:hAnsi="Arial"/>
          <w:sz w:val="19"/>
          <w:szCs w:val="19"/>
          <w:color w:val="auto"/>
        </w:rPr>
        <w:t>2018-07, most of the guidance on such payments to non-employees will be aligned with the requirements for share-based payments granted to employees. The Company has early adopted ASU 2018-07 upon inception of the Incentive Plan, and its adoption did not have a material impact on the Company’s consolidated financial statements.</w:t>
      </w:r>
    </w:p>
    <w:p>
      <w:pPr>
        <w:spacing w:after="0" w:line="35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81" w:name="page82"/>
    <w:bookmarkEnd w:id="81"/>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567" w:hanging="567"/>
        <w:spacing w:after="0"/>
        <w:tabs>
          <w:tab w:leader="none" w:pos="567"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Revenue from contracts with customers</w:t>
      </w:r>
    </w:p>
    <w:p>
      <w:pPr>
        <w:spacing w:after="0" w:line="220" w:lineRule="exact"/>
        <w:rPr>
          <w:sz w:val="20"/>
          <w:szCs w:val="20"/>
          <w:color w:val="auto"/>
        </w:rPr>
      </w:pPr>
    </w:p>
    <w:p>
      <w:pPr>
        <w:ind w:left="7" w:right="80"/>
        <w:spacing w:after="0" w:line="254" w:lineRule="auto"/>
        <w:rPr>
          <w:sz w:val="20"/>
          <w:szCs w:val="20"/>
          <w:color w:val="auto"/>
        </w:rPr>
      </w:pPr>
      <w:r>
        <w:rPr>
          <w:rFonts w:ascii="Arial" w:cs="Arial" w:eastAsia="Arial" w:hAnsi="Arial"/>
          <w:sz w:val="18"/>
          <w:szCs w:val="18"/>
          <w:color w:val="auto"/>
        </w:rPr>
        <w:t>Revenue recognized in the Company’s consolidated statements of operations and comprehensive loss for the year ended December 31, 2019 and any associated balances on the consolidated balance sheet as of December 31, 2019 prepared under ASC 606 did not differ materially from what would have been presented under the previous revenue standard. As such, no comparison for the results of operations for the year ended December 31, 2019 and the financial position as of December 31, 2019 under ASC 606 and ASC 605 has been presented.</w:t>
      </w:r>
    </w:p>
    <w:p>
      <w:pPr>
        <w:spacing w:after="0" w:line="169" w:lineRule="exact"/>
        <w:rPr>
          <w:sz w:val="20"/>
          <w:szCs w:val="20"/>
          <w:color w:val="auto"/>
        </w:rPr>
      </w:pPr>
    </w:p>
    <w:p>
      <w:pPr>
        <w:ind w:left="7" w:right="40"/>
        <w:spacing w:after="0" w:line="273" w:lineRule="auto"/>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 unconditional. Receivables related to revenue from contracts with customers totaled $30,563 as of December 31, 2019 and were included in Receivables, net on the consolidated balance sheets, net of the allowance for doubtful accounts. Other items included in Receivables, net not related to revenue from contracts with customers represent receivables associated with leases which are accounted for outside the scope of ASC 606.</w:t>
      </w:r>
    </w:p>
    <w:p>
      <w:pPr>
        <w:spacing w:after="0" w:line="156" w:lineRule="exact"/>
        <w:rPr>
          <w:sz w:val="20"/>
          <w:szCs w:val="20"/>
          <w:color w:val="auto"/>
        </w:rPr>
      </w:pPr>
    </w:p>
    <w:p>
      <w:pPr>
        <w:ind w:left="7"/>
        <w:spacing w:after="0" w:line="233" w:lineRule="auto"/>
        <w:rPr>
          <w:sz w:val="20"/>
          <w:szCs w:val="20"/>
          <w:color w:val="auto"/>
        </w:rPr>
      </w:pPr>
      <w:r>
        <w:rPr>
          <w:rFonts w:ascii="Arial" w:cs="Arial" w:eastAsia="Arial" w:hAnsi="Arial"/>
          <w:sz w:val="19"/>
          <w:szCs w:val="19"/>
          <w:color w:val="auto"/>
        </w:rPr>
        <w:t>During the year ended December 31, 2019, the Company recognized a contract liability of $6,542. The contract liability balance is comprised of unconditional payments due under the contract with a customer prior to the Company’s satisfaction of the related performance obligations. The performance obligations are expected to be recognized during the next 12 months, and the contract liability is classified within Other current liabilities on the consolidated balance sheets. During the year ended December 31, 2019, the Company recognized a contract asset of $23,261. The contract asset is comprised of the transaction price allocated to completed performance obligations that will be billed to customers in subsequent periods, and $3,787 is presented within Other current assets and $19,474 is presented within Other non-current assets based on the timing of the expected billing to the customer. Contract assets or liabilities have not been previously recognized, and as such, there are no other changes to contract balances within the current period.</w:t>
      </w:r>
    </w:p>
    <w:p>
      <w:pPr>
        <w:spacing w:after="0" w:line="185" w:lineRule="exact"/>
        <w:rPr>
          <w:sz w:val="20"/>
          <w:szCs w:val="20"/>
          <w:color w:val="auto"/>
        </w:rPr>
      </w:pPr>
    </w:p>
    <w:p>
      <w:pPr>
        <w:ind w:left="7" w:right="20"/>
        <w:spacing w:after="0" w:line="260" w:lineRule="auto"/>
        <w:rPr>
          <w:sz w:val="20"/>
          <w:szCs w:val="20"/>
          <w:color w:val="auto"/>
        </w:rPr>
      </w:pPr>
      <w:r>
        <w:rPr>
          <w:rFonts w:ascii="Arial" w:cs="Arial" w:eastAsia="Arial" w:hAnsi="Arial"/>
          <w:sz w:val="18"/>
          <w:szCs w:val="18"/>
          <w:color w:val="auto"/>
        </w:rPr>
        <w:t>The Company began to recognize revenue for development services revenue during the year ended December 31, 2019 within Other revenue in the consolidated statements of operations and comprehensive loss. Costs recognized within Cost of sales associated with development services were $24,228 for the year ended December 31, 2019. The table below summarizes the balances in Other revenue:</w:t>
      </w:r>
    </w:p>
    <w:p>
      <w:pPr>
        <w:spacing w:after="0" w:line="166" w:lineRule="exact"/>
        <w:rPr>
          <w:sz w:val="20"/>
          <w:szCs w:val="20"/>
          <w:color w:val="auto"/>
        </w:rPr>
      </w:pPr>
    </w:p>
    <w:tbl>
      <w:tblPr>
        <w:tblLayout w:type="fixed"/>
        <w:tblInd w:w="7" w:type="dxa"/>
        <w:tblCellMar>
          <w:top w:w="0" w:type="dxa"/>
          <w:left w:w="0" w:type="dxa"/>
          <w:bottom w:w="0" w:type="dxa"/>
          <w:right w:w="0" w:type="dxa"/>
        </w:tblCellMar>
      </w:tblPr>
      <w:tr>
        <w:trPr>
          <w:trHeight w:val="206"/>
        </w:trPr>
        <w:tc>
          <w:tcPr>
            <w:tcW w:w="3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7"/>
          </w:tcPr>
          <w:p>
            <w:pPr>
              <w:jc w:val="right"/>
              <w:ind w:right="103"/>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3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r>
      <w:tr>
        <w:trPr>
          <w:trHeight w:val="186"/>
        </w:trPr>
        <w:tc>
          <w:tcPr>
            <w:tcW w:w="3540" w:type="dxa"/>
            <w:vAlign w:val="bottom"/>
          </w:tcPr>
          <w:p>
            <w:pPr>
              <w:spacing w:after="0"/>
              <w:rPr>
                <w:sz w:val="20"/>
                <w:szCs w:val="20"/>
                <w:color w:val="auto"/>
              </w:rPr>
            </w:pPr>
            <w:r>
              <w:rPr>
                <w:rFonts w:ascii="Arial" w:cs="Arial" w:eastAsia="Arial" w:hAnsi="Arial"/>
                <w:sz w:val="15"/>
                <w:szCs w:val="15"/>
                <w:b w:val="1"/>
                <w:bCs w:val="1"/>
                <w:color w:val="auto"/>
              </w:rPr>
              <w:t>Other Revenue</w:t>
            </w: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Development services revenue</w:t>
            </w:r>
          </w:p>
        </w:tc>
        <w:tc>
          <w:tcPr>
            <w:tcW w:w="190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9"/>
        </w:trPr>
        <w:tc>
          <w:tcPr>
            <w:tcW w:w="3540" w:type="dxa"/>
            <w:vAlign w:val="bottom"/>
          </w:tcPr>
          <w:p>
            <w:pPr>
              <w:spacing w:after="0"/>
              <w:rPr>
                <w:sz w:val="20"/>
                <w:szCs w:val="20"/>
                <w:color w:val="auto"/>
              </w:rPr>
            </w:pPr>
            <w:r>
              <w:rPr>
                <w:rFonts w:ascii="Arial" w:cs="Arial" w:eastAsia="Arial" w:hAnsi="Arial"/>
                <w:sz w:val="15"/>
                <w:szCs w:val="15"/>
                <w:color w:val="auto"/>
              </w:rPr>
              <w:t>Lease related revenue</w:t>
            </w: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16,317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15,395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15,158</w:t>
            </w:r>
          </w:p>
        </w:tc>
      </w:tr>
      <w:tr>
        <w:trPr>
          <w:trHeight w:val="22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other revenue</w:t>
            </w:r>
          </w:p>
        </w:tc>
        <w:tc>
          <w:tcPr>
            <w:tcW w:w="16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15,395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15,158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Transaction price allocated to remaining performance obligations</w:t>
      </w:r>
    </w:p>
    <w:p>
      <w:pPr>
        <w:spacing w:after="0" w:line="200" w:lineRule="exact"/>
        <w:rPr>
          <w:sz w:val="20"/>
          <w:szCs w:val="20"/>
          <w:color w:val="auto"/>
        </w:rPr>
      </w:pPr>
    </w:p>
    <w:p>
      <w:pPr>
        <w:ind w:left="7" w:right="220"/>
        <w:spacing w:after="0" w:line="250" w:lineRule="auto"/>
        <w:rPr>
          <w:sz w:val="20"/>
          <w:szCs w:val="20"/>
          <w:color w:val="auto"/>
        </w:rPr>
      </w:pPr>
      <w:r>
        <w:rPr>
          <w:rFonts w:ascii="Arial" w:cs="Arial" w:eastAsia="Arial" w:hAnsi="Arial"/>
          <w:sz w:val="19"/>
          <w:szCs w:val="19"/>
          <w:color w:val="auto"/>
        </w:rPr>
        <w:t>Some of the Company’s contracts are short-term in nature with a contract term of less than a year. The Company applied the optional exemption not to disclose any transaction price allocated to unfulfilled performance obligations related to these contracts.</w:t>
      </w:r>
    </w:p>
    <w:p>
      <w:pPr>
        <w:spacing w:after="0" w:line="172" w:lineRule="exact"/>
        <w:rPr>
          <w:sz w:val="20"/>
          <w:szCs w:val="20"/>
          <w:color w:val="auto"/>
        </w:rPr>
      </w:pPr>
    </w:p>
    <w:p>
      <w:pPr>
        <w:ind w:left="7"/>
        <w:spacing w:after="0" w:line="251" w:lineRule="auto"/>
        <w:rPr>
          <w:sz w:val="20"/>
          <w:szCs w:val="20"/>
          <w:color w:val="auto"/>
        </w:rPr>
      </w:pPr>
      <w:r>
        <w:rPr>
          <w:rFonts w:ascii="Arial" w:cs="Arial" w:eastAsia="Arial" w:hAnsi="Arial"/>
          <w:sz w:val="18"/>
          <w:szCs w:val="18"/>
          <w:color w:val="auto"/>
        </w:rPr>
        <w:t>The Company has arrangements in which LNG or natural gas is sold on a “take-or-pay” basis whereby the customer is obligated to pay for the minimum guaranteed volumes even if the customer does not take delivery. The price under these agreements is based on a market index plus a fixed margin. The fixed transaction price allocated to the remaining performance obligations under these arrangements is $3,101,185 as of December 31, 2019, representing the fixed margin multiplied by the outstanding minimum guaranteed volumes. The Company expects to recognize this revenue over the following time periods, and the pattern of recognition reflects the minimum guaranteed volumes in each period:</w:t>
      </w:r>
    </w:p>
    <w:p>
      <w:pPr>
        <w:spacing w:after="0" w:line="338"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7"/>
          </w:cols>
          <w:pgMar w:left="233" w:top="124" w:right="239" w:bottom="1440" w:gutter="0" w:footer="0" w:header="0"/>
        </w:sectPr>
      </w:pPr>
    </w:p>
    <w:bookmarkStart w:id="82" w:name="page83"/>
    <w:bookmarkEnd w:id="82"/>
    <w:tbl>
      <w:tblPr>
        <w:tblLayout w:type="fixed"/>
        <w:tblInd w:w="7" w:type="dxa"/>
        <w:tblCellMar>
          <w:top w:w="0" w:type="dxa"/>
          <w:left w:w="0" w:type="dxa"/>
          <w:bottom w:w="0" w:type="dxa"/>
          <w:right w:w="0" w:type="dxa"/>
        </w:tblCellMar>
      </w:tblPr>
      <w:tr>
        <w:trPr>
          <w:trHeight w:val="138"/>
        </w:trPr>
        <w:tc>
          <w:tcPr>
            <w:tcW w:w="860" w:type="dxa"/>
            <w:vAlign w:val="bottom"/>
            <w:tcBorders>
              <w:bottom w:val="single" w:sz="8" w:color="0000EE"/>
            </w:tcBorders>
          </w:tcPr>
          <w:p>
            <w:pPr>
              <w:spacing w:after="0"/>
              <w:rPr>
                <w:rFonts w:ascii="Arial" w:cs="Arial" w:eastAsia="Arial" w:hAnsi="Arial"/>
                <w:sz w:val="12"/>
                <w:szCs w:val="12"/>
                <w:i w:val="1"/>
                <w:iCs w:val="1"/>
                <w:color w:val="0000EE"/>
                <w:w w:val="88"/>
              </w:rPr>
            </w:pPr>
            <w:hyperlink w:anchor="page2">
              <w:r>
                <w:rPr>
                  <w:rFonts w:ascii="Arial" w:cs="Arial" w:eastAsia="Arial" w:hAnsi="Arial"/>
                  <w:sz w:val="12"/>
                  <w:szCs w:val="12"/>
                  <w:i w:val="1"/>
                  <w:iCs w:val="1"/>
                  <w:color w:val="0000EE"/>
                  <w:w w:val="88"/>
                </w:rPr>
                <w:t>Table of Contents</w:t>
              </w:r>
            </w:hyperlink>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Revenue</w:t>
            </w:r>
          </w:p>
        </w:tc>
      </w:tr>
      <w:tr>
        <w:trPr>
          <w:trHeight w:val="186"/>
        </w:trPr>
        <w:tc>
          <w:tcPr>
            <w:tcW w:w="86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47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185,272</w:t>
            </w:r>
          </w:p>
        </w:tc>
        <w:tc>
          <w:tcPr>
            <w:tcW w:w="100" w:type="dxa"/>
            <w:vAlign w:val="bottom"/>
            <w:shd w:val="clear" w:color="auto" w:fill="CCEEFF"/>
          </w:tcPr>
          <w:p>
            <w:pPr>
              <w:spacing w:after="0"/>
              <w:rPr>
                <w:sz w:val="16"/>
                <w:szCs w:val="16"/>
                <w:color w:val="auto"/>
              </w:rPr>
            </w:pP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2021</w:t>
            </w: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170,494</w:t>
            </w:r>
          </w:p>
        </w:tc>
      </w:tr>
      <w:tr>
        <w:trPr>
          <w:trHeight w:val="186"/>
        </w:trPr>
        <w:tc>
          <w:tcPr>
            <w:tcW w:w="8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4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168,960</w:t>
            </w:r>
          </w:p>
        </w:tc>
      </w:tr>
      <w:tr>
        <w:trPr>
          <w:trHeight w:val="186"/>
        </w:trPr>
        <w:tc>
          <w:tcPr>
            <w:tcW w:w="860" w:type="dxa"/>
            <w:vAlign w:val="bottom"/>
          </w:tcPr>
          <w:p>
            <w:pPr>
              <w:spacing w:after="0"/>
              <w:rPr>
                <w:sz w:val="20"/>
                <w:szCs w:val="20"/>
                <w:color w:val="auto"/>
              </w:rPr>
            </w:pPr>
            <w:r>
              <w:rPr>
                <w:rFonts w:ascii="Arial" w:cs="Arial" w:eastAsia="Arial" w:hAnsi="Arial"/>
                <w:sz w:val="15"/>
                <w:szCs w:val="15"/>
                <w:color w:val="auto"/>
              </w:rPr>
              <w:t>2023</w:t>
            </w:r>
          </w:p>
        </w:tc>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168,202</w:t>
            </w:r>
          </w:p>
        </w:tc>
      </w:tr>
      <w:tr>
        <w:trPr>
          <w:trHeight w:val="186"/>
        </w:trPr>
        <w:tc>
          <w:tcPr>
            <w:tcW w:w="8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4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167,445</w:t>
            </w:r>
          </w:p>
        </w:tc>
      </w:tr>
      <w:tr>
        <w:trPr>
          <w:trHeight w:val="189"/>
        </w:trPr>
        <w:tc>
          <w:tcPr>
            <w:tcW w:w="860" w:type="dxa"/>
            <w:vAlign w:val="bottom"/>
          </w:tcPr>
          <w:p>
            <w:pPr>
              <w:spacing w:after="0"/>
              <w:rPr>
                <w:sz w:val="20"/>
                <w:szCs w:val="20"/>
                <w:color w:val="auto"/>
              </w:rPr>
            </w:pPr>
            <w:r>
              <w:rPr>
                <w:rFonts w:ascii="Arial" w:cs="Arial" w:eastAsia="Arial" w:hAnsi="Arial"/>
                <w:sz w:val="15"/>
                <w:szCs w:val="15"/>
                <w:color w:val="auto"/>
              </w:rPr>
              <w:t>Thereafter</w:t>
            </w:r>
          </w:p>
        </w:tc>
        <w:tc>
          <w:tcPr>
            <w:tcW w:w="4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2,240,812</w:t>
            </w:r>
          </w:p>
        </w:tc>
        <w:tc>
          <w:tcPr>
            <w:tcW w:w="100" w:type="dxa"/>
            <w:vAlign w:val="bottom"/>
          </w:tcPr>
          <w:p>
            <w:pPr>
              <w:spacing w:after="0"/>
              <w:rPr>
                <w:sz w:val="16"/>
                <w:szCs w:val="16"/>
                <w:color w:val="auto"/>
              </w:rPr>
            </w:pPr>
          </w:p>
        </w:tc>
      </w:tr>
      <w:tr>
        <w:trPr>
          <w:trHeight w:val="226"/>
        </w:trPr>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4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3,101,185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7" w:right="20"/>
        <w:spacing w:after="0" w:line="234" w:lineRule="auto"/>
        <w:rPr>
          <w:sz w:val="20"/>
          <w:szCs w:val="20"/>
          <w:color w:val="auto"/>
        </w:rPr>
      </w:pPr>
      <w:r>
        <w:rPr>
          <w:rFonts w:ascii="Arial" w:cs="Arial" w:eastAsia="Arial" w:hAnsi="Arial"/>
          <w:sz w:val="19"/>
          <w:szCs w:val="19"/>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or natural gas. As each unit of LNG or natural gas represents a separate performance obligation, future volumes are wholly unsatisfied.</w:t>
      </w:r>
    </w:p>
    <w:p>
      <w:pPr>
        <w:spacing w:after="0" w:line="186" w:lineRule="exact"/>
        <w:rPr>
          <w:sz w:val="20"/>
          <w:szCs w:val="20"/>
          <w:color w:val="auto"/>
        </w:rPr>
      </w:pPr>
    </w:p>
    <w:p>
      <w:pPr>
        <w:ind w:left="7" w:right="160"/>
        <w:spacing w:after="0" w:line="235" w:lineRule="auto"/>
        <w:rPr>
          <w:sz w:val="20"/>
          <w:szCs w:val="20"/>
          <w:color w:val="auto"/>
        </w:rPr>
      </w:pPr>
      <w:r>
        <w:rPr>
          <w:rFonts w:ascii="Arial" w:cs="Arial" w:eastAsia="Arial" w:hAnsi="Arial"/>
          <w:sz w:val="19"/>
          <w:szCs w:val="19"/>
          <w:color w:val="auto"/>
        </w:rPr>
        <w:t>During the year ended December 31, 2019, the Company began to incur costs to fulfill a contract with a significant customer. These costs primarily consist of expenditures required to enhance resources to deliver under the agreement with the customer. As of December 31, 2019, the Company has capitalized $8,839, of which $331 of these costs is presented within Other current assets and $8,508 is presented within Other non-current assets on the consolidated balance sheets. These costs will be recognized over the expected customer life, beginning when the Company begins to deliver under the contract.</w:t>
      </w:r>
    </w:p>
    <w:p>
      <w:pPr>
        <w:spacing w:after="0" w:line="187" w:lineRule="exact"/>
        <w:rPr>
          <w:sz w:val="20"/>
          <w:szCs w:val="20"/>
          <w:color w:val="auto"/>
        </w:rPr>
      </w:pPr>
    </w:p>
    <w:p>
      <w:pPr>
        <w:ind w:left="567" w:hanging="567"/>
        <w:spacing w:after="0"/>
        <w:tabs>
          <w:tab w:leader="none" w:pos="567"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w:t>
      </w:r>
    </w:p>
    <w:p>
      <w:pPr>
        <w:spacing w:after="0" w:line="220" w:lineRule="exact"/>
        <w:rPr>
          <w:sz w:val="20"/>
          <w:szCs w:val="20"/>
          <w:color w:val="auto"/>
        </w:rPr>
      </w:pPr>
    </w:p>
    <w:p>
      <w:pPr>
        <w:ind w:left="7"/>
        <w:spacing w:after="0" w:line="269" w:lineRule="auto"/>
        <w:rPr>
          <w:sz w:val="20"/>
          <w:szCs w:val="20"/>
          <w:color w:val="auto"/>
        </w:rPr>
      </w:pPr>
      <w:r>
        <w:rPr>
          <w:rFonts w:ascii="Arial" w:cs="Arial" w:eastAsia="Arial" w:hAnsi="Arial"/>
          <w:sz w:val="17"/>
          <w:szCs w:val="17"/>
          <w:color w:val="auto"/>
        </w:rPr>
        <w:t>On November 9, 2018, the Company entered into an agreement to acquire the share capital of Shannon LNG Limited (“SLNG”) and Shannon LNG Energy Limited (“LNG Energy,” and, together with SLNG, “Shannon LNG”) in a transaction accounted for as an asset acquisition. On the same date, the Company acquired the Class A shares of Shannon LNG, representing a controlling financial interest. Shannon LNG was previously formed to acquire and develop assets comprising permissions, rights, licenses, leases, and other entitlements which would be used to construct and operate a terminal, pipeline, and related infrastructure, to import, process and deliver natural gas to downstream customers in Ireland.</w:t>
      </w:r>
    </w:p>
    <w:p>
      <w:pPr>
        <w:spacing w:after="0" w:line="159" w:lineRule="exact"/>
        <w:rPr>
          <w:sz w:val="20"/>
          <w:szCs w:val="20"/>
          <w:color w:val="auto"/>
        </w:rPr>
      </w:pPr>
    </w:p>
    <w:p>
      <w:pPr>
        <w:ind w:left="7" w:right="140"/>
        <w:spacing w:after="0" w:line="381" w:lineRule="auto"/>
        <w:rPr>
          <w:sz w:val="20"/>
          <w:szCs w:val="20"/>
          <w:color w:val="auto"/>
        </w:rPr>
      </w:pPr>
      <w:r>
        <w:rPr>
          <w:rFonts w:ascii="Arial" w:cs="Arial" w:eastAsia="Arial" w:hAnsi="Arial"/>
          <w:sz w:val="15"/>
          <w:szCs w:val="15"/>
          <w:color w:val="auto"/>
        </w:rPr>
        <w:t>As of the date of acquisition, construction of the planned infrastructure had not commenced and the primary assets of Shannon LNG were comprised of land, wayleaves, and permits that would allow for future development. The purchase agreement required the Company to pay the following amounts: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9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5"/>
                <w:szCs w:val="15"/>
                <w:b w:val="1"/>
                <w:bCs w:val="1"/>
                <w:color w:val="auto"/>
              </w:rPr>
              <w:t>November 9,</w:t>
            </w:r>
          </w:p>
        </w:tc>
      </w:tr>
      <w:tr>
        <w:trPr>
          <w:trHeight w:val="206"/>
        </w:trPr>
        <w:tc>
          <w:tcPr>
            <w:tcW w:w="9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r>
      <w:tr>
        <w:trPr>
          <w:trHeight w:val="186"/>
        </w:trPr>
        <w:tc>
          <w:tcPr>
            <w:tcW w:w="9580" w:type="dxa"/>
            <w:vAlign w:val="bottom"/>
            <w:shd w:val="clear" w:color="auto" w:fill="CCEEFF"/>
          </w:tcPr>
          <w:p>
            <w:pPr>
              <w:spacing w:after="0" w:line="186" w:lineRule="exact"/>
              <w:rPr>
                <w:sz w:val="20"/>
                <w:szCs w:val="20"/>
                <w:color w:val="auto"/>
              </w:rPr>
            </w:pPr>
            <w:r>
              <w:rPr>
                <w:rFonts w:ascii="Arial" w:cs="Arial" w:eastAsia="Arial" w:hAnsi="Arial"/>
                <w:sz w:val="13"/>
                <w:szCs w:val="13"/>
                <w:color w:val="auto"/>
              </w:rPr>
              <w:t>Cash</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3,435</w:t>
            </w:r>
          </w:p>
        </w:tc>
        <w:tc>
          <w:tcPr>
            <w:tcW w:w="120" w:type="dxa"/>
            <w:vAlign w:val="bottom"/>
            <w:shd w:val="clear" w:color="auto" w:fill="CCEEFF"/>
          </w:tcPr>
          <w:p>
            <w:pPr>
              <w:spacing w:after="0"/>
              <w:rPr>
                <w:sz w:val="16"/>
                <w:szCs w:val="16"/>
                <w:color w:val="auto"/>
              </w:rPr>
            </w:pPr>
          </w:p>
        </w:tc>
      </w:tr>
      <w:tr>
        <w:trPr>
          <w:trHeight w:val="186"/>
        </w:trPr>
        <w:tc>
          <w:tcPr>
            <w:tcW w:w="9580" w:type="dxa"/>
            <w:vAlign w:val="bottom"/>
          </w:tcPr>
          <w:p>
            <w:pPr>
              <w:spacing w:after="0" w:line="186" w:lineRule="exact"/>
              <w:rPr>
                <w:sz w:val="20"/>
                <w:szCs w:val="20"/>
                <w:color w:val="auto"/>
              </w:rPr>
            </w:pPr>
            <w:r>
              <w:rPr>
                <w:rFonts w:ascii="Arial" w:cs="Arial" w:eastAsia="Arial" w:hAnsi="Arial"/>
                <w:sz w:val="13"/>
                <w:szCs w:val="13"/>
                <w:color w:val="auto"/>
              </w:rPr>
              <w:t>Contingent consideration</w:t>
            </w:r>
            <w:r>
              <w:rPr>
                <w:rFonts w:ascii="Arial" w:cs="Arial" w:eastAsia="Arial" w:hAnsi="Arial"/>
                <w:sz w:val="21"/>
                <w:szCs w:val="21"/>
                <w:color w:val="auto"/>
                <w:vertAlign w:val="superscript"/>
              </w:rPr>
              <w:t>(2)</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9,835</w:t>
            </w:r>
          </w:p>
        </w:tc>
        <w:tc>
          <w:tcPr>
            <w:tcW w:w="120" w:type="dxa"/>
            <w:vAlign w:val="bottom"/>
          </w:tcPr>
          <w:p>
            <w:pPr>
              <w:spacing w:after="0"/>
              <w:rPr>
                <w:sz w:val="16"/>
                <w:szCs w:val="16"/>
                <w:color w:val="auto"/>
              </w:rPr>
            </w:pPr>
          </w:p>
        </w:tc>
      </w:tr>
      <w:tr>
        <w:trPr>
          <w:trHeight w:val="186"/>
        </w:trPr>
        <w:tc>
          <w:tcPr>
            <w:tcW w:w="9580" w:type="dxa"/>
            <w:vAlign w:val="bottom"/>
            <w:shd w:val="clear" w:color="auto" w:fill="CCEEFF"/>
          </w:tcPr>
          <w:p>
            <w:pPr>
              <w:spacing w:after="0" w:line="186" w:lineRule="exact"/>
              <w:rPr>
                <w:sz w:val="20"/>
                <w:szCs w:val="20"/>
                <w:color w:val="auto"/>
              </w:rPr>
            </w:pPr>
            <w:r>
              <w:rPr>
                <w:rFonts w:ascii="Arial" w:cs="Arial" w:eastAsia="Arial" w:hAnsi="Arial"/>
                <w:sz w:val="13"/>
                <w:szCs w:val="13"/>
                <w:color w:val="auto"/>
              </w:rPr>
              <w:t>Equity Agreement</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16,924</w:t>
            </w:r>
          </w:p>
        </w:tc>
        <w:tc>
          <w:tcPr>
            <w:tcW w:w="120" w:type="dxa"/>
            <w:vAlign w:val="bottom"/>
            <w:shd w:val="clear" w:color="auto" w:fill="CCEEFF"/>
          </w:tcPr>
          <w:p>
            <w:pPr>
              <w:spacing w:after="0"/>
              <w:rPr>
                <w:sz w:val="16"/>
                <w:szCs w:val="16"/>
                <w:color w:val="auto"/>
              </w:rPr>
            </w:pPr>
          </w:p>
        </w:tc>
      </w:tr>
      <w:tr>
        <w:trPr>
          <w:trHeight w:val="186"/>
        </w:trPr>
        <w:tc>
          <w:tcPr>
            <w:tcW w:w="9580" w:type="dxa"/>
            <w:vAlign w:val="bottom"/>
          </w:tcPr>
          <w:p>
            <w:pPr>
              <w:spacing w:after="0"/>
              <w:rPr>
                <w:sz w:val="20"/>
                <w:szCs w:val="20"/>
                <w:color w:val="auto"/>
              </w:rPr>
            </w:pPr>
            <w:r>
              <w:rPr>
                <w:rFonts w:ascii="Arial" w:cs="Arial" w:eastAsia="Arial" w:hAnsi="Arial"/>
                <w:sz w:val="15"/>
                <w:szCs w:val="15"/>
                <w:color w:val="auto"/>
              </w:rPr>
              <w:t>Transaction costs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593</w:t>
            </w:r>
          </w:p>
        </w:tc>
        <w:tc>
          <w:tcPr>
            <w:tcW w:w="120" w:type="dxa"/>
            <w:vAlign w:val="bottom"/>
          </w:tcPr>
          <w:p>
            <w:pPr>
              <w:spacing w:after="0"/>
              <w:rPr>
                <w:sz w:val="16"/>
                <w:szCs w:val="16"/>
                <w:color w:val="auto"/>
              </w:rPr>
            </w:pPr>
          </w:p>
        </w:tc>
      </w:tr>
      <w:tr>
        <w:trPr>
          <w:trHeight w:val="189"/>
        </w:trPr>
        <w:tc>
          <w:tcPr>
            <w:tcW w:w="9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Non-controlling interest</w:t>
            </w: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14,446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6"/>
        </w:trPr>
        <w:tc>
          <w:tcPr>
            <w:tcW w:w="9580" w:type="dxa"/>
            <w:vAlign w:val="bottom"/>
          </w:tcPr>
          <w:p>
            <w:pPr>
              <w:ind w:left="140"/>
              <w:spacing w:after="0"/>
              <w:rPr>
                <w:sz w:val="20"/>
                <w:szCs w:val="20"/>
                <w:color w:val="auto"/>
              </w:rPr>
            </w:pPr>
            <w:r>
              <w:rPr>
                <w:rFonts w:ascii="Arial" w:cs="Arial" w:eastAsia="Arial" w:hAnsi="Arial"/>
                <w:sz w:val="15"/>
                <w:szCs w:val="15"/>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45,233</w:t>
            </w:r>
          </w:p>
        </w:tc>
        <w:tc>
          <w:tcPr>
            <w:tcW w:w="120" w:type="dxa"/>
            <w:vAlign w:val="bottom"/>
          </w:tcPr>
          <w:p>
            <w:pPr>
              <w:spacing w:after="0"/>
              <w:rPr>
                <w:sz w:val="16"/>
                <w:szCs w:val="16"/>
                <w:color w:val="auto"/>
              </w:rPr>
            </w:pPr>
          </w:p>
        </w:tc>
      </w:tr>
      <w:tr>
        <w:trPr>
          <w:trHeight w:val="20"/>
        </w:trPr>
        <w:tc>
          <w:tcPr>
            <w:tcW w:w="9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427" w:hanging="288"/>
        <w:spacing w:after="0"/>
        <w:tabs>
          <w:tab w:leader="none" w:pos="427" w:val="left"/>
        </w:tabs>
        <w:numPr>
          <w:ilvl w:val="0"/>
          <w:numId w:val="58"/>
        </w:numPr>
        <w:rPr>
          <w:rFonts w:ascii="Arial" w:cs="Arial" w:eastAsia="Arial" w:hAnsi="Arial"/>
          <w:sz w:val="15"/>
          <w:szCs w:val="15"/>
          <w:color w:val="auto"/>
        </w:rPr>
      </w:pPr>
      <w:r>
        <w:rPr>
          <w:rFonts w:ascii="Arial" w:cs="Arial" w:eastAsia="Arial" w:hAnsi="Arial"/>
          <w:sz w:val="15"/>
          <w:szCs w:val="15"/>
          <w:color w:val="auto"/>
        </w:rPr>
        <w:t>Cash inclusive of repayment of Shannon LNG’s liabilities equal to approximately $2,857.</w:t>
      </w:r>
    </w:p>
    <w:p>
      <w:pPr>
        <w:spacing w:after="0" w:line="23" w:lineRule="exact"/>
        <w:rPr>
          <w:rFonts w:ascii="Arial" w:cs="Arial" w:eastAsia="Arial" w:hAnsi="Arial"/>
          <w:sz w:val="15"/>
          <w:szCs w:val="15"/>
          <w:color w:val="auto"/>
        </w:rPr>
      </w:pPr>
    </w:p>
    <w:p>
      <w:pPr>
        <w:ind w:left="427" w:hanging="288"/>
        <w:spacing w:after="0"/>
        <w:tabs>
          <w:tab w:leader="none" w:pos="427" w:val="left"/>
        </w:tabs>
        <w:numPr>
          <w:ilvl w:val="0"/>
          <w:numId w:val="58"/>
        </w:numPr>
        <w:rPr>
          <w:rFonts w:ascii="Arial" w:cs="Arial" w:eastAsia="Arial" w:hAnsi="Arial"/>
          <w:sz w:val="15"/>
          <w:szCs w:val="15"/>
          <w:color w:val="auto"/>
        </w:rPr>
      </w:pPr>
      <w:r>
        <w:rPr>
          <w:rFonts w:ascii="Arial" w:cs="Arial" w:eastAsia="Arial" w:hAnsi="Arial"/>
          <w:sz w:val="15"/>
          <w:szCs w:val="15"/>
          <w:color w:val="auto"/>
        </w:rPr>
        <w:t>Consideration due to sellers once the first gas is exported from the terminal to be built.</w:t>
      </w:r>
    </w:p>
    <w:p>
      <w:pPr>
        <w:spacing w:after="0" w:line="13" w:lineRule="exact"/>
        <w:rPr>
          <w:rFonts w:ascii="Arial" w:cs="Arial" w:eastAsia="Arial" w:hAnsi="Arial"/>
          <w:sz w:val="15"/>
          <w:szCs w:val="15"/>
          <w:color w:val="auto"/>
        </w:rPr>
      </w:pPr>
    </w:p>
    <w:p>
      <w:pPr>
        <w:ind w:left="427" w:hanging="288"/>
        <w:spacing w:after="0"/>
        <w:tabs>
          <w:tab w:leader="none" w:pos="427" w:val="left"/>
        </w:tabs>
        <w:numPr>
          <w:ilvl w:val="0"/>
          <w:numId w:val="58"/>
        </w:numPr>
        <w:rPr>
          <w:rFonts w:ascii="Arial" w:cs="Arial" w:eastAsia="Arial" w:hAnsi="Arial"/>
          <w:sz w:val="15"/>
          <w:szCs w:val="15"/>
          <w:color w:val="auto"/>
        </w:rPr>
      </w:pPr>
      <w:r>
        <w:rPr>
          <w:rFonts w:ascii="Arial" w:cs="Arial" w:eastAsia="Arial" w:hAnsi="Arial"/>
          <w:sz w:val="15"/>
          <w:szCs w:val="15"/>
          <w:color w:val="auto"/>
        </w:rPr>
        <w:t>To be paid in shares at the earlier of agreed-upon date in 2020 or the commencement of significant construction activities specified in the Shannon LNG Agreement.</w:t>
      </w:r>
    </w:p>
    <w:p>
      <w:pPr>
        <w:spacing w:after="0" w:line="204" w:lineRule="exact"/>
        <w:rPr>
          <w:sz w:val="20"/>
          <w:szCs w:val="20"/>
          <w:color w:val="auto"/>
        </w:rPr>
      </w:pPr>
    </w:p>
    <w:p>
      <w:pPr>
        <w:ind w:left="7" w:right="100"/>
        <w:spacing w:after="0" w:line="336" w:lineRule="auto"/>
        <w:rPr>
          <w:sz w:val="20"/>
          <w:szCs w:val="20"/>
          <w:color w:val="auto"/>
        </w:rPr>
      </w:pPr>
      <w:r>
        <w:rPr>
          <w:rFonts w:ascii="Arial" w:cs="Arial" w:eastAsia="Arial" w:hAnsi="Arial"/>
          <w:sz w:val="15"/>
          <w:szCs w:val="15"/>
          <w:color w:val="auto"/>
        </w:rPr>
        <w:t xml:space="preserve">The contingent consideration meets the definition of a derivative under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See Note 6 for more detail; the contingent consideration is recognized in Other long-term liabilities on the consolidated balance sheets as of December 31, 2019 and 2018. The Equity Agreement is an unconditional obligation and is recognized in Other current liabilities on the consolidated balance sheets as of December 31, 2019 and 2018.</w:t>
      </w:r>
    </w:p>
    <w:p>
      <w:pPr>
        <w:spacing w:after="0" w:line="278"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7"/>
          </w:cols>
          <w:pgMar w:left="233" w:top="118" w:right="259" w:bottom="1440" w:gutter="0" w:footer="0" w:header="0"/>
        </w:sectPr>
      </w:pPr>
    </w:p>
    <w:bookmarkStart w:id="83" w:name="page84"/>
    <w:bookmarkEnd w:id="83"/>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180"/>
        <w:spacing w:after="0" w:line="282" w:lineRule="auto"/>
        <w:rPr>
          <w:sz w:val="20"/>
          <w:szCs w:val="20"/>
          <w:color w:val="auto"/>
        </w:rPr>
      </w:pPr>
      <w:r>
        <w:rPr>
          <w:rFonts w:ascii="Arial" w:cs="Arial" w:eastAsia="Arial" w:hAnsi="Arial"/>
          <w:sz w:val="17"/>
          <w:szCs w:val="17"/>
          <w:color w:val="auto"/>
        </w:rPr>
        <w:t>The purchase agreement included put and call options to allow or require the Company to acquire the remaining ownership interest of Shannon LNG. The options were deemed to be embedded equity-linked instruments within the non-controlling interest that is recognized within permanent equity. The fair value of the non-controlling interest was estimated to be $14,446 based on the strike price of the call and put options.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assets acquired in connection with the acquisition were recorded by the Company at their estimated relative fair values as follows:</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5"/>
                <w:szCs w:val="15"/>
                <w:b w:val="1"/>
                <w:bCs w:val="1"/>
                <w:color w:val="auto"/>
              </w:rPr>
              <w:t>November 9,</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auto"/>
                <w:w w:val="91"/>
              </w:rPr>
              <w:t>Useful life</w:t>
            </w:r>
          </w:p>
        </w:tc>
        <w:tc>
          <w:tcPr>
            <w:tcW w:w="10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(Yrs)</w:t>
            </w:r>
          </w:p>
        </w:tc>
        <w:tc>
          <w:tcPr>
            <w:tcW w:w="100" w:type="dxa"/>
            <w:vAlign w:val="bottom"/>
          </w:tcPr>
          <w:p>
            <w:pPr>
              <w:spacing w:after="0"/>
              <w:rPr>
                <w:sz w:val="17"/>
                <w:szCs w:val="17"/>
                <w:color w:val="auto"/>
              </w:rPr>
            </w:pPr>
          </w:p>
        </w:tc>
      </w:tr>
      <w:tr>
        <w:trPr>
          <w:trHeight w:val="186"/>
        </w:trPr>
        <w:tc>
          <w:tcPr>
            <w:tcW w:w="8800" w:type="dxa"/>
            <w:vAlign w:val="bottom"/>
            <w:gridSpan w:val="2"/>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120" w:type="dxa"/>
            <w:vAlign w:val="bottom"/>
            <w:shd w:val="clear" w:color="auto" w:fill="CCEEFF"/>
          </w:tcPr>
          <w:p>
            <w:pPr>
              <w:spacing w:after="0"/>
              <w:rPr>
                <w:sz w:val="16"/>
                <w:szCs w:val="16"/>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Land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Indefinite life</w:t>
            </w:r>
          </w:p>
        </w:tc>
        <w:tc>
          <w:tcPr>
            <w:tcW w:w="100" w:type="dxa"/>
            <w:vAlign w:val="bottom"/>
            <w:shd w:val="clear" w:color="auto" w:fill="CCEEFF"/>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8680" w:type="dxa"/>
            <w:vAlign w:val="bottom"/>
          </w:tcPr>
          <w:p>
            <w:pPr>
              <w:ind w:left="20"/>
              <w:spacing w:after="0"/>
              <w:rPr>
                <w:sz w:val="20"/>
                <w:szCs w:val="20"/>
                <w:color w:val="auto"/>
              </w:rPr>
            </w:pPr>
            <w:r>
              <w:rPr>
                <w:rFonts w:ascii="Arial" w:cs="Arial" w:eastAsia="Arial" w:hAnsi="Arial"/>
                <w:sz w:val="15"/>
                <w:szCs w:val="15"/>
                <w:color w:val="auto"/>
              </w:rPr>
              <w:t>Rights of way</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1,191</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9"/>
              </w:rPr>
              <w:t>Indefinite life</w:t>
            </w:r>
          </w:p>
        </w:tc>
        <w:tc>
          <w:tcPr>
            <w:tcW w:w="100" w:type="dxa"/>
            <w:vAlign w:val="bottom"/>
          </w:tcPr>
          <w:p>
            <w:pPr>
              <w:spacing w:after="0"/>
              <w:rPr>
                <w:sz w:val="16"/>
                <w:szCs w:val="16"/>
                <w:color w:val="auto"/>
              </w:rPr>
            </w:pPr>
          </w:p>
        </w:tc>
      </w:tr>
      <w:tr>
        <w:trPr>
          <w:trHeight w:val="186"/>
        </w:trPr>
        <w:tc>
          <w:tcPr>
            <w:tcW w:w="120" w:type="dxa"/>
            <w:vAlign w:val="bottom"/>
            <w:shd w:val="clear" w:color="auto" w:fill="CCEEFF"/>
          </w:tcPr>
          <w:p>
            <w:pPr>
              <w:spacing w:after="0"/>
              <w:rPr>
                <w:sz w:val="16"/>
                <w:szCs w:val="16"/>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 favorable lease agreements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91</w:t>
            </w:r>
          </w:p>
        </w:tc>
        <w:tc>
          <w:tcPr>
            <w:tcW w:w="100" w:type="dxa"/>
            <w:vAlign w:val="bottom"/>
            <w:shd w:val="clear" w:color="auto" w:fill="CCEEFF"/>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8680" w:type="dxa"/>
            <w:vAlign w:val="bottom"/>
          </w:tcPr>
          <w:p>
            <w:pPr>
              <w:ind w:left="20"/>
              <w:spacing w:after="0"/>
              <w:rPr>
                <w:sz w:val="20"/>
                <w:szCs w:val="20"/>
                <w:color w:val="auto"/>
              </w:rPr>
            </w:pPr>
            <w:r>
              <w:rPr>
                <w:rFonts w:ascii="Arial" w:cs="Arial" w:eastAsia="Arial" w:hAnsi="Arial"/>
                <w:sz w:val="15"/>
                <w:szCs w:val="15"/>
                <w:color w:val="auto"/>
              </w:rPr>
              <w:t>Intangible assets – permits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42,947</w:t>
            </w:r>
          </w:p>
        </w:tc>
        <w:tc>
          <w:tcPr>
            <w:tcW w:w="240" w:type="dxa"/>
            <w:vAlign w:val="bottom"/>
          </w:tcPr>
          <w:p>
            <w:pPr>
              <w:spacing w:after="0"/>
              <w:rPr>
                <w:sz w:val="16"/>
                <w:szCs w:val="16"/>
                <w:color w:val="auto"/>
              </w:rPr>
            </w:pPr>
          </w:p>
        </w:tc>
        <w:tc>
          <w:tcPr>
            <w:tcW w:w="1140" w:type="dxa"/>
            <w:vAlign w:val="bottom"/>
          </w:tcPr>
          <w:p>
            <w:pPr>
              <w:jc w:val="right"/>
              <w:ind w:right="363"/>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6"/>
                <w:szCs w:val="16"/>
                <w:color w:val="auto"/>
              </w:rPr>
            </w:pPr>
          </w:p>
        </w:tc>
      </w:tr>
      <w:tr>
        <w:trPr>
          <w:trHeight w:val="226"/>
        </w:trPr>
        <w:tc>
          <w:tcPr>
            <w:tcW w:w="120" w:type="dxa"/>
            <w:vAlign w:val="bottom"/>
            <w:tcBorders>
              <w:bottom w:val="single" w:sz="8" w:color="CCEEFF"/>
            </w:tcBorders>
            <w:shd w:val="clear" w:color="auto" w:fill="CCEEFF"/>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45,233</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381"/>
        </w:trPr>
        <w:tc>
          <w:tcPr>
            <w:tcW w:w="120" w:type="dxa"/>
            <w:vAlign w:val="bottom"/>
          </w:tcPr>
          <w:p>
            <w:pPr>
              <w:spacing w:after="0"/>
              <w:rPr>
                <w:sz w:val="20"/>
                <w:szCs w:val="20"/>
                <w:color w:val="auto"/>
              </w:rPr>
            </w:pPr>
            <w:r>
              <w:rPr>
                <w:rFonts w:ascii="Arial" w:cs="Arial" w:eastAsia="Arial" w:hAnsi="Arial"/>
                <w:sz w:val="15"/>
                <w:szCs w:val="15"/>
                <w:b w:val="1"/>
                <w:bCs w:val="1"/>
                <w:color w:val="auto"/>
                <w:w w:val="79"/>
              </w:rPr>
              <w:t>6.</w:t>
            </w:r>
          </w:p>
        </w:tc>
        <w:tc>
          <w:tcPr>
            <w:tcW w:w="8680" w:type="dxa"/>
            <w:vAlign w:val="bottom"/>
          </w:tcPr>
          <w:p>
            <w:pPr>
              <w:ind w:left="440"/>
              <w:spacing w:after="0"/>
              <w:rPr>
                <w:sz w:val="20"/>
                <w:szCs w:val="20"/>
                <w:color w:val="auto"/>
              </w:rPr>
            </w:pPr>
            <w:r>
              <w:rPr>
                <w:rFonts w:ascii="Arial" w:cs="Arial" w:eastAsia="Arial" w:hAnsi="Arial"/>
                <w:sz w:val="15"/>
                <w:szCs w:val="15"/>
                <w:b w:val="1"/>
                <w:bCs w:val="1"/>
                <w:color w:val="auto"/>
              </w:rPr>
              <w:t>Fair value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1" w:lineRule="exact"/>
        <w:rPr>
          <w:sz w:val="20"/>
          <w:szCs w:val="20"/>
          <w:color w:val="auto"/>
        </w:rPr>
      </w:pPr>
    </w:p>
    <w:p>
      <w:pPr>
        <w:ind w:left="7" w:right="320"/>
        <w:spacing w:after="0" w:line="250" w:lineRule="auto"/>
        <w:rPr>
          <w:sz w:val="20"/>
          <w:szCs w:val="20"/>
          <w:color w:val="auto"/>
        </w:rPr>
      </w:pPr>
      <w:r>
        <w:rPr>
          <w:rFonts w:ascii="Arial" w:cs="Arial" w:eastAsia="Arial" w:hAnsi="Arial"/>
          <w:sz w:val="19"/>
          <w:szCs w:val="19"/>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81" w:lineRule="exact"/>
        <w:rPr>
          <w:sz w:val="20"/>
          <w:szCs w:val="20"/>
          <w:color w:val="auto"/>
        </w:rPr>
      </w:pPr>
    </w:p>
    <w:p>
      <w:pPr>
        <w:ind w:left="287" w:hanging="287"/>
        <w:spacing w:after="0"/>
        <w:tabs>
          <w:tab w:leader="none" w:pos="287"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Level 1 – observable inputs such as quoted prices in active markets for identical assets or liabilities.</w:t>
      </w:r>
    </w:p>
    <w:p>
      <w:pPr>
        <w:spacing w:after="0" w:line="222" w:lineRule="exact"/>
        <w:rPr>
          <w:rFonts w:ascii="Arial" w:cs="Arial" w:eastAsia="Arial" w:hAnsi="Arial"/>
          <w:sz w:val="15"/>
          <w:szCs w:val="15"/>
          <w:color w:val="auto"/>
        </w:rPr>
      </w:pPr>
    </w:p>
    <w:p>
      <w:pPr>
        <w:ind w:left="287" w:right="280" w:hanging="287"/>
        <w:spacing w:after="0" w:line="291" w:lineRule="auto"/>
        <w:tabs>
          <w:tab w:leader="none" w:pos="287"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Level 2 – inputs other than quoted prices included within Level 1 that are observable, either directly or indirectly, such as quoted prices for similar assets or liabilities or market corroborated inputs.</w:t>
      </w:r>
    </w:p>
    <w:p>
      <w:pPr>
        <w:spacing w:after="0" w:line="162" w:lineRule="exact"/>
        <w:rPr>
          <w:rFonts w:ascii="Arial" w:cs="Arial" w:eastAsia="Arial" w:hAnsi="Arial"/>
          <w:sz w:val="15"/>
          <w:szCs w:val="15"/>
          <w:color w:val="auto"/>
        </w:rPr>
      </w:pPr>
    </w:p>
    <w:p>
      <w:pPr>
        <w:ind w:left="287" w:right="220" w:hanging="287"/>
        <w:spacing w:after="0" w:line="291" w:lineRule="auto"/>
        <w:tabs>
          <w:tab w:leader="none" w:pos="287" w:val="left"/>
        </w:tabs>
        <w:numPr>
          <w:ilvl w:val="0"/>
          <w:numId w:val="59"/>
        </w:numPr>
        <w:rPr>
          <w:rFonts w:ascii="Arial" w:cs="Arial" w:eastAsia="Arial" w:hAnsi="Arial"/>
          <w:sz w:val="15"/>
          <w:szCs w:val="15"/>
          <w:color w:val="auto"/>
        </w:rPr>
      </w:pPr>
      <w:r>
        <w:rPr>
          <w:rFonts w:ascii="Arial" w:cs="Arial" w:eastAsia="Arial" w:hAnsi="Arial"/>
          <w:sz w:val="15"/>
          <w:szCs w:val="15"/>
          <w:color w:val="auto"/>
        </w:rPr>
        <w:t>Level 3 – unobservable inputs for which there is little or no market data and which require the Company to develop its own assumptions about how market participants price the asset or liability.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valuation techniques that may be used to measure fair value are as follows:</w:t>
      </w:r>
    </w:p>
    <w:p>
      <w:pPr>
        <w:spacing w:after="0" w:line="208" w:lineRule="exact"/>
        <w:rPr>
          <w:sz w:val="20"/>
          <w:szCs w:val="20"/>
          <w:color w:val="auto"/>
        </w:rPr>
      </w:pPr>
    </w:p>
    <w:p>
      <w:pPr>
        <w:ind w:left="287" w:hanging="287"/>
        <w:spacing w:after="0"/>
        <w:tabs>
          <w:tab w:leader="none" w:pos="287"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Market approach – uses prices and other relevant information generated by market transactions involving identical or comparable assets or liabilities.</w:t>
      </w:r>
    </w:p>
    <w:p>
      <w:pPr>
        <w:spacing w:after="0" w:line="222" w:lineRule="exact"/>
        <w:rPr>
          <w:rFonts w:ascii="Arial" w:cs="Arial" w:eastAsia="Arial" w:hAnsi="Arial"/>
          <w:sz w:val="15"/>
          <w:szCs w:val="15"/>
          <w:color w:val="auto"/>
        </w:rPr>
      </w:pPr>
    </w:p>
    <w:p>
      <w:pPr>
        <w:ind w:left="287" w:right="760" w:hanging="287"/>
        <w:spacing w:after="0" w:line="291" w:lineRule="auto"/>
        <w:tabs>
          <w:tab w:leader="none" w:pos="287"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Income approach – uses valuation techniques, such as the discounted cash flow technique, to convert future amounts to a single present amount based on current market expectations about those future amounts.</w:t>
      </w:r>
    </w:p>
    <w:p>
      <w:pPr>
        <w:spacing w:after="0" w:line="162" w:lineRule="exact"/>
        <w:rPr>
          <w:rFonts w:ascii="Arial" w:cs="Arial" w:eastAsia="Arial" w:hAnsi="Arial"/>
          <w:sz w:val="15"/>
          <w:szCs w:val="15"/>
          <w:color w:val="auto"/>
        </w:rPr>
      </w:pPr>
    </w:p>
    <w:p>
      <w:pPr>
        <w:ind w:left="287" w:hanging="287"/>
        <w:spacing w:after="0"/>
        <w:tabs>
          <w:tab w:leader="none" w:pos="28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Cost approach – based on the amount that currently would be required to replace the service capacity of an asset (replacement cost).</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 December 31, 2019 and 2018:</w:t>
      </w:r>
    </w:p>
    <w:p>
      <w:pPr>
        <w:spacing w:after="0" w:line="225" w:lineRule="exact"/>
        <w:rPr>
          <w:sz w:val="20"/>
          <w:szCs w:val="20"/>
          <w:color w:val="auto"/>
        </w:rPr>
      </w:pPr>
    </w:p>
    <w:tbl>
      <w:tblPr>
        <w:tblLayout w:type="fixed"/>
        <w:tblInd w:w="7"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5"/>
                <w:szCs w:val="15"/>
                <w:b w:val="1"/>
                <w:bCs w:val="1"/>
                <w:color w:val="auto"/>
                <w:w w:val="96"/>
              </w:rPr>
              <w:t>December 31, 2019</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169"/>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Valuation</w:t>
            </w:r>
          </w:p>
        </w:tc>
      </w:tr>
      <w:tr>
        <w:trPr>
          <w:trHeight w:val="206"/>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Arial" w:cs="Arial" w:eastAsia="Arial" w:hAnsi="Arial"/>
                <w:sz w:val="15"/>
                <w:szCs w:val="15"/>
                <w:b w:val="1"/>
                <w:bCs w:val="1"/>
                <w:color w:val="auto"/>
              </w:rPr>
              <w:t>Level 1</w:t>
            </w:r>
          </w:p>
        </w:tc>
        <w:tc>
          <w:tcPr>
            <w:tcW w:w="2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Total</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0"/>
              </w:rPr>
              <w:t>technique</w:t>
            </w:r>
          </w:p>
        </w:tc>
      </w:tr>
      <w:tr>
        <w:trPr>
          <w:trHeight w:val="186"/>
        </w:trPr>
        <w:tc>
          <w:tcPr>
            <w:tcW w:w="42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186"/>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27,098</w:t>
            </w:r>
          </w:p>
        </w:tc>
        <w:tc>
          <w:tcPr>
            <w:tcW w:w="1200" w:type="dxa"/>
            <w:vAlign w:val="bottom"/>
            <w:gridSpan w:val="2"/>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27,098</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Market approach</w:t>
            </w:r>
          </w:p>
        </w:tc>
      </w:tr>
      <w:tr>
        <w:trPr>
          <w:trHeight w:val="186"/>
        </w:trPr>
        <w:tc>
          <w:tcPr>
            <w:tcW w:w="4240" w:type="dxa"/>
            <w:vAlign w:val="bottom"/>
          </w:tcPr>
          <w:p>
            <w:pPr>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65,937</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65,937</w:t>
            </w:r>
          </w:p>
        </w:tc>
        <w:tc>
          <w:tcPr>
            <w:tcW w:w="1820" w:type="dxa"/>
            <w:vAlign w:val="bottom"/>
          </w:tcPr>
          <w:p>
            <w:pPr>
              <w:jc w:val="center"/>
              <w:spacing w:after="0"/>
              <w:rPr>
                <w:sz w:val="20"/>
                <w:szCs w:val="20"/>
                <w:color w:val="auto"/>
              </w:rPr>
            </w:pPr>
            <w:r>
              <w:rPr>
                <w:rFonts w:ascii="Arial" w:cs="Arial" w:eastAsia="Arial" w:hAnsi="Arial"/>
                <w:sz w:val="15"/>
                <w:szCs w:val="15"/>
                <w:color w:val="auto"/>
                <w:w w:val="92"/>
              </w:rPr>
              <w:t>Market approach</w:t>
            </w:r>
          </w:p>
        </w:tc>
      </w:tr>
      <w:tr>
        <w:trPr>
          <w:trHeight w:val="186"/>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Investment in equity securities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2,540</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Market approach</w:t>
            </w:r>
          </w:p>
        </w:tc>
      </w:tr>
      <w:tr>
        <w:trPr>
          <w:trHeight w:val="23"/>
        </w:trPr>
        <w:tc>
          <w:tcPr>
            <w:tcW w:w="4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r>
        <w:trPr>
          <w:trHeight w:val="186"/>
        </w:trPr>
        <w:tc>
          <w:tcPr>
            <w:tcW w:w="4240" w:type="dxa"/>
            <w:vAlign w:val="bottom"/>
          </w:tcPr>
          <w:p>
            <w:pPr>
              <w:ind w:left="14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95,575</w:t>
            </w:r>
          </w:p>
        </w:tc>
        <w:tc>
          <w:tcPr>
            <w:tcW w:w="1200" w:type="dxa"/>
            <w:vAlign w:val="bottom"/>
            <w:gridSpan w:val="2"/>
          </w:tcPr>
          <w:p>
            <w:pPr>
              <w:jc w:val="right"/>
              <w:ind w:right="803"/>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95,575</w:t>
            </w:r>
          </w:p>
        </w:tc>
        <w:tc>
          <w:tcPr>
            <w:tcW w:w="1820" w:type="dxa"/>
            <w:vAlign w:val="bottom"/>
          </w:tcPr>
          <w:p>
            <w:pPr>
              <w:spacing w:after="0"/>
              <w:rPr>
                <w:sz w:val="16"/>
                <w:szCs w:val="16"/>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2"/>
        </w:trPr>
        <w:tc>
          <w:tcPr>
            <w:tcW w:w="4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86"/>
        </w:trPr>
        <w:tc>
          <w:tcPr>
            <w:tcW w:w="424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6"/>
        </w:trPr>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Derivative liability¹</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9,800</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Income approach</w:t>
            </w:r>
          </w:p>
        </w:tc>
      </w:tr>
      <w:tr>
        <w:trPr>
          <w:trHeight w:val="189"/>
        </w:trPr>
        <w:tc>
          <w:tcPr>
            <w:tcW w:w="4240" w:type="dxa"/>
            <w:vAlign w:val="bottom"/>
          </w:tcPr>
          <w:p>
            <w:pPr>
              <w:spacing w:after="0"/>
              <w:rPr>
                <w:sz w:val="20"/>
                <w:szCs w:val="20"/>
                <w:color w:val="auto"/>
              </w:rPr>
            </w:pPr>
            <w:r>
              <w:rPr>
                <w:rFonts w:ascii="Arial" w:cs="Arial" w:eastAsia="Arial" w:hAnsi="Arial"/>
                <w:sz w:val="15"/>
                <w:szCs w:val="15"/>
                <w:color w:val="auto"/>
              </w:rPr>
              <w:t>Equity agreement²</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16,800</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16,800</w:t>
            </w:r>
          </w:p>
        </w:tc>
        <w:tc>
          <w:tcPr>
            <w:tcW w:w="1820" w:type="dxa"/>
            <w:vAlign w:val="bottom"/>
          </w:tcPr>
          <w:p>
            <w:pPr>
              <w:jc w:val="center"/>
              <w:spacing w:after="0"/>
              <w:rPr>
                <w:sz w:val="20"/>
                <w:szCs w:val="20"/>
                <w:color w:val="auto"/>
              </w:rPr>
            </w:pPr>
            <w:r>
              <w:rPr>
                <w:rFonts w:ascii="Arial" w:cs="Arial" w:eastAsia="Arial" w:hAnsi="Arial"/>
                <w:sz w:val="15"/>
                <w:szCs w:val="15"/>
                <w:color w:val="auto"/>
                <w:w w:val="93"/>
              </w:rPr>
              <w:t>Income approach</w:t>
            </w:r>
          </w:p>
        </w:tc>
      </w:tr>
      <w:tr>
        <w:trPr>
          <w:trHeight w:val="226"/>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26,600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26,600</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r>
      <w:tr>
        <w:trPr>
          <w:trHeight w:val="499"/>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jc w:val="right"/>
              <w:ind w:right="663"/>
              <w:spacing w:after="0"/>
              <w:rPr>
                <w:sz w:val="20"/>
                <w:szCs w:val="20"/>
                <w:color w:val="auto"/>
              </w:rPr>
            </w:pPr>
            <w:r>
              <w:rPr>
                <w:rFonts w:ascii="Arial" w:cs="Arial" w:eastAsia="Arial" w:hAnsi="Arial"/>
                <w:sz w:val="12"/>
                <w:szCs w:val="12"/>
                <w:color w:val="auto"/>
              </w:rPr>
              <w:t>F-16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7"/>
        </w:trPr>
        <w:tc>
          <w:tcPr>
            <w:tcW w:w="4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bl>
    <w:p>
      <w:pPr>
        <w:sectPr>
          <w:pgSz w:w="11900" w:h="16838" w:orient="portrait"/>
          <w:cols w:equalWidth="0" w:num="1">
            <w:col w:w="11447"/>
          </w:cols>
          <w:pgMar w:left="233" w:top="124" w:right="219" w:bottom="1440" w:gutter="0" w:footer="0" w:header="0"/>
        </w:sectPr>
      </w:pPr>
    </w:p>
    <w:bookmarkStart w:id="84" w:name="page85"/>
    <w:bookmarkEnd w:id="84"/>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240" w:type="dxa"/>
            <w:vAlign w:val="bottom"/>
            <w:gridSpan w:val="2"/>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332"/>
        </w:trPr>
        <w:tc>
          <w:tcPr>
            <w:tcW w:w="86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5"/>
                <w:szCs w:val="15"/>
                <w:b w:val="1"/>
                <w:bCs w:val="1"/>
                <w:color w:val="auto"/>
                <w:w w:val="96"/>
              </w:rPr>
              <w:t>December 31, 2018</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Valuation</w:t>
            </w:r>
          </w:p>
        </w:tc>
      </w:tr>
      <w:tr>
        <w:trPr>
          <w:trHeight w:val="206"/>
        </w:trPr>
        <w:tc>
          <w:tcPr>
            <w:tcW w:w="8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Arial" w:cs="Arial" w:eastAsia="Arial" w:hAnsi="Arial"/>
                <w:sz w:val="15"/>
                <w:szCs w:val="15"/>
                <w:b w:val="1"/>
                <w:bCs w:val="1"/>
                <w:color w:val="auto"/>
              </w:rPr>
              <w:t>Level 1</w:t>
            </w:r>
          </w:p>
        </w:tc>
        <w:tc>
          <w:tcPr>
            <w:tcW w:w="24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Level 3</w:t>
            </w:r>
          </w:p>
        </w:tc>
        <w:tc>
          <w:tcPr>
            <w:tcW w:w="2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Total</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0"/>
              </w:rPr>
              <w:t>technique</w:t>
            </w: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78,301</w:t>
            </w:r>
          </w:p>
        </w:tc>
        <w:tc>
          <w:tcPr>
            <w:tcW w:w="1200" w:type="dxa"/>
            <w:vAlign w:val="bottom"/>
            <w:gridSpan w:val="2"/>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78,301</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Market approach</w:t>
            </w: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22,552</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22,552</w:t>
            </w:r>
          </w:p>
        </w:tc>
        <w:tc>
          <w:tcPr>
            <w:tcW w:w="1820" w:type="dxa"/>
            <w:vAlign w:val="bottom"/>
          </w:tcPr>
          <w:p>
            <w:pPr>
              <w:jc w:val="center"/>
              <w:spacing w:after="0"/>
              <w:rPr>
                <w:sz w:val="20"/>
                <w:szCs w:val="20"/>
                <w:color w:val="auto"/>
              </w:rPr>
            </w:pPr>
            <w:r>
              <w:rPr>
                <w:rFonts w:ascii="Arial" w:cs="Arial" w:eastAsia="Arial" w:hAnsi="Arial"/>
                <w:sz w:val="15"/>
                <w:szCs w:val="15"/>
                <w:color w:val="auto"/>
                <w:w w:val="92"/>
              </w:rPr>
              <w:t>Market approach</w:t>
            </w: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in equity securities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3,656</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Market approach</w:t>
            </w:r>
          </w:p>
        </w:tc>
      </w:tr>
      <w:tr>
        <w:trPr>
          <w:trHeight w:val="23"/>
        </w:trPr>
        <w:tc>
          <w:tcPr>
            <w:tcW w:w="8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r>
        <w:trPr>
          <w:trHeight w:val="186"/>
        </w:trPr>
        <w:tc>
          <w:tcPr>
            <w:tcW w:w="4240" w:type="dxa"/>
            <w:vAlign w:val="bottom"/>
            <w:gridSpan w:val="2"/>
          </w:tcPr>
          <w:p>
            <w:pPr>
              <w:ind w:left="14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104,509</w:t>
            </w:r>
          </w:p>
        </w:tc>
        <w:tc>
          <w:tcPr>
            <w:tcW w:w="1200" w:type="dxa"/>
            <w:vAlign w:val="bottom"/>
            <w:gridSpan w:val="2"/>
          </w:tcPr>
          <w:p>
            <w:pPr>
              <w:jc w:val="right"/>
              <w:ind w:right="803"/>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104,509</w:t>
            </w:r>
          </w:p>
        </w:tc>
        <w:tc>
          <w:tcPr>
            <w:tcW w:w="18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2"/>
        </w:trPr>
        <w:tc>
          <w:tcPr>
            <w:tcW w:w="86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b w:val="1"/>
                <w:bCs w:val="1"/>
                <w:color w:val="auto"/>
              </w:rPr>
              <w:t>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Derivative liability¹</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9,835</w:t>
            </w:r>
          </w:p>
        </w:tc>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Income approach</w:t>
            </w:r>
          </w:p>
        </w:tc>
      </w:tr>
      <w:tr>
        <w:trPr>
          <w:trHeight w:val="189"/>
        </w:trPr>
        <w:tc>
          <w:tcPr>
            <w:tcW w:w="4240" w:type="dxa"/>
            <w:vAlign w:val="bottom"/>
            <w:gridSpan w:val="2"/>
          </w:tcPr>
          <w:p>
            <w:pPr>
              <w:spacing w:after="0"/>
              <w:rPr>
                <w:sz w:val="20"/>
                <w:szCs w:val="20"/>
                <w:color w:val="auto"/>
              </w:rPr>
            </w:pPr>
            <w:r>
              <w:rPr>
                <w:rFonts w:ascii="Arial" w:cs="Arial" w:eastAsia="Arial" w:hAnsi="Arial"/>
                <w:sz w:val="15"/>
                <w:szCs w:val="15"/>
                <w:color w:val="auto"/>
              </w:rPr>
              <w:t>Equity agreement²</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16,924</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16,924</w:t>
            </w:r>
          </w:p>
        </w:tc>
        <w:tc>
          <w:tcPr>
            <w:tcW w:w="1820" w:type="dxa"/>
            <w:vAlign w:val="bottom"/>
          </w:tcPr>
          <w:p>
            <w:pPr>
              <w:jc w:val="center"/>
              <w:spacing w:after="0"/>
              <w:rPr>
                <w:sz w:val="20"/>
                <w:szCs w:val="20"/>
                <w:color w:val="auto"/>
              </w:rPr>
            </w:pPr>
            <w:r>
              <w:rPr>
                <w:rFonts w:ascii="Arial" w:cs="Arial" w:eastAsia="Arial" w:hAnsi="Arial"/>
                <w:sz w:val="15"/>
                <w:szCs w:val="15"/>
                <w:color w:val="auto"/>
                <w:w w:val="93"/>
              </w:rPr>
              <w:t>Income approach</w:t>
            </w:r>
          </w:p>
        </w:tc>
      </w:tr>
      <w:tr>
        <w:trPr>
          <w:trHeight w:val="226"/>
        </w:trPr>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26,759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26,759</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r>
    </w:tbl>
    <w:p>
      <w:pPr>
        <w:spacing w:after="0" w:line="96" w:lineRule="exact"/>
        <w:rPr>
          <w:sz w:val="20"/>
          <w:szCs w:val="20"/>
          <w:color w:val="auto"/>
        </w:rPr>
      </w:pPr>
    </w:p>
    <w:p>
      <w:pPr>
        <w:ind w:left="287" w:hanging="287"/>
        <w:spacing w:after="0"/>
        <w:tabs>
          <w:tab w:leader="none" w:pos="287" w:val="left"/>
        </w:tabs>
        <w:numPr>
          <w:ilvl w:val="0"/>
          <w:numId w:val="61"/>
        </w:numPr>
        <w:rPr>
          <w:rFonts w:ascii="Arial" w:cs="Arial" w:eastAsia="Arial" w:hAnsi="Arial"/>
          <w:sz w:val="26"/>
          <w:szCs w:val="26"/>
          <w:color w:val="auto"/>
          <w:vertAlign w:val="superscript"/>
        </w:rPr>
      </w:pPr>
      <w:r>
        <w:rPr>
          <w:rFonts w:ascii="Arial" w:cs="Arial" w:eastAsia="Arial" w:hAnsi="Arial"/>
          <w:sz w:val="15"/>
          <w:szCs w:val="15"/>
          <w:color w:val="auto"/>
        </w:rPr>
        <w:t>Consideration due to the sellers of Shannon LNG once first gas is supplied from the terminal to be built.</w:t>
      </w:r>
    </w:p>
    <w:p>
      <w:pPr>
        <w:spacing w:after="0" w:line="1" w:lineRule="exact"/>
        <w:rPr>
          <w:rFonts w:ascii="Arial" w:cs="Arial" w:eastAsia="Arial" w:hAnsi="Arial"/>
          <w:sz w:val="26"/>
          <w:szCs w:val="26"/>
          <w:color w:val="auto"/>
          <w:vertAlign w:val="superscript"/>
        </w:rPr>
      </w:pPr>
    </w:p>
    <w:p>
      <w:pPr>
        <w:ind w:left="287" w:hanging="287"/>
        <w:spacing w:after="0" w:line="182" w:lineRule="auto"/>
        <w:tabs>
          <w:tab w:leader="none" w:pos="287" w:val="left"/>
        </w:tabs>
        <w:numPr>
          <w:ilvl w:val="0"/>
          <w:numId w:val="61"/>
        </w:numPr>
        <w:rPr>
          <w:rFonts w:ascii="Arial" w:cs="Arial" w:eastAsia="Arial" w:hAnsi="Arial"/>
          <w:sz w:val="21"/>
          <w:szCs w:val="21"/>
          <w:color w:val="auto"/>
          <w:vertAlign w:val="superscript"/>
        </w:rPr>
      </w:pPr>
      <w:r>
        <w:rPr>
          <w:rFonts w:ascii="Arial" w:cs="Arial" w:eastAsia="Arial" w:hAnsi="Arial"/>
          <w:sz w:val="13"/>
          <w:szCs w:val="13"/>
          <w:color w:val="auto"/>
        </w:rPr>
        <w:t>To be paid in shares at the earlier of agreed-upon date or the commencement of significant construction activities specified in the Shannon LNG Agreement.</w:t>
      </w:r>
    </w:p>
    <w:p>
      <w:pPr>
        <w:spacing w:after="0" w:line="191" w:lineRule="exact"/>
        <w:rPr>
          <w:sz w:val="20"/>
          <w:szCs w:val="20"/>
          <w:color w:val="auto"/>
        </w:rPr>
      </w:pPr>
    </w:p>
    <w:p>
      <w:pPr>
        <w:ind w:left="7" w:right="240"/>
        <w:spacing w:after="0" w:line="267" w:lineRule="auto"/>
        <w:rPr>
          <w:sz w:val="20"/>
          <w:szCs w:val="20"/>
          <w:color w:val="auto"/>
        </w:rPr>
      </w:pPr>
      <w:r>
        <w:rPr>
          <w:rFonts w:ascii="Arial" w:cs="Arial" w:eastAsia="Arial" w:hAnsi="Arial"/>
          <w:sz w:val="17"/>
          <w:szCs w:val="17"/>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Company recorded a loss from fair value adjustments on the derivative liability and equity agreement of $121 and $0 within Other income, net in the consolidated statements of operations and a gain of $280 and $0 within unrealized gain on currency translation adjustment in the Other comprehensive loss for the year ended December 31, 2019 and 2018, respectively. During the year ended December 31, 2019 and 2018, the Company had no settlements of the equity agreement or derivative liability or any transfers in or out of Level 3 in the fair value hierarchy.</w:t>
      </w:r>
    </w:p>
    <w:p>
      <w:pPr>
        <w:spacing w:after="0" w:line="159" w:lineRule="exact"/>
        <w:rPr>
          <w:sz w:val="20"/>
          <w:szCs w:val="20"/>
          <w:color w:val="auto"/>
        </w:rPr>
      </w:pPr>
    </w:p>
    <w:p>
      <w:pPr>
        <w:ind w:left="7" w:right="280"/>
        <w:spacing w:after="0" w:line="237" w:lineRule="auto"/>
        <w:rPr>
          <w:sz w:val="20"/>
          <w:szCs w:val="20"/>
          <w:color w:val="auto"/>
        </w:rPr>
      </w:pPr>
      <w:r>
        <w:rPr>
          <w:rFonts w:ascii="Arial" w:cs="Arial" w:eastAsia="Arial" w:hAnsi="Arial"/>
          <w:sz w:val="19"/>
          <w:szCs w:val="19"/>
          <w:color w:val="auto"/>
        </w:rPr>
        <w:t>The Company estimates fair value of outstanding debt using a discounted cash flow method based on current market interest rates for debt issuances with similar remaining years to maturity and adjusted for credit risk. The Company has estimated that the carrying value for each of the Term Loan Facility, Senior Secured Bonds, and Senior Unsecured Bonds (all defined below in “Note 17. Debt”) approximate fair value. The fair value estimate is classified as Level 3 in the fair value hierarchy.</w:t>
      </w:r>
    </w:p>
    <w:p>
      <w:pPr>
        <w:spacing w:after="0" w:line="185" w:lineRule="exact"/>
        <w:rPr>
          <w:sz w:val="20"/>
          <w:szCs w:val="20"/>
          <w:color w:val="auto"/>
        </w:rPr>
      </w:pPr>
    </w:p>
    <w:p>
      <w:pPr>
        <w:ind w:left="567" w:hanging="567"/>
        <w:spacing w:after="0"/>
        <w:tabs>
          <w:tab w:leader="none" w:pos="567"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Restricted cash</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As of December 31, 2019 and 2018, restricted cash consisted of the following:</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b w:val="1"/>
                <w:bCs w:val="1"/>
                <w:color w:val="auto"/>
                <w:w w:val="92"/>
              </w:rPr>
              <w:t>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4"/>
              </w:rPr>
              <w:t>December 31,</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Collateral for performance under customer 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15,095</w:t>
            </w:r>
          </w:p>
        </w:tc>
        <w:tc>
          <w:tcPr>
            <w:tcW w:w="100" w:type="dxa"/>
            <w:vAlign w:val="bottom"/>
            <w:shd w:val="clear" w:color="auto" w:fill="CCEEFF"/>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gridSpan w:val="2"/>
          </w:tcPr>
          <w:p>
            <w:pPr>
              <w:spacing w:after="0"/>
              <w:rPr>
                <w:sz w:val="20"/>
                <w:szCs w:val="20"/>
                <w:color w:val="auto"/>
              </w:rPr>
            </w:pPr>
            <w:r>
              <w:rPr>
                <w:rFonts w:ascii="Arial" w:cs="Arial" w:eastAsia="Arial" w:hAnsi="Arial"/>
                <w:sz w:val="15"/>
                <w:szCs w:val="15"/>
                <w:color w:val="auto"/>
              </w:rPr>
              <w:t>Collateral for LNG purchases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5"/>
                <w:szCs w:val="15"/>
                <w:color w:val="auto"/>
              </w:rPr>
              <w:t>927</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Collateral for letters of credit and performance bonds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6,238</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560" w:type="dxa"/>
            <w:vAlign w:val="bottom"/>
            <w:gridSpan w:val="2"/>
          </w:tcPr>
          <w:p>
            <w:pPr>
              <w:spacing w:after="0"/>
              <w:rPr>
                <w:sz w:val="20"/>
                <w:szCs w:val="20"/>
                <w:color w:val="auto"/>
              </w:rPr>
            </w:pPr>
            <w:r>
              <w:rPr>
                <w:rFonts w:ascii="Arial" w:cs="Arial" w:eastAsia="Arial" w:hAnsi="Arial"/>
                <w:sz w:val="15"/>
                <w:szCs w:val="15"/>
                <w:color w:val="auto"/>
              </w:rPr>
              <w:t>Debt service reserve account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8,299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Other restricted cash</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Arial" w:cs="Arial" w:eastAsia="Arial" w:hAnsi="Arial"/>
                <w:sz w:val="15"/>
                <w:szCs w:val="15"/>
                <w:color w:val="auto"/>
              </w:rPr>
              <w:t>Total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65,937</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5"/>
                <w:szCs w:val="15"/>
                <w:color w:val="auto"/>
              </w:rPr>
              <w:t>22,552</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65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30,966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560" w:type="dxa"/>
            <w:vAlign w:val="bottom"/>
            <w:gridSpan w:val="2"/>
          </w:tcPr>
          <w:p>
            <w:pPr>
              <w:spacing w:after="0"/>
              <w:rPr>
                <w:sz w:val="20"/>
                <w:szCs w:val="20"/>
                <w:color w:val="auto"/>
              </w:rPr>
            </w:pPr>
            <w:r>
              <w:rPr>
                <w:rFonts w:ascii="Arial" w:cs="Arial" w:eastAsia="Arial" w:hAnsi="Arial"/>
                <w:sz w:val="15"/>
                <w:szCs w:val="15"/>
                <w:color w:val="auto"/>
              </w:rPr>
              <w:t>Non-current restricted cash</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34,971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5"/>
                <w:szCs w:val="15"/>
                <w:color w:val="auto"/>
              </w:rPr>
              <w:t>22,522</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4"/>
        </w:trPr>
        <w:tc>
          <w:tcPr>
            <w:tcW w:w="120" w:type="dxa"/>
            <w:vAlign w:val="bottom"/>
          </w:tcPr>
          <w:p>
            <w:pPr>
              <w:spacing w:after="0"/>
              <w:rPr>
                <w:sz w:val="20"/>
                <w:szCs w:val="20"/>
                <w:color w:val="auto"/>
              </w:rPr>
            </w:pPr>
            <w:r>
              <w:rPr>
                <w:rFonts w:ascii="Arial" w:cs="Arial" w:eastAsia="Arial" w:hAnsi="Arial"/>
                <w:sz w:val="15"/>
                <w:szCs w:val="15"/>
                <w:b w:val="1"/>
                <w:bCs w:val="1"/>
                <w:color w:val="auto"/>
                <w:w w:val="79"/>
              </w:rPr>
              <w:t>8.</w:t>
            </w:r>
          </w:p>
        </w:tc>
        <w:tc>
          <w:tcPr>
            <w:tcW w:w="6440" w:type="dxa"/>
            <w:vAlign w:val="bottom"/>
          </w:tcPr>
          <w:p>
            <w:pPr>
              <w:ind w:left="440"/>
              <w:spacing w:after="0"/>
              <w:rPr>
                <w:sz w:val="20"/>
                <w:szCs w:val="20"/>
                <w:color w:val="auto"/>
              </w:rPr>
            </w:pPr>
            <w:r>
              <w:rPr>
                <w:rFonts w:ascii="Arial" w:cs="Arial" w:eastAsia="Arial" w:hAnsi="Arial"/>
                <w:sz w:val="15"/>
                <w:szCs w:val="15"/>
                <w:b w:val="1"/>
                <w:bCs w:val="1"/>
                <w:color w:val="auto"/>
              </w:rPr>
              <w:t>Inventory</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6560" w:type="dxa"/>
            <w:vAlign w:val="bottom"/>
            <w:gridSpan w:val="2"/>
          </w:tcPr>
          <w:p>
            <w:pPr>
              <w:spacing w:after="0"/>
              <w:rPr>
                <w:sz w:val="20"/>
                <w:szCs w:val="20"/>
                <w:color w:val="auto"/>
              </w:rPr>
            </w:pPr>
            <w:r>
              <w:rPr>
                <w:rFonts w:ascii="Arial" w:cs="Arial" w:eastAsia="Arial" w:hAnsi="Arial"/>
                <w:sz w:val="19"/>
                <w:szCs w:val="19"/>
                <w:color w:val="auto"/>
              </w:rPr>
              <w:t>As of December 31, 2019 and 2018, inventory consisted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4"/>
          </w:tcPr>
          <w:p>
            <w:pPr>
              <w:ind w:left="140"/>
              <w:spacing w:after="0"/>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1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LNG and natural gas inventory</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57,436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15,611</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gridSpan w:val="2"/>
          </w:tcPr>
          <w:p>
            <w:pPr>
              <w:spacing w:after="0"/>
              <w:rPr>
                <w:sz w:val="20"/>
                <w:szCs w:val="20"/>
                <w:color w:val="auto"/>
              </w:rPr>
            </w:pPr>
            <w:r>
              <w:rPr>
                <w:rFonts w:ascii="Arial" w:cs="Arial" w:eastAsia="Arial" w:hAnsi="Arial"/>
                <w:sz w:val="15"/>
                <w:szCs w:val="15"/>
                <w:color w:val="auto"/>
              </w:rPr>
              <w:t>ADO inventory</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4,746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Materials, supplies and other</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6440" w:type="dxa"/>
            <w:vAlign w:val="bottom"/>
          </w:tcPr>
          <w:p>
            <w:pPr>
              <w:ind w:left="20"/>
              <w:spacing w:after="0"/>
              <w:rPr>
                <w:sz w:val="20"/>
                <w:szCs w:val="20"/>
                <w:color w:val="auto"/>
              </w:rPr>
            </w:pPr>
            <w:r>
              <w:rPr>
                <w:rFonts w:ascii="Arial" w:cs="Arial" w:eastAsia="Arial" w:hAnsi="Arial"/>
                <w:sz w:val="15"/>
                <w:szCs w:val="15"/>
                <w:color w:val="auto"/>
              </w:rPr>
              <w:t>Total inventory</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8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63,432</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15,959</w:t>
            </w:r>
          </w:p>
        </w:tc>
      </w:tr>
      <w:tr>
        <w:trPr>
          <w:trHeight w:val="20"/>
        </w:trPr>
        <w:tc>
          <w:tcPr>
            <w:tcW w:w="1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left="7" w:right="200"/>
        <w:spacing w:after="0" w:line="260"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consolidated statements of operations and comprehensive loss. The Company recorded an adjustment to the value of inventory of $251 during the year ended December 31, 2019. No adjustments were recorded during the years ended December 31, 2018, and 2017.</w:t>
      </w:r>
    </w:p>
    <w:p>
      <w:pPr>
        <w:spacing w:after="0" w:line="32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18" w:right="219" w:bottom="1440" w:gutter="0" w:footer="0" w:header="0"/>
        </w:sectPr>
      </w:pPr>
    </w:p>
    <w:bookmarkStart w:id="85" w:name="page86"/>
    <w:bookmarkEnd w:id="85"/>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567" w:hanging="567"/>
        <w:spacing w:after="0"/>
        <w:tabs>
          <w:tab w:leader="none" w:pos="567"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Prepaid expenses and other current assets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As of December 31, 2019 and 2018, prepaid expenses and other current assets consisted of the following:</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3"/>
              <w:spacing w:after="0"/>
              <w:rPr>
                <w:sz w:val="20"/>
                <w:szCs w:val="20"/>
                <w:color w:val="auto"/>
              </w:rPr>
            </w:pPr>
            <w:r>
              <w:rPr>
                <w:rFonts w:ascii="Arial" w:cs="Arial" w:eastAsia="Arial" w:hAnsi="Arial"/>
                <w:sz w:val="15"/>
                <w:szCs w:val="15"/>
                <w:b w:val="1"/>
                <w:bCs w:val="1"/>
                <w:color w:val="auto"/>
                <w:w w:val="96"/>
              </w:rPr>
              <w:t>December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3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86"/>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2,169</w:t>
            </w:r>
          </w:p>
        </w:tc>
        <w:tc>
          <w:tcPr>
            <w:tcW w:w="100" w:type="dxa"/>
            <w:vAlign w:val="bottom"/>
            <w:shd w:val="clear" w:color="auto" w:fill="CCEEFF"/>
          </w:tcPr>
          <w:p>
            <w:pPr>
              <w:spacing w:after="0"/>
              <w:rPr>
                <w:sz w:val="16"/>
                <w:szCs w:val="16"/>
                <w:color w:val="auto"/>
              </w:rPr>
            </w:pPr>
          </w:p>
        </w:tc>
      </w:tr>
      <w:tr>
        <w:trPr>
          <w:trHeight w:val="186"/>
        </w:trPr>
        <w:tc>
          <w:tcPr>
            <w:tcW w:w="3980" w:type="dxa"/>
            <w:vAlign w:val="bottom"/>
          </w:tcPr>
          <w:p>
            <w:pPr>
              <w:spacing w:after="0"/>
              <w:rPr>
                <w:sz w:val="20"/>
                <w:szCs w:val="20"/>
                <w:color w:val="auto"/>
              </w:rPr>
            </w:pPr>
            <w:r>
              <w:rPr>
                <w:rFonts w:ascii="Arial" w:cs="Arial" w:eastAsia="Arial" w:hAnsi="Arial"/>
                <w:sz w:val="15"/>
                <w:szCs w:val="15"/>
                <w:color w:val="auto"/>
              </w:rPr>
              <w:t>Prepaid LNG</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7,097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16,170</w:t>
            </w:r>
          </w:p>
        </w:tc>
      </w:tr>
      <w:tr>
        <w:trPr>
          <w:trHeight w:val="186"/>
        </w:trPr>
        <w:tc>
          <w:tcPr>
            <w:tcW w:w="3980" w:type="dxa"/>
            <w:vAlign w:val="bottom"/>
            <w:shd w:val="clear" w:color="auto" w:fill="CCEEFF"/>
          </w:tcPr>
          <w:p>
            <w:pPr>
              <w:spacing w:after="0"/>
              <w:rPr>
                <w:sz w:val="20"/>
                <w:szCs w:val="20"/>
                <w:color w:val="auto"/>
              </w:rPr>
            </w:pPr>
            <w:r>
              <w:rPr>
                <w:rFonts w:ascii="Arial" w:cs="Arial" w:eastAsia="Arial" w:hAnsi="Arial"/>
                <w:sz w:val="15"/>
                <w:szCs w:val="15"/>
                <w:color w:val="auto"/>
              </w:rPr>
              <w:t>Due from affiliates (Note 24)</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890</w:t>
            </w:r>
          </w:p>
        </w:tc>
      </w:tr>
      <w:tr>
        <w:trPr>
          <w:trHeight w:val="189"/>
        </w:trPr>
        <w:tc>
          <w:tcPr>
            <w:tcW w:w="3980" w:type="dxa"/>
            <w:vAlign w:val="bottom"/>
          </w:tcPr>
          <w:p>
            <w:pPr>
              <w:spacing w:after="0"/>
              <w:rPr>
                <w:sz w:val="20"/>
                <w:szCs w:val="20"/>
                <w:color w:val="auto"/>
              </w:rPr>
            </w:pPr>
            <w:r>
              <w:rPr>
                <w:rFonts w:ascii="Arial" w:cs="Arial" w:eastAsia="Arial" w:hAnsi="Arial"/>
                <w:sz w:val="15"/>
                <w:szCs w:val="15"/>
                <w:color w:val="auto"/>
              </w:rPr>
              <w:t>Other current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22,520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10,788</w:t>
            </w:r>
          </w:p>
        </w:tc>
      </w:tr>
      <w:tr>
        <w:trPr>
          <w:trHeight w:val="226"/>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prepaid expenses and other current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38,652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30,017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7" w:right="100"/>
        <w:spacing w:after="0"/>
        <w:rPr>
          <w:sz w:val="20"/>
          <w:szCs w:val="20"/>
          <w:color w:val="auto"/>
        </w:rPr>
      </w:pPr>
      <w:r>
        <w:rPr>
          <w:rFonts w:ascii="Arial" w:cs="Arial" w:eastAsia="Arial" w:hAnsi="Arial"/>
          <w:sz w:val="19"/>
          <w:szCs w:val="19"/>
          <w:color w:val="auto"/>
        </w:rPr>
        <w:t>Other current assets as of December 31, 2019 primarily consists of capitalized costs associated with delivering development services to a customer and receivables for recoverable taxes. Other current assets as of December 31, 2018 primarily consists of IPO issuance costs incurred which were netted against issuance proceeds upon completion of the IPO.</w:t>
      </w:r>
    </w:p>
    <w:p>
      <w:pPr>
        <w:spacing w:after="0" w:line="183" w:lineRule="exact"/>
        <w:rPr>
          <w:sz w:val="20"/>
          <w:szCs w:val="20"/>
          <w:color w:val="auto"/>
        </w:rPr>
      </w:pPr>
    </w:p>
    <w:p>
      <w:pPr>
        <w:ind w:left="567" w:hanging="567"/>
        <w:spacing w:after="0"/>
        <w:tabs>
          <w:tab w:leader="none" w:pos="567"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in equity securities</w:t>
      </w:r>
    </w:p>
    <w:p>
      <w:pPr>
        <w:spacing w:after="0" w:line="220" w:lineRule="exact"/>
        <w:rPr>
          <w:sz w:val="20"/>
          <w:szCs w:val="20"/>
          <w:color w:val="auto"/>
        </w:rPr>
      </w:pPr>
    </w:p>
    <w:p>
      <w:pPr>
        <w:ind w:left="7"/>
        <w:spacing w:after="0" w:line="250" w:lineRule="auto"/>
        <w:rPr>
          <w:sz w:val="20"/>
          <w:szCs w:val="20"/>
          <w:color w:val="auto"/>
        </w:rPr>
      </w:pPr>
      <w:r>
        <w:rPr>
          <w:rFonts w:ascii="Arial" w:cs="Arial" w:eastAsia="Arial" w:hAnsi="Arial"/>
          <w:sz w:val="19"/>
          <w:szCs w:val="19"/>
          <w:color w:val="auto"/>
        </w:rPr>
        <w:t>The Company has invested in equity securities of an international oil and gas drilling contractor. The following tables present the number of shares, cost and fair value of the investment:</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206"/>
        </w:trPr>
        <w:tc>
          <w:tcPr>
            <w:tcW w:w="26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5"/>
                <w:szCs w:val="15"/>
                <w:b w:val="1"/>
                <w:bCs w:val="1"/>
                <w:color w:val="auto"/>
                <w:w w:val="93"/>
              </w:rPr>
              <w:t>December 31,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26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w w:val="95"/>
              </w:rPr>
              <w:t>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6340" w:type="dxa"/>
            <w:vAlign w:val="bottom"/>
            <w:gridSpan w:val="2"/>
          </w:tcPr>
          <w:p>
            <w:pPr>
              <w:spacing w:after="0" w:line="168" w:lineRule="exact"/>
              <w:rPr>
                <w:sz w:val="20"/>
                <w:szCs w:val="20"/>
                <w:color w:val="auto"/>
              </w:rPr>
            </w:pPr>
            <w:r>
              <w:rPr>
                <w:rFonts w:ascii="Arial" w:cs="Arial" w:eastAsia="Arial" w:hAnsi="Arial"/>
                <w:sz w:val="15"/>
                <w:szCs w:val="15"/>
                <w:color w:val="auto"/>
              </w:rPr>
              <w:t>(in thousands of U.S. dollars except shares)</w:t>
            </w:r>
          </w:p>
        </w:tc>
        <w:tc>
          <w:tcPr>
            <w:tcW w:w="1220" w:type="dxa"/>
            <w:vAlign w:val="bottom"/>
            <w:gridSpan w:val="2"/>
          </w:tcPr>
          <w:p>
            <w:pPr>
              <w:jc w:val="center"/>
              <w:ind w:right="100"/>
              <w:spacing w:after="0" w:line="168" w:lineRule="exact"/>
              <w:rPr>
                <w:sz w:val="20"/>
                <w:szCs w:val="20"/>
                <w:color w:val="auto"/>
              </w:rPr>
            </w:pPr>
            <w:r>
              <w:rPr>
                <w:rFonts w:ascii="Arial" w:cs="Arial" w:eastAsia="Arial" w:hAnsi="Arial"/>
                <w:sz w:val="15"/>
                <w:szCs w:val="15"/>
                <w:b w:val="1"/>
                <w:bCs w:val="1"/>
                <w:color w:val="auto"/>
                <w:w w:val="87"/>
              </w:rPr>
              <w:t>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480"/>
              <w:spacing w:after="0" w:line="168" w:lineRule="exact"/>
              <w:rPr>
                <w:sz w:val="20"/>
                <w:szCs w:val="20"/>
                <w:color w:val="auto"/>
              </w:rPr>
            </w:pPr>
            <w:r>
              <w:rPr>
                <w:rFonts w:ascii="Arial" w:cs="Arial" w:eastAsia="Arial" w:hAnsi="Arial"/>
                <w:sz w:val="15"/>
                <w:szCs w:val="15"/>
                <w:b w:val="1"/>
                <w:bCs w:val="1"/>
                <w:color w:val="auto"/>
                <w:w w:val="89"/>
              </w:rPr>
              <w:t>Cost</w:t>
            </w:r>
          </w:p>
        </w:tc>
        <w:tc>
          <w:tcPr>
            <w:tcW w:w="14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Arial" w:cs="Arial" w:eastAsia="Arial" w:hAnsi="Arial"/>
                <w:sz w:val="15"/>
                <w:szCs w:val="15"/>
                <w:b w:val="1"/>
                <w:bCs w:val="1"/>
                <w:color w:val="auto"/>
              </w:rPr>
              <w:t>Fair value</w:t>
            </w:r>
          </w:p>
        </w:tc>
      </w:tr>
      <w:tr>
        <w:trPr>
          <w:trHeight w:val="20"/>
        </w:trPr>
        <w:tc>
          <w:tcPr>
            <w:tcW w:w="268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6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in equity securities¹</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295,256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2,540</w:t>
            </w:r>
          </w:p>
        </w:tc>
        <w:tc>
          <w:tcPr>
            <w:tcW w:w="120" w:type="dxa"/>
            <w:vAlign w:val="bottom"/>
            <w:shd w:val="clear" w:color="auto" w:fill="CCEEFF"/>
          </w:tcPr>
          <w:p>
            <w:pPr>
              <w:spacing w:after="0"/>
              <w:rPr>
                <w:sz w:val="15"/>
                <w:szCs w:val="15"/>
                <w:color w:val="auto"/>
              </w:rPr>
            </w:pPr>
          </w:p>
        </w:tc>
      </w:tr>
      <w:tr>
        <w:trPr>
          <w:trHeight w:val="428"/>
        </w:trPr>
        <w:tc>
          <w:tcPr>
            <w:tcW w:w="7560" w:type="dxa"/>
            <w:vAlign w:val="bottom"/>
            <w:gridSpan w:val="4"/>
          </w:tcPr>
          <w:p>
            <w:pPr>
              <w:spacing w:after="0"/>
              <w:rPr>
                <w:sz w:val="20"/>
                <w:szCs w:val="20"/>
                <w:color w:val="auto"/>
              </w:rPr>
            </w:pPr>
            <w:r>
              <w:rPr>
                <w:rFonts w:ascii="Arial" w:cs="Arial" w:eastAsia="Arial" w:hAnsi="Arial"/>
                <w:sz w:val="19"/>
                <w:szCs w:val="19"/>
                <w:color w:val="auto"/>
                <w:w w:val="95"/>
              </w:rPr>
              <w:t>¹During the year ended December 31, 2019, the investee effected a 5-for-1 reverse stock split.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9"/>
        </w:trPr>
        <w:tc>
          <w:tcPr>
            <w:tcW w:w="2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5"/>
                <w:szCs w:val="15"/>
                <w:b w:val="1"/>
                <w:bCs w:val="1"/>
                <w:color w:val="auto"/>
                <w:w w:val="93"/>
              </w:rPr>
              <w:t>December 31,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26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gridSpan w:val="2"/>
          </w:tcPr>
          <w:p>
            <w:pPr>
              <w:jc w:val="center"/>
              <w:ind w:right="100"/>
              <w:spacing w:after="0" w:line="169" w:lineRule="exact"/>
              <w:rPr>
                <w:sz w:val="20"/>
                <w:szCs w:val="20"/>
                <w:color w:val="auto"/>
              </w:rPr>
            </w:pPr>
            <w:r>
              <w:rPr>
                <w:rFonts w:ascii="Arial" w:cs="Arial" w:eastAsia="Arial" w:hAnsi="Arial"/>
                <w:sz w:val="15"/>
                <w:szCs w:val="15"/>
                <w:b w:val="1"/>
                <w:bCs w:val="1"/>
                <w:color w:val="auto"/>
                <w:w w:val="95"/>
              </w:rPr>
              <w:t>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6340" w:type="dxa"/>
            <w:vAlign w:val="bottom"/>
            <w:gridSpan w:val="2"/>
          </w:tcPr>
          <w:p>
            <w:pPr>
              <w:spacing w:after="0" w:line="168" w:lineRule="exact"/>
              <w:rPr>
                <w:sz w:val="20"/>
                <w:szCs w:val="20"/>
                <w:color w:val="auto"/>
              </w:rPr>
            </w:pPr>
            <w:r>
              <w:rPr>
                <w:rFonts w:ascii="Arial" w:cs="Arial" w:eastAsia="Arial" w:hAnsi="Arial"/>
                <w:sz w:val="15"/>
                <w:szCs w:val="15"/>
                <w:color w:val="auto"/>
              </w:rPr>
              <w:t>(in thousands of U.S. dollars except shares)</w:t>
            </w:r>
          </w:p>
        </w:tc>
        <w:tc>
          <w:tcPr>
            <w:tcW w:w="1220" w:type="dxa"/>
            <w:vAlign w:val="bottom"/>
            <w:gridSpan w:val="2"/>
          </w:tcPr>
          <w:p>
            <w:pPr>
              <w:jc w:val="center"/>
              <w:ind w:right="100"/>
              <w:spacing w:after="0" w:line="168" w:lineRule="exact"/>
              <w:rPr>
                <w:sz w:val="20"/>
                <w:szCs w:val="20"/>
                <w:color w:val="auto"/>
              </w:rPr>
            </w:pPr>
            <w:r>
              <w:rPr>
                <w:rFonts w:ascii="Arial" w:cs="Arial" w:eastAsia="Arial" w:hAnsi="Arial"/>
                <w:sz w:val="15"/>
                <w:szCs w:val="15"/>
                <w:b w:val="1"/>
                <w:bCs w:val="1"/>
                <w:color w:val="auto"/>
                <w:w w:val="87"/>
              </w:rPr>
              <w:t>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480"/>
              <w:spacing w:after="0" w:line="168" w:lineRule="exact"/>
              <w:rPr>
                <w:sz w:val="20"/>
                <w:szCs w:val="20"/>
                <w:color w:val="auto"/>
              </w:rPr>
            </w:pPr>
            <w:r>
              <w:rPr>
                <w:rFonts w:ascii="Arial" w:cs="Arial" w:eastAsia="Arial" w:hAnsi="Arial"/>
                <w:sz w:val="15"/>
                <w:szCs w:val="15"/>
                <w:b w:val="1"/>
                <w:bCs w:val="1"/>
                <w:color w:val="auto"/>
                <w:w w:val="89"/>
              </w:rPr>
              <w:t>Cost</w:t>
            </w:r>
          </w:p>
        </w:tc>
        <w:tc>
          <w:tcPr>
            <w:tcW w:w="14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Arial" w:cs="Arial" w:eastAsia="Arial" w:hAnsi="Arial"/>
                <w:sz w:val="15"/>
                <w:szCs w:val="15"/>
                <w:b w:val="1"/>
                <w:bCs w:val="1"/>
                <w:color w:val="auto"/>
              </w:rPr>
              <w:t>Fair value</w:t>
            </w:r>
          </w:p>
        </w:tc>
      </w:tr>
      <w:tr>
        <w:trPr>
          <w:trHeight w:val="20"/>
        </w:trPr>
        <w:tc>
          <w:tcPr>
            <w:tcW w:w="268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4"/>
        </w:trPr>
        <w:tc>
          <w:tcPr>
            <w:tcW w:w="6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in equity securities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1,476,280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w:t>
            </w:r>
          </w:p>
        </w:tc>
        <w:tc>
          <w:tcPr>
            <w:tcW w:w="120" w:type="dxa"/>
            <w:vAlign w:val="bottom"/>
            <w:shd w:val="clear" w:color="auto" w:fill="CCEEFF"/>
          </w:tcPr>
          <w:p>
            <w:pPr>
              <w:spacing w:after="0"/>
              <w:rPr>
                <w:sz w:val="15"/>
                <w:szCs w:val="15"/>
                <w:color w:val="auto"/>
              </w:rPr>
            </w:pPr>
          </w:p>
        </w:tc>
      </w:tr>
    </w:tbl>
    <w:p>
      <w:pPr>
        <w:spacing w:after="0" w:line="190"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movement in the value of the equity investment during the years ended December 31, 2019 and 2018 is summarized below:</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2"/>
              </w:rPr>
              <w:t>December 31,</w:t>
            </w: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77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r>
      <w:tr>
        <w:trPr>
          <w:trHeight w:val="186"/>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center"/>
              <w:ind w:left="623"/>
              <w:spacing w:after="0"/>
              <w:rPr>
                <w:sz w:val="20"/>
                <w:szCs w:val="20"/>
                <w:color w:val="auto"/>
              </w:rPr>
            </w:pPr>
            <w:r>
              <w:rPr>
                <w:rFonts w:ascii="Arial" w:cs="Arial" w:eastAsia="Arial" w:hAnsi="Arial"/>
                <w:sz w:val="15"/>
                <w:szCs w:val="15"/>
                <w:color w:val="auto"/>
                <w:w w:val="90"/>
              </w:rPr>
              <w:t>6,333</w:t>
            </w:r>
          </w:p>
        </w:tc>
        <w:tc>
          <w:tcPr>
            <w:tcW w:w="120" w:type="dxa"/>
            <w:vAlign w:val="bottom"/>
            <w:shd w:val="clear" w:color="auto" w:fill="CCEEFF"/>
          </w:tcPr>
          <w:p>
            <w:pPr>
              <w:spacing w:after="0"/>
              <w:rPr>
                <w:sz w:val="16"/>
                <w:szCs w:val="16"/>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5"/>
                <w:szCs w:val="15"/>
                <w:color w:val="auto"/>
              </w:rPr>
              <w:t>Unrealized loss</w:t>
            </w: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(1,116)</w:t>
            </w:r>
          </w:p>
        </w:tc>
        <w:tc>
          <w:tcPr>
            <w:tcW w:w="80" w:type="dxa"/>
            <w:vAlign w:val="bottom"/>
          </w:tcPr>
          <w:p>
            <w:pPr>
              <w:spacing w:after="0"/>
              <w:rPr>
                <w:sz w:val="16"/>
                <w:szCs w:val="16"/>
                <w:color w:val="auto"/>
              </w:rPr>
            </w:pPr>
          </w:p>
        </w:tc>
        <w:tc>
          <w:tcPr>
            <w:tcW w:w="1160" w:type="dxa"/>
            <w:vAlign w:val="bottom"/>
            <w:gridSpan w:val="2"/>
          </w:tcPr>
          <w:p>
            <w:pPr>
              <w:jc w:val="center"/>
              <w:ind w:left="503"/>
              <w:spacing w:after="0"/>
              <w:rPr>
                <w:sz w:val="20"/>
                <w:szCs w:val="20"/>
                <w:color w:val="auto"/>
              </w:rPr>
            </w:pPr>
            <w:r>
              <w:rPr>
                <w:rFonts w:ascii="Arial" w:cs="Arial" w:eastAsia="Arial" w:hAnsi="Arial"/>
                <w:sz w:val="15"/>
                <w:szCs w:val="15"/>
                <w:color w:val="auto"/>
                <w:w w:val="96"/>
              </w:rPr>
              <w:t>(2,677)</w:t>
            </w:r>
          </w:p>
        </w:tc>
      </w:tr>
      <w:tr>
        <w:trPr>
          <w:trHeight w:val="226"/>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2,540</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center"/>
              <w:ind w:left="623"/>
              <w:spacing w:after="0"/>
              <w:rPr>
                <w:sz w:val="20"/>
                <w:szCs w:val="20"/>
                <w:color w:val="auto"/>
              </w:rPr>
            </w:pPr>
            <w:r>
              <w:rPr>
                <w:rFonts w:ascii="Arial" w:cs="Arial" w:eastAsia="Arial" w:hAnsi="Arial"/>
                <w:sz w:val="15"/>
                <w:szCs w:val="15"/>
                <w:color w:val="auto"/>
                <w:w w:val="90"/>
              </w:rPr>
              <w:t>3,656</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jc w:val="both"/>
        <w:ind w:left="7" w:right="80"/>
        <w:spacing w:after="0"/>
        <w:rPr>
          <w:sz w:val="20"/>
          <w:szCs w:val="20"/>
          <w:color w:val="auto"/>
        </w:rPr>
      </w:pPr>
      <w:r>
        <w:rPr>
          <w:rFonts w:ascii="Arial" w:cs="Arial" w:eastAsia="Arial" w:hAnsi="Arial"/>
          <w:sz w:val="19"/>
          <w:szCs w:val="19"/>
          <w:color w:val="auto"/>
        </w:rPr>
        <w:t>The unrealized loss of $1,116 for the year ended December 31, 2019 is included within Other income, net in the consolidated statements of operations and comprehensive loss. The unrealized loss of $2,677 for the year ended December 31, 2018 was included within unrealized loss on available-for-sale investment in the Other comprehensive loss.</w:t>
      </w:r>
    </w:p>
    <w:p>
      <w:pPr>
        <w:spacing w:after="0" w:line="347" w:lineRule="exact"/>
        <w:rPr>
          <w:sz w:val="20"/>
          <w:szCs w:val="20"/>
          <w:color w:val="auto"/>
        </w:rPr>
      </w:pPr>
    </w:p>
    <w:p>
      <w:pPr>
        <w:jc w:val="center"/>
        <w:ind w:right="-126"/>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27"/>
          </w:cols>
          <w:pgMar w:left="233" w:top="124" w:right="339" w:bottom="1440" w:gutter="0" w:footer="0" w:header="0"/>
        </w:sectPr>
      </w:pPr>
    </w:p>
    <w:bookmarkStart w:id="86" w:name="page87"/>
    <w:bookmarkEnd w:id="86"/>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567" w:hanging="567"/>
        <w:spacing w:after="0"/>
        <w:tabs>
          <w:tab w:leader="none" w:pos="567"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Construction in progress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Company’s construction in progress activity during the years ended December 31, 2019 and 2018 is detailed below:</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2"/>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77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r>
      <w:tr>
        <w:trPr>
          <w:trHeight w:val="186"/>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Balance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254,700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35,413</w:t>
            </w:r>
          </w:p>
        </w:tc>
        <w:tc>
          <w:tcPr>
            <w:tcW w:w="120" w:type="dxa"/>
            <w:vAlign w:val="bottom"/>
            <w:shd w:val="clear" w:color="auto" w:fill="CCEEFF"/>
          </w:tcPr>
          <w:p>
            <w:pPr>
              <w:spacing w:after="0"/>
              <w:rPr>
                <w:sz w:val="16"/>
                <w:szCs w:val="16"/>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5"/>
                <w:szCs w:val="15"/>
                <w:color w:val="auto"/>
              </w:rPr>
              <w:t>Additions</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315,188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224,871</w:t>
            </w:r>
          </w:p>
        </w:tc>
      </w:tr>
      <w:tr>
        <w:trPr>
          <w:trHeight w:val="186"/>
        </w:trPr>
        <w:tc>
          <w:tcPr>
            <w:tcW w:w="7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Transferred to property, plant and equipment, net (Note 12)</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(103,301)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(5,584)</w:t>
            </w:r>
          </w:p>
        </w:tc>
      </w:tr>
      <w:tr>
        <w:trPr>
          <w:trHeight w:val="23"/>
        </w:trPr>
        <w:tc>
          <w:tcPr>
            <w:tcW w:w="77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6"/>
        </w:trPr>
        <w:tc>
          <w:tcPr>
            <w:tcW w:w="770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466,587</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254,700</w:t>
            </w: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0" w:lineRule="exact"/>
        <w:rPr>
          <w:sz w:val="20"/>
          <w:szCs w:val="20"/>
          <w:color w:val="auto"/>
        </w:rPr>
      </w:pPr>
    </w:p>
    <w:p>
      <w:pPr>
        <w:ind w:left="7" w:right="220"/>
        <w:spacing w:after="0" w:line="250" w:lineRule="auto"/>
        <w:rPr>
          <w:sz w:val="20"/>
          <w:szCs w:val="20"/>
          <w:color w:val="auto"/>
        </w:rPr>
      </w:pPr>
      <w:r>
        <w:rPr>
          <w:rFonts w:ascii="Arial" w:cs="Arial" w:eastAsia="Arial" w:hAnsi="Arial"/>
          <w:sz w:val="19"/>
          <w:szCs w:val="19"/>
          <w:color w:val="auto"/>
        </w:rPr>
        <w:t>Interest expense of $25,172, $1,732 and $0 was capitalized for the year ended December 31, 2019, 2018 and 2017, respectively, inclusive of amortized debt issuance costs disclosed in “Note 17. Debt.”</w:t>
      </w:r>
    </w:p>
    <w:p>
      <w:pPr>
        <w:spacing w:after="0" w:line="175" w:lineRule="exact"/>
        <w:rPr>
          <w:sz w:val="20"/>
          <w:szCs w:val="20"/>
          <w:color w:val="auto"/>
        </w:rPr>
      </w:pPr>
    </w:p>
    <w:p>
      <w:pPr>
        <w:ind w:left="567" w:hanging="567"/>
        <w:spacing w:after="0"/>
        <w:tabs>
          <w:tab w:leader="none" w:pos="567"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Property, plant and equipment, net</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As of December 31, 2019 and 2018, the Company’s property, plant and equipment, net consisted of the following:</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92"/>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6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LNG liquefaction facilities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65,631</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Gas terminals</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52,781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Gas pipelines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11,692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ISO containers and other equipment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54,932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17,792</w:t>
            </w: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Land</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15,401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12,779</w:t>
            </w: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Leasehold improvements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7,229</w:t>
            </w: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(9,391)</w:t>
            </w:r>
          </w:p>
        </w:tc>
      </w:tr>
      <w:tr>
        <w:trPr>
          <w:trHeight w:val="23"/>
        </w:trPr>
        <w:tc>
          <w:tcPr>
            <w:tcW w:w="65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6"/>
        </w:trPr>
        <w:tc>
          <w:tcPr>
            <w:tcW w:w="6560" w:type="dxa"/>
            <w:vAlign w:val="bottom"/>
          </w:tcPr>
          <w:p>
            <w:pPr>
              <w:ind w:left="140"/>
              <w:spacing w:after="0"/>
              <w:rPr>
                <w:sz w:val="20"/>
                <w:szCs w:val="20"/>
                <w:color w:val="auto"/>
              </w:rPr>
            </w:pPr>
            <w:r>
              <w:rPr>
                <w:rFonts w:ascii="Arial" w:cs="Arial" w:eastAsia="Arial" w:hAnsi="Arial"/>
                <w:sz w:val="15"/>
                <w:szCs w:val="15"/>
                <w:color w:val="auto"/>
              </w:rPr>
              <w:t>Total property, plant and equipment,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192,222</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94,040</w:t>
            </w: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7" w:right="480"/>
        <w:spacing w:after="0" w:line="277" w:lineRule="auto"/>
        <w:rPr>
          <w:sz w:val="20"/>
          <w:szCs w:val="20"/>
          <w:color w:val="auto"/>
        </w:rPr>
      </w:pPr>
      <w:r>
        <w:rPr>
          <w:rFonts w:ascii="Arial" w:cs="Arial" w:eastAsia="Arial" w:hAnsi="Arial"/>
          <w:sz w:val="18"/>
          <w:szCs w:val="18"/>
          <w:color w:val="auto"/>
        </w:rPr>
        <w:t>Depreciation for years ended December 31, 2019, 2018, and 2017 totaled $7,527, $3,900, and $3,214, respectively, of which $701, $713, and $453, respectively, is included within Cost of sales in the consolidated statements of operations and comprehensive loss.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60" w:type="dxa"/>
            <w:vAlign w:val="bottom"/>
          </w:tcPr>
          <w:p>
            <w:pPr>
              <w:spacing w:after="0"/>
              <w:rPr>
                <w:sz w:val="20"/>
                <w:szCs w:val="20"/>
                <w:color w:val="auto"/>
              </w:rPr>
            </w:pPr>
            <w:r>
              <w:rPr>
                <w:rFonts w:ascii="Arial" w:cs="Arial" w:eastAsia="Arial" w:hAnsi="Arial"/>
                <w:sz w:val="15"/>
                <w:szCs w:val="15"/>
                <w:b w:val="1"/>
                <w:bCs w:val="1"/>
                <w:color w:val="auto"/>
              </w:rPr>
              <w:t>13.</w:t>
            </w:r>
          </w:p>
        </w:tc>
        <w:tc>
          <w:tcPr>
            <w:tcW w:w="5020" w:type="dxa"/>
            <w:vAlign w:val="bottom"/>
          </w:tcPr>
          <w:p>
            <w:pPr>
              <w:ind w:left="200"/>
              <w:spacing w:after="0"/>
              <w:rPr>
                <w:sz w:val="20"/>
                <w:szCs w:val="20"/>
                <w:color w:val="auto"/>
              </w:rPr>
            </w:pPr>
            <w:r>
              <w:rPr>
                <w:rFonts w:ascii="Arial" w:cs="Arial" w:eastAsia="Arial" w:hAnsi="Arial"/>
                <w:sz w:val="15"/>
                <w:szCs w:val="15"/>
                <w:b w:val="1"/>
                <w:bCs w:val="1"/>
                <w:color w:val="auto"/>
              </w:rPr>
              <w:t>Intangible assets, net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8"/>
        </w:trPr>
        <w:tc>
          <w:tcPr>
            <w:tcW w:w="5380" w:type="dxa"/>
            <w:vAlign w:val="bottom"/>
            <w:gridSpan w:val="2"/>
          </w:tcPr>
          <w:p>
            <w:pPr>
              <w:spacing w:after="0"/>
              <w:rPr>
                <w:sz w:val="20"/>
                <w:szCs w:val="20"/>
                <w:color w:val="auto"/>
              </w:rPr>
            </w:pPr>
            <w:r>
              <w:rPr>
                <w:rFonts w:ascii="Arial" w:cs="Arial" w:eastAsia="Arial" w:hAnsi="Arial"/>
                <w:sz w:val="19"/>
                <w:szCs w:val="19"/>
                <w:color w:val="auto"/>
                <w:w w:val="92"/>
              </w:rPr>
              <w:t>The following table summarizes the composition of intangible assets: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5"/>
                <w:szCs w:val="15"/>
                <w:b w:val="1"/>
                <w:bCs w:val="1"/>
                <w:color w:val="auto"/>
              </w:rPr>
              <w:t>December 31, 2019</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95"/>
              </w:rPr>
              <w:t>Gross 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b w:val="1"/>
                <w:bCs w:val="1"/>
                <w:color w:val="auto"/>
                <w:w w:val="93"/>
              </w:rPr>
              <w:t>Accumulated</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5"/>
                <w:szCs w:val="15"/>
                <w:b w:val="1"/>
                <w:bCs w:val="1"/>
                <w:color w:val="auto"/>
                <w:w w:val="97"/>
              </w:rPr>
              <w:t>Net Carrying</w:t>
            </w:r>
          </w:p>
        </w:tc>
        <w:tc>
          <w:tcPr>
            <w:tcW w:w="11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1"/>
              </w:rPr>
              <w:t>Weighted</w:t>
            </w:r>
          </w:p>
        </w:tc>
        <w:tc>
          <w:tcPr>
            <w:tcW w:w="100" w:type="dxa"/>
            <w:vAlign w:val="bottom"/>
          </w:tcPr>
          <w:p>
            <w:pPr>
              <w:spacing w:after="0"/>
              <w:rPr>
                <w:sz w:val="14"/>
                <w:szCs w:val="14"/>
                <w:color w:val="auto"/>
              </w:rPr>
            </w:pPr>
          </w:p>
        </w:tc>
      </w:tr>
      <w:tr>
        <w:trPr>
          <w:trHeight w:val="206"/>
        </w:trPr>
        <w:tc>
          <w:tcPr>
            <w:tcW w:w="3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5"/>
              </w:rPr>
              <w:t>Amortization</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Amount</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Average Life</w:t>
            </w:r>
          </w:p>
        </w:tc>
      </w:tr>
      <w:tr>
        <w:trPr>
          <w:trHeight w:val="186"/>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Definite-lived intangible assets</w:t>
            </w: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Shannon LNG leases and permits</w:t>
            </w:r>
          </w:p>
        </w:tc>
        <w:tc>
          <w:tcPr>
            <w:tcW w:w="88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42,157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40,959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w:t>
            </w:r>
          </w:p>
        </w:tc>
      </w:tr>
      <w:tr>
        <w:trPr>
          <w:trHeight w:val="186"/>
        </w:trPr>
        <w:tc>
          <w:tcPr>
            <w:tcW w:w="5380" w:type="dxa"/>
            <w:vAlign w:val="bottom"/>
            <w:gridSpan w:val="2"/>
          </w:tcPr>
          <w:p>
            <w:pPr>
              <w:ind w:left="140"/>
              <w:spacing w:after="0"/>
              <w:rPr>
                <w:sz w:val="20"/>
                <w:szCs w:val="20"/>
                <w:color w:val="auto"/>
              </w:rPr>
            </w:pPr>
            <w:r>
              <w:rPr>
                <w:rFonts w:ascii="Arial" w:cs="Arial" w:eastAsia="Arial" w:hAnsi="Arial"/>
                <w:sz w:val="15"/>
                <w:szCs w:val="15"/>
                <w:color w:val="auto"/>
              </w:rPr>
              <w:t>Easements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1,559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1,420</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30</w:t>
            </w:r>
          </w:p>
        </w:tc>
      </w:tr>
      <w:tr>
        <w:trPr>
          <w:trHeight w:val="186"/>
        </w:trPr>
        <w:tc>
          <w:tcPr>
            <w:tcW w:w="5380" w:type="dxa"/>
            <w:vAlign w:val="bottom"/>
            <w:gridSpan w:val="2"/>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3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Easements</w:t>
            </w: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1,161</w:t>
            </w: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n/a</w:t>
            </w:r>
          </w:p>
        </w:tc>
      </w:tr>
      <w:tr>
        <w:trPr>
          <w:trHeight w:val="186"/>
        </w:trPr>
        <w:tc>
          <w:tcPr>
            <w:tcW w:w="5380" w:type="dxa"/>
            <w:vAlign w:val="bottom"/>
            <w:gridSpan w:val="2"/>
          </w:tcPr>
          <w:p>
            <w:pPr>
              <w:ind w:left="140"/>
              <w:spacing w:after="0"/>
              <w:rPr>
                <w:sz w:val="20"/>
                <w:szCs w:val="20"/>
                <w:color w:val="auto"/>
              </w:rPr>
            </w:pPr>
            <w:r>
              <w:rPr>
                <w:rFonts w:ascii="Arial" w:cs="Arial" w:eastAsia="Arial" w:hAnsi="Arial"/>
                <w:sz w:val="15"/>
                <w:szCs w:val="15"/>
                <w:color w:val="auto"/>
              </w:rPr>
              <w:t>Total intangible assets</w:t>
            </w:r>
          </w:p>
        </w:tc>
        <w:tc>
          <w:tcPr>
            <w:tcW w:w="68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44,877</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1,337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43,540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5"/>
                <w:szCs w:val="15"/>
                <w:b w:val="1"/>
                <w:bCs w:val="1"/>
                <w:color w:val="auto"/>
              </w:rPr>
              <w:t>December 31, 2018</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center"/>
              <w:ind w:right="120"/>
              <w:spacing w:after="0" w:line="169" w:lineRule="exact"/>
              <w:rPr>
                <w:sz w:val="20"/>
                <w:szCs w:val="20"/>
                <w:color w:val="auto"/>
              </w:rPr>
            </w:pPr>
            <w:r>
              <w:rPr>
                <w:rFonts w:ascii="Arial" w:cs="Arial" w:eastAsia="Arial" w:hAnsi="Arial"/>
                <w:sz w:val="15"/>
                <w:szCs w:val="15"/>
                <w:b w:val="1"/>
                <w:bCs w:val="1"/>
                <w:color w:val="auto"/>
                <w:w w:val="95"/>
              </w:rPr>
              <w:t>Gross 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line="169" w:lineRule="exact"/>
              <w:rPr>
                <w:sz w:val="20"/>
                <w:szCs w:val="20"/>
                <w:color w:val="auto"/>
              </w:rPr>
            </w:pPr>
            <w:r>
              <w:rPr>
                <w:rFonts w:ascii="Arial" w:cs="Arial" w:eastAsia="Arial" w:hAnsi="Arial"/>
                <w:sz w:val="15"/>
                <w:szCs w:val="15"/>
                <w:b w:val="1"/>
                <w:bCs w:val="1"/>
                <w:color w:val="auto"/>
                <w:w w:val="93"/>
              </w:rPr>
              <w:t>Accumulated</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5"/>
                <w:szCs w:val="15"/>
                <w:b w:val="1"/>
                <w:bCs w:val="1"/>
                <w:color w:val="auto"/>
                <w:w w:val="97"/>
              </w:rPr>
              <w:t>Net Carrying</w:t>
            </w:r>
          </w:p>
        </w:tc>
        <w:tc>
          <w:tcPr>
            <w:tcW w:w="11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1"/>
              </w:rPr>
              <w:t>Weighted</w:t>
            </w:r>
          </w:p>
        </w:tc>
        <w:tc>
          <w:tcPr>
            <w:tcW w:w="100" w:type="dxa"/>
            <w:vAlign w:val="bottom"/>
          </w:tcPr>
          <w:p>
            <w:pPr>
              <w:spacing w:after="0"/>
              <w:rPr>
                <w:sz w:val="14"/>
                <w:szCs w:val="14"/>
                <w:color w:val="auto"/>
              </w:rPr>
            </w:pPr>
          </w:p>
        </w:tc>
      </w:tr>
      <w:tr>
        <w:trPr>
          <w:trHeight w:val="206"/>
        </w:trPr>
        <w:tc>
          <w:tcPr>
            <w:tcW w:w="3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5"/>
              </w:rPr>
              <w:t>Amortization</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Amount</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Average Life</w:t>
            </w:r>
          </w:p>
        </w:tc>
      </w:tr>
      <w:tr>
        <w:trPr>
          <w:trHeight w:val="186"/>
        </w:trPr>
        <w:tc>
          <w:tcPr>
            <w:tcW w:w="5380" w:type="dxa"/>
            <w:vAlign w:val="bottom"/>
            <w:gridSpan w:val="2"/>
          </w:tcPr>
          <w:p>
            <w:pPr>
              <w:spacing w:after="0"/>
              <w:rPr>
                <w:sz w:val="20"/>
                <w:szCs w:val="20"/>
                <w:color w:val="auto"/>
              </w:rPr>
            </w:pPr>
            <w:r>
              <w:rPr>
                <w:rFonts w:ascii="Arial" w:cs="Arial" w:eastAsia="Arial" w:hAnsi="Arial"/>
                <w:sz w:val="15"/>
                <w:szCs w:val="15"/>
                <w:b w:val="1"/>
                <w:bCs w:val="1"/>
                <w:color w:val="auto"/>
              </w:rPr>
              <w:t>Definite-lived intangible assets</w:t>
            </w: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53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Shannon LNG leases and permits</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43,191</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43,057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40</w:t>
            </w:r>
          </w:p>
        </w:tc>
      </w:tr>
      <w:tr>
        <w:trPr>
          <w:trHeight w:val="23"/>
        </w:trPr>
        <w:tc>
          <w:tcPr>
            <w:tcW w:w="36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6"/>
        </w:trPr>
        <w:tc>
          <w:tcPr>
            <w:tcW w:w="5380" w:type="dxa"/>
            <w:vAlign w:val="bottom"/>
            <w:gridSpan w:val="2"/>
          </w:tcPr>
          <w:p>
            <w:pPr>
              <w:ind w:left="140"/>
              <w:spacing w:after="0"/>
              <w:rPr>
                <w:sz w:val="20"/>
                <w:szCs w:val="20"/>
                <w:color w:val="auto"/>
              </w:rPr>
            </w:pPr>
            <w:r>
              <w:rPr>
                <w:rFonts w:ascii="Arial" w:cs="Arial" w:eastAsia="Arial" w:hAnsi="Arial"/>
                <w:sz w:val="15"/>
                <w:szCs w:val="15"/>
                <w:color w:val="auto"/>
              </w:rPr>
              <w:t>Total intangible assets</w:t>
            </w:r>
          </w:p>
        </w:tc>
        <w:tc>
          <w:tcPr>
            <w:tcW w:w="68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43,191</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43,057</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gridSpan w:val="2"/>
          </w:tcPr>
          <w:p>
            <w:pPr>
              <w:jc w:val="right"/>
              <w:ind w:right="343"/>
              <w:spacing w:after="0"/>
              <w:rPr>
                <w:sz w:val="20"/>
                <w:szCs w:val="20"/>
                <w:color w:val="auto"/>
              </w:rPr>
            </w:pPr>
            <w:r>
              <w:rPr>
                <w:rFonts w:ascii="Arial" w:cs="Arial" w:eastAsia="Arial" w:hAnsi="Arial"/>
                <w:sz w:val="12"/>
                <w:szCs w:val="12"/>
                <w:color w:val="auto"/>
              </w:rPr>
              <w:t>F-19</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47"/>
          </w:cols>
          <w:pgMar w:left="233" w:top="124" w:right="219" w:bottom="1440" w:gutter="0" w:footer="0" w:header="0"/>
        </w:sectPr>
      </w:pPr>
    </w:p>
    <w:bookmarkStart w:id="87" w:name="page88"/>
    <w:bookmarkEnd w:id="87"/>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color w:val="auto"/>
        </w:rPr>
        <w:t>As of December 31, 2019, the weighted average remaining amortization periods for the intangible assets is 38.8 years.</w:t>
      </w:r>
    </w:p>
    <w:p>
      <w:pPr>
        <w:spacing w:after="0" w:line="200" w:lineRule="exact"/>
        <w:rPr>
          <w:sz w:val="20"/>
          <w:szCs w:val="20"/>
          <w:color w:val="auto"/>
        </w:rPr>
      </w:pPr>
    </w:p>
    <w:p>
      <w:pPr>
        <w:ind w:left="7" w:right="20"/>
        <w:spacing w:after="0" w:line="250" w:lineRule="auto"/>
        <w:rPr>
          <w:sz w:val="20"/>
          <w:szCs w:val="20"/>
          <w:color w:val="auto"/>
        </w:rPr>
      </w:pPr>
      <w:r>
        <w:rPr>
          <w:rFonts w:ascii="Arial" w:cs="Arial" w:eastAsia="Arial" w:hAnsi="Arial"/>
          <w:sz w:val="19"/>
          <w:szCs w:val="19"/>
          <w:color w:val="auto"/>
        </w:rPr>
        <w:t>Amortization for the years ended December 31, 2019 and 2018 totaled $1,114 and $134, respectively. The estimated aggregate amortization expense for each of the next five years is: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260" w:type="dxa"/>
            <w:vAlign w:val="bottom"/>
          </w:tcPr>
          <w:p>
            <w:pPr>
              <w:spacing w:after="0"/>
              <w:rPr>
                <w:sz w:val="20"/>
                <w:szCs w:val="20"/>
                <w:color w:val="auto"/>
              </w:rPr>
            </w:pPr>
            <w:r>
              <w:rPr>
                <w:rFonts w:ascii="Arial" w:cs="Arial" w:eastAsia="Arial" w:hAnsi="Arial"/>
                <w:sz w:val="15"/>
                <w:szCs w:val="15"/>
                <w:b w:val="1"/>
                <w:bCs w:val="1"/>
                <w:color w:val="auto"/>
              </w:rPr>
              <w:t>Year ending December 31:</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100" w:type="dxa"/>
            <w:vAlign w:val="bottom"/>
            <w:shd w:val="clear" w:color="auto" w:fill="CCEEFF"/>
          </w:tcPr>
          <w:p>
            <w:pPr>
              <w:spacing w:after="0"/>
              <w:rPr>
                <w:sz w:val="16"/>
                <w:szCs w:val="16"/>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5"/>
                <w:szCs w:val="15"/>
                <w:color w:val="auto"/>
              </w:rPr>
              <w:t>2021</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Pr>
          <w:p>
            <w:pPr>
              <w:spacing w:after="0"/>
              <w:rPr>
                <w:sz w:val="16"/>
                <w:szCs w:val="16"/>
                <w:color w:val="auto"/>
              </w:rPr>
            </w:pPr>
          </w:p>
        </w:tc>
      </w:tr>
      <w:tr>
        <w:trPr>
          <w:trHeight w:val="186"/>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100" w:type="dxa"/>
            <w:vAlign w:val="bottom"/>
            <w:shd w:val="clear" w:color="auto" w:fill="CCEEFF"/>
          </w:tcPr>
          <w:p>
            <w:pPr>
              <w:spacing w:after="0"/>
              <w:rPr>
                <w:sz w:val="16"/>
                <w:szCs w:val="16"/>
                <w:color w:val="auto"/>
              </w:rPr>
            </w:pPr>
          </w:p>
        </w:tc>
      </w:tr>
      <w:tr>
        <w:trPr>
          <w:trHeight w:val="186"/>
        </w:trPr>
        <w:tc>
          <w:tcPr>
            <w:tcW w:w="3260" w:type="dxa"/>
            <w:vAlign w:val="bottom"/>
          </w:tcPr>
          <w:p>
            <w:pPr>
              <w:spacing w:after="0"/>
              <w:rPr>
                <w:sz w:val="20"/>
                <w:szCs w:val="20"/>
                <w:color w:val="auto"/>
              </w:rPr>
            </w:pPr>
            <w:r>
              <w:rPr>
                <w:rFonts w:ascii="Arial" w:cs="Arial" w:eastAsia="Arial" w:hAnsi="Arial"/>
                <w:sz w:val="15"/>
                <w:szCs w:val="15"/>
                <w:color w:val="auto"/>
              </w:rPr>
              <w:t>2023</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Pr>
          <w:p>
            <w:pPr>
              <w:spacing w:after="0"/>
              <w:rPr>
                <w:sz w:val="16"/>
                <w:szCs w:val="16"/>
                <w:color w:val="auto"/>
              </w:rPr>
            </w:pPr>
          </w:p>
        </w:tc>
      </w:tr>
      <w:tr>
        <w:trPr>
          <w:trHeight w:val="186"/>
        </w:trPr>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100" w:type="dxa"/>
            <w:vAlign w:val="bottom"/>
            <w:shd w:val="clear" w:color="auto" w:fill="CCEEFF"/>
          </w:tcPr>
          <w:p>
            <w:pPr>
              <w:spacing w:after="0"/>
              <w:rPr>
                <w:sz w:val="16"/>
                <w:szCs w:val="16"/>
                <w:color w:val="auto"/>
              </w:rPr>
            </w:pPr>
          </w:p>
        </w:tc>
      </w:tr>
      <w:tr>
        <w:trPr>
          <w:trHeight w:val="189"/>
        </w:trPr>
        <w:tc>
          <w:tcPr>
            <w:tcW w:w="3260" w:type="dxa"/>
            <w:vAlign w:val="bottom"/>
          </w:tcPr>
          <w:p>
            <w:pPr>
              <w:spacing w:after="0"/>
              <w:rPr>
                <w:sz w:val="20"/>
                <w:szCs w:val="20"/>
                <w:color w:val="auto"/>
              </w:rPr>
            </w:pPr>
            <w:r>
              <w:rPr>
                <w:rFonts w:ascii="Arial" w:cs="Arial" w:eastAsia="Arial" w:hAnsi="Arial"/>
                <w:sz w:val="15"/>
                <w:szCs w:val="15"/>
                <w:color w:val="auto"/>
              </w:rPr>
              <w:t>Thereafter</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36,799</w:t>
            </w:r>
          </w:p>
        </w:tc>
        <w:tc>
          <w:tcPr>
            <w:tcW w:w="100" w:type="dxa"/>
            <w:vAlign w:val="bottom"/>
          </w:tcPr>
          <w:p>
            <w:pPr>
              <w:spacing w:after="0"/>
              <w:rPr>
                <w:sz w:val="16"/>
                <w:szCs w:val="16"/>
                <w:color w:val="auto"/>
              </w:rPr>
            </w:pPr>
          </w:p>
        </w:tc>
      </w:tr>
      <w:tr>
        <w:trPr>
          <w:trHeight w:val="226"/>
        </w:trPr>
        <w:tc>
          <w:tcPr>
            <w:tcW w:w="3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42,379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3" w:lineRule="exact"/>
        <w:rPr>
          <w:sz w:val="20"/>
          <w:szCs w:val="20"/>
          <w:color w:val="auto"/>
        </w:rPr>
      </w:pPr>
    </w:p>
    <w:p>
      <w:pPr>
        <w:ind w:left="567" w:hanging="567"/>
        <w:spacing w:after="0"/>
        <w:tabs>
          <w:tab w:leader="none" w:pos="567"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Finance leases, net</w:t>
      </w:r>
    </w:p>
    <w:p>
      <w:pPr>
        <w:spacing w:after="0" w:line="220" w:lineRule="exact"/>
        <w:rPr>
          <w:sz w:val="20"/>
          <w:szCs w:val="20"/>
          <w:color w:val="auto"/>
        </w:rPr>
      </w:pPr>
    </w:p>
    <w:p>
      <w:pPr>
        <w:jc w:val="both"/>
        <w:ind w:left="7"/>
        <w:spacing w:after="0" w:line="282" w:lineRule="auto"/>
        <w:rPr>
          <w:sz w:val="20"/>
          <w:szCs w:val="20"/>
          <w:color w:val="auto"/>
        </w:rPr>
      </w:pPr>
      <w:r>
        <w:rPr>
          <w:rFonts w:ascii="Arial" w:cs="Arial" w:eastAsia="Arial" w:hAnsi="Arial"/>
          <w:sz w:val="17"/>
          <w:szCs w:val="17"/>
          <w:color w:val="auto"/>
        </w:rPr>
        <w:t>The Company placed its storage and regasification LNG terminal in Montego Bay, Jamaica into service on October 30, 2016, which has been accounted for as a direct financing lease. In addition, the Company has also entered into other arrangements to lease equipment to customers which are accounted for as direct financing leases. The components of the direct financing leases as of December 31, 2019 and 2018 are as follows:</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4"/>
              </w:rPr>
              <w:t>December 31,</w:t>
            </w:r>
          </w:p>
        </w:tc>
        <w:tc>
          <w:tcPr>
            <w:tcW w:w="14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5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86"/>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Finance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290,947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306,832</w:t>
            </w:r>
          </w:p>
        </w:tc>
        <w:tc>
          <w:tcPr>
            <w:tcW w:w="100" w:type="dxa"/>
            <w:vAlign w:val="bottom"/>
            <w:shd w:val="clear" w:color="auto" w:fill="CCEEFF"/>
          </w:tcPr>
          <w:p>
            <w:pPr>
              <w:spacing w:after="0"/>
              <w:rPr>
                <w:sz w:val="16"/>
                <w:szCs w:val="16"/>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5"/>
                <w:szCs w:val="15"/>
                <w:color w:val="auto"/>
              </w:rPr>
              <w:t>Unearned income</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(198,691)</w:t>
            </w:r>
          </w:p>
        </w:tc>
        <w:tc>
          <w:tcPr>
            <w:tcW w:w="1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(213,682)</w:t>
            </w:r>
          </w:p>
        </w:tc>
      </w:tr>
      <w:tr>
        <w:trPr>
          <w:trHeight w:val="226"/>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finance leases,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92,256</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2"/>
        </w:trPr>
        <w:tc>
          <w:tcPr>
            <w:tcW w:w="5240" w:type="dxa"/>
            <w:vAlign w:val="bottom"/>
          </w:tcPr>
          <w:p>
            <w:pPr>
              <w:spacing w:after="0"/>
              <w:rPr>
                <w:sz w:val="20"/>
                <w:szCs w:val="20"/>
                <w:color w:val="auto"/>
              </w:rPr>
            </w:pPr>
            <w:r>
              <w:rPr>
                <w:rFonts w:ascii="Arial" w:cs="Arial" w:eastAsia="Arial" w:hAnsi="Arial"/>
                <w:sz w:val="15"/>
                <w:szCs w:val="15"/>
                <w:color w:val="auto"/>
              </w:rPr>
              <w:t>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1,082</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943</w:t>
            </w:r>
          </w:p>
        </w:tc>
      </w:tr>
      <w:tr>
        <w:trPr>
          <w:trHeight w:val="186"/>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Non-current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91,174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92,207</w:t>
            </w:r>
          </w:p>
        </w:tc>
      </w:tr>
    </w:tbl>
    <w:p>
      <w:pPr>
        <w:spacing w:after="0" w:line="190" w:lineRule="exact"/>
        <w:rPr>
          <w:sz w:val="20"/>
          <w:szCs w:val="20"/>
          <w:color w:val="auto"/>
        </w:rPr>
      </w:pPr>
    </w:p>
    <w:p>
      <w:pPr>
        <w:ind w:left="7" w:right="400"/>
        <w:spacing w:after="0" w:line="308" w:lineRule="auto"/>
        <w:rPr>
          <w:sz w:val="20"/>
          <w:szCs w:val="20"/>
          <w:color w:val="auto"/>
        </w:rPr>
      </w:pPr>
      <w:r>
        <w:rPr>
          <w:rFonts w:ascii="Arial" w:cs="Arial" w:eastAsia="Arial" w:hAnsi="Arial"/>
          <w:sz w:val="17"/>
          <w:szCs w:val="17"/>
          <w:color w:val="auto"/>
        </w:rPr>
        <w:t>Receivables related to the Company’s direct financing leases are primarily with a national utility that generates consistent cash flow. Therefore, the Company does not expect a material impact to the results of operations or financial position due to nonperformance from such counterparty.</w:t>
      </w:r>
    </w:p>
    <w:p>
      <w:pPr>
        <w:spacing w:after="0" w:line="126" w:lineRule="exact"/>
        <w:rPr>
          <w:sz w:val="20"/>
          <w:szCs w:val="20"/>
          <w:color w:val="auto"/>
        </w:rPr>
      </w:pPr>
    </w:p>
    <w:p>
      <w:pPr>
        <w:ind w:left="7"/>
        <w:spacing w:after="0" w:line="250" w:lineRule="auto"/>
        <w:rPr>
          <w:sz w:val="20"/>
          <w:szCs w:val="20"/>
          <w:color w:val="auto"/>
        </w:rPr>
      </w:pPr>
      <w:r>
        <w:rPr>
          <w:rFonts w:ascii="Arial" w:cs="Arial" w:eastAsia="Arial" w:hAnsi="Arial"/>
          <w:sz w:val="19"/>
          <w:szCs w:val="19"/>
          <w:color w:val="auto"/>
        </w:rPr>
        <w:t>As of December 31, 2019, future minimum lease payments to be received under direct financing leases for the remainder of the respective lease terms is as follows: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2480" w:type="dxa"/>
            <w:vAlign w:val="bottom"/>
          </w:tcPr>
          <w:p>
            <w:pPr>
              <w:spacing w:after="0"/>
              <w:rPr>
                <w:sz w:val="20"/>
                <w:szCs w:val="20"/>
                <w:color w:val="auto"/>
              </w:rPr>
            </w:pPr>
            <w:r>
              <w:rPr>
                <w:rFonts w:ascii="Arial" w:cs="Arial" w:eastAsia="Arial" w:hAnsi="Arial"/>
                <w:sz w:val="15"/>
                <w:szCs w:val="15"/>
                <w:b w:val="1"/>
                <w:bCs w:val="1"/>
                <w:color w:val="auto"/>
              </w:rPr>
              <w:t>Year ending December 31:</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1140" w:type="dxa"/>
            <w:vAlign w:val="bottom"/>
            <w:gridSpan w:val="2"/>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15,986</w:t>
            </w:r>
          </w:p>
        </w:tc>
      </w:tr>
      <w:tr>
        <w:trPr>
          <w:trHeight w:val="186"/>
        </w:trPr>
        <w:tc>
          <w:tcPr>
            <w:tcW w:w="2480" w:type="dxa"/>
            <w:vAlign w:val="bottom"/>
          </w:tcPr>
          <w:p>
            <w:pPr>
              <w:spacing w:after="0"/>
              <w:rPr>
                <w:sz w:val="20"/>
                <w:szCs w:val="20"/>
                <w:color w:val="auto"/>
              </w:rPr>
            </w:pPr>
            <w:r>
              <w:rPr>
                <w:rFonts w:ascii="Arial" w:cs="Arial" w:eastAsia="Arial" w:hAnsi="Arial"/>
                <w:sz w:val="15"/>
                <w:szCs w:val="15"/>
                <w:color w:val="auto"/>
              </w:rPr>
              <w:t>2021</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15,946</w:t>
            </w:r>
          </w:p>
        </w:tc>
      </w:tr>
      <w:tr>
        <w:trPr>
          <w:trHeight w:val="18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15,941</w:t>
            </w:r>
          </w:p>
        </w:tc>
      </w:tr>
      <w:tr>
        <w:trPr>
          <w:trHeight w:val="186"/>
        </w:trPr>
        <w:tc>
          <w:tcPr>
            <w:tcW w:w="2480" w:type="dxa"/>
            <w:vAlign w:val="bottom"/>
          </w:tcPr>
          <w:p>
            <w:pPr>
              <w:spacing w:after="0"/>
              <w:rPr>
                <w:sz w:val="20"/>
                <w:szCs w:val="20"/>
                <w:color w:val="auto"/>
              </w:rPr>
            </w:pPr>
            <w:r>
              <w:rPr>
                <w:rFonts w:ascii="Arial" w:cs="Arial" w:eastAsia="Arial" w:hAnsi="Arial"/>
                <w:sz w:val="15"/>
                <w:szCs w:val="15"/>
                <w:color w:val="auto"/>
              </w:rPr>
              <w:t>2023</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15,947</w:t>
            </w:r>
          </w:p>
        </w:tc>
      </w:tr>
      <w:tr>
        <w:trPr>
          <w:trHeight w:val="18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15,990</w:t>
            </w:r>
          </w:p>
        </w:tc>
      </w:tr>
      <w:tr>
        <w:trPr>
          <w:trHeight w:val="189"/>
        </w:trPr>
        <w:tc>
          <w:tcPr>
            <w:tcW w:w="2480" w:type="dxa"/>
            <w:vAlign w:val="bottom"/>
          </w:tcPr>
          <w:p>
            <w:pPr>
              <w:spacing w:after="0"/>
              <w:rPr>
                <w:sz w:val="20"/>
                <w:szCs w:val="20"/>
                <w:color w:val="auto"/>
              </w:rPr>
            </w:pPr>
            <w:r>
              <w:rPr>
                <w:rFonts w:ascii="Arial" w:cs="Arial" w:eastAsia="Arial" w:hAnsi="Arial"/>
                <w:sz w:val="15"/>
                <w:szCs w:val="15"/>
                <w:color w:val="auto"/>
              </w:rPr>
              <w:t>Thereafter</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211,137</w:t>
            </w:r>
          </w:p>
        </w:tc>
      </w:tr>
      <w:tr>
        <w:trPr>
          <w:trHeight w:val="226"/>
        </w:trPr>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290,947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356" w:lineRule="exact"/>
        <w:rPr>
          <w:sz w:val="20"/>
          <w:szCs w:val="20"/>
          <w:color w:val="auto"/>
        </w:rPr>
      </w:pPr>
    </w:p>
    <w:p>
      <w:pPr>
        <w:jc w:val="center"/>
        <w:ind w:right="-126"/>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27"/>
          </w:cols>
          <w:pgMar w:left="233" w:top="124" w:right="339" w:bottom="1440" w:gutter="0" w:footer="0" w:header="0"/>
        </w:sectPr>
      </w:pPr>
    </w:p>
    <w:bookmarkStart w:id="88" w:name="page89"/>
    <w:bookmarkEnd w:id="88"/>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0" w:lineRule="exact"/>
        <w:rPr>
          <w:sz w:val="20"/>
          <w:szCs w:val="20"/>
          <w:color w:val="auto"/>
        </w:rPr>
      </w:pPr>
    </w:p>
    <w:p>
      <w:pPr>
        <w:ind w:left="567" w:hanging="567"/>
        <w:spacing w:after="0"/>
        <w:tabs>
          <w:tab w:leader="none" w:pos="567"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Other non-current assets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As of December 31, 2019 and 2018, other non-current assets consisted of the following:</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2"/>
              </w:rPr>
              <w:t>December 31,</w:t>
            </w:r>
          </w:p>
        </w:tc>
        <w:tc>
          <w:tcPr>
            <w:tcW w:w="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6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Port access rights and initial lease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17,762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21,871</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Nonrefundable deposit</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22,262</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10,810</w:t>
            </w: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Upfront payments to customers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tcPr>
          <w:p>
            <w:pPr>
              <w:spacing w:after="0"/>
              <w:rPr>
                <w:sz w:val="20"/>
                <w:szCs w:val="20"/>
                <w:color w:val="auto"/>
              </w:rPr>
            </w:pPr>
            <w:r>
              <w:rPr>
                <w:rFonts w:ascii="Arial" w:cs="Arial" w:eastAsia="Arial" w:hAnsi="Arial"/>
                <w:sz w:val="15"/>
                <w:szCs w:val="15"/>
                <w:color w:val="auto"/>
              </w:rPr>
              <w:t>Contract asset (Note 4)</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19,474</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Cost to fulfill (Note 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8,508</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7,716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2,574</w:t>
            </w:r>
          </w:p>
        </w:tc>
      </w:tr>
      <w:tr>
        <w:trPr>
          <w:trHeight w:val="226"/>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other non-current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81,626</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35,255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7" w:right="20"/>
        <w:spacing w:after="0" w:line="237" w:lineRule="auto"/>
        <w:rPr>
          <w:sz w:val="20"/>
          <w:szCs w:val="20"/>
          <w:color w:val="auto"/>
        </w:rPr>
      </w:pPr>
      <w:r>
        <w:rPr>
          <w:rFonts w:ascii="Arial" w:cs="Arial" w:eastAsia="Arial" w:hAnsi="Arial"/>
          <w:sz w:val="19"/>
          <w:szCs w:val="19"/>
          <w:color w:val="auto"/>
        </w:rPr>
        <w:t>Port access rights related to the Company’s port lease in Baja California Sur, Mexico, represent upfront payments to enter the lease and are amortized straight-line over the lease term as additional rent expense. Initial lease costs represent payments made to previous lessees to secure the Company’s port lease in San Juan, Puerto Rico and are also amortized straight-line over the lease term. Nonrefundable deposits are primarily related to deposits for planned land purchases in Ireland and Pennsylvania.</w:t>
      </w:r>
    </w:p>
    <w:p>
      <w:pPr>
        <w:spacing w:after="0" w:line="182" w:lineRule="exact"/>
        <w:rPr>
          <w:sz w:val="20"/>
          <w:szCs w:val="20"/>
          <w:color w:val="auto"/>
        </w:rPr>
      </w:pPr>
    </w:p>
    <w:p>
      <w:pPr>
        <w:ind w:left="7" w:right="40"/>
        <w:spacing w:after="0" w:line="250" w:lineRule="auto"/>
        <w:rPr>
          <w:sz w:val="20"/>
          <w:szCs w:val="20"/>
          <w:color w:val="auto"/>
        </w:rPr>
      </w:pPr>
      <w:r>
        <w:rPr>
          <w:rFonts w:ascii="Arial" w:cs="Arial" w:eastAsia="Arial" w:hAnsi="Arial"/>
          <w:sz w:val="19"/>
          <w:szCs w:val="19"/>
          <w:color w:val="auto"/>
        </w:rPr>
        <w:t>Upfront payments to customers consist of amounts the Company has paid in relation to two natural gas sales contracts with customers to construct fuel-delivery infrastructure that the customers will own.</w:t>
      </w:r>
    </w:p>
    <w:p>
      <w:pPr>
        <w:spacing w:after="0" w:line="175" w:lineRule="exact"/>
        <w:rPr>
          <w:sz w:val="20"/>
          <w:szCs w:val="20"/>
          <w:color w:val="auto"/>
        </w:rPr>
      </w:pPr>
    </w:p>
    <w:p>
      <w:pPr>
        <w:ind w:left="567" w:hanging="567"/>
        <w:spacing w:after="0"/>
        <w:tabs>
          <w:tab w:leader="none" w:pos="567"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Accrued liabilities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color w:val="auto"/>
        </w:rPr>
        <w:t>As of December 31, 2019 and 2018, accrued liabilities consisted of the following:</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3"/>
              <w:spacing w:after="0"/>
              <w:rPr>
                <w:sz w:val="20"/>
                <w:szCs w:val="20"/>
                <w:color w:val="auto"/>
              </w:rPr>
            </w:pPr>
            <w:r>
              <w:rPr>
                <w:rFonts w:ascii="Arial" w:cs="Arial" w:eastAsia="Arial" w:hAnsi="Arial"/>
                <w:sz w:val="15"/>
                <w:szCs w:val="15"/>
                <w:b w:val="1"/>
                <w:bCs w:val="1"/>
                <w:color w:val="auto"/>
                <w:w w:val="94"/>
              </w:rPr>
              <w:t>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36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5"/>
              </w:rPr>
              <w:t>2019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7"/>
                <w:szCs w:val="17"/>
                <w:color w:val="auto"/>
              </w:rPr>
            </w:pP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construction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25,037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41,343</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gridSpan w:val="2"/>
          </w:tcPr>
          <w:p>
            <w:pPr>
              <w:spacing w:after="0"/>
              <w:rPr>
                <w:sz w:val="20"/>
                <w:szCs w:val="20"/>
                <w:color w:val="auto"/>
              </w:rPr>
            </w:pPr>
            <w:r>
              <w:rPr>
                <w:rFonts w:ascii="Arial" w:cs="Arial" w:eastAsia="Arial" w:hAnsi="Arial"/>
                <w:sz w:val="15"/>
                <w:szCs w:val="15"/>
                <w:color w:val="auto"/>
              </w:rPr>
              <w:t>Accrued IPO costs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5,296</w:t>
            </w: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Accrued bonuses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14,991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12,582</w:t>
            </w:r>
          </w:p>
        </w:tc>
      </w:tr>
      <w:tr>
        <w:trPr>
          <w:trHeight w:val="189"/>
        </w:trPr>
        <w:tc>
          <w:tcPr>
            <w:tcW w:w="6560" w:type="dxa"/>
            <w:vAlign w:val="bottom"/>
            <w:gridSpan w:val="2"/>
          </w:tcPr>
          <w:p>
            <w:pPr>
              <w:spacing w:after="0"/>
              <w:rPr>
                <w:sz w:val="20"/>
                <w:szCs w:val="20"/>
                <w:color w:val="auto"/>
              </w:rPr>
            </w:pPr>
            <w:r>
              <w:rPr>
                <w:rFonts w:ascii="Arial" w:cs="Arial" w:eastAsia="Arial" w:hAnsi="Arial"/>
                <w:sz w:val="15"/>
                <w:szCs w:val="15"/>
                <w:color w:val="auto"/>
              </w:rPr>
              <w:t>Other accrued expenses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14,915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8,291</w:t>
            </w:r>
          </w:p>
        </w:tc>
      </w:tr>
      <w:tr>
        <w:trPr>
          <w:trHeight w:val="226"/>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 accrued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54,943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67,512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81"/>
        </w:trPr>
        <w:tc>
          <w:tcPr>
            <w:tcW w:w="360" w:type="dxa"/>
            <w:vAlign w:val="bottom"/>
          </w:tcPr>
          <w:p>
            <w:pPr>
              <w:spacing w:after="0"/>
              <w:rPr>
                <w:sz w:val="20"/>
                <w:szCs w:val="20"/>
                <w:color w:val="auto"/>
              </w:rPr>
            </w:pPr>
            <w:r>
              <w:rPr>
                <w:rFonts w:ascii="Arial" w:cs="Arial" w:eastAsia="Arial" w:hAnsi="Arial"/>
                <w:sz w:val="15"/>
                <w:szCs w:val="15"/>
                <w:b w:val="1"/>
                <w:bCs w:val="1"/>
                <w:color w:val="auto"/>
              </w:rPr>
              <w:t>17.</w:t>
            </w:r>
          </w:p>
        </w:tc>
        <w:tc>
          <w:tcPr>
            <w:tcW w:w="6200" w:type="dxa"/>
            <w:vAlign w:val="bottom"/>
          </w:tcPr>
          <w:p>
            <w:pPr>
              <w:ind w:left="200"/>
              <w:spacing w:after="0"/>
              <w:rPr>
                <w:sz w:val="20"/>
                <w:szCs w:val="20"/>
                <w:color w:val="auto"/>
              </w:rPr>
            </w:pPr>
            <w:r>
              <w:rPr>
                <w:rFonts w:ascii="Arial" w:cs="Arial" w:eastAsia="Arial" w:hAnsi="Arial"/>
                <w:sz w:val="15"/>
                <w:szCs w:val="15"/>
                <w:b w:val="1"/>
                <w:bCs w:val="1"/>
                <w:color w:val="auto"/>
              </w:rPr>
              <w:t>Debt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6560" w:type="dxa"/>
            <w:vAlign w:val="bottom"/>
            <w:gridSpan w:val="2"/>
          </w:tcPr>
          <w:p>
            <w:pPr>
              <w:spacing w:after="0"/>
              <w:rPr>
                <w:sz w:val="20"/>
                <w:szCs w:val="20"/>
                <w:color w:val="auto"/>
              </w:rPr>
            </w:pPr>
            <w:r>
              <w:rPr>
                <w:rFonts w:ascii="Arial" w:cs="Arial" w:eastAsia="Arial" w:hAnsi="Arial"/>
                <w:sz w:val="19"/>
                <w:szCs w:val="19"/>
                <w:color w:val="auto"/>
              </w:rPr>
              <w:t>As of December 31, 2019 and 2018, debt consisted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3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23"/>
              <w:spacing w:after="0"/>
              <w:rPr>
                <w:sz w:val="20"/>
                <w:szCs w:val="20"/>
                <w:color w:val="auto"/>
              </w:rPr>
            </w:pPr>
            <w:r>
              <w:rPr>
                <w:rFonts w:ascii="Arial" w:cs="Arial" w:eastAsia="Arial" w:hAnsi="Arial"/>
                <w:sz w:val="15"/>
                <w:szCs w:val="15"/>
                <w:b w:val="1"/>
                <w:bCs w:val="1"/>
                <w:color w:val="auto"/>
                <w:w w:val="94"/>
              </w:rPr>
              <w:t>December 31,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36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5"/>
              </w:rPr>
              <w:t>2019</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7"/>
                <w:szCs w:val="17"/>
                <w:color w:val="auto"/>
              </w:rPr>
            </w:pP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 Loan Facility, due January 21,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495,000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272,192</w:t>
            </w:r>
          </w:p>
        </w:tc>
        <w:tc>
          <w:tcPr>
            <w:tcW w:w="100" w:type="dxa"/>
            <w:vAlign w:val="bottom"/>
            <w:shd w:val="clear" w:color="auto" w:fill="CCEEFF"/>
          </w:tcPr>
          <w:p>
            <w:pPr>
              <w:spacing w:after="0"/>
              <w:rPr>
                <w:sz w:val="16"/>
                <w:szCs w:val="16"/>
                <w:color w:val="auto"/>
              </w:rPr>
            </w:pPr>
          </w:p>
        </w:tc>
      </w:tr>
      <w:tr>
        <w:trPr>
          <w:trHeight w:val="186"/>
        </w:trPr>
        <w:tc>
          <w:tcPr>
            <w:tcW w:w="6560" w:type="dxa"/>
            <w:vAlign w:val="bottom"/>
            <w:gridSpan w:val="2"/>
          </w:tcPr>
          <w:p>
            <w:pPr>
              <w:spacing w:after="0"/>
              <w:rPr>
                <w:sz w:val="20"/>
                <w:szCs w:val="20"/>
                <w:color w:val="auto"/>
              </w:rPr>
            </w:pPr>
            <w:r>
              <w:rPr>
                <w:rFonts w:ascii="Arial" w:cs="Arial" w:eastAsia="Arial" w:hAnsi="Arial"/>
                <w:sz w:val="15"/>
                <w:szCs w:val="15"/>
                <w:color w:val="auto"/>
              </w:rPr>
              <w:t>Senior Secured Bonds, due September 2034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70,960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Senior Secured Bonds, due December 2034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5"/>
                <w:szCs w:val="15"/>
                <w:color w:val="auto"/>
              </w:rPr>
              <w:t>Senior Unsecured Bonds, due September 2036</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42,274</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r>
      <w:tr>
        <w:trPr>
          <w:trHeight w:val="226"/>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619,057</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2"/>
        </w:trPr>
        <w:tc>
          <w:tcPr>
            <w:tcW w:w="6560" w:type="dxa"/>
            <w:vAlign w:val="bottom"/>
            <w:gridSpan w:val="2"/>
          </w:tcPr>
          <w:p>
            <w:pPr>
              <w:spacing w:after="0"/>
              <w:rPr>
                <w:sz w:val="20"/>
                <w:szCs w:val="20"/>
                <w:color w:val="auto"/>
              </w:rPr>
            </w:pPr>
            <w:r>
              <w:rPr>
                <w:rFonts w:ascii="Arial" w:cs="Arial" w:eastAsia="Arial" w:hAnsi="Arial"/>
                <w:sz w:val="15"/>
                <w:szCs w:val="15"/>
                <w:color w:val="auto"/>
              </w:rPr>
              <w:t>Current portion of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272,192</w:t>
            </w:r>
          </w:p>
        </w:tc>
      </w:tr>
      <w:tr>
        <w:trPr>
          <w:trHeight w:val="186"/>
        </w:trPr>
        <w:tc>
          <w:tcPr>
            <w:tcW w:w="6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Non-current portion of debt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619,057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bl>
    <w:p>
      <w:pPr>
        <w:spacing w:after="0" w:line="19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Term Loan Facility</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7"/>
          <w:szCs w:val="17"/>
          <w:color w:val="auto"/>
        </w:rPr>
        <w:t>On August 16, 2018, the Company entered into a credit agreement with a syndicate of two lenders to borrow up to an aggregate principal amount of</w:t>
      </w:r>
    </w:p>
    <w:p>
      <w:pPr>
        <w:spacing w:after="0" w:line="30" w:lineRule="exact"/>
        <w:rPr>
          <w:sz w:val="20"/>
          <w:szCs w:val="20"/>
          <w:color w:val="auto"/>
        </w:rPr>
      </w:pPr>
    </w:p>
    <w:p>
      <w:pPr>
        <w:ind w:left="7"/>
        <w:spacing w:after="0" w:line="248" w:lineRule="auto"/>
        <w:rPr>
          <w:sz w:val="20"/>
          <w:szCs w:val="20"/>
          <w:color w:val="auto"/>
        </w:rPr>
      </w:pPr>
      <w:r>
        <w:rPr>
          <w:rFonts w:ascii="Arial" w:cs="Arial" w:eastAsia="Arial" w:hAnsi="Arial"/>
          <w:sz w:val="18"/>
          <w:szCs w:val="18"/>
          <w:color w:val="auto"/>
        </w:rPr>
        <w:t>$240,000, and proceeds received from this credit agreement were utilized to repay prior debt facilities. On December 31, 2018, the Company amended this credit agreement to increase the available borrowing principal amount to $500,000 (as amended, the “Term Loan Facility”), and as of December 31, 2018, the Company had an outstanding principal balance of $280,000 under the Term Loan Facility. On March 21, 2019, the Company drew an additional $220,000, bringing the Company’s total outstanding borrowings to $500,000 under the Term Loan Facility.</w:t>
      </w:r>
    </w:p>
    <w:p>
      <w:pPr>
        <w:spacing w:after="0" w:line="340" w:lineRule="exact"/>
        <w:rPr>
          <w:sz w:val="20"/>
          <w:szCs w:val="20"/>
          <w:color w:val="auto"/>
        </w:rPr>
      </w:pPr>
    </w:p>
    <w:p>
      <w:pPr>
        <w:jc w:val="center"/>
        <w:ind w:right="-126"/>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27"/>
          </w:cols>
          <w:pgMar w:left="233" w:top="124" w:right="339" w:bottom="1440" w:gutter="0" w:footer="0" w:header="0"/>
        </w:sectPr>
      </w:pPr>
    </w:p>
    <w:bookmarkStart w:id="89" w:name="page90"/>
    <w:bookmarkEnd w:id="8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All borrowings under the Term Loan Facility bore interest at a rate selected by the Company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18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Term Loan Facility was secured by mortgages on certain properties owned by the Company’s subsidiaries, in addition to other collateral. The Term Loan Facility was amended in the third quarter of 2019 to allow certain properties of a consolidated subsidiary to secure the Senior Secured Bonds (defined below). The Company was required to comply with certain financial covenants and other restrictive covenants customary for facilities of this type, including restrictions on indebtedness, liens, acquisitions and investments, restricted payments, and dispositions. The Term Loan Facility also provided for customary events of default, prepayment, and cure provisions.</w:t>
      </w:r>
    </w:p>
    <w:p>
      <w:pPr>
        <w:spacing w:after="0" w:line="17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connection with obtaining the Term Loan Facility and the extinguishment of the Company’s prior debt facilities, the Company paid $22,422 in origination and other fees. A portion of refinanced borrowings and associated fees were accounted for as a debt modification, while the remaining refinanced borrowings and associated were accounted for as a debt extinguishment. As such, the Company also recognized a Loss on extinguishment of debt of $9,568 in the consolidated statements of operations and comprehensive loss, including the write-off $2,820 of unamortized deferred financing costs and $6,380 of financing fees incurred in connection with the amendment of the Term Loan Facility; the remaining loss on extinguishment was due to unamortized deferred financing costs and other fees incurred in conjunction with the repayment of prior debt facilities. Of the fees incurred, the Company recognized $9,746 as a reduction of the principal balance on the consolidated balance sheets. As of December 31, 2018, the remaining unamortized deferred financing costs were $7,808. In 2019, the Company paid $4,400 of additional fees in connection with the $220,000 draw on the Term Loan Facility. These fees were capitalized as a reduction to the Term Loan Facility on the consolidated balance sheets, and all deferred financing costs associated with the Term Loan Facility were amortized over the term of the Term Loan Facility, through December 31, 2019. As such, there were no unamortized deferred financing costs as of December 31, 2019.</w:t>
      </w:r>
    </w:p>
    <w:p>
      <w:pPr>
        <w:spacing w:after="0" w:line="171"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Term Loan Facility had a maturity date of December 31, 2019, with an option to extend the maturity date for two additional six-month periods. Upon the exercise of each extension option, the Company would pay a fee equal to 1.0% of the outstanding principal balance at the time of the exercise and the spread on LIBOR and Base Rate would increase by 0.5%. On December 30, 2019, the Company entered into an amendment with the lenders to extend the maturity to January 21, 2020; no fees were due to lenders from the execution of this amendment. Prior to this new maturity date, the Company repaid the full amount outstanding using proceeds from the Credit Agreement (as defined in Note 27 below) to extinguish the Term Loan Facility. The Credit Agreement matures in January 2023, and as the borrowings under the Credit Agreement are long term in nature, the outstanding principal balance of the Term Loan Facility as of December 31, 2019 has been presented as a non-current liability.</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South Power Bonds</w:t>
      </w:r>
    </w:p>
    <w:p>
      <w:pPr>
        <w:spacing w:after="0" w:line="20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are secured by the dual-fired combined heat and power facility in Clarendon, Jamaica (the “CHP Plant”) and related receivables and assets, and the proceeds will be used to fund the completion of the CHP Plant and to reimburse shareholder advances. In the fourth quarter of 2019, South Power issued an additional $63,000 in Senior Secured Bonds. The Company received $10,856 of the proceeds in 2019 and received the remaining proceeds of $52,144 in January 2020.</w:t>
      </w:r>
    </w:p>
    <w:p>
      <w:pPr>
        <w:spacing w:after="0" w:line="159" w:lineRule="exact"/>
        <w:rPr>
          <w:sz w:val="20"/>
          <w:szCs w:val="20"/>
          <w:color w:val="auto"/>
        </w:rPr>
      </w:pPr>
    </w:p>
    <w:p>
      <w:pPr>
        <w:jc w:val="both"/>
        <w:ind w:right="180"/>
        <w:spacing w:after="0" w:line="336" w:lineRule="auto"/>
        <w:rPr>
          <w:sz w:val="20"/>
          <w:szCs w:val="20"/>
          <w:color w:val="auto"/>
        </w:rPr>
      </w:pPr>
      <w:r>
        <w:rPr>
          <w:rFonts w:ascii="Arial" w:cs="Arial" w:eastAsia="Arial" w:hAnsi="Arial"/>
          <w:sz w:val="15"/>
          <w:szCs w:val="15"/>
          <w:color w:val="auto"/>
        </w:rPr>
        <w:t>The Senior Secured Bonds bear interest at an annual fixed rate of 8.25% and will mature 15 years from the closing date of each issuance.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12" w:lineRule="exact"/>
        <w:rPr>
          <w:sz w:val="20"/>
          <w:szCs w:val="20"/>
          <w:color w:val="auto"/>
        </w:rPr>
      </w:pPr>
    </w:p>
    <w:p>
      <w:pPr>
        <w:jc w:val="both"/>
        <w:ind w:right="100"/>
        <w:spacing w:after="0"/>
        <w:rPr>
          <w:sz w:val="20"/>
          <w:szCs w:val="20"/>
          <w:color w:val="auto"/>
        </w:rPr>
      </w:pPr>
      <w:r>
        <w:rPr>
          <w:rFonts w:ascii="Arial" w:cs="Arial" w:eastAsia="Arial" w:hAnsi="Arial"/>
          <w:sz w:val="19"/>
          <w:szCs w:val="19"/>
          <w:color w:val="auto"/>
        </w:rPr>
        <w:t>The Senior Unsecured Bonds bear interest at an annual fixed rate of 11.00% and will mature in September 2036. No principal payments will be due for the first nine years. Beginning in 2028, principal payments will be due quarterly on an escalating schedule. Interest payments on outstanding principal balances will be due quarterly.</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South Power will be required to comply with certain financial covenants as well as customary affirmative and negative covenants, including limitations on incurring additional indebtedness. The facility also provides for customary events of default, prepayment, and cure provisions.</w:t>
      </w:r>
    </w:p>
    <w:p>
      <w:pPr>
        <w:spacing w:after="0" w:line="149" w:lineRule="exact"/>
        <w:rPr>
          <w:sz w:val="20"/>
          <w:szCs w:val="20"/>
          <w:color w:val="auto"/>
        </w:rPr>
      </w:pPr>
    </w:p>
    <w:p>
      <w:pPr>
        <w:jc w:val="both"/>
        <w:ind w:right="280"/>
        <w:spacing w:after="0"/>
        <w:rPr>
          <w:sz w:val="20"/>
          <w:szCs w:val="20"/>
          <w:color w:val="auto"/>
        </w:rPr>
      </w:pPr>
      <w:r>
        <w:rPr>
          <w:rFonts w:ascii="Arial" w:cs="Arial" w:eastAsia="Arial" w:hAnsi="Arial"/>
          <w:sz w:val="19"/>
          <w:szCs w:val="19"/>
          <w:color w:val="auto"/>
        </w:rPr>
        <w:t>The Company paid approximately $3,892 of fees in connection with the issuance of Senior Secured Bonds and Senior Unsecured Bonds. These fees were capitalized on a pro-rata basis as a reduction of the Senior Secured Bonds and Senior Unsecured Bonds on the consolidated balance sheets. The total unamortized deferred financing costs as of December 31, 2019 was $3,799.</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40"/>
          </w:cols>
          <w:pgMar w:left="240" w:top="124" w:right="319" w:bottom="1440" w:gutter="0" w:footer="0" w:header="0"/>
        </w:sectPr>
      </w:pPr>
    </w:p>
    <w:bookmarkStart w:id="90" w:name="page91"/>
    <w:bookmarkEnd w:id="9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facility, South Power is required to maintain a Debt Service Reserve Account (as defined in the facility) in the amount of $8,299.</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Such amount is included as a component of Restricted cash on the Company’s consolidated balance sheets (see Note 7).</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 Expense</w:t>
      </w:r>
    </w:p>
    <w:p>
      <w:pPr>
        <w:spacing w:after="0" w:line="200" w:lineRule="exact"/>
        <w:rPr>
          <w:sz w:val="20"/>
          <w:szCs w:val="20"/>
          <w:color w:val="auto"/>
        </w:rPr>
      </w:pPr>
    </w:p>
    <w:p>
      <w:pPr>
        <w:jc w:val="both"/>
        <w:ind w:right="220"/>
        <w:spacing w:after="0"/>
        <w:rPr>
          <w:sz w:val="20"/>
          <w:szCs w:val="20"/>
          <w:color w:val="auto"/>
        </w:rPr>
      </w:pPr>
      <w:r>
        <w:rPr>
          <w:rFonts w:ascii="Arial" w:cs="Arial" w:eastAsia="Arial" w:hAnsi="Arial"/>
          <w:sz w:val="19"/>
          <w:szCs w:val="19"/>
          <w:color w:val="auto"/>
        </w:rPr>
        <w:t>Interest and related amortization of debt issuance costs recognized during major development and construction projects are capitalized and included in the cost of the project. Interest expense, net of amounts capitalized, recognized for the year ended December 31, 2019, 2018, and 2017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6"/>
                <w:szCs w:val="16"/>
                <w:color w:val="auto"/>
              </w:rPr>
            </w:pPr>
          </w:p>
        </w:tc>
      </w:tr>
      <w:tr>
        <w:trPr>
          <w:trHeight w:val="186"/>
        </w:trPr>
        <w:tc>
          <w:tcPr>
            <w:tcW w:w="4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per contractual rates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32,283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5,760</w:t>
            </w:r>
          </w:p>
        </w:tc>
        <w:tc>
          <w:tcPr>
            <w:tcW w:w="120" w:type="dxa"/>
            <w:vAlign w:val="bottom"/>
            <w:shd w:val="clear" w:color="auto" w:fill="CCEEFF"/>
          </w:tcPr>
          <w:p>
            <w:pPr>
              <w:spacing w:after="0"/>
              <w:rPr>
                <w:sz w:val="16"/>
                <w:szCs w:val="16"/>
                <w:color w:val="auto"/>
              </w:rPr>
            </w:pPr>
          </w:p>
        </w:tc>
      </w:tr>
      <w:tr>
        <w:trPr>
          <w:trHeight w:val="189"/>
        </w:trPr>
        <w:tc>
          <w:tcPr>
            <w:tcW w:w="4000" w:type="dxa"/>
            <w:vAlign w:val="bottom"/>
            <w:gridSpan w:val="2"/>
          </w:tcPr>
          <w:p>
            <w:pPr>
              <w:spacing w:after="0"/>
              <w:rPr>
                <w:sz w:val="20"/>
                <w:szCs w:val="20"/>
                <w:color w:val="auto"/>
              </w:rPr>
            </w:pPr>
            <w:r>
              <w:rPr>
                <w:rFonts w:ascii="Arial" w:cs="Arial" w:eastAsia="Arial" w:hAnsi="Arial"/>
                <w:sz w:val="15"/>
                <w:szCs w:val="15"/>
                <w:color w:val="auto"/>
              </w:rPr>
              <w:t>Amortization of debt issuance costs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12,301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3,617</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696</w:t>
            </w:r>
          </w:p>
        </w:tc>
      </w:tr>
      <w:tr>
        <w:trPr>
          <w:trHeight w:val="186"/>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 interest costs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44,584</w:t>
            </w: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12,980</w:t>
            </w:r>
          </w:p>
        </w:tc>
        <w:tc>
          <w:tcPr>
            <w:tcW w:w="2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6,456</w:t>
            </w:r>
          </w:p>
        </w:tc>
        <w:tc>
          <w:tcPr>
            <w:tcW w:w="120" w:type="dxa"/>
            <w:vAlign w:val="bottom"/>
            <w:shd w:val="clear" w:color="auto" w:fill="CCEEFF"/>
          </w:tcPr>
          <w:p>
            <w:pPr>
              <w:spacing w:after="0"/>
              <w:rPr>
                <w:sz w:val="16"/>
                <w:szCs w:val="16"/>
                <w:color w:val="auto"/>
              </w:rPr>
            </w:pPr>
          </w:p>
        </w:tc>
      </w:tr>
      <w:tr>
        <w:trPr>
          <w:trHeight w:val="189"/>
        </w:trPr>
        <w:tc>
          <w:tcPr>
            <w:tcW w:w="4000" w:type="dxa"/>
            <w:vAlign w:val="bottom"/>
            <w:gridSpan w:val="2"/>
          </w:tcPr>
          <w:p>
            <w:pPr>
              <w:spacing w:after="0"/>
              <w:rPr>
                <w:sz w:val="20"/>
                <w:szCs w:val="20"/>
                <w:color w:val="auto"/>
              </w:rPr>
            </w:pPr>
            <w:r>
              <w:rPr>
                <w:rFonts w:ascii="Arial" w:cs="Arial" w:eastAsia="Arial" w:hAnsi="Arial"/>
                <w:sz w:val="15"/>
                <w:szCs w:val="15"/>
                <w:color w:val="auto"/>
              </w:rPr>
              <w:t>Capitalized interest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25,172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1,732</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r>
      <w:tr>
        <w:trPr>
          <w:trHeight w:val="226"/>
        </w:trPr>
        <w:tc>
          <w:tcPr>
            <w:tcW w:w="4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 interest expense</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11,248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381"/>
        </w:trPr>
        <w:tc>
          <w:tcPr>
            <w:tcW w:w="360" w:type="dxa"/>
            <w:vAlign w:val="bottom"/>
          </w:tcPr>
          <w:p>
            <w:pPr>
              <w:spacing w:after="0"/>
              <w:rPr>
                <w:sz w:val="20"/>
                <w:szCs w:val="20"/>
                <w:color w:val="auto"/>
              </w:rPr>
            </w:pPr>
            <w:r>
              <w:rPr>
                <w:rFonts w:ascii="Arial" w:cs="Arial" w:eastAsia="Arial" w:hAnsi="Arial"/>
                <w:sz w:val="15"/>
                <w:szCs w:val="15"/>
                <w:b w:val="1"/>
                <w:bCs w:val="1"/>
                <w:color w:val="auto"/>
              </w:rPr>
              <w:t>18.</w:t>
            </w:r>
          </w:p>
        </w:tc>
        <w:tc>
          <w:tcPr>
            <w:tcW w:w="3640" w:type="dxa"/>
            <w:vAlign w:val="bottom"/>
          </w:tcPr>
          <w:p>
            <w:pPr>
              <w:ind w:left="200"/>
              <w:spacing w:after="0"/>
              <w:rPr>
                <w:sz w:val="20"/>
                <w:szCs w:val="20"/>
                <w:color w:val="auto"/>
              </w:rPr>
            </w:pPr>
            <w:r>
              <w:rPr>
                <w:rFonts w:ascii="Arial" w:cs="Arial" w:eastAsia="Arial" w:hAnsi="Arial"/>
                <w:sz w:val="15"/>
                <w:szCs w:val="15"/>
                <w:b w:val="1"/>
                <w:bCs w:val="1"/>
                <w:color w:val="auto"/>
              </w:rPr>
              <w:t>Income taxes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91"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In connection with the IPO, NFE contributed the net proceeds from the IPO to NFI in exchange for NFI LLC Units, and NFE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including NFE,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131" w:lineRule="exact"/>
        <w:rPr>
          <w:sz w:val="20"/>
          <w:szCs w:val="20"/>
          <w:color w:val="auto"/>
        </w:rPr>
      </w:pPr>
    </w:p>
    <w:p>
      <w:pPr>
        <w:jc w:val="both"/>
        <w:ind w:right="380"/>
        <w:spacing w:after="0"/>
        <w:rPr>
          <w:sz w:val="20"/>
          <w:szCs w:val="20"/>
          <w:color w:val="auto"/>
        </w:rPr>
      </w:pPr>
      <w:r>
        <w:rPr>
          <w:rFonts w:ascii="Arial" w:cs="Arial" w:eastAsia="Arial" w:hAnsi="Arial"/>
          <w:sz w:val="19"/>
          <w:szCs w:val="19"/>
          <w:color w:val="auto"/>
        </w:rPr>
        <w:t>In connection with the IPO, NFE recorded a deferred tax asset of $42,783 related to the difference between its tax basis in its investment in NFI and NFE’s share of the financial statement carrying amount of the net assets of NFI. The deferred tax asset was recorded to equity and is fully offset by a valuation allowance also recorded to equity.</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The components of the Company’s loss before income taxes for the years ended December 31, 2019, 2018, and 2017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5"/>
                <w:szCs w:val="15"/>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2019</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r>
      <w:tr>
        <w:trPr>
          <w:trHeight w:val="186"/>
        </w:trPr>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(194,481)</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(74,873)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(32,647)</w:t>
            </w:r>
          </w:p>
        </w:tc>
        <w:tc>
          <w:tcPr>
            <w:tcW w:w="100" w:type="dxa"/>
            <w:vAlign w:val="bottom"/>
            <w:shd w:val="clear" w:color="auto" w:fill="CCEEFF"/>
          </w:tcPr>
          <w:p>
            <w:pPr>
              <w:spacing w:after="0"/>
              <w:rPr>
                <w:sz w:val="16"/>
                <w:szCs w:val="16"/>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5"/>
                <w:szCs w:val="15"/>
                <w:color w:val="auto"/>
              </w:rPr>
              <w:t>Foreign</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(9,399)</w:t>
            </w:r>
          </w:p>
        </w:tc>
        <w:tc>
          <w:tcPr>
            <w:tcW w:w="2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(3,647)</w:t>
            </w: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1,502</w:t>
            </w:r>
          </w:p>
        </w:tc>
      </w:tr>
      <w:tr>
        <w:trPr>
          <w:trHeight w:val="226"/>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Loss before taxes</w:t>
            </w: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(203,880)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(78,520)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(31,145)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Income tax expense (benefit) is comprised of the following for the years ended December 31, 2019, 2018, and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2019</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5"/>
                <w:szCs w:val="15"/>
                <w:b w:val="1"/>
                <w:bCs w:val="1"/>
                <w:color w:val="auto"/>
              </w:rPr>
              <w:t>Current:</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6"/>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5"/>
                <w:szCs w:val="15"/>
                <w:color w:val="auto"/>
              </w:rPr>
              <w:t>Foreign</w:t>
            </w: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47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w:t>
            </w:r>
          </w:p>
        </w:tc>
        <w:tc>
          <w:tcPr>
            <w:tcW w:w="3440" w:type="dxa"/>
            <w:vAlign w:val="bottom"/>
          </w:tcPr>
          <w:p>
            <w:pPr>
              <w:spacing w:after="0"/>
              <w:rPr>
                <w:sz w:val="16"/>
                <w:szCs w:val="16"/>
                <w:color w:val="auto"/>
              </w:rPr>
            </w:pPr>
          </w:p>
        </w:tc>
      </w:tr>
      <w:tr>
        <w:trPr>
          <w:trHeight w:val="186"/>
        </w:trPr>
        <w:tc>
          <w:tcPr>
            <w:tcW w:w="4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current tax expense</w:t>
            </w: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6"/>
                <w:szCs w:val="16"/>
                <w:color w:val="auto"/>
              </w:rPr>
            </w:pPr>
          </w:p>
        </w:tc>
        <w:tc>
          <w:tcPr>
            <w:tcW w:w="3440" w:type="dxa"/>
            <w:vAlign w:val="bottom"/>
          </w:tcPr>
          <w:p>
            <w:pPr>
              <w:spacing w:after="0"/>
              <w:rPr>
                <w:sz w:val="16"/>
                <w:szCs w:val="16"/>
                <w:color w:val="auto"/>
              </w:rPr>
            </w:pPr>
          </w:p>
        </w:tc>
      </w:tr>
      <w:tr>
        <w:trPr>
          <w:trHeight w:val="186"/>
        </w:trPr>
        <w:tc>
          <w:tcPr>
            <w:tcW w:w="4000" w:type="dxa"/>
            <w:vAlign w:val="bottom"/>
          </w:tcPr>
          <w:p>
            <w:pPr>
              <w:spacing w:after="0"/>
              <w:rPr>
                <w:sz w:val="20"/>
                <w:szCs w:val="20"/>
                <w:color w:val="auto"/>
              </w:rPr>
            </w:pPr>
            <w:r>
              <w:rPr>
                <w:rFonts w:ascii="Arial" w:cs="Arial" w:eastAsia="Arial" w:hAnsi="Arial"/>
                <w:sz w:val="15"/>
                <w:szCs w:val="15"/>
                <w:b w:val="1"/>
                <w:bCs w:val="1"/>
                <w:color w:val="auto"/>
              </w:rPr>
              <w:t>Deferred:</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86"/>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Domestic</w:t>
            </w: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3440" w:type="dxa"/>
            <w:vAlign w:val="bottom"/>
          </w:tcPr>
          <w:p>
            <w:pPr>
              <w:spacing w:after="0"/>
              <w:rPr>
                <w:sz w:val="16"/>
                <w:szCs w:val="16"/>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5"/>
                <w:szCs w:val="15"/>
                <w:color w:val="auto"/>
              </w:rPr>
              <w:t>Foreign</w:t>
            </w: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392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(345)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521</w:t>
            </w:r>
          </w:p>
        </w:tc>
        <w:tc>
          <w:tcPr>
            <w:tcW w:w="3440" w:type="dxa"/>
            <w:vAlign w:val="bottom"/>
          </w:tcPr>
          <w:p>
            <w:pPr>
              <w:spacing w:after="0"/>
              <w:rPr>
                <w:sz w:val="16"/>
                <w:szCs w:val="16"/>
                <w:color w:val="auto"/>
              </w:rPr>
            </w:pPr>
          </w:p>
        </w:tc>
      </w:tr>
      <w:tr>
        <w:trPr>
          <w:trHeight w:val="189"/>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deferred tax expense (benefit)</w:t>
            </w:r>
          </w:p>
        </w:tc>
        <w:tc>
          <w:tcPr>
            <w:tcW w:w="820" w:type="dxa"/>
            <w:vAlign w:val="bottom"/>
            <w:tcBorders>
              <w:top w:val="single" w:sz="8" w:color="auto"/>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120" w:type="dxa"/>
            <w:vAlign w:val="bottom"/>
            <w:tcBorders>
              <w:bottom w:val="single" w:sz="8" w:color="CCEEFF"/>
            </w:tcBorders>
            <w:shd w:val="clear" w:color="auto" w:fill="CCEEFF"/>
          </w:tcPr>
          <w:p>
            <w:pPr>
              <w:spacing w:after="0"/>
              <w:rPr>
                <w:sz w:val="16"/>
                <w:szCs w:val="16"/>
                <w:color w:val="auto"/>
              </w:rPr>
            </w:pPr>
          </w:p>
        </w:tc>
        <w:tc>
          <w:tcPr>
            <w:tcW w:w="3440" w:type="dxa"/>
            <w:vAlign w:val="bottom"/>
          </w:tcPr>
          <w:p>
            <w:pPr>
              <w:spacing w:after="0"/>
              <w:rPr>
                <w:sz w:val="16"/>
                <w:szCs w:val="16"/>
                <w:color w:val="auto"/>
              </w:rPr>
            </w:pPr>
          </w:p>
        </w:tc>
      </w:tr>
      <w:tr>
        <w:trPr>
          <w:trHeight w:val="186"/>
        </w:trPr>
        <w:tc>
          <w:tcPr>
            <w:tcW w:w="4000" w:type="dxa"/>
            <w:vAlign w:val="bottom"/>
          </w:tcPr>
          <w:p>
            <w:pPr>
              <w:ind w:left="140"/>
              <w:spacing w:after="0"/>
              <w:rPr>
                <w:sz w:val="20"/>
                <w:szCs w:val="20"/>
                <w:color w:val="auto"/>
              </w:rPr>
            </w:pPr>
            <w:r>
              <w:rPr>
                <w:rFonts w:ascii="Arial" w:cs="Arial" w:eastAsia="Arial" w:hAnsi="Arial"/>
                <w:sz w:val="15"/>
                <w:szCs w:val="15"/>
                <w:color w:val="auto"/>
              </w:rPr>
              <w:t>Total provision for (benefit from) income taxes</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439</w:t>
            </w: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5"/>
                <w:szCs w:val="15"/>
                <w:color w:val="auto"/>
              </w:rPr>
              <w:t>(338)</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526</w:t>
            </w:r>
          </w:p>
        </w:tc>
        <w:tc>
          <w:tcPr>
            <w:tcW w:w="344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99"/>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800"/>
              <w:spacing w:after="0"/>
              <w:rPr>
                <w:sz w:val="20"/>
                <w:szCs w:val="20"/>
                <w:color w:val="auto"/>
              </w:rPr>
            </w:pPr>
            <w:r>
              <w:rPr>
                <w:rFonts w:ascii="Arial" w:cs="Arial" w:eastAsia="Arial" w:hAnsi="Arial"/>
                <w:sz w:val="12"/>
                <w:szCs w:val="12"/>
                <w:color w:val="auto"/>
              </w:rPr>
              <w:t>F-23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
        </w:trPr>
        <w:tc>
          <w:tcPr>
            <w:tcW w:w="40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91" w:name="page92"/>
    <w:bookmarkEnd w:id="91"/>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Prior to the IPO, the income tax expense (benefit) was primarily due to foreign taxes. Subsequent to the IPO, federal income taxes were also provided related to the Company’s allocable share of income (losses) from NFI at the prevailing U.S. federal, state, and local corporate income tax rates. As New Fortress Energy Holdings, NFE’s predecessor for accounting purposes, was organized as a partnership for U.S. tax purposes, no United States federal income taxes were incurred in the years ended December 31, 2018 and 2017.</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Effective Tax Rate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of the U.S. federal statutory income tax rate to the Company’s effective tax rate is as follows:</w:t>
      </w:r>
    </w:p>
    <w:p>
      <w:pPr>
        <w:spacing w:after="0" w:line="202" w:lineRule="exact"/>
        <w:rPr>
          <w:sz w:val="20"/>
          <w:szCs w:val="20"/>
          <w:color w:val="auto"/>
        </w:rPr>
      </w:pPr>
    </w:p>
    <w:p>
      <w:pPr>
        <w:ind w:left="6120"/>
        <w:spacing w:after="0"/>
        <w:rPr>
          <w:sz w:val="20"/>
          <w:szCs w:val="20"/>
          <w:color w:val="auto"/>
        </w:rPr>
      </w:pPr>
      <w:r>
        <w:rPr>
          <w:rFonts w:ascii="Arial" w:cs="Arial" w:eastAsia="Arial" w:hAnsi="Arial"/>
          <w:sz w:val="15"/>
          <w:szCs w:val="15"/>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3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200" w:type="dxa"/>
            <w:vAlign w:val="bottom"/>
          </w:tcPr>
          <w:p>
            <w:pPr>
              <w:spacing w:after="0"/>
              <w:rPr>
                <w:sz w:val="16"/>
                <w:szCs w:val="16"/>
                <w:color w:val="auto"/>
              </w:rPr>
            </w:pPr>
          </w:p>
        </w:tc>
      </w:tr>
      <w:tr>
        <w:trPr>
          <w:trHeight w:val="186"/>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Income tax at the statutory rate</w:t>
            </w:r>
          </w:p>
        </w:tc>
        <w:tc>
          <w:tcPr>
            <w:tcW w:w="7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21.0%</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r>
      <w:tr>
        <w:trPr>
          <w:trHeight w:val="186"/>
        </w:trPr>
        <w:tc>
          <w:tcPr>
            <w:tcW w:w="5760" w:type="dxa"/>
            <w:vAlign w:val="bottom"/>
            <w:gridSpan w:val="2"/>
          </w:tcPr>
          <w:p>
            <w:pPr>
              <w:spacing w:after="0"/>
              <w:rPr>
                <w:sz w:val="20"/>
                <w:szCs w:val="20"/>
                <w:color w:val="auto"/>
              </w:rPr>
            </w:pPr>
            <w:r>
              <w:rPr>
                <w:rFonts w:ascii="Arial" w:cs="Arial" w:eastAsia="Arial" w:hAnsi="Arial"/>
                <w:sz w:val="15"/>
                <w:szCs w:val="15"/>
                <w:color w:val="auto"/>
              </w:rPr>
              <w:t>Foreign tax rate differential</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0.8%</w:t>
            </w:r>
          </w:p>
        </w:tc>
        <w:tc>
          <w:tcPr>
            <w:tcW w:w="1400" w:type="dxa"/>
            <w:vAlign w:val="bottom"/>
            <w:gridSpan w:val="2"/>
          </w:tcPr>
          <w:p>
            <w:pPr>
              <w:jc w:val="right"/>
              <w:ind w:right="140"/>
              <w:spacing w:after="0"/>
              <w:rPr>
                <w:sz w:val="20"/>
                <w:szCs w:val="20"/>
                <w:color w:val="auto"/>
              </w:rPr>
            </w:pPr>
            <w:r>
              <w:rPr>
                <w:rFonts w:ascii="Arial" w:cs="Arial" w:eastAsia="Arial" w:hAnsi="Arial"/>
                <w:sz w:val="15"/>
                <w:szCs w:val="15"/>
                <w:color w:val="auto"/>
              </w:rPr>
              <w:t>0.4%</w:t>
            </w:r>
          </w:p>
        </w:tc>
        <w:tc>
          <w:tcPr>
            <w:tcW w:w="132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r>
      <w:tr>
        <w:trPr>
          <w:trHeight w:val="186"/>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tax on foreign operations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2.9 %</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186"/>
        </w:trPr>
        <w:tc>
          <w:tcPr>
            <w:tcW w:w="5760" w:type="dxa"/>
            <w:vAlign w:val="bottom"/>
            <w:gridSpan w:val="2"/>
          </w:tcPr>
          <w:p>
            <w:pPr>
              <w:spacing w:after="0"/>
              <w:rPr>
                <w:sz w:val="20"/>
                <w:szCs w:val="20"/>
                <w:color w:val="auto"/>
              </w:rPr>
            </w:pPr>
            <w:r>
              <w:rPr>
                <w:rFonts w:ascii="Arial" w:cs="Arial" w:eastAsia="Arial" w:hAnsi="Arial"/>
                <w:sz w:val="15"/>
                <w:szCs w:val="15"/>
                <w:color w:val="auto"/>
              </w:rPr>
              <w:t>Foreign permanent adjustments</w:t>
            </w: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5.0%</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86"/>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attributable to non-controlling interest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8"/>
              </w:rPr>
              <w:t>(18.2%)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186"/>
        </w:trPr>
        <w:tc>
          <w:tcPr>
            <w:tcW w:w="5760" w:type="dxa"/>
            <w:vAlign w:val="bottom"/>
            <w:gridSpan w:val="2"/>
          </w:tcPr>
          <w:p>
            <w:pPr>
              <w:spacing w:after="0"/>
              <w:rPr>
                <w:sz w:val="20"/>
                <w:szCs w:val="20"/>
                <w:color w:val="auto"/>
              </w:rPr>
            </w:pPr>
            <w:r>
              <w:rPr>
                <w:rFonts w:ascii="Arial" w:cs="Arial" w:eastAsia="Arial" w:hAnsi="Arial"/>
                <w:sz w:val="15"/>
                <w:szCs w:val="15"/>
                <w:color w:val="auto"/>
              </w:rPr>
              <w:t>Domestic valuation allowance</w:t>
            </w: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(2.1%)</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86"/>
        </w:trPr>
        <w:tc>
          <w:tcPr>
            <w:tcW w:w="5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valuation allowance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8"/>
              </w:rPr>
              <w:t>(10.8%)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186"/>
        </w:trPr>
        <w:tc>
          <w:tcPr>
            <w:tcW w:w="5040" w:type="dxa"/>
            <w:vAlign w:val="bottom"/>
          </w:tcPr>
          <w:p>
            <w:pPr>
              <w:spacing w:after="0"/>
              <w:rPr>
                <w:sz w:val="20"/>
                <w:szCs w:val="20"/>
                <w:color w:val="auto"/>
              </w:rPr>
            </w:pPr>
            <w:r>
              <w:rPr>
                <w:rFonts w:ascii="Arial" w:cs="Arial" w:eastAsia="Arial" w:hAnsi="Arial"/>
                <w:sz w:val="15"/>
                <w:szCs w:val="15"/>
                <w:color w:val="auto"/>
              </w:rPr>
              <w:t>Other</w:t>
            </w:r>
          </w:p>
        </w:tc>
        <w:tc>
          <w:tcPr>
            <w:tcW w:w="7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1.2%</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3"/>
        </w:trPr>
        <w:tc>
          <w:tcPr>
            <w:tcW w:w="5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5040" w:type="dxa"/>
            <w:vAlign w:val="bottom"/>
            <w:shd w:val="clear" w:color="auto" w:fill="CCEEFF"/>
          </w:tcPr>
          <w:p>
            <w:pPr>
              <w:spacing w:after="0"/>
              <w:rPr>
                <w:sz w:val="20"/>
                <w:szCs w:val="20"/>
                <w:color w:val="auto"/>
              </w:rPr>
            </w:pPr>
            <w:r>
              <w:rPr>
                <w:rFonts w:ascii="Arial" w:cs="Arial" w:eastAsia="Arial" w:hAnsi="Arial"/>
                <w:sz w:val="15"/>
                <w:szCs w:val="15"/>
                <w:color w:val="auto"/>
              </w:rPr>
              <w:t>Effective income tax rate</w:t>
            </w:r>
          </w:p>
        </w:tc>
        <w:tc>
          <w:tcPr>
            <w:tcW w:w="7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(0.2%)</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ind w:right="500"/>
        <w:spacing w:after="0" w:line="250" w:lineRule="auto"/>
        <w:rPr>
          <w:sz w:val="20"/>
          <w:szCs w:val="20"/>
          <w:color w:val="auto"/>
        </w:rPr>
      </w:pPr>
      <w:r>
        <w:rPr>
          <w:rFonts w:ascii="Arial" w:cs="Arial" w:eastAsia="Arial" w:hAnsi="Arial"/>
          <w:sz w:val="19"/>
          <w:szCs w:val="19"/>
          <w:color w:val="auto"/>
        </w:rPr>
        <w:t>The primary items which decreased the Company’s effective income tax rate from the federal statutory rate in 2019 were increases in domestic and foreign valuation allowances and income attributable to non-controlling interests.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During the years ended December 31, 2019, 2018, and 2017, the Company did not have any unrecognized tax benefits.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Company’s valuation allowance on deferred tax assets for the period indicated for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December 31, 2019 and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5"/>
          </w:tcPr>
          <w:p>
            <w:pPr>
              <w:ind w:left="160"/>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65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6"/>
                <w:szCs w:val="16"/>
                <w:color w:val="auto"/>
              </w:rPr>
            </w:pPr>
          </w:p>
        </w:tc>
      </w:tr>
      <w:tr>
        <w:trPr>
          <w:trHeight w:val="186"/>
        </w:trPr>
        <w:tc>
          <w:tcPr>
            <w:tcW w:w="6560" w:type="dxa"/>
            <w:vAlign w:val="bottom"/>
            <w:shd w:val="clear" w:color="auto" w:fill="CCEEFF"/>
          </w:tcPr>
          <w:p>
            <w:pPr>
              <w:spacing w:after="0"/>
              <w:rPr>
                <w:sz w:val="20"/>
                <w:szCs w:val="20"/>
                <w:color w:val="auto"/>
              </w:rPr>
            </w:pPr>
            <w:r>
              <w:rPr>
                <w:rFonts w:ascii="Arial" w:cs="Arial" w:eastAsia="Arial" w:hAnsi="Arial"/>
                <w:sz w:val="15"/>
                <w:szCs w:val="15"/>
                <w:color w:val="auto"/>
              </w:rPr>
              <w:t>Balance at the beginning of the period</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9"/>
        </w:trPr>
        <w:tc>
          <w:tcPr>
            <w:tcW w:w="6560" w:type="dxa"/>
            <w:vAlign w:val="bottom"/>
          </w:tcPr>
          <w:p>
            <w:pPr>
              <w:spacing w:after="0"/>
              <w:rPr>
                <w:sz w:val="20"/>
                <w:szCs w:val="20"/>
                <w:color w:val="auto"/>
              </w:rPr>
            </w:pPr>
            <w:r>
              <w:rPr>
                <w:rFonts w:ascii="Arial" w:cs="Arial" w:eastAsia="Arial" w:hAnsi="Arial"/>
                <w:sz w:val="15"/>
                <w:szCs w:val="15"/>
                <w:color w:val="auto"/>
              </w:rPr>
              <w:t>Increase recognized in the statement of operations</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80,670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241</w:t>
            </w:r>
          </w:p>
        </w:tc>
      </w:tr>
      <w:tr>
        <w:trPr>
          <w:trHeight w:val="226"/>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the end of the period</w:t>
            </w: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80,911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The tax effect of each type of temporary difference and carryforward that give rise to a significant deferred tax asset or liability as of December 31, 2019, 2018, and 2017,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Year Ended December 31,</w:t>
            </w:r>
          </w:p>
        </w:tc>
      </w:tr>
      <w:tr>
        <w:trPr>
          <w:trHeight w:val="189"/>
        </w:trPr>
        <w:tc>
          <w:tcPr>
            <w:tcW w:w="880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6"/>
                <w:szCs w:val="16"/>
                <w:color w:val="auto"/>
              </w:rPr>
            </w:pPr>
          </w:p>
        </w:tc>
      </w:tr>
      <w:tr>
        <w:trPr>
          <w:trHeight w:val="186"/>
        </w:trPr>
        <w:tc>
          <w:tcPr>
            <w:tcW w:w="8800" w:type="dxa"/>
            <w:vAlign w:val="bottom"/>
          </w:tcPr>
          <w:p>
            <w:pPr>
              <w:spacing w:after="0"/>
              <w:rPr>
                <w:sz w:val="20"/>
                <w:szCs w:val="20"/>
                <w:color w:val="auto"/>
              </w:rPr>
            </w:pPr>
            <w:r>
              <w:rPr>
                <w:rFonts w:ascii="Arial" w:cs="Arial" w:eastAsia="Arial" w:hAnsi="Arial"/>
                <w:sz w:val="15"/>
                <w:szCs w:val="15"/>
                <w:b w:val="1"/>
                <w:bCs w:val="1"/>
                <w:color w:val="auto"/>
              </w:rPr>
              <w:t>Deferred tax assets: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Investment in NFI</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46,185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8800" w:type="dxa"/>
            <w:vAlign w:val="bottom"/>
          </w:tcPr>
          <w:p>
            <w:pPr>
              <w:spacing w:after="0"/>
              <w:rPr>
                <w:sz w:val="20"/>
                <w:szCs w:val="20"/>
                <w:color w:val="auto"/>
              </w:rPr>
            </w:pPr>
            <w:r>
              <w:rPr>
                <w:rFonts w:ascii="Arial" w:cs="Arial" w:eastAsia="Arial" w:hAnsi="Arial"/>
                <w:sz w:val="15"/>
                <w:szCs w:val="15"/>
                <w:color w:val="auto"/>
              </w:rPr>
              <w:t>Accrued interest</w:t>
            </w:r>
          </w:p>
        </w:tc>
        <w:tc>
          <w:tcPr>
            <w:tcW w:w="240" w:type="dxa"/>
            <w:vAlign w:val="bottom"/>
          </w:tcPr>
          <w:p>
            <w:pPr>
              <w:spacing w:after="0"/>
              <w:rPr>
                <w:sz w:val="16"/>
                <w:szCs w:val="16"/>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14,047</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3,181</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Federal and state net operating loss carryforward</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3,215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8800" w:type="dxa"/>
            <w:vAlign w:val="bottom"/>
          </w:tcPr>
          <w:p>
            <w:pPr>
              <w:spacing w:after="0"/>
              <w:rPr>
                <w:sz w:val="20"/>
                <w:szCs w:val="20"/>
                <w:color w:val="auto"/>
              </w:rPr>
            </w:pPr>
            <w:r>
              <w:rPr>
                <w:rFonts w:ascii="Arial" w:cs="Arial" w:eastAsia="Arial" w:hAnsi="Arial"/>
                <w:sz w:val="15"/>
                <w:szCs w:val="15"/>
                <w:color w:val="auto"/>
              </w:rPr>
              <w:t>Foreign net operating loss carryforward</w:t>
            </w:r>
          </w:p>
        </w:tc>
        <w:tc>
          <w:tcPr>
            <w:tcW w:w="240" w:type="dxa"/>
            <w:vAlign w:val="bottom"/>
          </w:tcPr>
          <w:p>
            <w:pPr>
              <w:spacing w:after="0"/>
              <w:rPr>
                <w:sz w:val="16"/>
                <w:szCs w:val="16"/>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5"/>
                <w:szCs w:val="15"/>
                <w:color w:val="auto"/>
              </w:rPr>
              <w:t>19,713</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4,824</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Share-based compensation</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880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406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deferred tax assets</w:t>
            </w: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92,524</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8,005</w:t>
            </w:r>
          </w:p>
        </w:tc>
        <w:tc>
          <w:tcPr>
            <w:tcW w:w="100" w:type="dxa"/>
            <w:vAlign w:val="bottom"/>
            <w:shd w:val="clear" w:color="auto" w:fill="CCEEFF"/>
          </w:tcPr>
          <w:p>
            <w:pPr>
              <w:spacing w:after="0"/>
              <w:rPr>
                <w:sz w:val="16"/>
                <w:szCs w:val="16"/>
                <w:color w:val="auto"/>
              </w:rPr>
            </w:pPr>
          </w:p>
        </w:tc>
      </w:tr>
      <w:tr>
        <w:trPr>
          <w:trHeight w:val="189"/>
        </w:trPr>
        <w:tc>
          <w:tcPr>
            <w:tcW w:w="8800" w:type="dxa"/>
            <w:vAlign w:val="bottom"/>
          </w:tcPr>
          <w:p>
            <w:pPr>
              <w:spacing w:after="0"/>
              <w:rPr>
                <w:sz w:val="20"/>
                <w:szCs w:val="20"/>
                <w:color w:val="auto"/>
              </w:rPr>
            </w:pPr>
            <w:r>
              <w:rPr>
                <w:rFonts w:ascii="Arial" w:cs="Arial" w:eastAsia="Arial" w:hAnsi="Arial"/>
                <w:sz w:val="15"/>
                <w:szCs w:val="15"/>
                <w:color w:val="auto"/>
              </w:rPr>
              <w:t>Valuation allowance</w:t>
            </w:r>
          </w:p>
        </w:tc>
        <w:tc>
          <w:tcPr>
            <w:tcW w:w="24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(80,911)</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(241)</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assets, net of valuation allowance</w:t>
            </w: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11,613</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7,764</w:t>
            </w: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Deferred tax liabilities: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800" w:type="dxa"/>
            <w:vAlign w:val="bottom"/>
          </w:tcPr>
          <w:p>
            <w:pPr>
              <w:spacing w:after="0"/>
              <w:rPr>
                <w:sz w:val="20"/>
                <w:szCs w:val="20"/>
                <w:color w:val="auto"/>
              </w:rPr>
            </w:pPr>
            <w:r>
              <w:rPr>
                <w:rFonts w:ascii="Arial" w:cs="Arial" w:eastAsia="Arial" w:hAnsi="Arial"/>
                <w:sz w:val="15"/>
                <w:szCs w:val="15"/>
                <w:color w:val="auto"/>
              </w:rPr>
              <w:t>Property and equipment</w:t>
            </w:r>
          </w:p>
        </w:tc>
        <w:tc>
          <w:tcPr>
            <w:tcW w:w="24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(11,820)</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(7,579)</w:t>
            </w:r>
          </w:p>
        </w:tc>
      </w:tr>
      <w:tr>
        <w:trPr>
          <w:trHeight w:val="189"/>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(11,820)</w:t>
            </w:r>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(7,579)</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rPr>
              <w:t>Net deferred tax (liabilities)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(207)</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185</w:t>
            </w:r>
          </w:p>
        </w:tc>
      </w:tr>
      <w:tr>
        <w:trPr>
          <w:trHeight w:val="20"/>
        </w:trPr>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December 22, 2017, the Tax Cuts and Jobs Act (the “Tax Act”) was enacted into law. The Tax Act includes significant changes to the U.S. corporate income tax structure, including a federal corporate rate reduction from 35% to 21% effective January 1, 2018, limitations on the deductibility of interest expense, establishing a deduction for foreign-derived intangible income (“FDII”), creation of new minimum taxing regimes such as the Base Erosion and Anti-abuse Tax (“BEAT”) and the Global Intangible Low Taxed Income (“GILTI”) tax. Because of the Company’s overall loss position and deferred tax asset valuation allowance, the above mentioned items have not had a material impact to the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2" w:name="page93"/>
    <w:bookmarkEnd w:id="92"/>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U.S. Federal and State Jurisdictions</w:t>
      </w:r>
    </w:p>
    <w:p>
      <w:pPr>
        <w:spacing w:after="0" w:line="204" w:lineRule="exact"/>
        <w:rPr>
          <w:sz w:val="20"/>
          <w:szCs w:val="20"/>
          <w:color w:val="auto"/>
        </w:rPr>
      </w:pPr>
    </w:p>
    <w:p>
      <w:pPr>
        <w:ind w:left="7" w:right="20"/>
        <w:spacing w:after="0" w:line="237" w:lineRule="auto"/>
        <w:rPr>
          <w:sz w:val="20"/>
          <w:szCs w:val="20"/>
          <w:color w:val="auto"/>
        </w:rPr>
      </w:pPr>
      <w:r>
        <w:rPr>
          <w:rFonts w:ascii="Arial" w:cs="Arial" w:eastAsia="Arial" w:hAnsi="Arial"/>
          <w:sz w:val="19"/>
          <w:szCs w:val="19"/>
          <w:color w:val="auto"/>
        </w:rPr>
        <w:t>The Company and its subsidiaries file income tax returns in the U.S. federal and various state and local jurisdictions. The Company is not currently under income tax examination in any jurisdiction, and NFE will file its first corporate U.S. federal and state income tax returns for the period ended December 31, 2019. NFI is taxed as a U.S. partnership and controls the underlying operations, thus the tax effects of temporary differences are captured within the net deferred tax asset for the investment in the partnership.</w:t>
      </w:r>
    </w:p>
    <w:p>
      <w:pPr>
        <w:spacing w:after="0" w:line="182" w:lineRule="exact"/>
        <w:rPr>
          <w:sz w:val="20"/>
          <w:szCs w:val="20"/>
          <w:color w:val="auto"/>
        </w:rPr>
      </w:pPr>
    </w:p>
    <w:p>
      <w:pPr>
        <w:jc w:val="both"/>
        <w:ind w:left="7" w:right="340"/>
        <w:spacing w:after="0"/>
        <w:rPr>
          <w:sz w:val="20"/>
          <w:szCs w:val="20"/>
          <w:color w:val="auto"/>
        </w:rPr>
      </w:pPr>
      <w:r>
        <w:rPr>
          <w:rFonts w:ascii="Arial" w:cs="Arial" w:eastAsia="Arial" w:hAnsi="Arial"/>
          <w:sz w:val="19"/>
          <w:szCs w:val="19"/>
          <w:color w:val="auto"/>
        </w:rPr>
        <w:t>As of December 31, 2019, NFE has approximately $14,549 of federal and $4,529 of state net operating loss carry forwards. The federal net operating losses are generally allowed to be carried forward indefinitely and can offset up to 80 percent of future taxable income. The state net operating losses relate to Florida and are generally allowed to be carried forward indefinitely.</w:t>
      </w:r>
    </w:p>
    <w:p>
      <w:pPr>
        <w:spacing w:after="0" w:line="181" w:lineRule="exact"/>
        <w:rPr>
          <w:sz w:val="20"/>
          <w:szCs w:val="20"/>
          <w:color w:val="auto"/>
        </w:rPr>
      </w:pPr>
    </w:p>
    <w:p>
      <w:pPr>
        <w:ind w:left="7" w:right="160"/>
        <w:spacing w:after="0" w:line="273" w:lineRule="auto"/>
        <w:rPr>
          <w:sz w:val="20"/>
          <w:szCs w:val="20"/>
          <w:color w:val="auto"/>
        </w:rPr>
      </w:pPr>
      <w:r>
        <w:rPr>
          <w:rFonts w:ascii="Arial" w:cs="Arial" w:eastAsia="Arial" w:hAnsi="Arial"/>
          <w:sz w:val="17"/>
          <w:szCs w:val="17"/>
          <w:color w:val="auto"/>
        </w:rPr>
        <w:t>NFE recorded a valuation allowance against its U.S. federal and state deferred tax assets to reduce the net carrying value to an amount that it believes is more likely than not to be realized. As of December 31, 2019, the Company concluded, based on the weight of all available positive and negative evidence, those deferred tax assets are not more likely than not to be realized and accordingly, a valuation allowance has been recorded on this deferred tax asset as of December 31, 2019 for the amount not supported by reversing taxable temporary differences.</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Foreign Jurisdictions</w:t>
      </w:r>
    </w:p>
    <w:p>
      <w:pPr>
        <w:spacing w:after="0" w:line="204" w:lineRule="exact"/>
        <w:rPr>
          <w:sz w:val="20"/>
          <w:szCs w:val="20"/>
          <w:color w:val="auto"/>
        </w:rPr>
      </w:pPr>
    </w:p>
    <w:p>
      <w:pPr>
        <w:ind w:left="7" w:right="100"/>
        <w:spacing w:after="0" w:line="269" w:lineRule="auto"/>
        <w:rPr>
          <w:sz w:val="20"/>
          <w:szCs w:val="20"/>
          <w:color w:val="auto"/>
        </w:rPr>
      </w:pPr>
      <w:r>
        <w:rPr>
          <w:rFonts w:ascii="Arial" w:cs="Arial" w:eastAsia="Arial" w:hAnsi="Arial"/>
          <w:sz w:val="17"/>
          <w:szCs w:val="17"/>
          <w:color w:val="auto"/>
        </w:rPr>
        <w:t>NFI’s foreign subsidiaries file income tax returns in certain foreign jurisdictions. As of December 31, 2019, NFI’s foreign subsidiaries have approximately $70,932 of net operating loss carry forwards. Net operating losses of $60,699 incurred in Jamaica are generally allowed to be carried forward indefinitely. Net operating loss carryforwards of $6,287 incurred in Puerto Rico and Mexico will expire, if unused, between 2028 and 2029. Net operating loss carryforwards of $3,946 incurred in Ireland are generally allowed to be carried forward indefinitely. The Company recorded a valuation allowance against foreign deferred tax assets to reduce the net carrying value to an amount that it believes is more likely than not to be realized.</w:t>
      </w:r>
    </w:p>
    <w:p>
      <w:pPr>
        <w:spacing w:after="0" w:line="159" w:lineRule="exact"/>
        <w:rPr>
          <w:sz w:val="20"/>
          <w:szCs w:val="20"/>
          <w:color w:val="auto"/>
        </w:rPr>
      </w:pPr>
    </w:p>
    <w:p>
      <w:pPr>
        <w:ind w:left="7" w:right="20"/>
        <w:spacing w:after="0"/>
        <w:rPr>
          <w:sz w:val="20"/>
          <w:szCs w:val="20"/>
          <w:color w:val="auto"/>
        </w:rPr>
      </w:pPr>
      <w:r>
        <w:rPr>
          <w:rFonts w:ascii="Arial" w:cs="Arial" w:eastAsia="Arial" w:hAnsi="Arial"/>
          <w:sz w:val="19"/>
          <w:szCs w:val="19"/>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the period 2035.</w:t>
      </w:r>
    </w:p>
    <w:p>
      <w:pPr>
        <w:spacing w:after="0" w:line="183" w:lineRule="exact"/>
        <w:rPr>
          <w:sz w:val="20"/>
          <w:szCs w:val="20"/>
          <w:color w:val="auto"/>
        </w:rPr>
      </w:pPr>
    </w:p>
    <w:p>
      <w:pPr>
        <w:ind w:left="567" w:hanging="567"/>
        <w:spacing w:after="0"/>
        <w:tabs>
          <w:tab w:leader="none" w:pos="567"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220" w:lineRule="exact"/>
        <w:rPr>
          <w:sz w:val="20"/>
          <w:szCs w:val="20"/>
          <w:color w:val="auto"/>
        </w:rPr>
      </w:pPr>
    </w:p>
    <w:p>
      <w:pPr>
        <w:jc w:val="both"/>
        <w:ind w:left="7" w:right="100"/>
        <w:spacing w:after="0" w:line="237" w:lineRule="auto"/>
        <w:rPr>
          <w:sz w:val="20"/>
          <w:szCs w:val="20"/>
          <w:color w:val="auto"/>
        </w:rPr>
      </w:pPr>
      <w:r>
        <w:rPr>
          <w:rFonts w:ascii="Arial" w:cs="Arial" w:eastAsia="Arial" w:hAnsi="Arial"/>
          <w:sz w:val="19"/>
          <w:szCs w:val="19"/>
          <w:color w:val="auto"/>
        </w:rPr>
        <w:t>In conjunction with its principal business activities, the Company enters into various firm commitments for the purchase, production, and transportation of LNG and natural gas. The estimated future cash payments related to outstanding contractual commitments, at market prices as of December 31, 2019, is summarized as follows:</w:t>
      </w:r>
    </w:p>
    <w:tbl>
      <w:tblPr>
        <w:tblLayout w:type="fixed"/>
        <w:tblInd w:w="7"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2023</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2024+</w:t>
            </w:r>
          </w:p>
        </w:tc>
        <w:tc>
          <w:tcPr>
            <w:tcW w:w="100" w:type="dxa"/>
            <w:vAlign w:val="bottom"/>
          </w:tcPr>
          <w:p>
            <w:pPr>
              <w:spacing w:after="0"/>
              <w:rPr>
                <w:sz w:val="16"/>
                <w:szCs w:val="16"/>
                <w:color w:val="auto"/>
              </w:rPr>
            </w:pPr>
          </w:p>
        </w:tc>
      </w:tr>
      <w:tr>
        <w:trPr>
          <w:trHeight w:val="186"/>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LNG inventory purchases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276,904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224,872</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96"/>
        </w:trPr>
        <w:tc>
          <w:tcPr>
            <w:tcW w:w="4700" w:type="dxa"/>
            <w:vAlign w:val="bottom"/>
          </w:tcPr>
          <w:p>
            <w:pPr>
              <w:spacing w:after="0"/>
              <w:rPr>
                <w:sz w:val="20"/>
                <w:szCs w:val="20"/>
                <w:color w:val="auto"/>
              </w:rPr>
            </w:pPr>
            <w:r>
              <w:rPr>
                <w:rFonts w:ascii="Arial" w:cs="Arial" w:eastAsia="Arial" w:hAnsi="Arial"/>
                <w:sz w:val="15"/>
                <w:szCs w:val="15"/>
                <w:color w:val="auto"/>
              </w:rPr>
              <w:t>Gas inventory purchases</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8,714</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6,213</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6,205</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6,271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12,196</w:t>
            </w:r>
          </w:p>
        </w:tc>
      </w:tr>
    </w:tbl>
    <w:p>
      <w:pPr>
        <w:spacing w:after="0" w:line="18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LNG and natural gas purchases</w:t>
      </w:r>
    </w:p>
    <w:p>
      <w:pPr>
        <w:spacing w:after="0" w:line="200" w:lineRule="exact"/>
        <w:rPr>
          <w:sz w:val="20"/>
          <w:szCs w:val="20"/>
          <w:color w:val="auto"/>
        </w:rPr>
      </w:pPr>
    </w:p>
    <w:p>
      <w:pPr>
        <w:ind w:left="7" w:right="340"/>
        <w:spacing w:after="0" w:line="282" w:lineRule="auto"/>
        <w:rPr>
          <w:sz w:val="20"/>
          <w:szCs w:val="20"/>
          <w:color w:val="auto"/>
        </w:rPr>
      </w:pPr>
      <w:r>
        <w:rPr>
          <w:rFonts w:ascii="Arial" w:cs="Arial" w:eastAsia="Arial" w:hAnsi="Arial"/>
          <w:sz w:val="17"/>
          <w:szCs w:val="17"/>
          <w:color w:val="auto"/>
        </w:rPr>
        <w:t>The future cash payments summarized above represent the Company’s minimum firm purchase commitments as of December 31, 2019. The 2020 commitment for LNG inventory purchases excludes the $7,097 prepaid balance as of December 31, 2019. The amounts disclosed above represent the commitment to purchase 25 firm cargoes representing approximately 875.5 million gallons of LNG (72.4 million MMBtu).</w:t>
      </w:r>
    </w:p>
    <w:p>
      <w:pPr>
        <w:spacing w:after="0" w:line="147" w:lineRule="exact"/>
        <w:rPr>
          <w:sz w:val="20"/>
          <w:szCs w:val="20"/>
          <w:color w:val="auto"/>
        </w:rPr>
      </w:pPr>
    </w:p>
    <w:p>
      <w:pPr>
        <w:ind w:left="7" w:right="340"/>
        <w:spacing w:after="0" w:line="273" w:lineRule="auto"/>
        <w:rPr>
          <w:sz w:val="20"/>
          <w:szCs w:val="20"/>
          <w:color w:val="auto"/>
        </w:rPr>
      </w:pPr>
      <w:r>
        <w:rPr>
          <w:rFonts w:ascii="Arial" w:cs="Arial" w:eastAsia="Arial" w:hAnsi="Arial"/>
          <w:sz w:val="17"/>
          <w:szCs w:val="17"/>
          <w:color w:val="auto"/>
        </w:rPr>
        <w:t>As of December 31, 2019, the Company was a party to contractual purchase commitments for feedgas with remaining terms of up to 5 years. These commitments are designed to assure sources of supply and are not expected to be in excess of normal requirements. For agreements for supply where there is an active market, such agreements qualify for and the Company has elected the normal purchase exception under the derivatives guidance; therefore, the purchases under these contracts are included in Inventory and Cost of sales as incurred.</w:t>
      </w:r>
    </w:p>
    <w:p>
      <w:pPr>
        <w:spacing w:after="0" w:line="156" w:lineRule="exact"/>
        <w:rPr>
          <w:sz w:val="20"/>
          <w:szCs w:val="20"/>
          <w:color w:val="auto"/>
        </w:rPr>
      </w:pPr>
    </w:p>
    <w:p>
      <w:pPr>
        <w:ind w:left="7" w:right="440"/>
        <w:spacing w:after="0" w:line="250" w:lineRule="auto"/>
        <w:rPr>
          <w:sz w:val="20"/>
          <w:szCs w:val="20"/>
          <w:color w:val="auto"/>
        </w:rPr>
      </w:pPr>
      <w:r>
        <w:rPr>
          <w:rFonts w:ascii="Arial" w:cs="Arial" w:eastAsia="Arial" w:hAnsi="Arial"/>
          <w:sz w:val="19"/>
          <w:szCs w:val="19"/>
          <w:color w:val="auto"/>
        </w:rPr>
        <w:t>In February 2020, the Company signed a long-term supply agreement for the purchase of 27.5 TBtu per year of LNG. The purchases will take place between 2022 and 2030, and commitments related to this agreement are not included in the table above.</w:t>
      </w:r>
    </w:p>
    <w:p>
      <w:pPr>
        <w:spacing w:after="0" w:line="33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24" w:right="219" w:bottom="1440" w:gutter="0" w:footer="0" w:header="0"/>
        </w:sectPr>
      </w:pPr>
    </w:p>
    <w:bookmarkStart w:id="93" w:name="page94"/>
    <w:bookmarkEnd w:id="93"/>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Company’s lease obligations are discussed in Note 23, Leases, as lessee.</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Contingencies</w:t>
      </w:r>
    </w:p>
    <w:p>
      <w:pPr>
        <w:spacing w:after="0" w:line="200" w:lineRule="exact"/>
        <w:rPr>
          <w:sz w:val="20"/>
          <w:szCs w:val="20"/>
          <w:color w:val="auto"/>
        </w:rPr>
      </w:pPr>
    </w:p>
    <w:p>
      <w:pPr>
        <w:ind w:left="7" w:right="120"/>
        <w:spacing w:after="0" w:line="248" w:lineRule="auto"/>
        <w:rPr>
          <w:sz w:val="20"/>
          <w:szCs w:val="20"/>
          <w:color w:val="auto"/>
        </w:rPr>
      </w:pPr>
      <w:r>
        <w:rPr>
          <w:rFonts w:ascii="Arial" w:cs="Arial" w:eastAsia="Arial" w:hAnsi="Arial"/>
          <w:sz w:val="18"/>
          <w:szCs w:val="18"/>
          <w:color w:val="auto"/>
        </w:rPr>
        <w:t>During 2017, the Company paid $1,204 of tangible personal property tax levied in the State of Florida in respect to the Company’s LNG Plant in Hialeah, Florida and subsequently initiated legal proceedings to challenge the tax amount for a full or partial rebate. The Company successfully challenged the tax amount and received a full rebate. The State of Florida appealed the determination and the Company repaid the rebate amount in order to avoid penalties and charges while the appeal is under consideration. Additionally, in 2018, the Company paid $1,033 of tangible personal property taxes to the State of Florida with respect to the same LNG plant. The Company initiated legal proceedings to challenge the tax amount for a partial rebate and received a rebate of approximately $140. The State of Florida appealed the determination, and the Company repaid the rebate amount to avoid penalties and charges while the appeal was under consideration.</w:t>
      </w:r>
    </w:p>
    <w:p>
      <w:pPr>
        <w:spacing w:after="0" w:line="176" w:lineRule="exact"/>
        <w:rPr>
          <w:sz w:val="20"/>
          <w:szCs w:val="20"/>
          <w:color w:val="auto"/>
        </w:rPr>
      </w:pPr>
    </w:p>
    <w:p>
      <w:pPr>
        <w:ind w:left="7" w:right="360"/>
        <w:spacing w:after="0" w:line="308" w:lineRule="auto"/>
        <w:rPr>
          <w:sz w:val="20"/>
          <w:szCs w:val="20"/>
          <w:color w:val="auto"/>
        </w:rPr>
      </w:pPr>
      <w:r>
        <w:rPr>
          <w:rFonts w:ascii="Arial" w:cs="Arial" w:eastAsia="Arial" w:hAnsi="Arial"/>
          <w:sz w:val="17"/>
          <w:szCs w:val="17"/>
          <w:color w:val="auto"/>
        </w:rPr>
        <w:t>In 2019, the Company settled both cases with the State of Florida and expects to receive an estimated refund in the amount of $488, net of legal fees contingent upon the recovery of these property taxes. The refund will be recognized as a gain contingency when the cash is received.</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360" w:type="dxa"/>
            <w:vAlign w:val="bottom"/>
          </w:tcPr>
          <w:p>
            <w:pPr>
              <w:spacing w:after="0"/>
              <w:rPr>
                <w:sz w:val="20"/>
                <w:szCs w:val="20"/>
                <w:color w:val="auto"/>
              </w:rPr>
            </w:pPr>
            <w:r>
              <w:rPr>
                <w:rFonts w:ascii="Arial" w:cs="Arial" w:eastAsia="Arial" w:hAnsi="Arial"/>
                <w:sz w:val="15"/>
                <w:szCs w:val="15"/>
                <w:b w:val="1"/>
                <w:bCs w:val="1"/>
                <w:color w:val="auto"/>
              </w:rPr>
              <w:t>20.</w:t>
            </w:r>
          </w:p>
        </w:tc>
        <w:tc>
          <w:tcPr>
            <w:tcW w:w="5160" w:type="dxa"/>
            <w:vAlign w:val="bottom"/>
          </w:tcPr>
          <w:p>
            <w:pPr>
              <w:ind w:left="200"/>
              <w:spacing w:after="0"/>
              <w:rPr>
                <w:sz w:val="20"/>
                <w:szCs w:val="20"/>
                <w:color w:val="auto"/>
              </w:rPr>
            </w:pPr>
            <w:r>
              <w:rPr>
                <w:rFonts w:ascii="Arial" w:cs="Arial" w:eastAsia="Arial" w:hAnsi="Arial"/>
                <w:sz w:val="15"/>
                <w:szCs w:val="15"/>
                <w:b w:val="1"/>
                <w:bCs w:val="1"/>
                <w:color w:val="auto"/>
              </w:rPr>
              <w:t>Earnings per share</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9"/>
        </w:trPr>
        <w:tc>
          <w:tcPr>
            <w:tcW w:w="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3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w w:val="91"/>
              </w:rPr>
              <w:t>December 31, 2019</w:t>
            </w:r>
          </w:p>
        </w:tc>
      </w:tr>
      <w:tr>
        <w:trPr>
          <w:trHeight w:val="186"/>
        </w:trPr>
        <w:tc>
          <w:tcPr>
            <w:tcW w:w="5520" w:type="dxa"/>
            <w:vAlign w:val="bottom"/>
            <w:gridSpan w:val="2"/>
          </w:tcPr>
          <w:p>
            <w:pPr>
              <w:spacing w:after="0"/>
              <w:rPr>
                <w:sz w:val="20"/>
                <w:szCs w:val="20"/>
                <w:color w:val="auto"/>
              </w:rPr>
            </w:pPr>
            <w:r>
              <w:rPr>
                <w:rFonts w:ascii="Arial" w:cs="Arial" w:eastAsia="Arial" w:hAnsi="Arial"/>
                <w:sz w:val="15"/>
                <w:szCs w:val="15"/>
                <w:color w:val="auto"/>
              </w:rPr>
              <w:t>Numerator:</w:t>
            </w:r>
          </w:p>
        </w:tc>
        <w:tc>
          <w:tcPr>
            <w:tcW w:w="20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(204,319)</w:t>
            </w:r>
          </w:p>
        </w:tc>
      </w:tr>
      <w:tr>
        <w:trPr>
          <w:trHeight w:val="189"/>
        </w:trPr>
        <w:tc>
          <w:tcPr>
            <w:tcW w:w="5520" w:type="dxa"/>
            <w:vAlign w:val="bottom"/>
            <w:gridSpan w:val="2"/>
          </w:tcPr>
          <w:p>
            <w:pPr>
              <w:ind w:left="140"/>
              <w:spacing w:after="0"/>
              <w:rPr>
                <w:sz w:val="20"/>
                <w:szCs w:val="20"/>
                <w:color w:val="auto"/>
              </w:rPr>
            </w:pPr>
            <w:r>
              <w:rPr>
                <w:rFonts w:ascii="Arial" w:cs="Arial" w:eastAsia="Arial" w:hAnsi="Arial"/>
                <w:sz w:val="15"/>
                <w:szCs w:val="15"/>
                <w:color w:val="auto"/>
              </w:rPr>
              <w:t>Less: net loss attributable to non-controlling interests</w:t>
            </w:r>
          </w:p>
        </w:tc>
        <w:tc>
          <w:tcPr>
            <w:tcW w:w="2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170,510</w:t>
            </w:r>
          </w:p>
        </w:tc>
        <w:tc>
          <w:tcPr>
            <w:tcW w:w="80" w:type="dxa"/>
            <w:vAlign w:val="bottom"/>
          </w:tcPr>
          <w:p>
            <w:pPr>
              <w:spacing w:after="0"/>
              <w:rPr>
                <w:sz w:val="16"/>
                <w:szCs w:val="16"/>
                <w:color w:val="auto"/>
              </w:rPr>
            </w:pPr>
          </w:p>
        </w:tc>
      </w:tr>
      <w:tr>
        <w:trPr>
          <w:trHeight w:val="22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loss attributable to Class A shares</w:t>
            </w: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(33,809)</w:t>
            </w:r>
          </w:p>
        </w:tc>
        <w:tc>
          <w:tcPr>
            <w:tcW w:w="80" w:type="dxa"/>
            <w:vAlign w:val="bottom"/>
            <w:shd w:val="clear" w:color="auto" w:fill="CCEEFF"/>
          </w:tcPr>
          <w:p>
            <w:pPr>
              <w:spacing w:after="0"/>
              <w:rPr>
                <w:sz w:val="19"/>
                <w:szCs w:val="19"/>
                <w:color w:val="auto"/>
              </w:rPr>
            </w:pPr>
          </w:p>
        </w:tc>
      </w:tr>
      <w:tr>
        <w:trPr>
          <w:trHeight w:val="172"/>
        </w:trPr>
        <w:tc>
          <w:tcPr>
            <w:tcW w:w="55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Denominator:</w:t>
            </w:r>
          </w:p>
        </w:tc>
        <w:tc>
          <w:tcPr>
            <w:tcW w:w="20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8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Weighted-average shares-basic and diluted</w:t>
            </w:r>
          </w:p>
        </w:tc>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20,862,555</w:t>
            </w:r>
          </w:p>
        </w:tc>
        <w:tc>
          <w:tcPr>
            <w:tcW w:w="80" w:type="dxa"/>
            <w:vAlign w:val="bottom"/>
            <w:shd w:val="clear" w:color="auto" w:fill="CCEEFF"/>
          </w:tcPr>
          <w:p>
            <w:pPr>
              <w:spacing w:after="0"/>
              <w:rPr>
                <w:sz w:val="16"/>
                <w:szCs w:val="16"/>
                <w:color w:val="auto"/>
              </w:rPr>
            </w:pPr>
          </w:p>
        </w:tc>
      </w:tr>
      <w:tr>
        <w:trPr>
          <w:trHeight w:val="189"/>
        </w:trPr>
        <w:tc>
          <w:tcPr>
            <w:tcW w:w="5520" w:type="dxa"/>
            <w:vAlign w:val="bottom"/>
            <w:gridSpan w:val="2"/>
          </w:tcPr>
          <w:p>
            <w:pPr>
              <w:spacing w:after="0"/>
              <w:rPr>
                <w:sz w:val="16"/>
                <w:szCs w:val="16"/>
                <w:color w:val="auto"/>
              </w:rPr>
            </w:pPr>
          </w:p>
        </w:tc>
        <w:tc>
          <w:tcPr>
            <w:tcW w:w="2160" w:type="dxa"/>
            <w:vAlign w:val="bottom"/>
            <w:gridSpan w:val="2"/>
          </w:tcPr>
          <w:p>
            <w:pPr>
              <w:spacing w:after="0"/>
              <w:rPr>
                <w:sz w:val="16"/>
                <w:szCs w:val="16"/>
                <w:color w:val="auto"/>
              </w:rPr>
            </w:pPr>
          </w:p>
        </w:tc>
        <w:tc>
          <w:tcPr>
            <w:tcW w:w="1460" w:type="dxa"/>
            <w:vAlign w:val="bottom"/>
            <w:gridSpan w:val="3"/>
          </w:tcPr>
          <w:p>
            <w:pPr>
              <w:spacing w:after="0"/>
              <w:rPr>
                <w:sz w:val="16"/>
                <w:szCs w:val="16"/>
                <w:color w:val="auto"/>
              </w:rPr>
            </w:pPr>
          </w:p>
        </w:tc>
      </w:tr>
      <w:tr>
        <w:trPr>
          <w:trHeight w:val="226"/>
        </w:trPr>
        <w:tc>
          <w:tcPr>
            <w:tcW w:w="5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loss per share - basic and diluted</w:t>
            </w:r>
          </w:p>
        </w:tc>
        <w:tc>
          <w:tcPr>
            <w:tcW w:w="2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gridSpan w:val="2"/>
            <w:shd w:val="clear" w:color="auto" w:fill="CCEEFF"/>
          </w:tcPr>
          <w:p>
            <w:pPr>
              <w:spacing w:after="0"/>
              <w:rPr>
                <w:sz w:val="19"/>
                <w:szCs w:val="19"/>
                <w:color w:val="auto"/>
              </w:rPr>
            </w:pPr>
          </w:p>
        </w:tc>
      </w:tr>
    </w:tbl>
    <w:p>
      <w:pPr>
        <w:spacing w:after="0" w:line="190" w:lineRule="exact"/>
        <w:rPr>
          <w:sz w:val="20"/>
          <w:szCs w:val="20"/>
          <w:color w:val="auto"/>
        </w:rPr>
      </w:pPr>
    </w:p>
    <w:p>
      <w:pPr>
        <w:ind w:left="7"/>
        <w:spacing w:after="0" w:line="273" w:lineRule="auto"/>
        <w:rPr>
          <w:sz w:val="20"/>
          <w:szCs w:val="20"/>
          <w:color w:val="auto"/>
        </w:rPr>
      </w:pPr>
      <w:r>
        <w:rPr>
          <w:rFonts w:ascii="Arial" w:cs="Arial" w:eastAsia="Arial" w:hAnsi="Arial"/>
          <w:sz w:val="17"/>
          <w:szCs w:val="17"/>
          <w:color w:val="auto"/>
        </w:rPr>
        <w:t>In connection with the IPO, New Fortress Energy Holdings, the Company’s predecessor, effected a one-for-2.16 share split of its issued and outstanding common shares, resulting in 147,058,824 common shares. Upon the reorganization, New Fortress Energy Holdings obtained the same number of Class B shares in NFE. Class B shares do not share in the earnings or losses of the Company and are therefore not participating securities. As such, separate presentation of basic and diluted net loss per share for Class B shares under the two-class method has not been presented.</w:t>
      </w:r>
    </w:p>
    <w:p>
      <w:pPr>
        <w:spacing w:after="0" w:line="156" w:lineRule="exact"/>
        <w:rPr>
          <w:sz w:val="20"/>
          <w:szCs w:val="20"/>
          <w:color w:val="auto"/>
        </w:rPr>
      </w:pPr>
    </w:p>
    <w:p>
      <w:pPr>
        <w:ind w:left="7" w:right="60"/>
        <w:spacing w:after="0" w:line="250" w:lineRule="auto"/>
        <w:rPr>
          <w:sz w:val="20"/>
          <w:szCs w:val="20"/>
          <w:color w:val="auto"/>
        </w:rPr>
      </w:pPr>
      <w:r>
        <w:rPr>
          <w:rFonts w:ascii="Arial" w:cs="Arial" w:eastAsia="Arial" w:hAnsi="Arial"/>
          <w:sz w:val="19"/>
          <w:szCs w:val="19"/>
          <w:color w:val="auto"/>
        </w:rPr>
        <w:t>The following table presents potentially dilutive securities excluded from the computation of diluted net loss per share for the periods presented because its effects would have been anti-dilutive.</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6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Pr>
          <w:p>
            <w:pPr>
              <w:spacing w:after="0"/>
              <w:rPr>
                <w:sz w:val="17"/>
                <w:szCs w:val="17"/>
                <w:color w:val="auto"/>
              </w:rPr>
            </w:pPr>
          </w:p>
        </w:tc>
      </w:tr>
      <w:tr>
        <w:trPr>
          <w:trHeight w:val="186"/>
        </w:trPr>
        <w:tc>
          <w:tcPr>
            <w:tcW w:w="5140" w:type="dxa"/>
            <w:vAlign w:val="bottom"/>
            <w:shd w:val="clear" w:color="auto" w:fill="CCEEFF"/>
          </w:tcPr>
          <w:p>
            <w:pPr>
              <w:spacing w:after="0"/>
              <w:rPr>
                <w:sz w:val="20"/>
                <w:szCs w:val="20"/>
                <w:color w:val="auto"/>
              </w:rPr>
            </w:pPr>
            <w:r>
              <w:rPr>
                <w:rFonts w:ascii="Arial" w:cs="Arial" w:eastAsia="Arial" w:hAnsi="Arial"/>
                <w:sz w:val="15"/>
                <w:szCs w:val="15"/>
                <w:color w:val="auto"/>
              </w:rPr>
              <w:t>Unvested RSUs¹</w:t>
            </w: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3,137,415</w:t>
            </w:r>
          </w:p>
        </w:tc>
        <w:tc>
          <w:tcPr>
            <w:tcW w:w="100" w:type="dxa"/>
            <w:vAlign w:val="bottom"/>
            <w:shd w:val="clear" w:color="auto" w:fill="CCEEFF"/>
          </w:tcPr>
          <w:p>
            <w:pPr>
              <w:spacing w:after="0"/>
              <w:rPr>
                <w:sz w:val="16"/>
                <w:szCs w:val="16"/>
                <w:color w:val="auto"/>
              </w:rPr>
            </w:pPr>
          </w:p>
        </w:tc>
      </w:tr>
      <w:tr>
        <w:trPr>
          <w:trHeight w:val="186"/>
        </w:trPr>
        <w:tc>
          <w:tcPr>
            <w:tcW w:w="5140" w:type="dxa"/>
            <w:vAlign w:val="bottom"/>
          </w:tcPr>
          <w:p>
            <w:pPr>
              <w:spacing w:after="0"/>
              <w:rPr>
                <w:sz w:val="20"/>
                <w:szCs w:val="20"/>
                <w:color w:val="auto"/>
              </w:rPr>
            </w:pPr>
            <w:r>
              <w:rPr>
                <w:rFonts w:ascii="Arial" w:cs="Arial" w:eastAsia="Arial" w:hAnsi="Arial"/>
                <w:sz w:val="15"/>
                <w:szCs w:val="15"/>
                <w:color w:val="auto"/>
              </w:rPr>
              <w:t>Class B shares²</w:t>
            </w:r>
          </w:p>
        </w:tc>
        <w:tc>
          <w:tcPr>
            <w:tcW w:w="1620" w:type="dxa"/>
            <w:vAlign w:val="bottom"/>
          </w:tcPr>
          <w:p>
            <w:pPr>
              <w:jc w:val="right"/>
              <w:spacing w:after="0"/>
              <w:rPr>
                <w:sz w:val="20"/>
                <w:szCs w:val="20"/>
                <w:color w:val="auto"/>
              </w:rPr>
            </w:pPr>
            <w:r>
              <w:rPr>
                <w:rFonts w:ascii="Arial" w:cs="Arial" w:eastAsia="Arial" w:hAnsi="Arial"/>
                <w:sz w:val="15"/>
                <w:szCs w:val="15"/>
                <w:color w:val="auto"/>
              </w:rPr>
              <w:t>144,342,572</w:t>
            </w:r>
          </w:p>
        </w:tc>
        <w:tc>
          <w:tcPr>
            <w:tcW w:w="100" w:type="dxa"/>
            <w:vAlign w:val="bottom"/>
          </w:tcPr>
          <w:p>
            <w:pPr>
              <w:spacing w:after="0"/>
              <w:rPr>
                <w:sz w:val="16"/>
                <w:szCs w:val="16"/>
                <w:color w:val="auto"/>
              </w:rPr>
            </w:pPr>
          </w:p>
        </w:tc>
      </w:tr>
      <w:tr>
        <w:trPr>
          <w:trHeight w:val="189"/>
        </w:trPr>
        <w:tc>
          <w:tcPr>
            <w:tcW w:w="514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3"/>
                <w:szCs w:val="13"/>
                <w:color w:val="auto"/>
              </w:rPr>
              <w:t>Shannon Equity Agreement shares</w:t>
            </w:r>
            <w:r>
              <w:rPr>
                <w:rFonts w:ascii="Arial" w:cs="Arial" w:eastAsia="Arial" w:hAnsi="Arial"/>
                <w:sz w:val="21"/>
                <w:szCs w:val="21"/>
                <w:color w:val="auto"/>
                <w:vertAlign w:val="superscript"/>
              </w:rPr>
              <w:t>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1,083,995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5140" w:type="dxa"/>
            <w:vAlign w:val="bottom"/>
          </w:tcPr>
          <w:p>
            <w:pPr>
              <w:ind w:left="140"/>
              <w:spacing w:after="0"/>
              <w:rPr>
                <w:sz w:val="20"/>
                <w:szCs w:val="20"/>
                <w:color w:val="auto"/>
              </w:rPr>
            </w:pPr>
            <w:r>
              <w:rPr>
                <w:rFonts w:ascii="Arial" w:cs="Arial" w:eastAsia="Arial" w:hAnsi="Arial"/>
                <w:sz w:val="15"/>
                <w:szCs w:val="15"/>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148,563,982</w:t>
            </w:r>
          </w:p>
        </w:tc>
        <w:tc>
          <w:tcPr>
            <w:tcW w:w="100" w:type="dxa"/>
            <w:vAlign w:val="bottom"/>
          </w:tcPr>
          <w:p>
            <w:pPr>
              <w:spacing w:after="0"/>
              <w:rPr>
                <w:sz w:val="16"/>
                <w:szCs w:val="16"/>
                <w:color w:val="auto"/>
              </w:rPr>
            </w:pPr>
          </w:p>
        </w:tc>
      </w:tr>
      <w:tr>
        <w:trPr>
          <w:trHeight w:val="20"/>
        </w:trPr>
        <w:tc>
          <w:tcPr>
            <w:tcW w:w="5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color w:val="auto"/>
        </w:rPr>
        <w:t>¹ Represents the number of instruments outstanding at the end of the period.</w:t>
      </w:r>
    </w:p>
    <w:p>
      <w:pPr>
        <w:spacing w:after="0" w:line="23" w:lineRule="exact"/>
        <w:rPr>
          <w:sz w:val="20"/>
          <w:szCs w:val="20"/>
          <w:color w:val="auto"/>
        </w:rPr>
      </w:pPr>
    </w:p>
    <w:p>
      <w:pPr>
        <w:ind w:left="147" w:hanging="147"/>
        <w:spacing w:after="0"/>
        <w:tabs>
          <w:tab w:leader="none" w:pos="147" w:val="left"/>
        </w:tabs>
        <w:numPr>
          <w:ilvl w:val="0"/>
          <w:numId w:val="71"/>
        </w:numPr>
        <w:rPr>
          <w:rFonts w:ascii="Arial" w:cs="Arial" w:eastAsia="Arial" w:hAnsi="Arial"/>
          <w:sz w:val="15"/>
          <w:szCs w:val="15"/>
          <w:color w:val="auto"/>
        </w:rPr>
      </w:pPr>
      <w:r>
        <w:rPr>
          <w:rFonts w:ascii="Arial" w:cs="Arial" w:eastAsia="Arial" w:hAnsi="Arial"/>
          <w:sz w:val="15"/>
          <w:szCs w:val="15"/>
          <w:color w:val="auto"/>
        </w:rPr>
        <w:t>Class B shares at the end of the period are considered potentially dilutive Class A shares.</w:t>
      </w:r>
    </w:p>
    <w:p>
      <w:pPr>
        <w:spacing w:after="0" w:line="13"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25"/>
          <w:szCs w:val="25"/>
          <w:color w:val="auto"/>
          <w:vertAlign w:val="superscript"/>
        </w:rPr>
        <w:t>3</w:t>
      </w:r>
      <w:r>
        <w:rPr>
          <w:rFonts w:ascii="Arial" w:cs="Arial" w:eastAsia="Arial" w:hAnsi="Arial"/>
          <w:sz w:val="15"/>
          <w:szCs w:val="15"/>
          <w:color w:val="auto"/>
        </w:rPr>
        <w:t xml:space="preserve"> Class A shares that would be issued in relation to the Shannon LNG Equity agreement.</w:t>
      </w:r>
    </w:p>
    <w:p>
      <w:pPr>
        <w:spacing w:after="0" w:line="91" w:lineRule="exact"/>
        <w:rPr>
          <w:sz w:val="20"/>
          <w:szCs w:val="20"/>
          <w:color w:val="auto"/>
        </w:rPr>
      </w:pPr>
    </w:p>
    <w:p>
      <w:pPr>
        <w:ind w:left="567" w:hanging="567"/>
        <w:spacing w:after="0"/>
        <w:tabs>
          <w:tab w:leader="none" w:pos="567"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w:t>
      </w:r>
    </w:p>
    <w:p>
      <w:pPr>
        <w:spacing w:after="0" w:line="220" w:lineRule="exact"/>
        <w:rPr>
          <w:sz w:val="20"/>
          <w:szCs w:val="20"/>
          <w:color w:val="auto"/>
        </w:rPr>
      </w:pPr>
    </w:p>
    <w:p>
      <w:pPr>
        <w:ind w:left="7" w:right="120"/>
        <w:spacing w:after="0" w:line="250" w:lineRule="auto"/>
        <w:rPr>
          <w:sz w:val="20"/>
          <w:szCs w:val="20"/>
          <w:color w:val="auto"/>
        </w:rPr>
      </w:pPr>
      <w:r>
        <w:rPr>
          <w:rFonts w:ascii="Arial" w:cs="Arial" w:eastAsia="Arial" w:hAnsi="Arial"/>
          <w:sz w:val="19"/>
          <w:szCs w:val="19"/>
          <w:color w:val="auto"/>
        </w:rPr>
        <w:t>During the year ended December 31, 2019, the Company granted RSUs to select officers, employees, non-employee members of the board of directors, and select non-employees under the Incentive Plan.</w:t>
      </w:r>
    </w:p>
    <w:p>
      <w:pPr>
        <w:spacing w:after="0" w:line="338"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87"/>
          </w:cols>
          <w:pgMar w:left="233" w:top="124" w:right="279" w:bottom="1440" w:gutter="0" w:footer="0" w:header="0"/>
        </w:sectPr>
      </w:pPr>
    </w:p>
    <w:bookmarkStart w:id="94" w:name="page95"/>
    <w:bookmarkEnd w:id="94"/>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right="40"/>
        <w:spacing w:after="0" w:line="308" w:lineRule="auto"/>
        <w:rPr>
          <w:sz w:val="20"/>
          <w:szCs w:val="20"/>
          <w:color w:val="auto"/>
        </w:rPr>
      </w:pPr>
      <w:r>
        <w:rPr>
          <w:rFonts w:ascii="Arial" w:cs="Arial" w:eastAsia="Arial" w:hAnsi="Arial"/>
          <w:sz w:val="17"/>
          <w:szCs w:val="17"/>
          <w:color w:val="auto"/>
        </w:rPr>
        <w:t>The Company estimates the fair value of RSUs on the grant date based on the closing price of the underlying shares on the grant date and other fair value adjustments to account for a post-vesting holding period. These fair value adjustments were estimated based on the Finnerty model.</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following table summarizes the RSU activity for the year ended December 31, 2019:</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Weighted-average</w:t>
            </w:r>
          </w:p>
        </w:tc>
      </w:tr>
      <w:tr>
        <w:trPr>
          <w:trHeight w:val="186"/>
        </w:trPr>
        <w:tc>
          <w:tcPr>
            <w:tcW w:w="88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92"/>
              </w:rPr>
              <w:t>Restricted Share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grant date fair</w:t>
            </w:r>
          </w:p>
        </w:tc>
      </w:tr>
      <w:tr>
        <w:trPr>
          <w:trHeight w:val="206"/>
        </w:trPr>
        <w:tc>
          <w:tcPr>
            <w:tcW w:w="88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0"/>
              </w:rPr>
              <w:t>value per share</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Non-vested RSUs as of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spacing w:after="0"/>
              <w:rPr>
                <w:sz w:val="20"/>
                <w:szCs w:val="20"/>
                <w:color w:val="auto"/>
              </w:rPr>
            </w:pPr>
            <w:r>
              <w:rPr>
                <w:rFonts w:ascii="Arial" w:cs="Arial" w:eastAsia="Arial" w:hAnsi="Arial"/>
                <w:sz w:val="15"/>
                <w:szCs w:val="15"/>
                <w:color w:val="auto"/>
              </w:rPr>
              <w:t>Granted</w:t>
            </w:r>
          </w:p>
        </w:tc>
        <w:tc>
          <w:tcPr>
            <w:tcW w:w="1140" w:type="dxa"/>
            <w:vAlign w:val="bottom"/>
          </w:tcPr>
          <w:p>
            <w:pPr>
              <w:jc w:val="right"/>
              <w:spacing w:after="0"/>
              <w:rPr>
                <w:sz w:val="20"/>
                <w:szCs w:val="20"/>
                <w:color w:val="auto"/>
              </w:rPr>
            </w:pPr>
            <w:r>
              <w:rPr>
                <w:rFonts w:ascii="Arial" w:cs="Arial" w:eastAsia="Arial" w:hAnsi="Arial"/>
                <w:sz w:val="15"/>
                <w:szCs w:val="15"/>
                <w:color w:val="auto"/>
              </w:rPr>
              <w:t>5,404,823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13.48</w:t>
            </w: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color w:val="auto"/>
              </w:rPr>
              <w:t>Vested and shares issued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(1,284,383)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13.53</w:t>
            </w:r>
          </w:p>
        </w:tc>
      </w:tr>
      <w:tr>
        <w:trPr>
          <w:trHeight w:val="189"/>
        </w:trPr>
        <w:tc>
          <w:tcPr>
            <w:tcW w:w="8800" w:type="dxa"/>
            <w:vAlign w:val="bottom"/>
          </w:tcPr>
          <w:p>
            <w:pPr>
              <w:spacing w:after="0"/>
              <w:rPr>
                <w:sz w:val="20"/>
                <w:szCs w:val="20"/>
                <w:color w:val="auto"/>
              </w:rPr>
            </w:pPr>
            <w:r>
              <w:rPr>
                <w:rFonts w:ascii="Arial" w:cs="Arial" w:eastAsia="Arial" w:hAnsi="Arial"/>
                <w:sz w:val="15"/>
                <w:szCs w:val="15"/>
                <w:color w:val="auto"/>
              </w:rPr>
              <w:t>Forfeited</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(983,025)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13.51</w:t>
            </w:r>
          </w:p>
        </w:tc>
      </w:tr>
      <w:tr>
        <w:trPr>
          <w:trHeight w:val="226"/>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Non-vested RSUs as of December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3,137,415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ind w:left="7" w:right="380"/>
        <w:spacing w:after="0" w:line="260" w:lineRule="auto"/>
        <w:rPr>
          <w:sz w:val="20"/>
          <w:szCs w:val="20"/>
          <w:color w:val="auto"/>
        </w:rPr>
      </w:pPr>
      <w:r>
        <w:rPr>
          <w:rFonts w:ascii="Arial" w:cs="Arial" w:eastAsia="Arial" w:hAnsi="Arial"/>
          <w:sz w:val="18"/>
          <w:szCs w:val="18"/>
          <w:color w:val="auto"/>
        </w:rPr>
        <w:t>During the year ended December 31, 2019, the Company recognized a compensation expense of $41,447 of which $40,594 and $853 are recorded in Selling, general and administrative and Operations and maintenance, respectively. The Company recognizes the income tax benefits resulting from vesting of RSUs in the period they vest, to the extent the compensation expense has been recognized.</w:t>
      </w:r>
    </w:p>
    <w:p>
      <w:pPr>
        <w:spacing w:after="0" w:line="164" w:lineRule="exact"/>
        <w:rPr>
          <w:sz w:val="20"/>
          <w:szCs w:val="20"/>
          <w:color w:val="auto"/>
        </w:rPr>
      </w:pPr>
    </w:p>
    <w:p>
      <w:pPr>
        <w:ind w:left="7"/>
        <w:spacing w:after="0"/>
        <w:rPr>
          <w:sz w:val="20"/>
          <w:szCs w:val="20"/>
          <w:color w:val="auto"/>
        </w:rPr>
      </w:pPr>
      <w:r>
        <w:rPr>
          <w:rFonts w:ascii="Arial" w:cs="Arial" w:eastAsia="Arial" w:hAnsi="Arial"/>
          <w:sz w:val="19"/>
          <w:szCs w:val="19"/>
          <w:color w:val="auto"/>
        </w:rPr>
        <w:t>For the year ended December 31, 2019, cumulative compensation expense recognized for forfeited awards of $2,248 was reversed.</w:t>
      </w:r>
    </w:p>
    <w:p>
      <w:pPr>
        <w:spacing w:after="0" w:line="200" w:lineRule="exact"/>
        <w:rPr>
          <w:sz w:val="20"/>
          <w:szCs w:val="20"/>
          <w:color w:val="auto"/>
        </w:rPr>
      </w:pPr>
    </w:p>
    <w:p>
      <w:pPr>
        <w:jc w:val="both"/>
        <w:ind w:left="7" w:right="340"/>
        <w:spacing w:after="0" w:line="260" w:lineRule="auto"/>
        <w:rPr>
          <w:sz w:val="20"/>
          <w:szCs w:val="20"/>
          <w:color w:val="auto"/>
        </w:rPr>
      </w:pPr>
      <w:r>
        <w:rPr>
          <w:rFonts w:ascii="Arial" w:cs="Arial" w:eastAsia="Arial" w:hAnsi="Arial"/>
          <w:sz w:val="18"/>
          <w:szCs w:val="18"/>
          <w:color w:val="auto"/>
        </w:rPr>
        <w:t>As of December 31, 2019, the Company had 3,137,415 non-vested RSUs subject to service conditions and therefore had unrecognized compensation costs of approximately $18,080. The non-vested RSUs will vest over a period from ten months to three years following the grant date. The weighted-average remaining vesting period of non-vested RSUs totaled 0.86 years as of December 31, 2019.</w:t>
      </w:r>
    </w:p>
    <w:p>
      <w:pPr>
        <w:spacing w:after="0" w:line="166" w:lineRule="exact"/>
        <w:rPr>
          <w:sz w:val="20"/>
          <w:szCs w:val="20"/>
          <w:color w:val="auto"/>
        </w:rPr>
      </w:pPr>
    </w:p>
    <w:p>
      <w:pPr>
        <w:ind w:left="567" w:hanging="567"/>
        <w:spacing w:after="0"/>
        <w:tabs>
          <w:tab w:leader="none" w:pos="567"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and Members’ equity</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New Fortress Energy Holdings</w:t>
      </w:r>
    </w:p>
    <w:p>
      <w:pPr>
        <w:spacing w:after="0" w:line="200" w:lineRule="exact"/>
        <w:rPr>
          <w:sz w:val="20"/>
          <w:szCs w:val="20"/>
          <w:color w:val="auto"/>
        </w:rPr>
      </w:pPr>
    </w:p>
    <w:p>
      <w:pPr>
        <w:ind w:left="7" w:right="80"/>
        <w:spacing w:after="0" w:line="250" w:lineRule="auto"/>
        <w:rPr>
          <w:sz w:val="20"/>
          <w:szCs w:val="20"/>
          <w:color w:val="auto"/>
        </w:rPr>
      </w:pPr>
      <w:r>
        <w:rPr>
          <w:rFonts w:ascii="Arial" w:cs="Arial" w:eastAsia="Arial" w:hAnsi="Arial"/>
          <w:sz w:val="19"/>
          <w:szCs w:val="19"/>
          <w:color w:val="auto"/>
        </w:rPr>
        <w:t>In January 2018, New Fortress Energy Holdings, the Company’s predecessor, issued 665,843 common shares (no par value) to members of New Fortress Energy Holdings for $20,150 in proceeds.</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New Fortress Energy LLC</w:t>
      </w:r>
    </w:p>
    <w:p>
      <w:pPr>
        <w:spacing w:after="0" w:line="200" w:lineRule="exact"/>
        <w:rPr>
          <w:sz w:val="20"/>
          <w:szCs w:val="20"/>
          <w:color w:val="auto"/>
        </w:rPr>
      </w:pPr>
    </w:p>
    <w:p>
      <w:pPr>
        <w:ind w:left="7" w:right="80"/>
        <w:spacing w:after="0" w:line="250" w:lineRule="auto"/>
        <w:rPr>
          <w:sz w:val="20"/>
          <w:szCs w:val="20"/>
          <w:color w:val="auto"/>
        </w:rPr>
      </w:pPr>
      <w:r>
        <w:rPr>
          <w:rFonts w:ascii="Arial" w:cs="Arial" w:eastAsia="Arial" w:hAnsi="Arial"/>
          <w:sz w:val="19"/>
          <w:szCs w:val="19"/>
          <w:color w:val="auto"/>
        </w:rPr>
        <w:t>During the year ended December 31, 2019, the Company issued 2,716,252 shares of Class A shares in exchange for Class B shares, and 53,572 Class A shares were issued for vested RSUs.</w:t>
      </w:r>
    </w:p>
    <w:p>
      <w:pPr>
        <w:spacing w:after="0" w:line="172" w:lineRule="exact"/>
        <w:rPr>
          <w:sz w:val="20"/>
          <w:szCs w:val="20"/>
          <w:color w:val="auto"/>
        </w:rPr>
      </w:pPr>
    </w:p>
    <w:p>
      <w:pPr>
        <w:ind w:left="7" w:right="80"/>
        <w:spacing w:after="0" w:line="277" w:lineRule="auto"/>
        <w:rPr>
          <w:sz w:val="20"/>
          <w:szCs w:val="20"/>
          <w:color w:val="auto"/>
        </w:rPr>
      </w:pPr>
      <w:r>
        <w:rPr>
          <w:rFonts w:ascii="Arial" w:cs="Arial" w:eastAsia="Arial" w:hAnsi="Arial"/>
          <w:sz w:val="18"/>
          <w:szCs w:val="18"/>
          <w:color w:val="auto"/>
        </w:rPr>
        <w:t>As of December 31, 2019, NFE has 23,607,096 Class A Shares outstanding, and New Fortress Energy Holding has an 85.9% economic interest in NFI through ownership of 144,342,572 NFI LLC units and New Fortress Energy Holdings holds an 85.9% voting interest in NFE.</w:t>
      </w:r>
    </w:p>
    <w:p>
      <w:pPr>
        <w:spacing w:after="0" w:line="152" w:lineRule="exact"/>
        <w:rPr>
          <w:sz w:val="20"/>
          <w:szCs w:val="20"/>
          <w:color w:val="auto"/>
        </w:rPr>
      </w:pPr>
    </w:p>
    <w:p>
      <w:pPr>
        <w:ind w:left="567" w:hanging="567"/>
        <w:spacing w:after="0"/>
        <w:tabs>
          <w:tab w:leader="none" w:pos="567"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Leases, as lessee</w:t>
      </w:r>
    </w:p>
    <w:p>
      <w:pPr>
        <w:spacing w:after="0" w:line="220" w:lineRule="exact"/>
        <w:rPr>
          <w:sz w:val="20"/>
          <w:szCs w:val="20"/>
          <w:color w:val="auto"/>
        </w:rPr>
      </w:pPr>
    </w:p>
    <w:p>
      <w:pPr>
        <w:jc w:val="both"/>
        <w:ind w:left="7" w:right="80"/>
        <w:spacing w:after="0"/>
        <w:rPr>
          <w:sz w:val="20"/>
          <w:szCs w:val="20"/>
          <w:color w:val="auto"/>
        </w:rPr>
      </w:pPr>
      <w:r>
        <w:rPr>
          <w:rFonts w:ascii="Arial" w:cs="Arial" w:eastAsia="Arial" w:hAnsi="Arial"/>
          <w:sz w:val="19"/>
          <w:szCs w:val="19"/>
          <w:color w:val="auto"/>
        </w:rPr>
        <w:t>During the years ended December 31, 2019, 2018, and 2017, the Company recognized rental expense for all operating leases of $37,069, $23,687, and $17,369, respectively. These operating leases were related primarily to LNG vessel time charters, office space, land leases, and marine port berth leases as summarized in the table below.</w:t>
      </w:r>
    </w:p>
    <w:p>
      <w:pPr>
        <w:spacing w:after="0" w:line="183"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Non-cancellable Initial</w:t>
            </w: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Rent Escalation (per</w:t>
            </w:r>
          </w:p>
        </w:tc>
      </w:tr>
      <w:tr>
        <w:trPr>
          <w:trHeight w:val="206"/>
        </w:trPr>
        <w:tc>
          <w:tcPr>
            <w:tcW w:w="4240" w:type="dxa"/>
            <w:vAlign w:val="bottom"/>
            <w:gridSpan w:val="2"/>
          </w:tcPr>
          <w:p>
            <w:pPr>
              <w:spacing w:after="0"/>
              <w:rPr>
                <w:sz w:val="20"/>
                <w:szCs w:val="20"/>
                <w:color w:val="auto"/>
              </w:rPr>
            </w:pPr>
            <w:r>
              <w:rPr>
                <w:rFonts w:ascii="Arial" w:cs="Arial" w:eastAsia="Arial" w:hAnsi="Arial"/>
                <w:sz w:val="15"/>
                <w:szCs w:val="15"/>
                <w:b w:val="1"/>
                <w:bCs w:val="1"/>
                <w:color w:val="auto"/>
              </w:rPr>
              <w:t>Lease</w:t>
            </w:r>
          </w:p>
        </w:tc>
        <w:tc>
          <w:tcPr>
            <w:tcW w:w="2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Term</w:t>
            </w:r>
          </w:p>
        </w:tc>
        <w:tc>
          <w:tcPr>
            <w:tcW w:w="2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Renewal Option</w:t>
            </w: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annum)</w:t>
            </w:r>
          </w:p>
        </w:tc>
      </w:tr>
      <w:tr>
        <w:trPr>
          <w:trHeight w:val="186"/>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LNG vessel time charter</w:t>
            </w:r>
          </w:p>
        </w:tc>
        <w:tc>
          <w:tcPr>
            <w:tcW w:w="2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2 to 7 years</w:t>
            </w:r>
          </w:p>
        </w:tc>
        <w:tc>
          <w:tcPr>
            <w:tcW w:w="22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0 to 5 years</w:t>
            </w:r>
          </w:p>
        </w:tc>
        <w:tc>
          <w:tcPr>
            <w:tcW w:w="22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0% to 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Marine port berth</w:t>
            </w:r>
          </w:p>
        </w:tc>
        <w:tc>
          <w:tcPr>
            <w:tcW w:w="2040" w:type="dxa"/>
            <w:vAlign w:val="bottom"/>
            <w:gridSpan w:val="2"/>
          </w:tcPr>
          <w:p>
            <w:pPr>
              <w:jc w:val="center"/>
              <w:ind w:right="240"/>
              <w:spacing w:after="0"/>
              <w:rPr>
                <w:sz w:val="20"/>
                <w:szCs w:val="20"/>
                <w:color w:val="auto"/>
              </w:rPr>
            </w:pPr>
            <w:r>
              <w:rPr>
                <w:rFonts w:ascii="Arial" w:cs="Arial" w:eastAsia="Arial" w:hAnsi="Arial"/>
                <w:sz w:val="15"/>
                <w:szCs w:val="15"/>
                <w:color w:val="auto"/>
                <w:w w:val="92"/>
              </w:rPr>
              <w:t>20 to 25 years</w:t>
            </w:r>
          </w:p>
        </w:tc>
        <w:tc>
          <w:tcPr>
            <w:tcW w:w="206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0 to 20 years</w:t>
            </w:r>
          </w:p>
        </w:tc>
        <w:tc>
          <w:tcPr>
            <w:tcW w:w="1940" w:type="dxa"/>
            <w:vAlign w:val="bottom"/>
            <w:gridSpan w:val="2"/>
          </w:tcPr>
          <w:p>
            <w:pPr>
              <w:jc w:val="center"/>
              <w:ind w:right="120"/>
              <w:spacing w:after="0"/>
              <w:rPr>
                <w:sz w:val="20"/>
                <w:szCs w:val="20"/>
                <w:color w:val="auto"/>
              </w:rPr>
            </w:pPr>
            <w:r>
              <w:rPr>
                <w:rFonts w:ascii="Arial" w:cs="Arial" w:eastAsia="Arial" w:hAnsi="Arial"/>
                <w:sz w:val="15"/>
                <w:szCs w:val="15"/>
                <w:color w:val="auto"/>
                <w:w w:val="91"/>
              </w:rPr>
              <w:t>See Note (1)</w:t>
            </w: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Office space and land</w:t>
            </w:r>
          </w:p>
        </w:tc>
        <w:tc>
          <w:tcPr>
            <w:tcW w:w="204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4"/>
              </w:rPr>
              <w:t>monthly to 7 years</w:t>
            </w:r>
          </w:p>
        </w:tc>
        <w:tc>
          <w:tcPr>
            <w:tcW w:w="206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1"/>
              </w:rPr>
              <w:t>0 to 5 years</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6"/>
              </w:rPr>
              <w:t>2.5% to 5.0%</w:t>
            </w:r>
          </w:p>
        </w:tc>
      </w:tr>
    </w:tbl>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color w:val="auto"/>
        </w:rPr>
        <w:t>(1)  One marine port berth lease has a 15% lease payment escalation after year five</w:t>
      </w:r>
    </w:p>
    <w:p>
      <w:pPr>
        <w:spacing w:after="0" w:line="38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24" w:right="219" w:bottom="1440" w:gutter="0" w:footer="0" w:header="0"/>
        </w:sectPr>
      </w:pPr>
    </w:p>
    <w:bookmarkStart w:id="95" w:name="page96"/>
    <w:bookmarkEnd w:id="95"/>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color w:val="auto"/>
        </w:rPr>
        <w:t>Future minimum lease payments under non-cancellable operating leases are as follows:</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202"/>
        </w:trPr>
        <w:tc>
          <w:tcPr>
            <w:tcW w:w="2480" w:type="dxa"/>
            <w:vAlign w:val="bottom"/>
          </w:tcPr>
          <w:p>
            <w:pPr>
              <w:spacing w:after="0"/>
              <w:rPr>
                <w:sz w:val="20"/>
                <w:szCs w:val="20"/>
                <w:color w:val="auto"/>
              </w:rPr>
            </w:pPr>
            <w:r>
              <w:rPr>
                <w:rFonts w:ascii="Arial" w:cs="Arial" w:eastAsia="Arial" w:hAnsi="Arial"/>
                <w:sz w:val="15"/>
                <w:szCs w:val="15"/>
                <w:b w:val="1"/>
                <w:bCs w:val="1"/>
                <w:color w:val="auto"/>
              </w:rPr>
              <w:t>Year ending December 31:</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1140" w:type="dxa"/>
            <w:vAlign w:val="bottom"/>
            <w:gridSpan w:val="2"/>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37,776</w:t>
            </w:r>
          </w:p>
        </w:tc>
      </w:tr>
      <w:tr>
        <w:trPr>
          <w:trHeight w:val="186"/>
        </w:trPr>
        <w:tc>
          <w:tcPr>
            <w:tcW w:w="2480" w:type="dxa"/>
            <w:vAlign w:val="bottom"/>
          </w:tcPr>
          <w:p>
            <w:pPr>
              <w:spacing w:after="0"/>
              <w:rPr>
                <w:sz w:val="20"/>
                <w:szCs w:val="20"/>
                <w:color w:val="auto"/>
              </w:rPr>
            </w:pPr>
            <w:r>
              <w:rPr>
                <w:rFonts w:ascii="Arial" w:cs="Arial" w:eastAsia="Arial" w:hAnsi="Arial"/>
                <w:sz w:val="15"/>
                <w:szCs w:val="15"/>
                <w:color w:val="auto"/>
              </w:rPr>
              <w:t>2021</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35,478</w:t>
            </w:r>
          </w:p>
        </w:tc>
      </w:tr>
      <w:tr>
        <w:trPr>
          <w:trHeight w:val="18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18,387</w:t>
            </w:r>
          </w:p>
        </w:tc>
      </w:tr>
      <w:tr>
        <w:trPr>
          <w:trHeight w:val="186"/>
        </w:trPr>
        <w:tc>
          <w:tcPr>
            <w:tcW w:w="2480" w:type="dxa"/>
            <w:vAlign w:val="bottom"/>
          </w:tcPr>
          <w:p>
            <w:pPr>
              <w:spacing w:after="0"/>
              <w:rPr>
                <w:sz w:val="20"/>
                <w:szCs w:val="20"/>
                <w:color w:val="auto"/>
              </w:rPr>
            </w:pPr>
            <w:r>
              <w:rPr>
                <w:rFonts w:ascii="Arial" w:cs="Arial" w:eastAsia="Arial" w:hAnsi="Arial"/>
                <w:sz w:val="15"/>
                <w:szCs w:val="15"/>
                <w:color w:val="auto"/>
              </w:rPr>
              <w:t>2023</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7,083</w:t>
            </w:r>
          </w:p>
        </w:tc>
        <w:tc>
          <w:tcPr>
            <w:tcW w:w="100" w:type="dxa"/>
            <w:vAlign w:val="bottom"/>
          </w:tcPr>
          <w:p>
            <w:pPr>
              <w:spacing w:after="0"/>
              <w:rPr>
                <w:sz w:val="16"/>
                <w:szCs w:val="16"/>
                <w:color w:val="auto"/>
              </w:rPr>
            </w:pPr>
          </w:p>
        </w:tc>
      </w:tr>
      <w:tr>
        <w:trPr>
          <w:trHeight w:val="186"/>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2024</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7,151</w:t>
            </w:r>
          </w:p>
        </w:tc>
        <w:tc>
          <w:tcPr>
            <w:tcW w:w="100" w:type="dxa"/>
            <w:vAlign w:val="bottom"/>
            <w:shd w:val="clear" w:color="auto" w:fill="CCEEFF"/>
          </w:tcPr>
          <w:p>
            <w:pPr>
              <w:spacing w:after="0"/>
              <w:rPr>
                <w:sz w:val="16"/>
                <w:szCs w:val="16"/>
                <w:color w:val="auto"/>
              </w:rPr>
            </w:pPr>
          </w:p>
        </w:tc>
      </w:tr>
      <w:tr>
        <w:trPr>
          <w:trHeight w:val="189"/>
        </w:trPr>
        <w:tc>
          <w:tcPr>
            <w:tcW w:w="2480" w:type="dxa"/>
            <w:vAlign w:val="bottom"/>
          </w:tcPr>
          <w:p>
            <w:pPr>
              <w:spacing w:after="0"/>
              <w:rPr>
                <w:sz w:val="20"/>
                <w:szCs w:val="20"/>
                <w:color w:val="auto"/>
              </w:rPr>
            </w:pPr>
            <w:r>
              <w:rPr>
                <w:rFonts w:ascii="Arial" w:cs="Arial" w:eastAsia="Arial" w:hAnsi="Arial"/>
                <w:sz w:val="15"/>
                <w:szCs w:val="15"/>
                <w:color w:val="auto"/>
              </w:rPr>
              <w:t>Thereafter</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26,458</w:t>
            </w:r>
          </w:p>
        </w:tc>
      </w:tr>
      <w:tr>
        <w:trPr>
          <w:trHeight w:val="226"/>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132,333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3" w:lineRule="exact"/>
        <w:rPr>
          <w:sz w:val="20"/>
          <w:szCs w:val="20"/>
          <w:color w:val="auto"/>
        </w:rPr>
      </w:pPr>
    </w:p>
    <w:p>
      <w:pPr>
        <w:ind w:left="567" w:hanging="567"/>
        <w:spacing w:after="0"/>
        <w:tabs>
          <w:tab w:leader="none" w:pos="567"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220"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Management services</w:t>
      </w:r>
    </w:p>
    <w:p>
      <w:pPr>
        <w:spacing w:after="0" w:line="200" w:lineRule="exact"/>
        <w:rPr>
          <w:sz w:val="20"/>
          <w:szCs w:val="20"/>
          <w:color w:val="auto"/>
        </w:rPr>
      </w:pPr>
    </w:p>
    <w:p>
      <w:pPr>
        <w:ind w:left="7" w:right="120"/>
        <w:spacing w:after="0" w:line="264" w:lineRule="auto"/>
        <w:rPr>
          <w:sz w:val="20"/>
          <w:szCs w:val="20"/>
          <w:color w:val="auto"/>
        </w:rPr>
      </w:pPr>
      <w:r>
        <w:rPr>
          <w:rFonts w:ascii="Arial" w:cs="Arial" w:eastAsia="Arial" w:hAnsi="Arial"/>
          <w:sz w:val="17"/>
          <w:szCs w:val="17"/>
          <w:color w:val="auto"/>
        </w:rPr>
        <w:t>The Company is majority-owned by a private equity fund managed by an affiliate of Fortress Investment Group LLC (“Fortress”). In the ordinary course of business,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$7,942, $5,741 and $3,866 for years ended December 31, 2019, 2018, and 2017, respectively. Costs associated with the Management Agreement and Administrative Agreement are included within Selling, general and administrative in the consolidated statements of operations and comprehensive loss. As of December 31, 2019 and 2018, $5,083 and $3,579 were due to Fortress, respectively.</w:t>
      </w:r>
    </w:p>
    <w:p>
      <w:pPr>
        <w:spacing w:after="0" w:line="162" w:lineRule="exact"/>
        <w:rPr>
          <w:sz w:val="20"/>
          <w:szCs w:val="20"/>
          <w:color w:val="auto"/>
        </w:rPr>
      </w:pPr>
    </w:p>
    <w:p>
      <w:pPr>
        <w:ind w:left="7" w:right="140"/>
        <w:spacing w:after="0" w:line="235" w:lineRule="auto"/>
        <w:rPr>
          <w:sz w:val="20"/>
          <w:szCs w:val="20"/>
          <w:color w:val="auto"/>
        </w:rPr>
      </w:pPr>
      <w:r>
        <w:rPr>
          <w:rFonts w:ascii="Arial" w:cs="Arial" w:eastAsia="Arial" w:hAnsi="Arial"/>
          <w:sz w:val="19"/>
          <w:szCs w:val="19"/>
          <w:color w:val="auto"/>
        </w:rPr>
        <w:t>In addition to management and administrative services, an affiliate of Fortress owns and leases an aircraft chartered by the Company for business purposes in the course of operations. The Company incurred, at aircraft operator market rates, charter costs of $5,367 for the year ended December 31, 2019, and $4,286 is due to this affiliate as of December 31, 2019. In prior years, such charges were incurred under the Management Agreement and amounts incurred of $1,873 and $2,917 for the years ended December 2018 and 2017, respectively, are included in the activity and balances disclosed above.</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Land and office lease</w:t>
      </w:r>
    </w:p>
    <w:p>
      <w:pPr>
        <w:spacing w:after="0" w:line="200" w:lineRule="exact"/>
        <w:rPr>
          <w:sz w:val="20"/>
          <w:szCs w:val="20"/>
          <w:color w:val="auto"/>
        </w:rPr>
      </w:pPr>
    </w:p>
    <w:p>
      <w:pPr>
        <w:ind w:left="7"/>
        <w:spacing w:after="0" w:line="265" w:lineRule="auto"/>
        <w:rPr>
          <w:sz w:val="20"/>
          <w:szCs w:val="20"/>
          <w:color w:val="auto"/>
        </w:rPr>
      </w:pPr>
      <w:r>
        <w:rPr>
          <w:rFonts w:ascii="Arial" w:cs="Arial" w:eastAsia="Arial" w:hAnsi="Arial"/>
          <w:sz w:val="17"/>
          <w:szCs w:val="17"/>
          <w:color w:val="auto"/>
        </w:rPr>
        <w:t>The Company has leased land and office space from Florida East Coast Industries, LLC (“FECI”), an affiliate of the Company. In April 2019, FECI sold the office building to a non-affiliate, and as such, the lease of the office space is no longer held with a related party. The expense related to the office building for the period that the building was owned by a related party during the year ended December 31, 2019 totaled $609, of which $386 was capitalized as leasehold improvements and $223 was included in Selling, general and administrative in the consolidated statements of operations and comprehensive loss; no expense for the office space was incurred prior to 2019. The expense for the land lease during the years ended December 31, 2019, 2018, and 2017 was $396, $260, and $285, respectively, and these amounts have been recognized within Operations and maintenance in the consolidated statements of operations and comprehensive loss. As of December 31, 2019 and 2018, $0 and $597 were due to FECI, respectively.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DevTech Investment</w:t>
      </w:r>
    </w:p>
    <w:p>
      <w:pPr>
        <w:spacing w:after="0" w:line="200" w:lineRule="exact"/>
        <w:rPr>
          <w:sz w:val="20"/>
          <w:szCs w:val="20"/>
          <w:color w:val="auto"/>
        </w:rPr>
      </w:pPr>
    </w:p>
    <w:p>
      <w:pPr>
        <w:ind w:left="7" w:right="80"/>
        <w:spacing w:after="0" w:line="264" w:lineRule="auto"/>
        <w:rPr>
          <w:sz w:val="20"/>
          <w:szCs w:val="20"/>
          <w:color w:val="auto"/>
        </w:rPr>
      </w:pPr>
      <w:r>
        <w:rPr>
          <w:rFonts w:ascii="Arial" w:cs="Arial" w:eastAsia="Arial" w:hAnsi="Arial"/>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consolidated financial statements. DevTech purchased 10% of a note payable due to an affiliate of the Company. As of December 31, 2019 and 2018, $815 and $737 was owed to DevTech on the note payable, respectively. The outstanding note payable due to DevTech is included in Other long-term liabilities on the consolidated balance sheets as of December 31, 2019. For the years ended December 31, 2019 and 2018, interest expense on the note payable due to DevTech was $94 and $18, respectively; no interest has been paid, and accrued interest has been recognized within Other current liabilities on the consolidated balance sheets. As of December 31, 2019 and 2018, $443 and $365 was due from DevTech, respectively.</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Fortress affiliated entities</w:t>
      </w:r>
    </w:p>
    <w:p>
      <w:pPr>
        <w:spacing w:after="0" w:line="200" w:lineRule="exact"/>
        <w:rPr>
          <w:sz w:val="20"/>
          <w:szCs w:val="20"/>
          <w:color w:val="auto"/>
        </w:rPr>
      </w:pPr>
    </w:p>
    <w:p>
      <w:pPr>
        <w:jc w:val="both"/>
        <w:ind w:left="7" w:right="140"/>
        <w:spacing w:after="0" w:line="237" w:lineRule="auto"/>
        <w:rPr>
          <w:sz w:val="20"/>
          <w:szCs w:val="20"/>
          <w:color w:val="auto"/>
        </w:rPr>
      </w:pPr>
      <w:r>
        <w:rPr>
          <w:rFonts w:ascii="Arial" w:cs="Arial" w:eastAsia="Arial" w:hAnsi="Arial"/>
          <w:sz w:val="19"/>
          <w:szCs w:val="19"/>
          <w:color w:val="auto"/>
        </w:rPr>
        <w:t>Since 2017, the Company has provided certain administrative services to related parties including Fortress Equity Partners. As of December 31, 2019 and 2018, $1,134 and $525 were due from affiliates, respectively. There are no costs incurred by the Company as the Company is fully reimbursed for all costs incurred. Additionally, Fortress affiliated entities provide certain administrative services to the Company. As of December 31, 2019 and 2018, $883 and $305 were due to Fortress affiliates, respectively.</w:t>
      </w:r>
    </w:p>
    <w:p>
      <w:pPr>
        <w:spacing w:after="0" w:line="348" w:lineRule="exact"/>
        <w:rPr>
          <w:sz w:val="20"/>
          <w:szCs w:val="20"/>
          <w:color w:val="auto"/>
        </w:rPr>
      </w:pPr>
    </w:p>
    <w:p>
      <w:pPr>
        <w:jc w:val="center"/>
        <w:ind w:right="-86"/>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347"/>
          </w:cols>
          <w:pgMar w:left="233" w:top="124" w:right="319" w:bottom="1440" w:gutter="0" w:footer="0" w:header="0"/>
        </w:sectPr>
      </w:pPr>
    </w:p>
    <w:bookmarkStart w:id="96" w:name="page97"/>
    <w:bookmarkEnd w:id="96"/>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i w:val="1"/>
          <w:iCs w:val="1"/>
          <w:color w:val="auto"/>
        </w:rPr>
        <w:t>Due to/from Affiliates</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19"/>
          <w:szCs w:val="19"/>
          <w:color w:val="auto"/>
        </w:rPr>
        <w:t>The table below summarizes the balances outstanding with affiliates at December 31, 2019 and 2018:</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36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r>
      <w:tr>
        <w:trPr>
          <w:trHeight w:val="186"/>
        </w:trPr>
        <w:tc>
          <w:tcPr>
            <w:tcW w:w="77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r>
      <w:tr>
        <w:trPr>
          <w:trHeight w:val="186"/>
        </w:trPr>
        <w:tc>
          <w:tcPr>
            <w:tcW w:w="7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Amounts due to affiliates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10,252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4,481</w:t>
            </w:r>
          </w:p>
        </w:tc>
      </w:tr>
      <w:tr>
        <w:trPr>
          <w:trHeight w:val="196"/>
        </w:trPr>
        <w:tc>
          <w:tcPr>
            <w:tcW w:w="7700" w:type="dxa"/>
            <w:vAlign w:val="bottom"/>
            <w:gridSpan w:val="2"/>
          </w:tcPr>
          <w:p>
            <w:pPr>
              <w:spacing w:after="0"/>
              <w:rPr>
                <w:sz w:val="20"/>
                <w:szCs w:val="20"/>
                <w:color w:val="auto"/>
              </w:rPr>
            </w:pPr>
            <w:r>
              <w:rPr>
                <w:rFonts w:ascii="Arial" w:cs="Arial" w:eastAsia="Arial" w:hAnsi="Arial"/>
                <w:sz w:val="15"/>
                <w:szCs w:val="15"/>
                <w:color w:val="auto"/>
              </w:rPr>
              <w:t>Amounts due from affiliates</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1,577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890</w:t>
            </w:r>
          </w:p>
        </w:tc>
      </w:tr>
      <w:tr>
        <w:trPr>
          <w:trHeight w:val="384"/>
        </w:trPr>
        <w:tc>
          <w:tcPr>
            <w:tcW w:w="360" w:type="dxa"/>
            <w:vAlign w:val="bottom"/>
          </w:tcPr>
          <w:p>
            <w:pPr>
              <w:spacing w:after="0"/>
              <w:rPr>
                <w:sz w:val="20"/>
                <w:szCs w:val="20"/>
                <w:color w:val="auto"/>
              </w:rPr>
            </w:pPr>
            <w:r>
              <w:rPr>
                <w:rFonts w:ascii="Arial" w:cs="Arial" w:eastAsia="Arial" w:hAnsi="Arial"/>
                <w:sz w:val="15"/>
                <w:szCs w:val="15"/>
                <w:b w:val="1"/>
                <w:bCs w:val="1"/>
                <w:color w:val="auto"/>
              </w:rPr>
              <w:t>25.</w:t>
            </w:r>
          </w:p>
        </w:tc>
        <w:tc>
          <w:tcPr>
            <w:tcW w:w="7340" w:type="dxa"/>
            <w:vAlign w:val="bottom"/>
          </w:tcPr>
          <w:p>
            <w:pPr>
              <w:ind w:left="200"/>
              <w:spacing w:after="0"/>
              <w:rPr>
                <w:sz w:val="20"/>
                <w:szCs w:val="20"/>
                <w:color w:val="auto"/>
              </w:rPr>
            </w:pPr>
            <w:r>
              <w:rPr>
                <w:rFonts w:ascii="Arial" w:cs="Arial" w:eastAsia="Arial" w:hAnsi="Arial"/>
                <w:sz w:val="15"/>
                <w:szCs w:val="15"/>
                <w:b w:val="1"/>
                <w:bCs w:val="1"/>
                <w:color w:val="auto"/>
              </w:rPr>
              <w:t>Customer concentrations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91" w:lineRule="exact"/>
        <w:rPr>
          <w:sz w:val="20"/>
          <w:szCs w:val="20"/>
          <w:color w:val="auto"/>
        </w:rPr>
      </w:pPr>
    </w:p>
    <w:p>
      <w:pPr>
        <w:ind w:left="7" w:right="180"/>
        <w:spacing w:after="0" w:line="235" w:lineRule="auto"/>
        <w:rPr>
          <w:sz w:val="20"/>
          <w:szCs w:val="20"/>
          <w:color w:val="auto"/>
        </w:rPr>
      </w:pPr>
      <w:r>
        <w:rPr>
          <w:rFonts w:ascii="Arial" w:cs="Arial" w:eastAsia="Arial" w:hAnsi="Arial"/>
          <w:sz w:val="19"/>
          <w:szCs w:val="19"/>
          <w:color w:val="auto"/>
        </w:rPr>
        <w:t>For the year ended December 31, 2019, revenue from two significant customers constituted 74% of the total revenue and 85% of trade receivables. For the year ended 2018 and 2017, revenue from one significant customer constituted 87% and 92% of total revenue, respectively, and as of December 31, 2018, this customer comprised 93% of trade receivables. In addition to trade receivables, the Company has primarily leased facilities under direct financing leases to this customer. As of December 31, 2019 and 2018, 99% and 98% of the Finance leases, net balance was attributed to this significant customer, respectively.</w:t>
      </w:r>
    </w:p>
    <w:p>
      <w:pPr>
        <w:spacing w:after="0" w:line="185" w:lineRule="exact"/>
        <w:rPr>
          <w:sz w:val="20"/>
          <w:szCs w:val="20"/>
          <w:color w:val="auto"/>
        </w:rPr>
      </w:pPr>
    </w:p>
    <w:p>
      <w:pPr>
        <w:ind w:left="7" w:right="260"/>
        <w:spacing w:after="0" w:line="237" w:lineRule="auto"/>
        <w:rPr>
          <w:sz w:val="20"/>
          <w:szCs w:val="20"/>
          <w:color w:val="auto"/>
        </w:rPr>
      </w:pPr>
      <w:r>
        <w:rPr>
          <w:rFonts w:ascii="Arial" w:cs="Arial" w:eastAsia="Arial" w:hAnsi="Arial"/>
          <w:sz w:val="19"/>
          <w:szCs w:val="19"/>
          <w:color w:val="auto"/>
        </w:rPr>
        <w:t>During the years ended December 31, 2019, 2018, and 2017, revenue from external customers that were derived from customers located in the United States were $21,386, $7,214 and $4,935, respectively, and from customers outside of the United States were $167,739, $105,087 and $92,327, respectively, primarily derived from customers in the Caribbean. The Company attributes revenue from external customers to the country in which the party to the applicable agreement has its principal place of business.</w:t>
      </w:r>
    </w:p>
    <w:p>
      <w:pPr>
        <w:spacing w:after="0" w:line="182" w:lineRule="exact"/>
        <w:rPr>
          <w:sz w:val="20"/>
          <w:szCs w:val="20"/>
          <w:color w:val="auto"/>
        </w:rPr>
      </w:pPr>
    </w:p>
    <w:p>
      <w:pPr>
        <w:ind w:left="7" w:right="160"/>
        <w:spacing w:after="0"/>
        <w:rPr>
          <w:sz w:val="20"/>
          <w:szCs w:val="20"/>
          <w:color w:val="auto"/>
        </w:rPr>
      </w:pPr>
      <w:r>
        <w:rPr>
          <w:rFonts w:ascii="Arial" w:cs="Arial" w:eastAsia="Arial" w:hAnsi="Arial"/>
          <w:sz w:val="19"/>
          <w:szCs w:val="19"/>
          <w:color w:val="auto"/>
        </w:rPr>
        <w:t>As of December 31, 2019 and 2018, long lived assets, which are all non-current assets excluding investment in equity securities, restricted cash, deferred tax assets and intangible assets, located in the United States were $360,860 and $151,729, respectively, and long lived assets located outside of the United States were $470,749 and $325,416, respectively, primarily located in the Caribbean.</w:t>
      </w:r>
    </w:p>
    <w:p>
      <w:pPr>
        <w:spacing w:after="0" w:line="183" w:lineRule="exact"/>
        <w:rPr>
          <w:sz w:val="20"/>
          <w:szCs w:val="20"/>
          <w:color w:val="auto"/>
        </w:rPr>
      </w:pPr>
    </w:p>
    <w:p>
      <w:pPr>
        <w:ind w:left="567" w:hanging="567"/>
        <w:spacing w:after="0"/>
        <w:tabs>
          <w:tab w:leader="none" w:pos="567"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Unaudited quarterly financial data</w:t>
      </w:r>
    </w:p>
    <w:p>
      <w:pPr>
        <w:spacing w:after="0" w:line="220" w:lineRule="exact"/>
        <w:rPr>
          <w:sz w:val="20"/>
          <w:szCs w:val="20"/>
          <w:color w:val="auto"/>
        </w:rPr>
      </w:pPr>
    </w:p>
    <w:p>
      <w:pPr>
        <w:jc w:val="both"/>
        <w:ind w:left="7" w:right="80"/>
        <w:spacing w:after="0"/>
        <w:rPr>
          <w:sz w:val="20"/>
          <w:szCs w:val="20"/>
          <w:color w:val="auto"/>
        </w:rPr>
      </w:pPr>
      <w:r>
        <w:rPr>
          <w:rFonts w:ascii="Arial" w:cs="Arial" w:eastAsia="Arial" w:hAnsi="Arial"/>
          <w:sz w:val="19"/>
          <w:szCs w:val="19"/>
          <w:color w:val="auto"/>
        </w:rPr>
        <w:t>Due to the change in organization structure as a result of reorganization transactions completed at the time of the IPO in 2019, the 2018 quarterly net loss per share is not presented as it is not comparable to 2019. Summarized quarterly financial data for the years ended December 31, 2019 and 2018 are as follows:</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6060" w:type="dxa"/>
            <w:vAlign w:val="bottom"/>
          </w:tcPr>
          <w:p>
            <w:pPr>
              <w:spacing w:after="0"/>
              <w:rPr>
                <w:sz w:val="20"/>
                <w:szCs w:val="20"/>
                <w:color w:val="auto"/>
              </w:rPr>
            </w:pPr>
            <w:r>
              <w:rPr>
                <w:rFonts w:ascii="Arial" w:cs="Arial" w:eastAsia="Arial" w:hAnsi="Arial"/>
                <w:sz w:val="15"/>
                <w:szCs w:val="15"/>
                <w:color w:val="auto"/>
              </w:rPr>
              <w:t>(in thousands of U.S. dollars, except per share data)</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vMerge w:val="restart"/>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80"/>
              <w:spacing w:after="0" w:line="169" w:lineRule="exact"/>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4"/>
                <w:szCs w:val="14"/>
                <w:color w:val="auto"/>
              </w:rPr>
            </w:pPr>
          </w:p>
        </w:tc>
        <w:tc>
          <w:tcPr>
            <w:tcW w:w="1200" w:type="dxa"/>
            <w:vAlign w:val="bottom"/>
            <w:gridSpan w:val="2"/>
          </w:tcPr>
          <w:p>
            <w:pPr>
              <w:jc w:val="right"/>
              <w:ind w:right="540"/>
              <w:spacing w:after="0" w:line="169" w:lineRule="exact"/>
              <w:rPr>
                <w:sz w:val="20"/>
                <w:szCs w:val="20"/>
                <w:color w:val="auto"/>
              </w:rPr>
            </w:pPr>
            <w:r>
              <w:rPr>
                <w:rFonts w:ascii="Arial" w:cs="Arial" w:eastAsia="Arial" w:hAnsi="Arial"/>
                <w:sz w:val="15"/>
                <w:szCs w:val="15"/>
                <w:b w:val="1"/>
                <w:bCs w:val="1"/>
                <w:color w:val="auto"/>
              </w:rPr>
              <w:t>June 30,</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b w:val="1"/>
                <w:bCs w:val="1"/>
                <w:color w:val="auto"/>
                <w:w w:val="91"/>
              </w:rPr>
              <w:t>September 30,</w:t>
            </w:r>
          </w:p>
        </w:tc>
        <w:tc>
          <w:tcPr>
            <w:tcW w:w="100" w:type="dxa"/>
            <w:vAlign w:val="bottom"/>
          </w:tcPr>
          <w:p>
            <w:pPr>
              <w:spacing w:after="0"/>
              <w:rPr>
                <w:sz w:val="14"/>
                <w:szCs w:val="14"/>
                <w:color w:val="auto"/>
              </w:rPr>
            </w:pPr>
          </w:p>
        </w:tc>
        <w:tc>
          <w:tcPr>
            <w:tcW w:w="1040" w:type="dxa"/>
            <w:vAlign w:val="bottom"/>
          </w:tcPr>
          <w:p>
            <w:pPr>
              <w:jc w:val="right"/>
              <w:ind w:right="43"/>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0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29,951</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39,766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49,656</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5"/>
                <w:szCs w:val="15"/>
                <w:color w:val="auto"/>
              </w:rPr>
              <w:t>Operating loss</w:t>
            </w:r>
          </w:p>
        </w:tc>
        <w:tc>
          <w:tcPr>
            <w:tcW w:w="16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(59,337)</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(43,959)</w:t>
            </w: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(47,726)</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(36,253)</w:t>
            </w:r>
          </w:p>
        </w:tc>
        <w:tc>
          <w:tcPr>
            <w:tcW w:w="0" w:type="dxa"/>
            <w:vAlign w:val="bottom"/>
          </w:tcPr>
          <w:p>
            <w:pPr>
              <w:spacing w:after="0"/>
              <w:rPr>
                <w:sz w:val="1"/>
                <w:szCs w:val="1"/>
                <w:color w:val="auto"/>
              </w:rPr>
            </w:pPr>
          </w:p>
        </w:tc>
      </w:tr>
      <w:tr>
        <w:trPr>
          <w:trHeight w:val="186"/>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(60,292)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(51,233)</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(54,424)</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(38,370)</w:t>
            </w:r>
          </w:p>
        </w:tc>
        <w:tc>
          <w:tcPr>
            <w:tcW w:w="0" w:type="dxa"/>
            <w:vAlign w:val="bottom"/>
          </w:tcPr>
          <w:p>
            <w:pPr>
              <w:spacing w:after="0"/>
              <w:rPr>
                <w:sz w:val="1"/>
                <w:szCs w:val="1"/>
                <w:color w:val="auto"/>
              </w:rPr>
            </w:pPr>
          </w:p>
        </w:tc>
      </w:tr>
      <w:tr>
        <w:trPr>
          <w:trHeight w:val="186"/>
        </w:trPr>
        <w:tc>
          <w:tcPr>
            <w:tcW w:w="6060" w:type="dxa"/>
            <w:vAlign w:val="bottom"/>
          </w:tcPr>
          <w:p>
            <w:pPr>
              <w:spacing w:after="0"/>
              <w:rPr>
                <w:sz w:val="20"/>
                <w:szCs w:val="20"/>
                <w:color w:val="auto"/>
              </w:rPr>
            </w:pPr>
            <w:r>
              <w:rPr>
                <w:rFonts w:ascii="Arial" w:cs="Arial" w:eastAsia="Arial" w:hAnsi="Arial"/>
                <w:sz w:val="15"/>
                <w:szCs w:val="15"/>
                <w:color w:val="auto"/>
              </w:rPr>
              <w:t>Net loss attributable to stockholders</w:t>
            </w:r>
          </w:p>
        </w:tc>
        <w:tc>
          <w:tcPr>
            <w:tcW w:w="16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(13,557)</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(6,186)</w:t>
            </w: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(6,723)</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(7,343)</w:t>
            </w:r>
          </w:p>
        </w:tc>
        <w:tc>
          <w:tcPr>
            <w:tcW w:w="0" w:type="dxa"/>
            <w:vAlign w:val="bottom"/>
          </w:tcPr>
          <w:p>
            <w:pPr>
              <w:spacing w:after="0"/>
              <w:rPr>
                <w:sz w:val="1"/>
                <w:szCs w:val="1"/>
                <w:color w:val="auto"/>
              </w:rPr>
            </w:pPr>
          </w:p>
        </w:tc>
      </w:tr>
      <w:tr>
        <w:trPr>
          <w:trHeight w:val="186"/>
        </w:trPr>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loss per share (1)</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(0.96)</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(0.28)</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(0.30)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(0.30)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7" w:right="80" w:hanging="7"/>
        <w:spacing w:after="0" w:line="250" w:lineRule="auto"/>
        <w:tabs>
          <w:tab w:leader="none" w:pos="270" w:val="left"/>
        </w:tabs>
        <w:numPr>
          <w:ilvl w:val="0"/>
          <w:numId w:val="77"/>
        </w:numPr>
        <w:rPr>
          <w:rFonts w:ascii="Arial" w:cs="Arial" w:eastAsia="Arial" w:hAnsi="Arial"/>
          <w:sz w:val="19"/>
          <w:szCs w:val="19"/>
          <w:color w:val="auto"/>
        </w:rPr>
      </w:pPr>
      <w:r>
        <w:rPr>
          <w:rFonts w:ascii="Arial" w:cs="Arial" w:eastAsia="Arial" w:hAnsi="Arial"/>
          <w:sz w:val="19"/>
          <w:szCs w:val="19"/>
          <w:color w:val="auto"/>
        </w:rPr>
        <w:t>Basic and diluted earnings per share are computed independently for each of the quarters presented. Therefore, the sum of quarterly basic and diluted per share information may not equal annual basic and diluted earnings per share.</w:t>
      </w:r>
    </w:p>
    <w:p>
      <w:pPr>
        <w:spacing w:after="0" w:line="33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124" w:right="2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38"/>
        </w:trPr>
        <w:tc>
          <w:tcPr>
            <w:tcW w:w="4140" w:type="dxa"/>
            <w:vAlign w:val="bottom"/>
            <w:gridSpan w:val="3"/>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2"/>
        </w:trPr>
        <w:tc>
          <w:tcPr>
            <w:tcW w:w="5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80"/>
              <w:spacing w:after="0" w:line="169" w:lineRule="exact"/>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20"/>
              <w:spacing w:after="0" w:line="169" w:lineRule="exact"/>
              <w:rPr>
                <w:sz w:val="20"/>
                <w:szCs w:val="20"/>
                <w:color w:val="auto"/>
              </w:rPr>
            </w:pPr>
            <w:r>
              <w:rPr>
                <w:rFonts w:ascii="Arial" w:cs="Arial" w:eastAsia="Arial" w:hAnsi="Arial"/>
                <w:sz w:val="15"/>
                <w:szCs w:val="15"/>
                <w:b w:val="1"/>
                <w:bCs w:val="1"/>
                <w:color w:val="auto"/>
                <w:w w:val="89"/>
              </w:rPr>
              <w:t>June 30,</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b w:val="1"/>
                <w:bCs w:val="1"/>
                <w:color w:val="auto"/>
                <w:w w:val="91"/>
              </w:rPr>
              <w:t>September 30,</w:t>
            </w:r>
          </w:p>
        </w:tc>
        <w:tc>
          <w:tcPr>
            <w:tcW w:w="100" w:type="dxa"/>
            <w:vAlign w:val="bottom"/>
          </w:tcPr>
          <w:p>
            <w:pPr>
              <w:spacing w:after="0"/>
              <w:rPr>
                <w:sz w:val="14"/>
                <w:szCs w:val="14"/>
                <w:color w:val="auto"/>
              </w:rPr>
            </w:pPr>
          </w:p>
        </w:tc>
        <w:tc>
          <w:tcPr>
            <w:tcW w:w="1040" w:type="dxa"/>
            <w:vAlign w:val="bottom"/>
          </w:tcPr>
          <w:p>
            <w:pPr>
              <w:jc w:val="right"/>
              <w:ind w:right="43"/>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00" w:type="dxa"/>
            <w:vAlign w:val="bottom"/>
          </w:tcPr>
          <w:p>
            <w:pPr>
              <w:spacing w:after="0"/>
              <w:rPr>
                <w:sz w:val="14"/>
                <w:szCs w:val="14"/>
                <w:color w:val="auto"/>
              </w:rPr>
            </w:pPr>
          </w:p>
        </w:tc>
      </w:tr>
      <w:tr>
        <w:trPr>
          <w:trHeight w:val="206"/>
        </w:trPr>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86"/>
        </w:trPr>
        <w:tc>
          <w:tcPr>
            <w:tcW w:w="860" w:type="dxa"/>
            <w:vAlign w:val="bottom"/>
            <w:gridSpan w:val="2"/>
          </w:tcPr>
          <w:p>
            <w:pPr>
              <w:spacing w:after="0"/>
              <w:rPr>
                <w:sz w:val="16"/>
                <w:szCs w:val="16"/>
                <w:color w:val="auto"/>
              </w:rPr>
            </w:pPr>
          </w:p>
        </w:tc>
        <w:tc>
          <w:tcPr>
            <w:tcW w:w="3280" w:type="dxa"/>
            <w:vAlign w:val="bottom"/>
          </w:tcPr>
          <w:p>
            <w:pPr>
              <w:spacing w:after="0"/>
              <w:rPr>
                <w:sz w:val="16"/>
                <w:szCs w:val="16"/>
                <w:color w:val="auto"/>
              </w:rPr>
            </w:pPr>
          </w:p>
        </w:tc>
        <w:tc>
          <w:tcPr>
            <w:tcW w:w="208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280" w:type="dxa"/>
            <w:vAlign w:val="bottom"/>
            <w:gridSpan w:val="2"/>
          </w:tcPr>
          <w:p>
            <w:pPr>
              <w:spacing w:after="0"/>
              <w:rPr>
                <w:sz w:val="16"/>
                <w:szCs w:val="16"/>
                <w:color w:val="auto"/>
              </w:rPr>
            </w:pPr>
          </w:p>
        </w:tc>
        <w:tc>
          <w:tcPr>
            <w:tcW w:w="12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186"/>
        </w:trPr>
        <w:tc>
          <w:tcPr>
            <w:tcW w:w="41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Revenues</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25,709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26,799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28,424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31,369</w:t>
            </w:r>
          </w:p>
        </w:tc>
      </w:tr>
      <w:tr>
        <w:trPr>
          <w:trHeight w:val="186"/>
        </w:trPr>
        <w:tc>
          <w:tcPr>
            <w:tcW w:w="4140" w:type="dxa"/>
            <w:vAlign w:val="bottom"/>
            <w:gridSpan w:val="3"/>
          </w:tcPr>
          <w:p>
            <w:pPr>
              <w:spacing w:after="0"/>
              <w:rPr>
                <w:sz w:val="20"/>
                <w:szCs w:val="20"/>
                <w:color w:val="auto"/>
              </w:rPr>
            </w:pPr>
            <w:r>
              <w:rPr>
                <w:rFonts w:ascii="Arial" w:cs="Arial" w:eastAsia="Arial" w:hAnsi="Arial"/>
                <w:sz w:val="15"/>
                <w:szCs w:val="15"/>
                <w:color w:val="auto"/>
              </w:rPr>
              <w:t>Operating loss</w:t>
            </w: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(9,465)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(17,141)</w:t>
            </w: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(9,922)</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(21,960)</w:t>
            </w:r>
          </w:p>
        </w:tc>
      </w:tr>
      <w:tr>
        <w:trPr>
          <w:trHeight w:val="186"/>
        </w:trPr>
        <w:tc>
          <w:tcPr>
            <w:tcW w:w="520" w:type="dxa"/>
            <w:vAlign w:val="bottom"/>
            <w:shd w:val="clear" w:color="auto" w:fill="CCEEFF"/>
          </w:tcPr>
          <w:p>
            <w:pPr>
              <w:spacing w:after="0"/>
              <w:rPr>
                <w:sz w:val="20"/>
                <w:szCs w:val="20"/>
                <w:color w:val="auto"/>
              </w:rPr>
            </w:pPr>
            <w:r>
              <w:rPr>
                <w:rFonts w:ascii="Arial" w:cs="Arial" w:eastAsia="Arial" w:hAnsi="Arial"/>
                <w:sz w:val="15"/>
                <w:szCs w:val="15"/>
                <w:color w:val="auto"/>
                <w:w w:val="92"/>
              </w:rPr>
              <w:t>Net loss</w:t>
            </w:r>
          </w:p>
        </w:tc>
        <w:tc>
          <w:tcPr>
            <w:tcW w:w="340" w:type="dxa"/>
            <w:vAlign w:val="bottom"/>
            <w:shd w:val="clear" w:color="auto" w:fill="CCEEFF"/>
          </w:tcPr>
          <w:p>
            <w:pPr>
              <w:spacing w:after="0"/>
              <w:rPr>
                <w:sz w:val="16"/>
                <w:szCs w:val="16"/>
                <w:color w:val="auto"/>
              </w:rPr>
            </w:pPr>
          </w:p>
        </w:tc>
        <w:tc>
          <w:tcPr>
            <w:tcW w:w="3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(18,825)</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(13,681)</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(34,763)</w:t>
            </w:r>
          </w:p>
        </w:tc>
      </w:tr>
      <w:tr>
        <w:trPr>
          <w:trHeight w:val="196"/>
        </w:trPr>
        <w:tc>
          <w:tcPr>
            <w:tcW w:w="4140" w:type="dxa"/>
            <w:vAlign w:val="bottom"/>
            <w:gridSpan w:val="3"/>
          </w:tcPr>
          <w:p>
            <w:pPr>
              <w:spacing w:after="0"/>
              <w:rPr>
                <w:sz w:val="20"/>
                <w:szCs w:val="20"/>
                <w:color w:val="auto"/>
              </w:rPr>
            </w:pPr>
            <w:r>
              <w:rPr>
                <w:rFonts w:ascii="Arial" w:cs="Arial" w:eastAsia="Arial" w:hAnsi="Arial"/>
                <w:sz w:val="15"/>
                <w:szCs w:val="15"/>
                <w:color w:val="auto"/>
              </w:rPr>
              <w:t>Net loss attributable to stockholders</w:t>
            </w: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(10,913)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(18,825)</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(13,609)</w:t>
            </w:r>
          </w:p>
        </w:tc>
        <w:tc>
          <w:tcPr>
            <w:tcW w:w="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(34,729)</w:t>
            </w:r>
          </w:p>
        </w:tc>
      </w:tr>
      <w:tr>
        <w:trPr>
          <w:trHeight w:val="384"/>
        </w:trPr>
        <w:tc>
          <w:tcPr>
            <w:tcW w:w="520" w:type="dxa"/>
            <w:vAlign w:val="bottom"/>
          </w:tcPr>
          <w:p>
            <w:pPr>
              <w:spacing w:after="0"/>
              <w:rPr>
                <w:sz w:val="20"/>
                <w:szCs w:val="20"/>
                <w:color w:val="auto"/>
              </w:rPr>
            </w:pPr>
            <w:r>
              <w:rPr>
                <w:rFonts w:ascii="Arial" w:cs="Arial" w:eastAsia="Arial" w:hAnsi="Arial"/>
                <w:sz w:val="15"/>
                <w:szCs w:val="15"/>
                <w:b w:val="1"/>
                <w:bCs w:val="1"/>
                <w:color w:val="auto"/>
              </w:rPr>
              <w:t>27.</w:t>
            </w:r>
          </w:p>
        </w:tc>
        <w:tc>
          <w:tcPr>
            <w:tcW w:w="3620" w:type="dxa"/>
            <w:vAlign w:val="bottom"/>
            <w:gridSpan w:val="2"/>
          </w:tcPr>
          <w:p>
            <w:pPr>
              <w:ind w:left="40"/>
              <w:spacing w:after="0"/>
              <w:rPr>
                <w:sz w:val="20"/>
                <w:szCs w:val="20"/>
                <w:color w:val="auto"/>
              </w:rPr>
            </w:pPr>
            <w:r>
              <w:rPr>
                <w:rFonts w:ascii="Arial" w:cs="Arial" w:eastAsia="Arial" w:hAnsi="Arial"/>
                <w:sz w:val="15"/>
                <w:szCs w:val="15"/>
                <w:b w:val="1"/>
                <w:bCs w:val="1"/>
                <w:color w:val="auto"/>
              </w:rPr>
              <w:t>Subsequent events</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Credit Agreement</w:t>
      </w:r>
    </w:p>
    <w:p>
      <w:pPr>
        <w:spacing w:after="0" w:line="200" w:lineRule="exact"/>
        <w:rPr>
          <w:sz w:val="20"/>
          <w:szCs w:val="20"/>
          <w:color w:val="auto"/>
        </w:rPr>
      </w:pPr>
    </w:p>
    <w:p>
      <w:pPr>
        <w:jc w:val="both"/>
        <w:ind w:right="80"/>
        <w:spacing w:after="0" w:line="237" w:lineRule="auto"/>
        <w:rPr>
          <w:sz w:val="20"/>
          <w:szCs w:val="20"/>
          <w:color w:val="auto"/>
        </w:rPr>
      </w:pPr>
      <w:r>
        <w:rPr>
          <w:rFonts w:ascii="Arial" w:cs="Arial" w:eastAsia="Arial" w:hAnsi="Arial"/>
          <w:sz w:val="19"/>
          <w:szCs w:val="19"/>
          <w:color w:val="auto"/>
        </w:rPr>
        <w:t>On January 10, 2020, the Company entered into a credit agreement to borrow $800,000 in term loans (the “Credit Agreement”). The Credit Agreement will mature in January 2023 with the full principal balance due upon maturity. Interest is payable quarterly and is based on a LIBOR rate divided by one minus the applicable reserve requirement, subject to a floor of 1.50%, plus a margin of 6.25%. The interest rate margin increases each year of the term by 1.50%.</w:t>
      </w:r>
    </w:p>
    <w:p>
      <w:pPr>
        <w:spacing w:after="0" w:line="182" w:lineRule="exact"/>
        <w:rPr>
          <w:sz w:val="20"/>
          <w:szCs w:val="20"/>
          <w:color w:val="auto"/>
        </w:rPr>
      </w:pPr>
    </w:p>
    <w:p>
      <w:pPr>
        <w:jc w:val="both"/>
        <w:ind w:right="80"/>
        <w:spacing w:after="0"/>
        <w:rPr>
          <w:sz w:val="20"/>
          <w:szCs w:val="20"/>
          <w:color w:val="auto"/>
        </w:rPr>
      </w:pPr>
      <w:r>
        <w:rPr>
          <w:rFonts w:ascii="Arial" w:cs="Arial" w:eastAsia="Arial" w:hAnsi="Arial"/>
          <w:sz w:val="19"/>
          <w:szCs w:val="19"/>
          <w:color w:val="auto"/>
        </w:rPr>
        <w:t>Proceeds received were net of upfront and structuring fees, and together with other fees and expenses paid in connection with obtaining this financing, these fees will be recorded as a reduction to the principal balance on the consolidated balance sheet. Proceeds received were utilized to extinguish the Term Loan Facility, including outstanding principal of $495,000.</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LNG Supply Agreement</w:t>
      </w:r>
    </w:p>
    <w:p>
      <w:pPr>
        <w:spacing w:after="0" w:line="200" w:lineRule="exact"/>
        <w:rPr>
          <w:sz w:val="20"/>
          <w:szCs w:val="20"/>
          <w:color w:val="auto"/>
        </w:rPr>
      </w:pPr>
    </w:p>
    <w:p>
      <w:pPr>
        <w:ind w:right="460"/>
        <w:spacing w:after="0" w:line="250" w:lineRule="auto"/>
        <w:rPr>
          <w:sz w:val="20"/>
          <w:szCs w:val="20"/>
          <w:color w:val="auto"/>
        </w:rPr>
      </w:pPr>
      <w:r>
        <w:rPr>
          <w:rFonts w:ascii="Arial" w:cs="Arial" w:eastAsia="Arial" w:hAnsi="Arial"/>
          <w:sz w:val="19"/>
          <w:szCs w:val="19"/>
          <w:color w:val="auto"/>
        </w:rPr>
        <w:t>On February 7, 2020, the Company entered into a long-term supply agreement for the purchase of 27.5 TBtus per year of LNG at a price indexed to Henry Hub. The term of the purchase commitment is January 2022 through January 2030.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98" w:name="page99"/>
    <w:bookmarkEnd w:id="98"/>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I – Condensed Financial Information of Registrant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New Fortress Energy LLC</w:t>
      </w:r>
    </w:p>
    <w:p>
      <w:pPr>
        <w:jc w:val="center"/>
        <w:spacing w:after="0"/>
        <w:rPr>
          <w:sz w:val="20"/>
          <w:szCs w:val="20"/>
          <w:color w:val="auto"/>
        </w:rPr>
      </w:pPr>
      <w:r>
        <w:rPr>
          <w:rFonts w:ascii="Arial" w:cs="Arial" w:eastAsia="Arial" w:hAnsi="Arial"/>
          <w:sz w:val="19"/>
          <w:szCs w:val="19"/>
          <w:b w:val="1"/>
          <w:bCs w:val="1"/>
          <w:color w:val="auto"/>
        </w:rPr>
        <w:t>(Parent Company Only)</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 of December 31, 2019 and 2018</w:t>
      </w:r>
    </w:p>
    <w:p>
      <w:pPr>
        <w:spacing w:after="0"/>
        <w:rPr>
          <w:sz w:val="20"/>
          <w:szCs w:val="20"/>
          <w:color w:val="auto"/>
        </w:rPr>
      </w:pPr>
      <w:r>
        <w:rPr>
          <w:rFonts w:ascii="Arial" w:cs="Arial" w:eastAsia="Arial" w:hAnsi="Arial"/>
          <w:sz w:val="19"/>
          <w:szCs w:val="19"/>
          <w:b w:val="1"/>
          <w:bCs w:val="1"/>
          <w:color w:val="auto"/>
        </w:rPr>
        <w:t>(in thousands of U.S. Dollars,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2"/>
              </w:rPr>
              <w:t>December 31,</w:t>
            </w: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4"/>
              </w:rPr>
              <w:t>December 31,</w:t>
            </w:r>
          </w:p>
        </w:tc>
      </w:tr>
      <w:tr>
        <w:trPr>
          <w:trHeight w:val="206"/>
        </w:trPr>
        <w:tc>
          <w:tcPr>
            <w:tcW w:w="8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r>
      <w:tr>
        <w:trPr>
          <w:trHeight w:val="169"/>
        </w:trPr>
        <w:tc>
          <w:tcPr>
            <w:tcW w:w="8800" w:type="dxa"/>
            <w:vAlign w:val="bottom"/>
          </w:tcPr>
          <w:p>
            <w:pPr>
              <w:spacing w:after="0" w:line="169" w:lineRule="exact"/>
              <w:rPr>
                <w:sz w:val="20"/>
                <w:szCs w:val="20"/>
                <w:color w:val="auto"/>
              </w:rPr>
            </w:pPr>
            <w:r>
              <w:rPr>
                <w:rFonts w:ascii="Arial" w:cs="Arial" w:eastAsia="Arial" w:hAnsi="Arial"/>
                <w:sz w:val="15"/>
                <w:szCs w:val="15"/>
                <w:b w:val="1"/>
                <w:bCs w:val="1"/>
                <w:color w:val="auto"/>
              </w:rPr>
              <w:t>Assets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880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8800" w:type="dxa"/>
            <w:vAlign w:val="bottom"/>
          </w:tcPr>
          <w:p>
            <w:pPr>
              <w:spacing w:after="0"/>
              <w:rPr>
                <w:sz w:val="20"/>
                <w:szCs w:val="20"/>
                <w:color w:val="auto"/>
              </w:rPr>
            </w:pPr>
            <w:r>
              <w:rPr>
                <w:rFonts w:ascii="Arial" w:cs="Arial" w:eastAsia="Arial" w:hAnsi="Arial"/>
                <w:sz w:val="15"/>
                <w:szCs w:val="15"/>
                <w:b w:val="1"/>
                <w:bCs w:val="1"/>
                <w:color w:val="auto"/>
              </w:rPr>
              <w:t>Total current assets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42</w:t>
            </w:r>
          </w:p>
        </w:tc>
      </w:tr>
      <w:tr>
        <w:trPr>
          <w:trHeight w:val="186"/>
        </w:trPr>
        <w:tc>
          <w:tcPr>
            <w:tcW w:w="8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Investment in subsidiaries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84,805</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268,265</w:t>
            </w:r>
          </w:p>
        </w:tc>
      </w:tr>
      <w:tr>
        <w:trPr>
          <w:trHeight w:val="226"/>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84,805</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268,307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72"/>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8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8800" w:type="dxa"/>
            <w:vAlign w:val="bottom"/>
          </w:tcPr>
          <w:p>
            <w:pPr>
              <w:ind w:left="140"/>
              <w:spacing w:after="0"/>
              <w:rPr>
                <w:sz w:val="20"/>
                <w:szCs w:val="20"/>
                <w:color w:val="auto"/>
              </w:rPr>
            </w:pPr>
            <w:r>
              <w:rPr>
                <w:rFonts w:ascii="Arial" w:cs="Arial" w:eastAsia="Arial" w:hAnsi="Arial"/>
                <w:sz w:val="15"/>
                <w:szCs w:val="15"/>
                <w:color w:val="auto"/>
                <w:w w:val="97"/>
              </w:rPr>
              <w:t>Members’ capital, no par value, 500,000,000 shares authorized, 67,983,095 shares issued and outstanding as of December 31, 2018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426,741</w:t>
            </w:r>
          </w:p>
        </w:tc>
      </w:tr>
      <w:tr>
        <w:trPr>
          <w:trHeight w:val="175"/>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3"/>
              </w:rPr>
              <w:t>Class A shares, 23,607,096 shares, issued and outstanding as of December 31, 2019; 0 shares issued and outstanding as of December 31,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8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130,658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8800" w:type="dxa"/>
            <w:vAlign w:val="bottom"/>
          </w:tcPr>
          <w:p>
            <w:pPr>
              <w:ind w:left="140"/>
              <w:spacing w:after="0"/>
              <w:rPr>
                <w:sz w:val="20"/>
                <w:szCs w:val="20"/>
                <w:color w:val="auto"/>
              </w:rPr>
            </w:pPr>
            <w:r>
              <w:rPr>
                <w:rFonts w:ascii="Arial" w:cs="Arial" w:eastAsia="Arial" w:hAnsi="Arial"/>
                <w:sz w:val="15"/>
                <w:szCs w:val="15"/>
                <w:color w:val="auto"/>
                <w:w w:val="92"/>
              </w:rPr>
              <w:t>Class B shares, 144,342,572 shares, issued and outstanding as of December 31, 2019; 0 shares issued and outstanding as of December 31,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8800" w:type="dxa"/>
            <w:vAlign w:val="bottom"/>
          </w:tcPr>
          <w:p>
            <w:pPr>
              <w:ind w:left="240"/>
              <w:spacing w:after="0"/>
              <w:rPr>
                <w:sz w:val="20"/>
                <w:szCs w:val="20"/>
                <w:color w:val="auto"/>
              </w:rPr>
            </w:pPr>
            <w:r>
              <w:rPr>
                <w:rFonts w:ascii="Arial" w:cs="Arial" w:eastAsia="Arial" w:hAnsi="Arial"/>
                <w:sz w:val="15"/>
                <w:szCs w:val="15"/>
                <w:color w:val="auto"/>
              </w:rPr>
              <w:t>2018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(45,823)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(158,423)</w:t>
            </w:r>
          </w:p>
        </w:tc>
      </w:tr>
      <w:tr>
        <w:trPr>
          <w:trHeight w:val="189"/>
        </w:trPr>
        <w:tc>
          <w:tcPr>
            <w:tcW w:w="8800" w:type="dxa"/>
            <w:vAlign w:val="bottom"/>
          </w:tcPr>
          <w:p>
            <w:pPr>
              <w:ind w:left="14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(11)</w:t>
            </w:r>
          </w:p>
        </w:tc>
      </w:tr>
      <w:tr>
        <w:trPr>
          <w:trHeight w:val="186"/>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stockholders’ equity</w:t>
            </w: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84,805</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268,307</w:t>
            </w:r>
          </w:p>
        </w:tc>
        <w:tc>
          <w:tcPr>
            <w:tcW w:w="100" w:type="dxa"/>
            <w:vAlign w:val="bottom"/>
            <w:shd w:val="clear" w:color="auto" w:fill="CCEEFF"/>
          </w:tcPr>
          <w:p>
            <w:pPr>
              <w:spacing w:after="0"/>
              <w:rPr>
                <w:sz w:val="16"/>
                <w:szCs w:val="16"/>
                <w:color w:val="auto"/>
              </w:rPr>
            </w:pPr>
          </w:p>
        </w:tc>
      </w:tr>
      <w:tr>
        <w:trPr>
          <w:trHeight w:val="189"/>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r>
      <w:tr>
        <w:trPr>
          <w:trHeight w:val="226"/>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84,805</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268,307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 to condensed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9" w:name="page100"/>
    <w:bookmarkEnd w:id="99"/>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I – Condensed Financial Information of Registrant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New Fortress Energy LLC</w:t>
      </w:r>
    </w:p>
    <w:p>
      <w:pPr>
        <w:jc w:val="center"/>
        <w:spacing w:after="0"/>
        <w:rPr>
          <w:sz w:val="20"/>
          <w:szCs w:val="20"/>
          <w:color w:val="auto"/>
        </w:rPr>
      </w:pPr>
      <w:r>
        <w:rPr>
          <w:rFonts w:ascii="Arial" w:cs="Arial" w:eastAsia="Arial" w:hAnsi="Arial"/>
          <w:sz w:val="19"/>
          <w:szCs w:val="19"/>
          <w:b w:val="1"/>
          <w:bCs w:val="1"/>
          <w:color w:val="auto"/>
        </w:rPr>
        <w:t>(Parent Company Only)</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Statements of Operations and Comprehensive Loss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2019, 2018 and 2017</w:t>
      </w:r>
    </w:p>
    <w:p>
      <w:pPr>
        <w:spacing w:after="0"/>
        <w:rPr>
          <w:sz w:val="20"/>
          <w:szCs w:val="20"/>
          <w:color w:val="auto"/>
        </w:rPr>
      </w:pPr>
      <w:r>
        <w:rPr>
          <w:rFonts w:ascii="Arial" w:cs="Arial" w:eastAsia="Arial" w:hAnsi="Arial"/>
          <w:sz w:val="19"/>
          <w:szCs w:val="19"/>
          <w:b w:val="1"/>
          <w:bCs w:val="1"/>
          <w:color w:val="auto"/>
        </w:rPr>
        <w:t>(in thousands of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jc w:val="right"/>
              <w:ind w:right="123"/>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5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7"/>
                <w:szCs w:val="17"/>
                <w:color w:val="auto"/>
              </w:rPr>
            </w:pPr>
          </w:p>
        </w:tc>
      </w:tr>
      <w:tr>
        <w:trPr>
          <w:trHeight w:val="186"/>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6"/>
                <w:szCs w:val="16"/>
                <w:color w:val="auto"/>
              </w:rPr>
            </w:pPr>
          </w:p>
        </w:tc>
      </w:tr>
      <w:tr>
        <w:trPr>
          <w:trHeight w:val="186"/>
        </w:trPr>
        <w:tc>
          <w:tcPr>
            <w:tcW w:w="5840" w:type="dxa"/>
            <w:vAlign w:val="bottom"/>
          </w:tcPr>
          <w:p>
            <w:pPr>
              <w:ind w:left="140"/>
              <w:spacing w:after="0"/>
              <w:rPr>
                <w:sz w:val="20"/>
                <w:szCs w:val="20"/>
                <w:color w:val="auto"/>
              </w:rPr>
            </w:pPr>
            <w:r>
              <w:rPr>
                <w:rFonts w:ascii="Arial" w:cs="Arial" w:eastAsia="Arial" w:hAnsi="Arial"/>
                <w:sz w:val="15"/>
                <w:szCs w:val="15"/>
                <w:b w:val="1"/>
                <w:bCs w:val="1"/>
                <w:color w:val="auto"/>
              </w:rPr>
              <w:t>Operating loss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(179)</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(40)</w:t>
            </w:r>
          </w:p>
        </w:tc>
      </w:tr>
      <w:tr>
        <w:trPr>
          <w:trHeight w:val="186"/>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Other income, net</w:t>
            </w: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106</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337</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58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5840" w:type="dxa"/>
            <w:vAlign w:val="bottom"/>
          </w:tcPr>
          <w:p>
            <w:pPr>
              <w:ind w:left="140"/>
              <w:spacing w:after="0"/>
              <w:rPr>
                <w:sz w:val="20"/>
                <w:szCs w:val="20"/>
                <w:color w:val="auto"/>
              </w:rPr>
            </w:pPr>
            <w:r>
              <w:rPr>
                <w:rFonts w:ascii="Arial" w:cs="Arial" w:eastAsia="Arial" w:hAnsi="Arial"/>
                <w:sz w:val="15"/>
                <w:szCs w:val="15"/>
                <w:b w:val="1"/>
                <w:bCs w:val="1"/>
                <w:color w:val="auto"/>
              </w:rPr>
              <w:t>Income (loss) before taxes and equity in net loss of subsidiaries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106</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158</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(40)</w:t>
            </w:r>
          </w:p>
        </w:tc>
      </w:tr>
      <w:tr>
        <w:trPr>
          <w:trHeight w:val="186"/>
        </w:trPr>
        <w:tc>
          <w:tcPr>
            <w:tcW w:w="5840" w:type="dxa"/>
            <w:vAlign w:val="bottom"/>
            <w:shd w:val="clear" w:color="auto" w:fill="CCEEFF"/>
          </w:tcPr>
          <w:p>
            <w:pPr>
              <w:spacing w:after="0"/>
              <w:rPr>
                <w:sz w:val="20"/>
                <w:szCs w:val="20"/>
                <w:color w:val="auto"/>
              </w:rPr>
            </w:pPr>
            <w:r>
              <w:rPr>
                <w:rFonts w:ascii="Arial" w:cs="Arial" w:eastAsia="Arial" w:hAnsi="Arial"/>
                <w:sz w:val="15"/>
                <w:szCs w:val="15"/>
                <w:color w:val="auto"/>
              </w:rPr>
              <w:t>Tax expense (benefit)</w:t>
            </w:r>
          </w:p>
        </w:tc>
        <w:tc>
          <w:tcPr>
            <w:tcW w:w="16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r>
      <w:tr>
        <w:trPr>
          <w:trHeight w:val="189"/>
        </w:trPr>
        <w:tc>
          <w:tcPr>
            <w:tcW w:w="5840" w:type="dxa"/>
            <w:vAlign w:val="bottom"/>
          </w:tcPr>
          <w:p>
            <w:pPr>
              <w:spacing w:after="0"/>
              <w:rPr>
                <w:sz w:val="20"/>
                <w:szCs w:val="20"/>
                <w:color w:val="auto"/>
              </w:rPr>
            </w:pPr>
            <w:r>
              <w:rPr>
                <w:rFonts w:ascii="Arial" w:cs="Arial" w:eastAsia="Arial" w:hAnsi="Arial"/>
                <w:sz w:val="15"/>
                <w:szCs w:val="15"/>
                <w:color w:val="auto"/>
              </w:rPr>
              <w:t>Equity in net loss of subsidiaries</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(33,915)</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(78,234)</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(31,631)</w:t>
            </w:r>
          </w:p>
        </w:tc>
      </w:tr>
      <w:tr>
        <w:trPr>
          <w:trHeight w:val="189"/>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Net Loss</w:t>
            </w:r>
          </w:p>
        </w:tc>
        <w:tc>
          <w:tcPr>
            <w:tcW w:w="1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(33,809)</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(78,076)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(31,671)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5840" w:type="dxa"/>
            <w:vAlign w:val="bottom"/>
          </w:tcPr>
          <w:p>
            <w:pPr>
              <w:spacing w:after="0"/>
              <w:rPr>
                <w:sz w:val="20"/>
                <w:szCs w:val="20"/>
                <w:color w:val="auto"/>
              </w:rPr>
            </w:pPr>
            <w:r>
              <w:rPr>
                <w:rFonts w:ascii="Arial" w:cs="Arial" w:eastAsia="Arial" w:hAnsi="Arial"/>
                <w:sz w:val="15"/>
                <w:szCs w:val="15"/>
                <w:color w:val="auto"/>
              </w:rPr>
              <w:t>Other comprehensive (loss) income</w:t>
            </w: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(30)</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(2,677)</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1,303</w:t>
            </w:r>
          </w:p>
        </w:tc>
      </w:tr>
      <w:tr>
        <w:trPr>
          <w:trHeight w:val="206"/>
        </w:trPr>
        <w:tc>
          <w:tcPr>
            <w:tcW w:w="58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Comprehensive loss</w:t>
            </w:r>
          </w:p>
        </w:tc>
        <w:tc>
          <w:tcPr>
            <w:tcW w:w="184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(33,839)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(80,753)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(30,368)</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 to condensed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0" w:name="page101"/>
    <w:bookmarkEnd w:id="100"/>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I – Condensed Financial Information of Registrant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New Fortress Energy LLC</w:t>
      </w:r>
    </w:p>
    <w:p>
      <w:pPr>
        <w:jc w:val="center"/>
        <w:spacing w:after="0"/>
        <w:rPr>
          <w:sz w:val="20"/>
          <w:szCs w:val="20"/>
          <w:color w:val="auto"/>
        </w:rPr>
      </w:pPr>
      <w:r>
        <w:rPr>
          <w:rFonts w:ascii="Arial" w:cs="Arial" w:eastAsia="Arial" w:hAnsi="Arial"/>
          <w:sz w:val="19"/>
          <w:szCs w:val="19"/>
          <w:b w:val="1"/>
          <w:bCs w:val="1"/>
          <w:color w:val="auto"/>
        </w:rPr>
        <w:t>(Parent Company Only)</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the years ended December 31, 2019, 2018 and 2017</w:t>
      </w:r>
    </w:p>
    <w:p>
      <w:pPr>
        <w:spacing w:after="0"/>
        <w:rPr>
          <w:sz w:val="20"/>
          <w:szCs w:val="20"/>
          <w:color w:val="auto"/>
        </w:rPr>
      </w:pPr>
      <w:r>
        <w:rPr>
          <w:rFonts w:ascii="Arial" w:cs="Arial" w:eastAsia="Arial" w:hAnsi="Arial"/>
          <w:sz w:val="19"/>
          <w:szCs w:val="19"/>
          <w:b w:val="1"/>
          <w:bCs w:val="1"/>
          <w:color w:val="auto"/>
        </w:rPr>
        <w:t>(in thousands of U.S. Dollars)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r>
      <w:tr>
        <w:trPr>
          <w:trHeight w:val="186"/>
        </w:trPr>
        <w:tc>
          <w:tcPr>
            <w:tcW w:w="6020" w:type="dxa"/>
            <w:vAlign w:val="bottom"/>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02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660" w:type="dxa"/>
            <w:vAlign w:val="bottom"/>
            <w:gridSpan w:val="2"/>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(33,809)</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(78,076)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(31,671)</w:t>
            </w:r>
          </w:p>
        </w:tc>
      </w:tr>
      <w:tr>
        <w:trPr>
          <w:trHeight w:val="186"/>
        </w:trPr>
        <w:tc>
          <w:tcPr>
            <w:tcW w:w="6020" w:type="dxa"/>
            <w:vAlign w:val="bottom"/>
          </w:tcPr>
          <w:p>
            <w:pPr>
              <w:spacing w:after="0"/>
              <w:rPr>
                <w:sz w:val="20"/>
                <w:szCs w:val="20"/>
                <w:color w:val="auto"/>
              </w:rPr>
            </w:pPr>
            <w:r>
              <w:rPr>
                <w:rFonts w:ascii="Arial" w:cs="Arial" w:eastAsia="Arial" w:hAnsi="Arial"/>
                <w:sz w:val="15"/>
                <w:szCs w:val="15"/>
                <w:color w:val="auto"/>
              </w:rPr>
              <w:t>Adjustments for:</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Equity in net losses of subsidiaries</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33,915</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78,234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31,631</w:t>
            </w:r>
          </w:p>
        </w:tc>
      </w:tr>
      <w:tr>
        <w:trPr>
          <w:trHeight w:val="23"/>
        </w:trPr>
        <w:tc>
          <w:tcPr>
            <w:tcW w:w="6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6020" w:type="dxa"/>
            <w:vAlign w:val="bottom"/>
          </w:tcPr>
          <w:p>
            <w:pPr>
              <w:ind w:left="140"/>
              <w:spacing w:after="0"/>
              <w:rPr>
                <w:sz w:val="20"/>
                <w:szCs w:val="20"/>
                <w:color w:val="auto"/>
              </w:rPr>
            </w:pPr>
            <w:r>
              <w:rPr>
                <w:rFonts w:ascii="Arial" w:cs="Arial" w:eastAsia="Arial" w:hAnsi="Arial"/>
                <w:sz w:val="15"/>
                <w:szCs w:val="15"/>
                <w:b w:val="1"/>
                <w:bCs w:val="1"/>
                <w:color w:val="auto"/>
              </w:rPr>
              <w:t>Net cash provided by/(used in) operating activities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106</w:t>
            </w: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158</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(40)</w:t>
            </w:r>
          </w:p>
        </w:tc>
      </w:tr>
      <w:tr>
        <w:trPr>
          <w:trHeight w:val="186"/>
        </w:trPr>
        <w:tc>
          <w:tcPr>
            <w:tcW w:w="60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02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 in subsidiaries</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(275,054)</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(146,941)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(123,371)</w:t>
            </w:r>
          </w:p>
        </w:tc>
      </w:tr>
      <w:tr>
        <w:trPr>
          <w:trHeight w:val="23"/>
        </w:trPr>
        <w:tc>
          <w:tcPr>
            <w:tcW w:w="6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9"/>
        </w:trPr>
        <w:tc>
          <w:tcPr>
            <w:tcW w:w="6020" w:type="dxa"/>
            <w:vAlign w:val="bottom"/>
          </w:tcPr>
          <w:p>
            <w:pPr>
              <w:ind w:left="140"/>
              <w:spacing w:after="0"/>
              <w:rPr>
                <w:sz w:val="20"/>
                <w:szCs w:val="20"/>
                <w:color w:val="auto"/>
              </w:rPr>
            </w:pPr>
            <w:r>
              <w:rPr>
                <w:rFonts w:ascii="Arial" w:cs="Arial" w:eastAsia="Arial" w:hAnsi="Arial"/>
                <w:sz w:val="15"/>
                <w:szCs w:val="15"/>
                <w:b w:val="1"/>
                <w:bCs w:val="1"/>
                <w:color w:val="auto"/>
              </w:rPr>
              <w:t>Net cash used in investing activities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(275,054)</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(146,941)</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(123,371)</w:t>
            </w:r>
          </w:p>
        </w:tc>
      </w:tr>
      <w:tr>
        <w:trPr>
          <w:trHeight w:val="186"/>
        </w:trPr>
        <w:tc>
          <w:tcPr>
            <w:tcW w:w="60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6"/>
        </w:trPr>
        <w:tc>
          <w:tcPr>
            <w:tcW w:w="602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IPO</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274,948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6"/>
        </w:trPr>
        <w:tc>
          <w:tcPr>
            <w:tcW w:w="6020" w:type="dxa"/>
            <w:vAlign w:val="bottom"/>
          </w:tcPr>
          <w:p>
            <w:pPr>
              <w:ind w:left="140"/>
              <w:spacing w:after="0"/>
              <w:rPr>
                <w:sz w:val="20"/>
                <w:szCs w:val="20"/>
                <w:color w:val="auto"/>
              </w:rPr>
            </w:pPr>
            <w:r>
              <w:rPr>
                <w:rFonts w:ascii="Arial" w:cs="Arial" w:eastAsia="Arial" w:hAnsi="Arial"/>
                <w:sz w:val="15"/>
                <w:szCs w:val="15"/>
                <w:color w:val="auto"/>
              </w:rPr>
              <w:t>Repayment of affiliate note</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(120)</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contributed from Members</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20,150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20,100</w:t>
            </w:r>
          </w:p>
        </w:tc>
      </w:tr>
      <w:tr>
        <w:trPr>
          <w:trHeight w:val="189"/>
        </w:trPr>
        <w:tc>
          <w:tcPr>
            <w:tcW w:w="6020" w:type="dxa"/>
            <w:vAlign w:val="bottom"/>
          </w:tcPr>
          <w:p>
            <w:pPr>
              <w:ind w:left="140"/>
              <w:spacing w:after="0"/>
              <w:rPr>
                <w:sz w:val="20"/>
                <w:szCs w:val="20"/>
                <w:color w:val="auto"/>
              </w:rPr>
            </w:pPr>
            <w:r>
              <w:rPr>
                <w:rFonts w:ascii="Arial" w:cs="Arial" w:eastAsia="Arial" w:hAnsi="Arial"/>
                <w:sz w:val="15"/>
                <w:szCs w:val="15"/>
                <w:color w:val="auto"/>
              </w:rPr>
              <w:t>Collection of subscription receivable</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50,000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9"/>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Net cash provided by financing activities</w:t>
            </w:r>
          </w:p>
        </w:tc>
        <w:tc>
          <w:tcPr>
            <w:tcW w:w="14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274,948</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70,150</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19,980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6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(decrease) in cash and cash equivalents and restricted cash</w:t>
            </w: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(76,633)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(103,431)</w:t>
            </w:r>
          </w:p>
        </w:tc>
      </w:tr>
      <w:tr>
        <w:trPr>
          <w:trHeight w:val="189"/>
        </w:trPr>
        <w:tc>
          <w:tcPr>
            <w:tcW w:w="6020" w:type="dxa"/>
            <w:vAlign w:val="bottom"/>
          </w:tcPr>
          <w:p>
            <w:pPr>
              <w:ind w:left="140"/>
              <w:spacing w:after="0"/>
              <w:rPr>
                <w:sz w:val="20"/>
                <w:szCs w:val="20"/>
                <w:color w:val="auto"/>
              </w:rPr>
            </w:pPr>
            <w:r>
              <w:rPr>
                <w:rFonts w:ascii="Arial" w:cs="Arial" w:eastAsia="Arial" w:hAnsi="Arial"/>
                <w:sz w:val="15"/>
                <w:szCs w:val="15"/>
                <w:b w:val="1"/>
                <w:bCs w:val="1"/>
                <w:color w:val="auto"/>
              </w:rPr>
              <w:t>Cash and cash equivalents and restricted cash - beginning of period</w:t>
            </w: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76,675</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180,106</w:t>
            </w:r>
          </w:p>
        </w:tc>
      </w:tr>
      <w:tr>
        <w:trPr>
          <w:trHeight w:val="226"/>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Cash and cash equivalents and restricted cash - end of period</w:t>
            </w:r>
          </w:p>
        </w:tc>
        <w:tc>
          <w:tcPr>
            <w:tcW w:w="1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76,675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See accompanying notes to condensed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6567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1" w:name="page102"/>
    <w:bookmarkEnd w:id="101"/>
    <w:p>
      <w:pPr>
        <w:ind w:left="7"/>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ind w:right="-26"/>
        <w:spacing w:after="0"/>
        <w:rPr>
          <w:sz w:val="20"/>
          <w:szCs w:val="20"/>
          <w:color w:val="auto"/>
        </w:rPr>
      </w:pPr>
      <w:r>
        <w:rPr>
          <w:rFonts w:ascii="Arial" w:cs="Arial" w:eastAsia="Arial" w:hAnsi="Arial"/>
          <w:sz w:val="19"/>
          <w:szCs w:val="19"/>
          <w:b w:val="1"/>
          <w:bCs w:val="1"/>
          <w:color w:val="auto"/>
        </w:rPr>
        <w:t>Schedule I – Condensed Financial Information of Registrant</w:t>
      </w:r>
    </w:p>
    <w:p>
      <w:pPr>
        <w:spacing w:after="0" w:line="1" w:lineRule="exact"/>
        <w:rPr>
          <w:sz w:val="20"/>
          <w:szCs w:val="20"/>
          <w:color w:val="auto"/>
        </w:rPr>
      </w:pPr>
    </w:p>
    <w:p>
      <w:pPr>
        <w:jc w:val="center"/>
        <w:ind w:right="-26"/>
        <w:spacing w:after="0"/>
        <w:rPr>
          <w:sz w:val="20"/>
          <w:szCs w:val="20"/>
          <w:color w:val="auto"/>
        </w:rPr>
      </w:pPr>
      <w:r>
        <w:rPr>
          <w:rFonts w:ascii="Arial" w:cs="Arial" w:eastAsia="Arial" w:hAnsi="Arial"/>
          <w:sz w:val="19"/>
          <w:szCs w:val="19"/>
          <w:b w:val="1"/>
          <w:bCs w:val="1"/>
          <w:color w:val="auto"/>
        </w:rPr>
        <w:t>New Fortress Energy LLC</w:t>
      </w:r>
    </w:p>
    <w:p>
      <w:pPr>
        <w:jc w:val="center"/>
        <w:ind w:right="-26"/>
        <w:spacing w:after="0"/>
        <w:rPr>
          <w:sz w:val="20"/>
          <w:szCs w:val="20"/>
          <w:color w:val="auto"/>
        </w:rPr>
      </w:pPr>
      <w:r>
        <w:rPr>
          <w:rFonts w:ascii="Arial" w:cs="Arial" w:eastAsia="Arial" w:hAnsi="Arial"/>
          <w:sz w:val="19"/>
          <w:szCs w:val="19"/>
          <w:b w:val="1"/>
          <w:bCs w:val="1"/>
          <w:color w:val="auto"/>
        </w:rPr>
        <w:t>(Parent Company Only)</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auto"/>
        </w:rPr>
        <w:t>Notes to Condensed Financial Statements</w:t>
      </w:r>
    </w:p>
    <w:p>
      <w:pPr>
        <w:spacing w:after="0" w:line="206" w:lineRule="exact"/>
        <w:rPr>
          <w:sz w:val="20"/>
          <w:szCs w:val="20"/>
          <w:color w:val="auto"/>
        </w:rPr>
      </w:pPr>
    </w:p>
    <w:p>
      <w:pPr>
        <w:ind w:left="287" w:hanging="287"/>
        <w:spacing w:after="0"/>
        <w:tabs>
          <w:tab w:leader="none" w:pos="287"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presentation</w:t>
      </w:r>
    </w:p>
    <w:p>
      <w:pPr>
        <w:spacing w:after="0" w:line="220" w:lineRule="exact"/>
        <w:rPr>
          <w:sz w:val="20"/>
          <w:szCs w:val="20"/>
          <w:color w:val="auto"/>
        </w:rPr>
      </w:pPr>
    </w:p>
    <w:p>
      <w:pPr>
        <w:ind w:left="7" w:right="20" w:firstLine="279"/>
        <w:spacing w:after="0" w:line="247" w:lineRule="auto"/>
        <w:rPr>
          <w:sz w:val="20"/>
          <w:szCs w:val="20"/>
          <w:color w:val="auto"/>
        </w:rPr>
      </w:pPr>
      <w:r>
        <w:rPr>
          <w:rFonts w:ascii="Arial" w:cs="Arial" w:eastAsia="Arial" w:hAnsi="Arial"/>
          <w:sz w:val="18"/>
          <w:szCs w:val="18"/>
          <w:color w:val="auto"/>
        </w:rPr>
        <w:t>New Fortress Energy LLC (“NFE”) was formed as a Delaware limited liability company by New Fortress Energy Holdings on August 6, 2018. On February 4, 2019, NFE completed an initial public offering (“IPO”) in which NFE issued and sold 20,000,000 Class A shares at an IPO price of $14.00 per share. In addition, on March 1, 2019, the underwriters exercised their option to purchase an additional 837,272 Class A shares. NFE raised net proceeds of $274.9 million, after deducting underwriting discounts and commissions. These proceeds were contributed in exchange for limited liability company units (“NFI LLC Units”) in New Fortress Intermediate LLC (“NFI”), an entity formed in conjunction with the IPO, at a price per unit equal to the IPO price. In addition, New Fortress Energy Holdings contributed all of its interests in consolidated subsidiaries that comprised substantially all of its historic operations, as well its limited assets and liabilities, to NFI in exchange for NFI LLC Units. New Fortress Energy Holdings has been determined to be NFE’s predecessor for accounting purposes.</w:t>
      </w:r>
    </w:p>
    <w:p>
      <w:pPr>
        <w:spacing w:after="0" w:line="178" w:lineRule="exact"/>
        <w:rPr>
          <w:sz w:val="20"/>
          <w:szCs w:val="20"/>
          <w:color w:val="auto"/>
        </w:rPr>
      </w:pPr>
    </w:p>
    <w:p>
      <w:pPr>
        <w:ind w:left="7" w:firstLine="279"/>
        <w:spacing w:after="0" w:line="269" w:lineRule="auto"/>
        <w:rPr>
          <w:sz w:val="20"/>
          <w:szCs w:val="20"/>
          <w:color w:val="auto"/>
        </w:rPr>
      </w:pPr>
      <w:r>
        <w:rPr>
          <w:rFonts w:ascii="Arial" w:cs="Arial" w:eastAsia="Arial" w:hAnsi="Arial"/>
          <w:sz w:val="17"/>
          <w:szCs w:val="17"/>
          <w:color w:val="auto"/>
        </w:rPr>
        <w:t>NFE’s consolidated subsidiaries have outstanding borrowings under a term loan agreement and under secured and unsecured bonds, and there are restrictions in the credit agreements governing these borrowings, described in Note 17 of the Notes to the consolidated financial statements, on NFE’s ability to obtain funds from any of its subsidiaries through dividends, loans, or advances. As of December 31, 2019, substantially all of the net assets of NFE’s consolidated subsidiaries were restricted. Accordingly, this condensed financial information is presented on a “Parent-only” basis. Under a Parent-only presentation, NFE’s investments in its consolidated subsidiaries are presented under the equity method of accounting.</w:t>
      </w:r>
    </w:p>
    <w:p>
      <w:pPr>
        <w:spacing w:after="0" w:line="159" w:lineRule="exact"/>
        <w:rPr>
          <w:sz w:val="20"/>
          <w:szCs w:val="20"/>
          <w:color w:val="auto"/>
        </w:rPr>
      </w:pPr>
    </w:p>
    <w:p>
      <w:pPr>
        <w:ind w:left="7" w:right="40" w:firstLine="279"/>
        <w:spacing w:after="0" w:line="260" w:lineRule="auto"/>
        <w:rPr>
          <w:sz w:val="20"/>
          <w:szCs w:val="20"/>
          <w:color w:val="auto"/>
        </w:rPr>
      </w:pPr>
      <w:r>
        <w:rPr>
          <w:rFonts w:ascii="Arial" w:cs="Arial" w:eastAsia="Arial" w:hAnsi="Arial"/>
          <w:sz w:val="18"/>
          <w:szCs w:val="18"/>
          <w:color w:val="auto"/>
        </w:rPr>
        <w:t>The condensed financial statements of NFE reflect the results of operations of NFE commencing on the date of IPO. For the periods prior to the IPO, the condensed financial statements of New Fortress Energy Holdings are presented. NFE is a holding company that does not conduct any business operations of its own, and therefore its assets primarily consist of investment in subsidiaries.</w:t>
      </w:r>
    </w:p>
    <w:p>
      <w:pPr>
        <w:spacing w:after="0" w:line="164" w:lineRule="exact"/>
        <w:rPr>
          <w:sz w:val="20"/>
          <w:szCs w:val="20"/>
          <w:color w:val="auto"/>
        </w:rPr>
      </w:pPr>
    </w:p>
    <w:p>
      <w:pPr>
        <w:ind w:left="7" w:right="140" w:firstLine="279"/>
        <w:spacing w:after="0" w:line="250" w:lineRule="auto"/>
        <w:rPr>
          <w:sz w:val="20"/>
          <w:szCs w:val="20"/>
          <w:color w:val="auto"/>
        </w:rPr>
      </w:pPr>
      <w:r>
        <w:rPr>
          <w:rFonts w:ascii="Arial" w:cs="Arial" w:eastAsia="Arial" w:hAnsi="Arial"/>
          <w:sz w:val="19"/>
          <w:szCs w:val="19"/>
          <w:color w:val="auto"/>
        </w:rPr>
        <w:t>The condensed financial information of NFE should be read in conjunction with the consolidated financial statement of NFE and the accompanying notes thereto.</w:t>
      </w:r>
    </w:p>
    <w:p>
      <w:pPr>
        <w:spacing w:after="0" w:line="175" w:lineRule="exact"/>
        <w:rPr>
          <w:sz w:val="20"/>
          <w:szCs w:val="20"/>
          <w:color w:val="auto"/>
        </w:rPr>
      </w:pPr>
    </w:p>
    <w:p>
      <w:pPr>
        <w:ind w:left="287" w:hanging="287"/>
        <w:spacing w:after="0"/>
        <w:tabs>
          <w:tab w:leader="none" w:pos="287"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Debt</w:t>
      </w:r>
    </w:p>
    <w:p>
      <w:pPr>
        <w:spacing w:after="0" w:line="220" w:lineRule="exact"/>
        <w:rPr>
          <w:sz w:val="20"/>
          <w:szCs w:val="20"/>
          <w:color w:val="auto"/>
        </w:rPr>
      </w:pPr>
    </w:p>
    <w:p>
      <w:pPr>
        <w:jc w:val="both"/>
        <w:ind w:left="7" w:right="40" w:firstLine="279"/>
        <w:spacing w:after="0" w:line="254" w:lineRule="auto"/>
        <w:rPr>
          <w:sz w:val="20"/>
          <w:szCs w:val="20"/>
          <w:color w:val="auto"/>
        </w:rPr>
      </w:pPr>
      <w:r>
        <w:rPr>
          <w:rFonts w:ascii="Arial" w:cs="Arial" w:eastAsia="Arial" w:hAnsi="Arial"/>
          <w:sz w:val="18"/>
          <w:szCs w:val="18"/>
          <w:color w:val="auto"/>
        </w:rPr>
        <w:t>As of December 31, 2019 and 2018, NFE had no debt on its balance sheet. However, certain of its subsidiaries are subject to debt agreements. These agreements require the subsidiaries to comply with certain financial covenants and other restricted covenants customary for facilities of this type, including restrictions on indebtedness, lines, acquisitions, investments, restricted payments, and dispositions. For a discussion of the nature and terms of those agreements, refer to Note 17 to NFE’s consolidated financial statements.</w:t>
      </w:r>
    </w:p>
    <w:p>
      <w:pPr>
        <w:spacing w:after="0" w:line="335"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6567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7"/>
          </w:cols>
          <w:pgMar w:left="233" w:top="124" w:right="259" w:bottom="1440" w:gutter="0" w:footer="0" w:header="0"/>
        </w:sectPr>
      </w:pPr>
    </w:p>
    <w:bookmarkStart w:id="102" w:name="page103"/>
    <w:bookmarkEnd w:id="102"/>
    <w:p>
      <w:pPr>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II</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jc w:val="right"/>
              <w:ind w:right="283"/>
              <w:spacing w:after="0"/>
              <w:rPr>
                <w:sz w:val="20"/>
                <w:szCs w:val="20"/>
                <w:color w:val="auto"/>
              </w:rPr>
            </w:pPr>
            <w:r>
              <w:rPr>
                <w:rFonts w:ascii="Arial" w:cs="Arial" w:eastAsia="Arial" w:hAnsi="Arial"/>
                <w:sz w:val="15"/>
                <w:szCs w:val="15"/>
                <w:b w:val="1"/>
                <w:bCs w:val="1"/>
                <w:color w:val="auto"/>
              </w:rPr>
              <w:t>Balance at</w:t>
            </w:r>
          </w:p>
        </w:tc>
        <w:tc>
          <w:tcPr>
            <w:tcW w:w="220" w:type="dxa"/>
            <w:vAlign w:val="bottom"/>
          </w:tcPr>
          <w:p>
            <w:pPr>
              <w:spacing w:after="0"/>
              <w:rPr>
                <w:sz w:val="16"/>
                <w:szCs w:val="16"/>
                <w:color w:val="auto"/>
              </w:rPr>
            </w:pPr>
          </w:p>
        </w:tc>
        <w:tc>
          <w:tcPr>
            <w:tcW w:w="1360" w:type="dxa"/>
            <w:vAlign w:val="bottom"/>
            <w:vMerge w:val="restart"/>
          </w:tcPr>
          <w:p>
            <w:pPr>
              <w:jc w:val="right"/>
              <w:ind w:right="443"/>
              <w:spacing w:after="0"/>
              <w:rPr>
                <w:sz w:val="20"/>
                <w:szCs w:val="20"/>
                <w:color w:val="auto"/>
              </w:rPr>
            </w:pPr>
            <w:r>
              <w:rPr>
                <w:rFonts w:ascii="Arial" w:cs="Arial" w:eastAsia="Arial" w:hAnsi="Arial"/>
                <w:sz w:val="15"/>
                <w:szCs w:val="15"/>
                <w:b w:val="1"/>
                <w:bCs w:val="1"/>
                <w:color w:val="auto"/>
                <w:w w:val="91"/>
              </w:rPr>
              <w:t>Additions</w:t>
            </w:r>
            <w:r>
              <w:rPr>
                <w:rFonts w:ascii="Arial" w:cs="Arial" w:eastAsia="Arial" w:hAnsi="Arial"/>
                <w:sz w:val="25"/>
                <w:szCs w:val="25"/>
                <w:b w:val="1"/>
                <w:bCs w:val="1"/>
                <w:color w:val="auto"/>
                <w:w w:val="91"/>
                <w:vertAlign w:val="superscript"/>
              </w:rPr>
              <w:t>(1)</w:t>
            </w:r>
          </w:p>
        </w:tc>
        <w:tc>
          <w:tcPr>
            <w:tcW w:w="11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5"/>
                <w:szCs w:val="15"/>
                <w:b w:val="1"/>
                <w:bCs w:val="1"/>
                <w:color w:val="auto"/>
              </w:rPr>
              <w:t>Balance at End of</w:t>
            </w:r>
          </w:p>
        </w:tc>
        <w:tc>
          <w:tcPr>
            <w:tcW w:w="0" w:type="dxa"/>
            <w:vAlign w:val="bottom"/>
          </w:tcPr>
          <w:p>
            <w:pPr>
              <w:spacing w:after="0"/>
              <w:rPr>
                <w:sz w:val="1"/>
                <w:szCs w:val="1"/>
                <w:color w:val="auto"/>
              </w:rPr>
            </w:pPr>
          </w:p>
        </w:tc>
      </w:tr>
      <w:tr>
        <w:trPr>
          <w:trHeight w:val="332"/>
        </w:trPr>
        <w:tc>
          <w:tcPr>
            <w:tcW w:w="554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840" w:type="dxa"/>
            <w:vAlign w:val="bottom"/>
            <w:gridSpan w:val="2"/>
          </w:tcPr>
          <w:p>
            <w:pPr>
              <w:ind w:left="540"/>
              <w:spacing w:after="0"/>
              <w:rPr>
                <w:sz w:val="20"/>
                <w:szCs w:val="20"/>
                <w:color w:val="auto"/>
              </w:rPr>
            </w:pPr>
            <w:r>
              <w:rPr>
                <w:rFonts w:ascii="Arial" w:cs="Arial" w:eastAsia="Arial" w:hAnsi="Arial"/>
                <w:sz w:val="15"/>
                <w:szCs w:val="15"/>
                <w:b w:val="1"/>
                <w:bCs w:val="1"/>
                <w:color w:val="auto"/>
                <w:w w:val="99"/>
              </w:rPr>
              <w:t>Beginning of Year</w:t>
            </w:r>
          </w:p>
        </w:tc>
        <w:tc>
          <w:tcPr>
            <w:tcW w:w="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120" w:type="dxa"/>
            <w:vAlign w:val="bottom"/>
          </w:tcPr>
          <w:p>
            <w:pPr>
              <w:jc w:val="right"/>
              <w:ind w:right="243"/>
              <w:spacing w:after="0"/>
              <w:rPr>
                <w:sz w:val="20"/>
                <w:szCs w:val="20"/>
                <w:color w:val="auto"/>
              </w:rPr>
            </w:pPr>
            <w:r>
              <w:rPr>
                <w:rFonts w:ascii="Arial" w:cs="Arial" w:eastAsia="Arial" w:hAnsi="Arial"/>
                <w:sz w:val="15"/>
                <w:szCs w:val="15"/>
                <w:b w:val="1"/>
                <w:bCs w:val="1"/>
                <w:color w:val="auto"/>
                <w:w w:val="95"/>
              </w:rPr>
              <w:t>Deductions</w:t>
            </w:r>
          </w:p>
        </w:tc>
        <w:tc>
          <w:tcPr>
            <w:tcW w:w="340" w:type="dxa"/>
            <w:vAlign w:val="bottom"/>
          </w:tcPr>
          <w:p>
            <w:pPr>
              <w:spacing w:after="0"/>
              <w:rPr>
                <w:sz w:val="24"/>
                <w:szCs w:val="24"/>
                <w:color w:val="auto"/>
              </w:rPr>
            </w:pPr>
          </w:p>
        </w:tc>
        <w:tc>
          <w:tcPr>
            <w:tcW w:w="1020" w:type="dxa"/>
            <w:vAlign w:val="bottom"/>
          </w:tcPr>
          <w:p>
            <w:pPr>
              <w:jc w:val="right"/>
              <w:ind w:right="463"/>
              <w:spacing w:after="0"/>
              <w:rPr>
                <w:sz w:val="20"/>
                <w:szCs w:val="20"/>
                <w:color w:val="auto"/>
              </w:rPr>
            </w:pPr>
            <w:r>
              <w:rPr>
                <w:rFonts w:ascii="Arial" w:cs="Arial" w:eastAsia="Arial" w:hAnsi="Arial"/>
                <w:sz w:val="15"/>
                <w:szCs w:val="15"/>
                <w:b w:val="1"/>
                <w:bCs w:val="1"/>
                <w:color w:val="auto"/>
              </w:rPr>
              <w:t>Year</w:t>
            </w:r>
          </w:p>
        </w:tc>
        <w:tc>
          <w:tcPr>
            <w:tcW w:w="0" w:type="dxa"/>
            <w:vAlign w:val="bottom"/>
          </w:tcPr>
          <w:p>
            <w:pPr>
              <w:spacing w:after="0"/>
              <w:rPr>
                <w:sz w:val="1"/>
                <w:szCs w:val="1"/>
                <w:color w:val="auto"/>
              </w:rPr>
            </w:pPr>
          </w:p>
        </w:tc>
      </w:tr>
      <w:tr>
        <w:trPr>
          <w:trHeight w:val="242"/>
        </w:trPr>
        <w:tc>
          <w:tcPr>
            <w:tcW w:w="5540" w:type="dxa"/>
            <w:vAlign w:val="bottom"/>
          </w:tcPr>
          <w:p>
            <w:pPr>
              <w:spacing w:after="0"/>
              <w:rPr>
                <w:sz w:val="20"/>
                <w:szCs w:val="20"/>
                <w:color w:val="auto"/>
              </w:rPr>
            </w:pPr>
            <w:r>
              <w:rPr>
                <w:rFonts w:ascii="Arial" w:cs="Arial" w:eastAsia="Arial" w:hAnsi="Arial"/>
                <w:sz w:val="15"/>
                <w:szCs w:val="15"/>
                <w:b w:val="1"/>
                <w:bCs w:val="1"/>
                <w:color w:val="auto"/>
              </w:rPr>
              <w:t>Year ended December 31, 2019</w:t>
            </w: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257</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(257)</w:t>
            </w:r>
          </w:p>
        </w:tc>
        <w:tc>
          <w:tcPr>
            <w:tcW w:w="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2018</w:t>
            </w:r>
          </w:p>
        </w:tc>
        <w:tc>
          <w:tcPr>
            <w:tcW w:w="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7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257</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2017</w:t>
            </w:r>
          </w:p>
        </w:tc>
        <w:tc>
          <w:tcPr>
            <w:tcW w:w="7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Allowance for doubtful accounts</w:t>
            </w:r>
          </w:p>
        </w:tc>
        <w:tc>
          <w:tcPr>
            <w:tcW w:w="7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28"/>
        </w:trPr>
        <w:tc>
          <w:tcPr>
            <w:tcW w:w="5540" w:type="dxa"/>
            <w:vAlign w:val="bottom"/>
          </w:tcPr>
          <w:p>
            <w:pPr>
              <w:spacing w:after="0"/>
              <w:rPr>
                <w:sz w:val="20"/>
                <w:szCs w:val="20"/>
                <w:color w:val="auto"/>
              </w:rPr>
            </w:pPr>
            <w:r>
              <w:rPr>
                <w:rFonts w:ascii="Arial" w:cs="Arial" w:eastAsia="Arial" w:hAnsi="Arial"/>
                <w:sz w:val="19"/>
                <w:szCs w:val="19"/>
                <w:b w:val="1"/>
                <w:bCs w:val="1"/>
                <w:color w:val="auto"/>
              </w:rPr>
              <w:t>Note</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540" w:type="dxa"/>
            <w:vAlign w:val="bottom"/>
          </w:tcPr>
          <w:p>
            <w:pPr>
              <w:ind w:left="280"/>
              <w:spacing w:after="0"/>
              <w:rPr>
                <w:sz w:val="20"/>
                <w:szCs w:val="20"/>
                <w:color w:val="auto"/>
              </w:rPr>
            </w:pPr>
            <w:r>
              <w:rPr>
                <w:rFonts w:ascii="Arial" w:cs="Arial" w:eastAsia="Arial" w:hAnsi="Arial"/>
                <w:sz w:val="15"/>
                <w:szCs w:val="15"/>
                <w:color w:val="auto"/>
              </w:rPr>
              <w:t>(1)  Amount expensed is included within Selling, general and administrative</w:t>
            </w: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26567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REGISTRANT’S SECURITIES REGISTERED PURSUANT TO SECTION 12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SHARES</w:t>
      </w:r>
    </w:p>
    <w:p>
      <w:pPr>
        <w:spacing w:after="0" w:line="204" w:lineRule="exact"/>
        <w:rPr>
          <w:sz w:val="20"/>
          <w:szCs w:val="20"/>
          <w:color w:val="auto"/>
        </w:rPr>
      </w:pPr>
    </w:p>
    <w:p>
      <w:pPr>
        <w:ind w:right="40" w:firstLine="310"/>
        <w:spacing w:after="0" w:line="273" w:lineRule="auto"/>
        <w:rPr>
          <w:sz w:val="20"/>
          <w:szCs w:val="20"/>
          <w:color w:val="auto"/>
        </w:rPr>
      </w:pPr>
      <w:r>
        <w:rPr>
          <w:rFonts w:ascii="Arial" w:cs="Arial" w:eastAsia="Arial" w:hAnsi="Arial"/>
          <w:sz w:val="17"/>
          <w:szCs w:val="17"/>
          <w:color w:val="auto"/>
        </w:rPr>
        <w:t>The following description of shares of New Fortress Energy LLC (the “Company,” “NFE,” “our” or “we”) is based upon the provisions of the Delaware Limited Liability Company Act (the “Delaware LLC Act”), our amended and restated certificate of formation, as amended, and the Company’s First Amended and Restated Limited Liability Company Agreement (our “operating agreement”) below. The summary is not complete and is subject to, and is qualified in its entirety by express reference to, the provisions of applicable law and to the operating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Authorized Shares</w:t>
      </w:r>
    </w:p>
    <w:p>
      <w:pPr>
        <w:spacing w:after="0" w:line="204" w:lineRule="exact"/>
        <w:rPr>
          <w:sz w:val="20"/>
          <w:szCs w:val="20"/>
          <w:color w:val="auto"/>
        </w:rPr>
      </w:pPr>
    </w:p>
    <w:p>
      <w:pPr>
        <w:ind w:right="280" w:firstLine="279"/>
        <w:spacing w:after="0" w:line="235" w:lineRule="auto"/>
        <w:rPr>
          <w:sz w:val="20"/>
          <w:szCs w:val="20"/>
          <w:color w:val="auto"/>
        </w:rPr>
      </w:pPr>
      <w:r>
        <w:rPr>
          <w:rFonts w:ascii="Arial" w:cs="Arial" w:eastAsia="Arial" w:hAnsi="Arial"/>
          <w:sz w:val="19"/>
          <w:szCs w:val="19"/>
          <w:color w:val="auto"/>
        </w:rPr>
        <w:t>Under our operating agreement, we are authorized to issue an unlimited number of shares representing limited liability company interests of the Company. As of the date hereof, two classes of shares have been designated: Class A Shares and Class B Shares.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A Shares</w:t>
      </w:r>
    </w:p>
    <w:p>
      <w:pPr>
        <w:spacing w:after="0" w:line="204" w:lineRule="exact"/>
        <w:rPr>
          <w:sz w:val="20"/>
          <w:szCs w:val="20"/>
          <w:color w:val="auto"/>
        </w:rPr>
      </w:pPr>
    </w:p>
    <w:p>
      <w:pPr>
        <w:ind w:right="40" w:firstLine="279"/>
        <w:spacing w:after="0" w:line="24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Class A shares are entitled to one vote per share held of record on all matters to be voted upon by the shareholders.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A shares do not have cumulative voting rights in the election of directors.</w:t>
      </w:r>
    </w:p>
    <w:p>
      <w:pPr>
        <w:spacing w:after="0" w:line="175" w:lineRule="exact"/>
        <w:rPr>
          <w:sz w:val="20"/>
          <w:szCs w:val="20"/>
          <w:color w:val="auto"/>
        </w:rPr>
      </w:pPr>
    </w:p>
    <w:p>
      <w:pPr>
        <w:jc w:val="both"/>
        <w:ind w:right="160" w:firstLine="279"/>
        <w:spacing w:after="0"/>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Holders of our Class A shares are entitled to ratably receive dividends when and if declared by our board of directors out of funds</w:t>
      </w:r>
      <w:r>
        <w:rPr>
          <w:rFonts w:ascii="Arial" w:cs="Arial" w:eastAsia="Arial" w:hAnsi="Arial"/>
          <w:sz w:val="19"/>
          <w:szCs w:val="19"/>
          <w:i w:val="1"/>
          <w:iCs w:val="1"/>
          <w:color w:val="auto"/>
        </w:rPr>
        <w:t xml:space="preserve"> </w:t>
      </w:r>
      <w:r>
        <w:rPr>
          <w:rFonts w:ascii="Arial" w:cs="Arial" w:eastAsia="Arial" w:hAnsi="Arial"/>
          <w:sz w:val="19"/>
          <w:szCs w:val="19"/>
          <w:color w:val="auto"/>
        </w:rPr>
        <w:t>legally available for that purpose, subject to any statutory or contractual restrictions on the payment of dividends and to any prior rights and preferences that may be applicable to any outstanding preferred shares.</w:t>
      </w:r>
    </w:p>
    <w:p>
      <w:pPr>
        <w:spacing w:after="0" w:line="181" w:lineRule="exact"/>
        <w:rPr>
          <w:sz w:val="20"/>
          <w:szCs w:val="20"/>
          <w:color w:val="auto"/>
        </w:rPr>
      </w:pPr>
    </w:p>
    <w:p>
      <w:pPr>
        <w:ind w:right="160" w:firstLine="279"/>
        <w:spacing w:after="0"/>
        <w:rPr>
          <w:sz w:val="20"/>
          <w:szCs w:val="20"/>
          <w:color w:val="auto"/>
        </w:rPr>
      </w:pPr>
      <w:r>
        <w:rPr>
          <w:rFonts w:ascii="Arial" w:cs="Arial" w:eastAsia="Arial" w:hAnsi="Arial"/>
          <w:sz w:val="19"/>
          <w:szCs w:val="19"/>
          <w:i w:val="1"/>
          <w:iCs w:val="1"/>
          <w:color w:val="auto"/>
        </w:rPr>
        <w:t>Liquidation Rights</w:t>
      </w:r>
      <w:r>
        <w:rPr>
          <w:rFonts w:ascii="Arial" w:cs="Arial" w:eastAsia="Arial" w:hAnsi="Arial"/>
          <w:sz w:val="19"/>
          <w:szCs w:val="19"/>
          <w:color w:val="auto"/>
        </w:rPr>
        <w:t>. Upon our liquidation, dissolution, distribution of assets or other winding up, the holders of Class A shares are entitled to receive</w:t>
      </w:r>
      <w:r>
        <w:rPr>
          <w:rFonts w:ascii="Arial" w:cs="Arial" w:eastAsia="Arial" w:hAnsi="Arial"/>
          <w:sz w:val="19"/>
          <w:szCs w:val="19"/>
          <w:i w:val="1"/>
          <w:iCs w:val="1"/>
          <w:color w:val="auto"/>
        </w:rPr>
        <w:t xml:space="preserve"> </w:t>
      </w:r>
      <w:r>
        <w:rPr>
          <w:rFonts w:ascii="Arial" w:cs="Arial" w:eastAsia="Arial" w:hAnsi="Arial"/>
          <w:sz w:val="19"/>
          <w:szCs w:val="19"/>
          <w:color w:val="auto"/>
        </w:rPr>
        <w:t>ratably the assets available for distribution to the shareholders after payment of liabilities and the liquidation preference of any of our outstanding preferred shares.</w:t>
      </w:r>
    </w:p>
    <w:p>
      <w:pPr>
        <w:spacing w:after="0" w:line="181" w:lineRule="exact"/>
        <w:rPr>
          <w:sz w:val="20"/>
          <w:szCs w:val="20"/>
          <w:color w:val="auto"/>
        </w:rPr>
      </w:pPr>
    </w:p>
    <w:p>
      <w:pPr>
        <w:ind w:right="420" w:firstLine="279"/>
        <w:spacing w:after="0" w:line="308" w:lineRule="auto"/>
        <w:rPr>
          <w:sz w:val="20"/>
          <w:szCs w:val="20"/>
          <w:color w:val="auto"/>
        </w:rPr>
      </w:pPr>
      <w:r>
        <w:rPr>
          <w:rFonts w:ascii="Arial" w:cs="Arial" w:eastAsia="Arial" w:hAnsi="Arial"/>
          <w:sz w:val="17"/>
          <w:szCs w:val="17"/>
          <w:i w:val="1"/>
          <w:iCs w:val="1"/>
          <w:color w:val="auto"/>
        </w:rPr>
        <w:t>Other Matters</w:t>
      </w:r>
      <w:r>
        <w:rPr>
          <w:rFonts w:ascii="Arial" w:cs="Arial" w:eastAsia="Arial" w:hAnsi="Arial"/>
          <w:sz w:val="17"/>
          <w:szCs w:val="17"/>
          <w:color w:val="auto"/>
        </w:rPr>
        <w:t>. The Class A shares have no preemptive or conversion rights and are not subject to further calls or assessment by us. There are no</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or sinking fund provisions applicable to the Class A shares. All outstanding Class A shares are fully paid and non-assessable.</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B Shares</w:t>
      </w:r>
    </w:p>
    <w:p>
      <w:pPr>
        <w:spacing w:after="0" w:line="204" w:lineRule="exact"/>
        <w:rPr>
          <w:sz w:val="20"/>
          <w:szCs w:val="20"/>
          <w:color w:val="auto"/>
        </w:rPr>
      </w:pPr>
    </w:p>
    <w:p>
      <w:pPr>
        <w:ind w:right="20" w:firstLine="279"/>
        <w:spacing w:after="0"/>
        <w:rPr>
          <w:sz w:val="20"/>
          <w:szCs w:val="20"/>
          <w:color w:val="auto"/>
        </w:rPr>
      </w:pPr>
      <w:r>
        <w:rPr>
          <w:rFonts w:ascii="Arial" w:cs="Arial" w:eastAsia="Arial" w:hAnsi="Arial"/>
          <w:sz w:val="19"/>
          <w:szCs w:val="19"/>
          <w:i w:val="1"/>
          <w:iCs w:val="1"/>
          <w:color w:val="auto"/>
        </w:rPr>
        <w:t>Generally</w:t>
      </w:r>
      <w:r>
        <w:rPr>
          <w:rFonts w:ascii="Arial" w:cs="Arial" w:eastAsia="Arial" w:hAnsi="Arial"/>
          <w:sz w:val="19"/>
          <w:szCs w:val="19"/>
          <w:color w:val="auto"/>
        </w:rPr>
        <w:t>. The New Fortress Intermediate LLC (“NFI”) unitholders hold one Class B share for each unit of NFI (the “NFI LLC Unit”) that they hold.</w:t>
      </w:r>
      <w:r>
        <w:rPr>
          <w:rFonts w:ascii="Arial" w:cs="Arial" w:eastAsia="Arial" w:hAnsi="Arial"/>
          <w:sz w:val="19"/>
          <w:szCs w:val="19"/>
          <w:i w:val="1"/>
          <w:iCs w:val="1"/>
          <w:color w:val="auto"/>
        </w:rPr>
        <w:t xml:space="preserve"> </w:t>
      </w:r>
      <w:r>
        <w:rPr>
          <w:rFonts w:ascii="Arial" w:cs="Arial" w:eastAsia="Arial" w:hAnsi="Arial"/>
          <w:sz w:val="19"/>
          <w:szCs w:val="19"/>
          <w:color w:val="auto"/>
        </w:rPr>
        <w:t>Accordingly, the NFI unitholders have a number of votes in NFE equal to the aggregate number of NFI LLC Units that they hold. Class B shares cannot be transferred without transferring an equal number of NFI LLC Units and vice versa.</w:t>
      </w:r>
    </w:p>
    <w:p>
      <w:pPr>
        <w:spacing w:after="0" w:line="181" w:lineRule="exact"/>
        <w:rPr>
          <w:sz w:val="20"/>
          <w:szCs w:val="20"/>
          <w:color w:val="auto"/>
        </w:rPr>
      </w:pPr>
    </w:p>
    <w:p>
      <w:pPr>
        <w:ind w:right="160" w:firstLine="279"/>
        <w:spacing w:after="0" w:line="24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Class B shares are entitled to one vote per share held of record on all matters to be voted upon by the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our Class A shares and Class B shares vote together as a single class on all matters presented to our shareholders for their vote or approval, except with respect to the amendment of certain provisions of our amended and restated certificate of incorporation that would alter or change the powers, preferences or special rights of the Class B shares so as to affect them adversely, which amendments must be by a majority of the votes entitled to be cast by the holders of the shares affected by the amendment, voting as a separate class, or as otherwise required by applicable law. The holders of Class B shares do not have cumulative voting rights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726567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256" w:right="219" w:bottom="1440" w:gutter="0" w:footer="0" w:header="0"/>
        </w:sectPr>
      </w:pPr>
    </w:p>
    <w:bookmarkStart w:id="104" w:name="page105"/>
    <w:bookmarkEnd w:id="104"/>
    <w:p>
      <w:pPr>
        <w:ind w:right="140" w:firstLine="279"/>
        <w:spacing w:after="0" w:line="251"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 consists of our Class</w:t>
      </w:r>
      <w:r>
        <w:rPr>
          <w:rFonts w:ascii="Arial" w:cs="Arial" w:eastAsia="Arial" w:hAnsi="Arial"/>
          <w:sz w:val="18"/>
          <w:szCs w:val="18"/>
          <w:i w:val="1"/>
          <w:iCs w:val="1"/>
          <w:color w:val="auto"/>
        </w:rPr>
        <w:t xml:space="preserve"> </w:t>
      </w:r>
      <w:r>
        <w:rPr>
          <w:rFonts w:ascii="Arial" w:cs="Arial" w:eastAsia="Arial" w:hAnsi="Arial"/>
          <w:sz w:val="18"/>
          <w:szCs w:val="18"/>
          <w:color w:val="auto"/>
        </w:rPr>
        <w:t>B 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171" w:lineRule="exact"/>
        <w:rPr>
          <w:sz w:val="20"/>
          <w:szCs w:val="20"/>
          <w:color w:val="auto"/>
        </w:rPr>
      </w:pPr>
    </w:p>
    <w:p>
      <w:pPr>
        <w:ind w:right="140" w:firstLine="279"/>
        <w:spacing w:after="0"/>
        <w:rPr>
          <w:sz w:val="20"/>
          <w:szCs w:val="20"/>
          <w:color w:val="auto"/>
        </w:rPr>
      </w:pPr>
      <w:r>
        <w:rPr>
          <w:rFonts w:ascii="Arial" w:cs="Arial" w:eastAsia="Arial" w:hAnsi="Arial"/>
          <w:sz w:val="19"/>
          <w:szCs w:val="19"/>
          <w:i w:val="1"/>
          <w:iCs w:val="1"/>
          <w:color w:val="auto"/>
        </w:rPr>
        <w:t xml:space="preserve">Redemption Right. </w:t>
      </w:r>
      <w:r>
        <w:rPr>
          <w:rFonts w:ascii="Arial" w:cs="Arial" w:eastAsia="Arial" w:hAnsi="Arial"/>
          <w:sz w:val="19"/>
          <w:szCs w:val="19"/>
          <w:color w:val="auto"/>
        </w:rPr>
        <w:t>Pursuant to the limited liability company agreement of NFI, each holder of NFI LLC Units has the right to redeem his or her NFI</w:t>
      </w:r>
      <w:r>
        <w:rPr>
          <w:rFonts w:ascii="Arial" w:cs="Arial" w:eastAsia="Arial" w:hAnsi="Arial"/>
          <w:sz w:val="19"/>
          <w:szCs w:val="19"/>
          <w:i w:val="1"/>
          <w:iCs w:val="1"/>
          <w:color w:val="auto"/>
        </w:rPr>
        <w:t xml:space="preserve"> </w:t>
      </w:r>
      <w:r>
        <w:rPr>
          <w:rFonts w:ascii="Arial" w:cs="Arial" w:eastAsia="Arial" w:hAnsi="Arial"/>
          <w:sz w:val="19"/>
          <w:szCs w:val="19"/>
          <w:color w:val="auto"/>
        </w:rPr>
        <w:t>LLC Units, together with an equal number of Class B Shares, for Class A Shares (or cash at the Company’s election, subject to customary conversion rate adjustments for stock splits, stock dividends and reclassifications).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Preferred Shares</w:t>
      </w:r>
    </w:p>
    <w:p>
      <w:pPr>
        <w:spacing w:after="0" w:line="204" w:lineRule="exact"/>
        <w:rPr>
          <w:sz w:val="20"/>
          <w:szCs w:val="20"/>
          <w:color w:val="auto"/>
        </w:rPr>
      </w:pPr>
    </w:p>
    <w:p>
      <w:pPr>
        <w:ind w:right="60" w:firstLine="279"/>
        <w:spacing w:after="0" w:line="235" w:lineRule="auto"/>
        <w:rPr>
          <w:sz w:val="20"/>
          <w:szCs w:val="20"/>
          <w:color w:val="auto"/>
        </w:rPr>
      </w:pPr>
      <w:r>
        <w:rPr>
          <w:rFonts w:ascii="Arial" w:cs="Arial" w:eastAsia="Arial" w:hAnsi="Arial"/>
          <w:sz w:val="19"/>
          <w:szCs w:val="19"/>
          <w:color w:val="auto"/>
        </w:rPr>
        <w:t>Pursuant to our operating agreement,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The rights with respect to a series of preferred shares may be more favorable to the holder(s) thereof than the rights attached to our Class A shares.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Registrar</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Duties</w:t>
      </w:r>
    </w:p>
    <w:p>
      <w:pPr>
        <w:spacing w:after="0" w:line="200" w:lineRule="exact"/>
        <w:rPr>
          <w:sz w:val="20"/>
          <w:szCs w:val="20"/>
          <w:color w:val="auto"/>
        </w:rPr>
      </w:pPr>
    </w:p>
    <w:p>
      <w:pPr>
        <w:ind w:firstLine="310"/>
        <w:spacing w:after="0" w:line="250" w:lineRule="auto"/>
        <w:rPr>
          <w:sz w:val="20"/>
          <w:szCs w:val="20"/>
          <w:color w:val="auto"/>
        </w:rPr>
      </w:pPr>
      <w:r>
        <w:rPr>
          <w:rFonts w:ascii="Arial" w:cs="Arial" w:eastAsia="Arial" w:hAnsi="Arial"/>
          <w:sz w:val="19"/>
          <w:szCs w:val="19"/>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181" w:lineRule="exact"/>
        <w:rPr>
          <w:sz w:val="20"/>
          <w:szCs w:val="20"/>
          <w:color w:val="auto"/>
        </w:rPr>
      </w:pPr>
    </w:p>
    <w:p>
      <w:pPr>
        <w:ind w:left="820" w:hanging="269"/>
        <w:spacing w:after="0"/>
        <w:tabs>
          <w:tab w:leader="none" w:pos="8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surety bond premiums to replace lost or stolen certificates, taxes and other governmental charges;</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special charges for services requested by a holder of a Class A share; and</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other similar fees or charges.</w:t>
      </w:r>
    </w:p>
    <w:p>
      <w:pPr>
        <w:spacing w:after="0" w:line="214"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Resignation or Removal</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The transfer agent may resign, by notice to us, or be removed by us.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Class A shares and Class B shares</w:t>
      </w:r>
    </w:p>
    <w:p>
      <w:pPr>
        <w:spacing w:after="0" w:line="204" w:lineRule="exact"/>
        <w:rPr>
          <w:sz w:val="20"/>
          <w:szCs w:val="20"/>
          <w:color w:val="auto"/>
        </w:rPr>
      </w:pPr>
    </w:p>
    <w:p>
      <w:pPr>
        <w:ind w:right="300" w:firstLine="279"/>
        <w:spacing w:after="0"/>
        <w:rPr>
          <w:sz w:val="20"/>
          <w:szCs w:val="20"/>
          <w:color w:val="auto"/>
        </w:rPr>
      </w:pPr>
      <w:r>
        <w:rPr>
          <w:rFonts w:ascii="Arial" w:cs="Arial" w:eastAsia="Arial" w:hAnsi="Arial"/>
          <w:sz w:val="19"/>
          <w:szCs w:val="19"/>
          <w:color w:val="auto"/>
        </w:rPr>
        <w:t>Upon the transfer of a Class A share or a Class B share in accordance with our operating agreement, the transferee of the Class A share or Class B share shall be admitted as a member with respect to the class of shares transferred when such transfer and admission are reflected in our books and records. Each transferee:</w:t>
      </w:r>
    </w:p>
    <w:p>
      <w:pPr>
        <w:spacing w:after="0" w:line="189" w:lineRule="exact"/>
        <w:rPr>
          <w:sz w:val="20"/>
          <w:szCs w:val="20"/>
          <w:color w:val="auto"/>
        </w:rPr>
      </w:pPr>
    </w:p>
    <w:p>
      <w:pPr>
        <w:ind w:left="820" w:hanging="269"/>
        <w:spacing w:after="0"/>
        <w:tabs>
          <w:tab w:leader="none" w:pos="8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automatically becomes bound by the terms and conditions of our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726567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5" w:name="page106"/>
    <w:bookmarkEnd w:id="105"/>
    <w:p>
      <w:pPr>
        <w:ind w:left="820" w:hanging="269"/>
        <w:spacing w:after="0"/>
        <w:tabs>
          <w:tab w:leader="none" w:pos="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represents that the transferee has the capacity, power and authority to enter into our operating agreement; and</w:t>
      </w:r>
    </w:p>
    <w:p>
      <w:pPr>
        <w:spacing w:after="0" w:line="222" w:lineRule="exact"/>
        <w:rPr>
          <w:rFonts w:ascii="Arial" w:cs="Arial" w:eastAsia="Arial" w:hAnsi="Arial"/>
          <w:sz w:val="15"/>
          <w:szCs w:val="15"/>
          <w:color w:val="auto"/>
        </w:rPr>
      </w:pPr>
    </w:p>
    <w:p>
      <w:pPr>
        <w:ind w:left="820" w:right="80" w:hanging="269"/>
        <w:spacing w:after="0" w:line="291" w:lineRule="auto"/>
        <w:tabs>
          <w:tab w:leader="none" w:pos="8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makes the consents, acknowledgements and waivers contained in our operating agreement, such as the approval of all transactions and agreements that we entered into in connection with our formation and initial public offering.</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will cause any transfers to be recorded on our books and records from time to time (or shall cause the transfer agent to do so, as applicable).</w:t>
      </w:r>
    </w:p>
    <w:p>
      <w:pPr>
        <w:spacing w:after="0" w:line="223" w:lineRule="exact"/>
        <w:rPr>
          <w:sz w:val="20"/>
          <w:szCs w:val="20"/>
          <w:color w:val="auto"/>
        </w:rPr>
      </w:pPr>
    </w:p>
    <w:p>
      <w:pPr>
        <w:ind w:firstLine="279"/>
        <w:spacing w:after="0" w:line="381" w:lineRule="auto"/>
        <w:rPr>
          <w:sz w:val="20"/>
          <w:szCs w:val="20"/>
          <w:color w:val="auto"/>
        </w:rPr>
      </w:pPr>
      <w:r>
        <w:rPr>
          <w:rFonts w:ascii="Arial" w:cs="Arial" w:eastAsia="Arial" w:hAnsi="Arial"/>
          <w:sz w:val="15"/>
          <w:szCs w:val="15"/>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Class A shares and Class B shares are securities and any transfers are subject to the laws governing the transfer of securities.</w:t>
      </w:r>
    </w:p>
    <w:p>
      <w:pPr>
        <w:spacing w:after="0" w:line="200" w:lineRule="exact"/>
        <w:rPr>
          <w:sz w:val="20"/>
          <w:szCs w:val="20"/>
          <w:color w:val="auto"/>
        </w:rPr>
      </w:pPr>
    </w:p>
    <w:p>
      <w:pPr>
        <w:ind w:right="160" w:firstLine="279"/>
        <w:spacing w:after="0" w:line="277" w:lineRule="auto"/>
        <w:rPr>
          <w:sz w:val="20"/>
          <w:szCs w:val="20"/>
          <w:color w:val="auto"/>
        </w:rPr>
      </w:pPr>
      <w:r>
        <w:rPr>
          <w:rFonts w:ascii="Arial" w:cs="Arial" w:eastAsia="Arial" w:hAnsi="Arial"/>
          <w:sz w:val="18"/>
          <w:szCs w:val="18"/>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726567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9"/>
          <w:szCs w:val="19"/>
          <w:b w:val="1"/>
          <w:bCs w:val="1"/>
          <w:color w:val="auto"/>
        </w:rPr>
        <w:t>OUR OPERATING AGREEMENT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Duration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Our limited liability company was formed on August 6, 2018, and will remain in existence until dissolved in accordance with our operating agreement.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w:t>
      </w:r>
    </w:p>
    <w:p>
      <w:pPr>
        <w:spacing w:after="0" w:line="204" w:lineRule="exact"/>
        <w:rPr>
          <w:sz w:val="20"/>
          <w:szCs w:val="20"/>
          <w:color w:val="auto"/>
        </w:rPr>
      </w:pPr>
    </w:p>
    <w:p>
      <w:pPr>
        <w:ind w:right="260" w:firstLine="279"/>
        <w:spacing w:after="0"/>
        <w:rPr>
          <w:sz w:val="20"/>
          <w:szCs w:val="20"/>
          <w:color w:val="auto"/>
        </w:rPr>
      </w:pPr>
      <w:r>
        <w:rPr>
          <w:rFonts w:ascii="Arial" w:cs="Arial" w:eastAsia="Arial" w:hAnsi="Arial"/>
          <w:sz w:val="19"/>
          <w:szCs w:val="19"/>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 to be Bound by our Operating Agreement</w:t>
      </w:r>
    </w:p>
    <w:p>
      <w:pPr>
        <w:spacing w:after="0" w:line="204" w:lineRule="exact"/>
        <w:rPr>
          <w:sz w:val="20"/>
          <w:szCs w:val="20"/>
          <w:color w:val="auto"/>
        </w:rPr>
      </w:pPr>
    </w:p>
    <w:p>
      <w:pPr>
        <w:ind w:right="40" w:firstLine="279"/>
        <w:spacing w:after="0" w:line="250" w:lineRule="auto"/>
        <w:rPr>
          <w:sz w:val="20"/>
          <w:szCs w:val="20"/>
          <w:color w:val="auto"/>
        </w:rPr>
      </w:pPr>
      <w:r>
        <w:rPr>
          <w:rFonts w:ascii="Arial" w:cs="Arial" w:eastAsia="Arial" w:hAnsi="Arial"/>
          <w:sz w:val="19"/>
          <w:szCs w:val="19"/>
          <w:color w:val="auto"/>
        </w:rPr>
        <w:t>By purchasing our Class A shares, you will be admitted as a member of our limited liability company and will be deemed to have agreed to be bound by the terms of our operating agreement.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of Our Operating Agreement</w:t>
      </w:r>
    </w:p>
    <w:p>
      <w:pPr>
        <w:spacing w:after="0" w:line="204" w:lineRule="exact"/>
        <w:rPr>
          <w:sz w:val="20"/>
          <w:szCs w:val="20"/>
          <w:color w:val="auto"/>
        </w:rPr>
      </w:pPr>
    </w:p>
    <w:p>
      <w:pPr>
        <w:ind w:firstLine="279"/>
        <w:spacing w:after="0" w:line="237" w:lineRule="auto"/>
        <w:rPr>
          <w:sz w:val="20"/>
          <w:szCs w:val="20"/>
          <w:color w:val="auto"/>
        </w:rPr>
      </w:pPr>
      <w:r>
        <w:rPr>
          <w:rFonts w:ascii="Arial" w:cs="Arial" w:eastAsia="Arial" w:hAnsi="Arial"/>
          <w:sz w:val="19"/>
          <w:szCs w:val="19"/>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Prohibited Amendments</w:t>
      </w:r>
      <w:r>
        <w:rPr>
          <w:rFonts w:ascii="Arial" w:cs="Arial" w:eastAsia="Arial" w:hAnsi="Arial"/>
          <w:sz w:val="19"/>
          <w:szCs w:val="19"/>
          <w:color w:val="auto"/>
        </w:rPr>
        <w:t>. No amendment may be made that would:</w:t>
      </w:r>
    </w:p>
    <w:p>
      <w:pPr>
        <w:spacing w:after="0" w:line="208" w:lineRule="exact"/>
        <w:rPr>
          <w:sz w:val="20"/>
          <w:szCs w:val="20"/>
          <w:color w:val="auto"/>
        </w:rPr>
      </w:pPr>
    </w:p>
    <w:p>
      <w:pPr>
        <w:ind w:left="820" w:hanging="269"/>
        <w:spacing w:after="0"/>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enlarge the obligations of any shareholder without such shareholder’s consent, unless approved by at least a majority of the type or class of shares so affected;</w:t>
      </w:r>
    </w:p>
    <w:p>
      <w:pPr>
        <w:spacing w:after="0" w:line="222" w:lineRule="exact"/>
        <w:rPr>
          <w:rFonts w:ascii="Arial" w:cs="Arial" w:eastAsia="Arial" w:hAnsi="Arial"/>
          <w:sz w:val="15"/>
          <w:szCs w:val="15"/>
          <w:color w:val="auto"/>
        </w:rPr>
      </w:pPr>
    </w:p>
    <w:p>
      <w:pPr>
        <w:ind w:left="820" w:right="400" w:hanging="269"/>
        <w:spacing w:after="0" w:line="291" w:lineRule="auto"/>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provide that we are not dissolved upon an election to dissolve our limited liability company by our board of directors that is approved by holders of a majority of the outstanding shares;</w:t>
      </w:r>
    </w:p>
    <w:p>
      <w:pPr>
        <w:spacing w:after="0" w:line="162" w:lineRule="exact"/>
        <w:rPr>
          <w:rFonts w:ascii="Arial" w:cs="Arial" w:eastAsia="Arial" w:hAnsi="Arial"/>
          <w:sz w:val="15"/>
          <w:szCs w:val="15"/>
          <w:color w:val="auto"/>
        </w:rPr>
      </w:pPr>
    </w:p>
    <w:p>
      <w:pPr>
        <w:ind w:left="820" w:hanging="269"/>
        <w:spacing w:after="0"/>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change the term of existence of our company; or</w:t>
      </w:r>
    </w:p>
    <w:p>
      <w:pPr>
        <w:spacing w:after="0" w:line="222" w:lineRule="exact"/>
        <w:rPr>
          <w:rFonts w:ascii="Arial" w:cs="Arial" w:eastAsia="Arial" w:hAnsi="Arial"/>
          <w:sz w:val="15"/>
          <w:szCs w:val="15"/>
          <w:color w:val="auto"/>
        </w:rPr>
      </w:pPr>
    </w:p>
    <w:p>
      <w:pPr>
        <w:ind w:left="820" w:hanging="269"/>
        <w:spacing w:after="0" w:line="291" w:lineRule="auto"/>
        <w:tabs>
          <w:tab w:leader="none" w:pos="8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give any person the right to dissolve our limited liability company other than our board of directors’ right to dissolve our limited liability company with the approval of certain specified shareholders (the “Consenting Entities”) and holders of a majority of the total combined voting power of our outstanding shares.</w:t>
      </w:r>
    </w:p>
    <w:p>
      <w:pPr>
        <w:spacing w:after="0" w:line="154" w:lineRule="exact"/>
        <w:rPr>
          <w:sz w:val="20"/>
          <w:szCs w:val="20"/>
          <w:color w:val="auto"/>
        </w:rPr>
      </w:pPr>
    </w:p>
    <w:p>
      <w:pPr>
        <w:ind w:right="100" w:firstLine="279"/>
        <w:spacing w:after="0" w:line="250" w:lineRule="auto"/>
        <w:rPr>
          <w:sz w:val="20"/>
          <w:szCs w:val="20"/>
          <w:color w:val="auto"/>
        </w:rPr>
      </w:pPr>
      <w:r>
        <w:rPr>
          <w:rFonts w:ascii="Arial" w:cs="Arial" w:eastAsia="Arial" w:hAnsi="Arial"/>
          <w:sz w:val="19"/>
          <w:szCs w:val="19"/>
          <w:color w:val="auto"/>
        </w:rPr>
        <w:t>The provision of our operating agreement preventing the amendments having the effects described in any of the clauses above can be amended upon the approval of the Consenting Entities and holders of at least two-thirds of the outstanding shares.</w:t>
      </w:r>
    </w:p>
    <w:p>
      <w:pPr>
        <w:spacing w:after="0" w:line="172" w:lineRule="exact"/>
        <w:rPr>
          <w:sz w:val="20"/>
          <w:szCs w:val="20"/>
          <w:color w:val="auto"/>
        </w:rPr>
      </w:pPr>
    </w:p>
    <w:p>
      <w:pPr>
        <w:ind w:right="800" w:firstLine="279"/>
        <w:spacing w:after="0" w:line="250" w:lineRule="auto"/>
        <w:rPr>
          <w:sz w:val="20"/>
          <w:szCs w:val="20"/>
          <w:color w:val="auto"/>
        </w:rPr>
      </w:pPr>
      <w:r>
        <w:rPr>
          <w:rFonts w:ascii="Arial" w:cs="Arial" w:eastAsia="Arial" w:hAnsi="Arial"/>
          <w:sz w:val="19"/>
          <w:szCs w:val="19"/>
          <w:i w:val="1"/>
          <w:iCs w:val="1"/>
          <w:color w:val="auto"/>
        </w:rPr>
        <w:t>No Shareholder Approval</w:t>
      </w:r>
      <w:r>
        <w:rPr>
          <w:rFonts w:ascii="Arial" w:cs="Arial" w:eastAsia="Arial" w:hAnsi="Arial"/>
          <w:sz w:val="19"/>
          <w:szCs w:val="19"/>
          <w:color w:val="auto"/>
        </w:rPr>
        <w:t>. Our board of directors may generally make amendments to our operating agreement without the approval of any</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 or assignee to reflect:</w:t>
      </w:r>
    </w:p>
    <w:p>
      <w:pPr>
        <w:spacing w:after="0" w:line="181" w:lineRule="exact"/>
        <w:rPr>
          <w:sz w:val="20"/>
          <w:szCs w:val="20"/>
          <w:color w:val="auto"/>
        </w:rPr>
      </w:pPr>
    </w:p>
    <w:p>
      <w:pPr>
        <w:ind w:left="820" w:hanging="269"/>
        <w:spacing w:after="0"/>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 change in our name, the location of our principal place of our business, our registered agent or our registered office;</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admission, substitution, withdrawal or removal of shareholders in accordance with our operating agreement;</w:t>
      </w:r>
    </w:p>
    <w:p>
      <w:pPr>
        <w:spacing w:after="0" w:line="222" w:lineRule="exact"/>
        <w:rPr>
          <w:rFonts w:ascii="Arial" w:cs="Arial" w:eastAsia="Arial" w:hAnsi="Arial"/>
          <w:sz w:val="15"/>
          <w:szCs w:val="15"/>
          <w:color w:val="auto"/>
        </w:rPr>
      </w:pPr>
    </w:p>
    <w:p>
      <w:pPr>
        <w:ind w:left="820" w:right="60" w:hanging="269"/>
        <w:spacing w:after="0" w:line="291" w:lineRule="auto"/>
        <w:tabs>
          <w:tab w:leader="none" w:pos="8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26567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7" w:name="page108"/>
    <w:bookmarkEnd w:id="107"/>
    <w:p>
      <w:pPr>
        <w:ind w:left="820" w:right="280" w:hanging="269"/>
        <w:spacing w:after="0" w:line="291" w:lineRule="auto"/>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change that our board of directors determines to be necessary or appropriate for us to qualify or continue our qualification as a company in which our members have limited liability under the laws of any state;</w:t>
      </w:r>
    </w:p>
    <w:p>
      <w:pPr>
        <w:spacing w:after="0" w:line="162" w:lineRule="exact"/>
        <w:rPr>
          <w:rFonts w:ascii="Arial" w:cs="Arial" w:eastAsia="Arial" w:hAnsi="Arial"/>
          <w:sz w:val="15"/>
          <w:szCs w:val="15"/>
          <w:color w:val="auto"/>
        </w:rPr>
      </w:pPr>
    </w:p>
    <w:p>
      <w:pPr>
        <w:ind w:left="820" w:hanging="269"/>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change in our legal form from a limited liability company to a corporation;</w:t>
      </w:r>
    </w:p>
    <w:p>
      <w:pPr>
        <w:spacing w:after="0" w:line="222" w:lineRule="exact"/>
        <w:rPr>
          <w:rFonts w:ascii="Arial" w:cs="Arial" w:eastAsia="Arial" w:hAnsi="Arial"/>
          <w:sz w:val="15"/>
          <w:szCs w:val="15"/>
          <w:color w:val="auto"/>
        </w:rPr>
      </w:pPr>
    </w:p>
    <w:p>
      <w:pPr>
        <w:ind w:left="820" w:right="40" w:hanging="269"/>
        <w:spacing w:after="0" w:line="269" w:lineRule="auto"/>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179" w:lineRule="exact"/>
        <w:rPr>
          <w:rFonts w:ascii="Arial" w:cs="Arial" w:eastAsia="Arial" w:hAnsi="Arial"/>
          <w:sz w:val="15"/>
          <w:szCs w:val="15"/>
          <w:color w:val="auto"/>
        </w:rPr>
      </w:pPr>
    </w:p>
    <w:p>
      <w:pPr>
        <w:ind w:left="820" w:hanging="269"/>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amendment that our board of directors determines to be necessary or appropriate for the authorization of additional securities;</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amendment expressly permitted in our operating agreement to be made by our board of directors acting alone;</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operating agreement;</w:t>
      </w:r>
    </w:p>
    <w:p>
      <w:pPr>
        <w:spacing w:after="0" w:line="222" w:lineRule="exact"/>
        <w:rPr>
          <w:rFonts w:ascii="Arial" w:cs="Arial" w:eastAsia="Arial" w:hAnsi="Arial"/>
          <w:sz w:val="15"/>
          <w:szCs w:val="15"/>
          <w:color w:val="auto"/>
        </w:rPr>
      </w:pPr>
    </w:p>
    <w:p>
      <w:pPr>
        <w:ind w:left="820" w:hanging="269"/>
        <w:spacing w:after="0" w:line="291" w:lineRule="auto"/>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162" w:lineRule="exact"/>
        <w:rPr>
          <w:rFonts w:ascii="Arial" w:cs="Arial" w:eastAsia="Arial" w:hAnsi="Arial"/>
          <w:sz w:val="15"/>
          <w:szCs w:val="15"/>
          <w:color w:val="auto"/>
        </w:rPr>
      </w:pPr>
    </w:p>
    <w:p>
      <w:pPr>
        <w:ind w:left="820" w:hanging="269"/>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change in our fiscal year or taxable year and related changes; and</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other amendments substantially similar to any of the matters described in the clauses above.</w:t>
      </w:r>
    </w:p>
    <w:p>
      <w:pPr>
        <w:spacing w:after="0" w:line="214" w:lineRule="exact"/>
        <w:rPr>
          <w:sz w:val="20"/>
          <w:szCs w:val="20"/>
          <w:color w:val="auto"/>
        </w:rPr>
      </w:pPr>
    </w:p>
    <w:p>
      <w:pPr>
        <w:ind w:right="400" w:firstLine="279"/>
        <w:spacing w:after="0" w:line="250" w:lineRule="auto"/>
        <w:rPr>
          <w:sz w:val="20"/>
          <w:szCs w:val="20"/>
          <w:color w:val="auto"/>
        </w:rPr>
      </w:pPr>
      <w:r>
        <w:rPr>
          <w:rFonts w:ascii="Arial" w:cs="Arial" w:eastAsia="Arial" w:hAnsi="Arial"/>
          <w:sz w:val="19"/>
          <w:szCs w:val="19"/>
          <w:color w:val="auto"/>
        </w:rPr>
        <w:t>In addition, our board of directors may make amendments to our operating agreement without the approval of any shareholder or assignee if our board of directors determines that those amendments:</w:t>
      </w:r>
    </w:p>
    <w:p>
      <w:pPr>
        <w:spacing w:after="0" w:line="181" w:lineRule="exact"/>
        <w:rPr>
          <w:sz w:val="20"/>
          <w:szCs w:val="20"/>
          <w:color w:val="auto"/>
        </w:rPr>
      </w:pPr>
    </w:p>
    <w:p>
      <w:pPr>
        <w:ind w:left="820" w:hanging="269"/>
        <w:spacing w:after="0"/>
        <w:tabs>
          <w:tab w:leader="none" w:pos="8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do not adversely affect the shareholders in any material respect;</w:t>
      </w:r>
    </w:p>
    <w:p>
      <w:pPr>
        <w:spacing w:after="0" w:line="222" w:lineRule="exact"/>
        <w:rPr>
          <w:rFonts w:ascii="Arial" w:cs="Arial" w:eastAsia="Arial" w:hAnsi="Arial"/>
          <w:sz w:val="15"/>
          <w:szCs w:val="15"/>
          <w:color w:val="auto"/>
        </w:rPr>
      </w:pPr>
    </w:p>
    <w:p>
      <w:pPr>
        <w:ind w:left="820" w:right="300" w:hanging="269"/>
        <w:spacing w:after="0" w:line="291" w:lineRule="auto"/>
        <w:tabs>
          <w:tab w:leader="none" w:pos="8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62" w:lineRule="exact"/>
        <w:rPr>
          <w:rFonts w:ascii="Arial" w:cs="Arial" w:eastAsia="Arial" w:hAnsi="Arial"/>
          <w:sz w:val="15"/>
          <w:szCs w:val="15"/>
          <w:color w:val="auto"/>
        </w:rPr>
      </w:pPr>
    </w:p>
    <w:p>
      <w:pPr>
        <w:ind w:left="820" w:right="280" w:hanging="269"/>
        <w:spacing w:after="0" w:line="329" w:lineRule="auto"/>
        <w:tabs>
          <w:tab w:leader="none" w:pos="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139" w:lineRule="exact"/>
        <w:rPr>
          <w:rFonts w:ascii="Arial" w:cs="Arial" w:eastAsia="Arial" w:hAnsi="Arial"/>
          <w:sz w:val="14"/>
          <w:szCs w:val="14"/>
          <w:color w:val="auto"/>
        </w:rPr>
      </w:pPr>
    </w:p>
    <w:p>
      <w:pPr>
        <w:ind w:left="820" w:hanging="269"/>
        <w:spacing w:after="0"/>
        <w:tabs>
          <w:tab w:leader="none" w:pos="8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are necessary or appropriate for any action taken by our board of directors relating to splits or combinations of shares under the provisions of our operating agreement; or</w:t>
      </w:r>
    </w:p>
    <w:p>
      <w:pPr>
        <w:spacing w:after="0" w:line="233" w:lineRule="exact"/>
        <w:rPr>
          <w:rFonts w:ascii="Arial" w:cs="Arial" w:eastAsia="Arial" w:hAnsi="Arial"/>
          <w:sz w:val="14"/>
          <w:szCs w:val="14"/>
          <w:color w:val="auto"/>
        </w:rPr>
      </w:pPr>
    </w:p>
    <w:p>
      <w:pPr>
        <w:ind w:left="820" w:right="20" w:hanging="269"/>
        <w:spacing w:after="0" w:line="291" w:lineRule="auto"/>
        <w:tabs>
          <w:tab w:leader="none" w:pos="8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are required to effect the intent expressed in the prospectus contained in the registration statement related to our initial public offering or the intent of the provisions of our operating agreement or are otherwise contemplated by our operating agreement.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and Dissolution</w:t>
      </w:r>
    </w:p>
    <w:p>
      <w:pPr>
        <w:spacing w:after="0" w:line="204" w:lineRule="exact"/>
        <w:rPr>
          <w:sz w:val="20"/>
          <w:szCs w:val="20"/>
          <w:color w:val="auto"/>
        </w:rPr>
      </w:pPr>
    </w:p>
    <w:p>
      <w:pPr>
        <w:ind w:right="120" w:firstLine="279"/>
        <w:spacing w:after="0" w:line="273" w:lineRule="auto"/>
        <w:rPr>
          <w:sz w:val="20"/>
          <w:szCs w:val="20"/>
          <w:color w:val="auto"/>
        </w:rPr>
      </w:pPr>
      <w:r>
        <w:rPr>
          <w:rFonts w:ascii="Arial" w:cs="Arial" w:eastAsia="Arial" w:hAnsi="Arial"/>
          <w:sz w:val="17"/>
          <w:szCs w:val="17"/>
          <w:color w:val="auto"/>
        </w:rPr>
        <w:t>We will continue as a limited liability company until terminated under our operating agreement. We will dissolve upon: (1) the election of our board of directors to dissolve us, if approved by the Consenting Entities and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207010</wp:posOffset>
            </wp:positionV>
            <wp:extent cx="726567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b w:val="1"/>
          <w:bCs w:val="1"/>
          <w:color w:val="auto"/>
        </w:rPr>
        <w:t>Books and Reports</w:t>
      </w:r>
    </w:p>
    <w:p>
      <w:pPr>
        <w:spacing w:after="0" w:line="205" w:lineRule="exact"/>
        <w:rPr>
          <w:sz w:val="20"/>
          <w:szCs w:val="20"/>
          <w:color w:val="auto"/>
        </w:rPr>
      </w:pPr>
    </w:p>
    <w:p>
      <w:pPr>
        <w:ind w:firstLine="279"/>
        <w:spacing w:after="0" w:line="264" w:lineRule="auto"/>
        <w:rPr>
          <w:sz w:val="20"/>
          <w:szCs w:val="20"/>
          <w:color w:val="auto"/>
        </w:rPr>
      </w:pPr>
      <w:r>
        <w:rPr>
          <w:rFonts w:ascii="Arial" w:cs="Arial" w:eastAsia="Arial" w:hAnsi="Arial"/>
          <w:sz w:val="17"/>
          <w:szCs w:val="17"/>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provided, however, that we are only required to provide access to our books and records to shareholders who have held over 1% of our total outstanding shares for a period of at least one year from the date of such request. We use reasonable efforts to furnish to you an annual report containing audited consolidated financial statements and a report on those consolidated financial statements by our independent public accountants. We are deemed to have made any such report available if we file such report with the SEC on EDGAR or make the report available on a publicly available website that we maintain.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Delaware Law and Our Operating Agreement</w:t>
      </w:r>
    </w:p>
    <w:p>
      <w:pPr>
        <w:spacing w:after="0" w:line="204" w:lineRule="exact"/>
        <w:rPr>
          <w:sz w:val="20"/>
          <w:szCs w:val="20"/>
          <w:color w:val="auto"/>
        </w:rPr>
      </w:pPr>
    </w:p>
    <w:p>
      <w:pPr>
        <w:ind w:firstLine="279"/>
        <w:spacing w:after="0"/>
        <w:rPr>
          <w:sz w:val="20"/>
          <w:szCs w:val="20"/>
          <w:color w:val="auto"/>
        </w:rPr>
      </w:pPr>
      <w:r>
        <w:rPr>
          <w:rFonts w:ascii="Arial" w:cs="Arial" w:eastAsia="Arial" w:hAnsi="Arial"/>
          <w:sz w:val="19"/>
          <w:szCs w:val="19"/>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Issuance of Additional Interests</w:t>
      </w:r>
    </w:p>
    <w:p>
      <w:pPr>
        <w:spacing w:after="0" w:line="200" w:lineRule="exact"/>
        <w:rPr>
          <w:sz w:val="20"/>
          <w:szCs w:val="20"/>
          <w:color w:val="auto"/>
        </w:rPr>
      </w:pPr>
    </w:p>
    <w:p>
      <w:pPr>
        <w:ind w:right="60" w:firstLine="279"/>
        <w:spacing w:after="0" w:line="251"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Delaware Business Combination Statute—Section 203</w:t>
      </w:r>
    </w:p>
    <w:p>
      <w:pPr>
        <w:spacing w:after="0" w:line="200" w:lineRule="exact"/>
        <w:rPr>
          <w:sz w:val="20"/>
          <w:szCs w:val="20"/>
          <w:color w:val="auto"/>
        </w:rPr>
      </w:pPr>
    </w:p>
    <w:p>
      <w:pPr>
        <w:ind w:right="220" w:firstLine="279"/>
        <w:spacing w:after="0" w:line="250" w:lineRule="auto"/>
        <w:rPr>
          <w:sz w:val="20"/>
          <w:szCs w:val="20"/>
          <w:color w:val="auto"/>
        </w:rPr>
      </w:pPr>
      <w:r>
        <w:rPr>
          <w:rFonts w:ascii="Arial" w:cs="Arial" w:eastAsia="Arial" w:hAnsi="Arial"/>
          <w:sz w:val="19"/>
          <w:szCs w:val="19"/>
          <w:color w:val="auto"/>
        </w:rPr>
        <w:t>We are a limited liability company organized under Delaware law. Some provisions of Delaware law may delay or prevent a transaction that would cause a change in our control.</w:t>
      </w:r>
    </w:p>
    <w:p>
      <w:pPr>
        <w:spacing w:after="0" w:line="172" w:lineRule="exact"/>
        <w:rPr>
          <w:sz w:val="20"/>
          <w:szCs w:val="20"/>
          <w:color w:val="auto"/>
        </w:rPr>
      </w:pPr>
    </w:p>
    <w:p>
      <w:pPr>
        <w:ind w:right="160" w:firstLine="279"/>
        <w:spacing w:after="0" w:line="235" w:lineRule="auto"/>
        <w:rPr>
          <w:sz w:val="20"/>
          <w:szCs w:val="20"/>
          <w:color w:val="auto"/>
        </w:rPr>
      </w:pPr>
      <w:r>
        <w:rPr>
          <w:rFonts w:ascii="Arial" w:cs="Arial" w:eastAsia="Arial" w:hAnsi="Arial"/>
          <w:sz w:val="19"/>
          <w:szCs w:val="19"/>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Provisions of Our Operating Agreement</w:t>
      </w:r>
    </w:p>
    <w:p>
      <w:pPr>
        <w:spacing w:after="0" w:line="200" w:lineRule="exact"/>
        <w:rPr>
          <w:sz w:val="20"/>
          <w:szCs w:val="20"/>
          <w:color w:val="auto"/>
        </w:rPr>
      </w:pPr>
    </w:p>
    <w:p>
      <w:pPr>
        <w:ind w:firstLine="279"/>
        <w:spacing w:after="0" w:line="247" w:lineRule="auto"/>
        <w:rPr>
          <w:sz w:val="20"/>
          <w:szCs w:val="20"/>
          <w:color w:val="auto"/>
        </w:rPr>
      </w:pPr>
      <w:r>
        <w:rPr>
          <w:rFonts w:ascii="Arial" w:cs="Arial" w:eastAsia="Arial" w:hAnsi="Arial"/>
          <w:sz w:val="18"/>
          <w:szCs w:val="18"/>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220980</wp:posOffset>
            </wp:positionV>
            <wp:extent cx="726567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9" w:name="page110"/>
    <w:bookmarkEnd w:id="109"/>
    <w:p>
      <w:pPr>
        <w:ind w:right="100" w:firstLine="279"/>
        <w:spacing w:after="0" w:line="239" w:lineRule="auto"/>
        <w:rPr>
          <w:sz w:val="20"/>
          <w:szCs w:val="20"/>
          <w:color w:val="auto"/>
        </w:rPr>
      </w:pPr>
      <w:r>
        <w:rPr>
          <w:rFonts w:ascii="Arial" w:cs="Arial" w:eastAsia="Arial" w:hAnsi="Arial"/>
          <w:sz w:val="19"/>
          <w:szCs w:val="19"/>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183" w:lineRule="exact"/>
        <w:rPr>
          <w:sz w:val="20"/>
          <w:szCs w:val="20"/>
          <w:color w:val="auto"/>
        </w:rPr>
      </w:pPr>
    </w:p>
    <w:p>
      <w:pPr>
        <w:jc w:val="both"/>
        <w:ind w:firstLine="279"/>
        <w:spacing w:after="0"/>
        <w:rPr>
          <w:sz w:val="20"/>
          <w:szCs w:val="20"/>
          <w:color w:val="auto"/>
        </w:rPr>
      </w:pPr>
      <w:r>
        <w:rPr>
          <w:rFonts w:ascii="Arial" w:cs="Arial" w:eastAsia="Arial" w:hAnsi="Arial"/>
          <w:sz w:val="19"/>
          <w:szCs w:val="19"/>
          <w:color w:val="auto"/>
        </w:rPr>
        <w:t>In addition, our operating agreement provides that any director or the entire board of directors may be removed, with or without cause, at any time, by holders of a majority of the total combined voting power of all of our outstanding Class A shares and Class B shares then entitled to vote at an election of directors.</w:t>
      </w:r>
    </w:p>
    <w:p>
      <w:pPr>
        <w:spacing w:after="0" w:line="181" w:lineRule="exact"/>
        <w:rPr>
          <w:sz w:val="20"/>
          <w:szCs w:val="20"/>
          <w:color w:val="auto"/>
        </w:rPr>
      </w:pPr>
    </w:p>
    <w:p>
      <w:pPr>
        <w:ind w:right="400" w:firstLine="279"/>
        <w:spacing w:after="0" w:line="308" w:lineRule="auto"/>
        <w:rPr>
          <w:sz w:val="20"/>
          <w:szCs w:val="20"/>
          <w:color w:val="auto"/>
        </w:rPr>
      </w:pPr>
      <w:r>
        <w:rPr>
          <w:rFonts w:ascii="Arial" w:cs="Arial" w:eastAsia="Arial" w:hAnsi="Arial"/>
          <w:sz w:val="17"/>
          <w:szCs w:val="17"/>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26" w:lineRule="exact"/>
        <w:rPr>
          <w:sz w:val="20"/>
          <w:szCs w:val="20"/>
          <w:color w:val="auto"/>
        </w:rPr>
      </w:pPr>
    </w:p>
    <w:p>
      <w:pPr>
        <w:jc w:val="both"/>
        <w:ind w:right="40" w:firstLine="279"/>
        <w:spacing w:after="0"/>
        <w:rPr>
          <w:sz w:val="20"/>
          <w:szCs w:val="20"/>
          <w:color w:val="auto"/>
        </w:rPr>
      </w:pPr>
      <w:r>
        <w:rPr>
          <w:rFonts w:ascii="Arial" w:cs="Arial" w:eastAsia="Arial" w:hAnsi="Arial"/>
          <w:sz w:val="19"/>
          <w:szCs w:val="19"/>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Ability of Our Shareholders to Act</w:t>
      </w:r>
    </w:p>
    <w:p>
      <w:pPr>
        <w:spacing w:after="0" w:line="200" w:lineRule="exact"/>
        <w:rPr>
          <w:sz w:val="20"/>
          <w:szCs w:val="20"/>
          <w:color w:val="auto"/>
        </w:rPr>
      </w:pPr>
    </w:p>
    <w:p>
      <w:pPr>
        <w:ind w:right="80" w:firstLine="279"/>
        <w:spacing w:after="0" w:line="273" w:lineRule="auto"/>
        <w:rPr>
          <w:sz w:val="20"/>
          <w:szCs w:val="20"/>
          <w:color w:val="auto"/>
        </w:rPr>
      </w:pPr>
      <w:r>
        <w:rPr>
          <w:rFonts w:ascii="Arial" w:cs="Arial" w:eastAsia="Arial" w:hAnsi="Arial"/>
          <w:sz w:val="17"/>
          <w:szCs w:val="17"/>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156" w:lineRule="exact"/>
        <w:rPr>
          <w:sz w:val="20"/>
          <w:szCs w:val="20"/>
          <w:color w:val="auto"/>
        </w:rPr>
      </w:pPr>
    </w:p>
    <w:p>
      <w:pPr>
        <w:ind w:right="280" w:firstLine="279"/>
        <w:spacing w:after="0" w:line="250" w:lineRule="auto"/>
        <w:rPr>
          <w:sz w:val="20"/>
          <w:szCs w:val="20"/>
          <w:color w:val="auto"/>
        </w:rPr>
      </w:pPr>
      <w:r>
        <w:rPr>
          <w:rFonts w:ascii="Arial" w:cs="Arial" w:eastAsia="Arial" w:hAnsi="Arial"/>
          <w:sz w:val="19"/>
          <w:szCs w:val="19"/>
          <w:color w:val="auto"/>
        </w:rPr>
        <w:t>Our operating agreement also prohibits our shareholders from consenting in writing to take any action in lieu of taking such action at a duly called annual or special meeting of our shareholders.</w:t>
      </w:r>
    </w:p>
    <w:p>
      <w:pPr>
        <w:spacing w:after="0" w:line="172" w:lineRule="exact"/>
        <w:rPr>
          <w:sz w:val="20"/>
          <w:szCs w:val="20"/>
          <w:color w:val="auto"/>
        </w:rPr>
      </w:pPr>
    </w:p>
    <w:p>
      <w:pPr>
        <w:ind w:right="100" w:firstLine="279"/>
        <w:spacing w:after="0" w:line="261" w:lineRule="auto"/>
        <w:rPr>
          <w:sz w:val="20"/>
          <w:szCs w:val="20"/>
          <w:color w:val="auto"/>
        </w:rPr>
      </w:pPr>
      <w:r>
        <w:rPr>
          <w:rFonts w:ascii="Arial" w:cs="Arial" w:eastAsia="Arial" w:hAnsi="Arial"/>
          <w:sz w:val="17"/>
          <w:szCs w:val="17"/>
          <w:color w:val="auto"/>
        </w:rPr>
        <w:t>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Removal of Members of Our Board of Directors</w:t>
      </w:r>
    </w:p>
    <w:p>
      <w:pPr>
        <w:spacing w:after="0" w:line="204" w:lineRule="exact"/>
        <w:rPr>
          <w:sz w:val="20"/>
          <w:szCs w:val="20"/>
          <w:color w:val="auto"/>
        </w:rPr>
      </w:pPr>
    </w:p>
    <w:p>
      <w:pPr>
        <w:jc w:val="both"/>
        <w:ind w:right="160" w:firstLine="279"/>
        <w:spacing w:after="0"/>
        <w:rPr>
          <w:sz w:val="20"/>
          <w:szCs w:val="20"/>
          <w:color w:val="auto"/>
        </w:rPr>
      </w:pPr>
      <w:r>
        <w:rPr>
          <w:rFonts w:ascii="Arial" w:cs="Arial" w:eastAsia="Arial" w:hAnsi="Arial"/>
          <w:sz w:val="19"/>
          <w:szCs w:val="19"/>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726567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b w:val="1"/>
          <w:bCs w:val="1"/>
          <w:color w:val="auto"/>
        </w:rPr>
        <w:t>Limited Liability</w:t>
      </w:r>
    </w:p>
    <w:p>
      <w:pPr>
        <w:spacing w:after="0" w:line="205" w:lineRule="exact"/>
        <w:rPr>
          <w:sz w:val="20"/>
          <w:szCs w:val="20"/>
          <w:color w:val="auto"/>
        </w:rPr>
      </w:pPr>
    </w:p>
    <w:p>
      <w:pPr>
        <w:ind w:right="180" w:firstLine="279"/>
        <w:spacing w:after="0" w:line="265" w:lineRule="auto"/>
        <w:rPr>
          <w:sz w:val="20"/>
          <w:szCs w:val="20"/>
          <w:color w:val="auto"/>
        </w:rPr>
      </w:pPr>
      <w:r>
        <w:rPr>
          <w:rFonts w:ascii="Arial" w:cs="Arial" w:eastAsia="Arial" w:hAnsi="Arial"/>
          <w:sz w:val="17"/>
          <w:szCs w:val="17"/>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Forum Selection</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operating agreement provides that unless we consent in writing to the selection of an alternative forum, the Court of Chancery of the State of</w:t>
      </w:r>
    </w:p>
    <w:p>
      <w:pPr>
        <w:spacing w:after="0" w:line="30" w:lineRule="exact"/>
        <w:rPr>
          <w:sz w:val="20"/>
          <w:szCs w:val="20"/>
          <w:color w:val="auto"/>
        </w:rPr>
      </w:pPr>
    </w:p>
    <w:p>
      <w:pPr>
        <w:spacing w:after="0"/>
        <w:rPr>
          <w:sz w:val="20"/>
          <w:szCs w:val="20"/>
          <w:color w:val="auto"/>
        </w:rPr>
      </w:pPr>
      <w:r>
        <w:rPr>
          <w:rFonts w:ascii="Arial" w:cs="Arial" w:eastAsia="Arial" w:hAnsi="Arial"/>
          <w:sz w:val="19"/>
          <w:szCs w:val="19"/>
          <w:color w:val="auto"/>
        </w:rPr>
        <w:t>Delaware will, to the fullest extent permitted by applicable law, be the sole and exclusive forum for:</w:t>
      </w:r>
    </w:p>
    <w:p>
      <w:pPr>
        <w:spacing w:after="0" w:line="192" w:lineRule="exact"/>
        <w:rPr>
          <w:sz w:val="20"/>
          <w:szCs w:val="20"/>
          <w:color w:val="auto"/>
        </w:rPr>
      </w:pPr>
    </w:p>
    <w:p>
      <w:pPr>
        <w:ind w:left="820" w:hanging="269"/>
        <w:spacing w:after="0"/>
        <w:tabs>
          <w:tab w:leader="none" w:pos="8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222" w:lineRule="exact"/>
        <w:rPr>
          <w:rFonts w:ascii="Arial" w:cs="Arial" w:eastAsia="Arial" w:hAnsi="Arial"/>
          <w:sz w:val="15"/>
          <w:szCs w:val="15"/>
          <w:color w:val="auto"/>
        </w:rPr>
      </w:pPr>
    </w:p>
    <w:p>
      <w:pPr>
        <w:ind w:left="820" w:hanging="269"/>
        <w:spacing w:after="0"/>
        <w:tabs>
          <w:tab w:leader="none" w:pos="8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owed by any of our directors, officers, employees or agents to us or our shareholders;</w:t>
      </w:r>
    </w:p>
    <w:p>
      <w:pPr>
        <w:spacing w:after="0" w:line="222" w:lineRule="exact"/>
        <w:rPr>
          <w:rFonts w:ascii="Arial" w:cs="Arial" w:eastAsia="Arial" w:hAnsi="Arial"/>
          <w:sz w:val="15"/>
          <w:szCs w:val="15"/>
          <w:color w:val="auto"/>
        </w:rPr>
      </w:pPr>
    </w:p>
    <w:p>
      <w:pPr>
        <w:ind w:left="820" w:right="300" w:hanging="269"/>
        <w:spacing w:after="0" w:line="291" w:lineRule="auto"/>
        <w:tabs>
          <w:tab w:leader="none" w:pos="8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any action asserting a claim against us or any director or officer or other employee of ours arising pursuant to any provision of the Delaware LLC Act or our operating agreement; or</w:t>
      </w:r>
    </w:p>
    <w:p>
      <w:pPr>
        <w:spacing w:after="0" w:line="162" w:lineRule="exact"/>
        <w:rPr>
          <w:rFonts w:ascii="Arial" w:cs="Arial" w:eastAsia="Arial" w:hAnsi="Arial"/>
          <w:sz w:val="15"/>
          <w:szCs w:val="15"/>
          <w:color w:val="auto"/>
        </w:rPr>
      </w:pPr>
    </w:p>
    <w:p>
      <w:pPr>
        <w:ind w:left="820" w:right="320" w:hanging="269"/>
        <w:spacing w:after="0" w:line="291" w:lineRule="auto"/>
        <w:tabs>
          <w:tab w:leader="none" w:pos="8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54" w:lineRule="exact"/>
        <w:rPr>
          <w:sz w:val="20"/>
          <w:szCs w:val="20"/>
          <w:color w:val="auto"/>
        </w:rPr>
      </w:pPr>
    </w:p>
    <w:p>
      <w:pPr>
        <w:ind w:firstLine="279"/>
        <w:spacing w:after="0" w:line="313" w:lineRule="auto"/>
        <w:rPr>
          <w:sz w:val="20"/>
          <w:szCs w:val="20"/>
          <w:color w:val="auto"/>
        </w:rPr>
      </w:pPr>
      <w:r>
        <w:rPr>
          <w:rFonts w:ascii="Arial" w:cs="Arial" w:eastAsia="Arial" w:hAnsi="Arial"/>
          <w:sz w:val="15"/>
          <w:szCs w:val="15"/>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130" w:lineRule="exact"/>
        <w:rPr>
          <w:sz w:val="20"/>
          <w:szCs w:val="20"/>
          <w:color w:val="auto"/>
        </w:rPr>
      </w:pPr>
    </w:p>
    <w:p>
      <w:pPr>
        <w:ind w:right="160" w:firstLine="279"/>
        <w:spacing w:after="0" w:line="267" w:lineRule="auto"/>
        <w:rPr>
          <w:sz w:val="20"/>
          <w:szCs w:val="20"/>
          <w:color w:val="auto"/>
        </w:rPr>
      </w:pPr>
      <w:r>
        <w:rPr>
          <w:rFonts w:ascii="Arial" w:cs="Arial" w:eastAsia="Arial" w:hAnsi="Arial"/>
          <w:sz w:val="17"/>
          <w:szCs w:val="17"/>
          <w:color w:val="auto"/>
        </w:rPr>
        <w:t>Our operating agreement also provides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Rights</w:t>
      </w:r>
    </w:p>
    <w:p>
      <w:pPr>
        <w:spacing w:after="0" w:line="204" w:lineRule="exact"/>
        <w:rPr>
          <w:sz w:val="20"/>
          <w:szCs w:val="20"/>
          <w:color w:val="auto"/>
        </w:rPr>
      </w:pPr>
    </w:p>
    <w:p>
      <w:pPr>
        <w:ind w:right="40" w:firstLine="279"/>
        <w:spacing w:after="0" w:line="237" w:lineRule="auto"/>
        <w:rPr>
          <w:sz w:val="20"/>
          <w:szCs w:val="20"/>
          <w:color w:val="auto"/>
        </w:rPr>
      </w:pPr>
      <w:r>
        <w:rPr>
          <w:rFonts w:ascii="Arial" w:cs="Arial" w:eastAsia="Arial" w:hAnsi="Arial"/>
          <w:sz w:val="19"/>
          <w:szCs w:val="19"/>
          <w:color w:val="auto"/>
        </w:rPr>
        <w:t>So long as the Consenting Entities and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191" w:lineRule="exact"/>
        <w:rPr>
          <w:sz w:val="20"/>
          <w:szCs w:val="20"/>
          <w:color w:val="auto"/>
        </w:rPr>
      </w:pPr>
    </w:p>
    <w:p>
      <w:pPr>
        <w:ind w:left="820" w:right="460" w:hanging="269"/>
        <w:spacing w:after="0" w:line="291" w:lineRule="auto"/>
        <w:tabs>
          <w:tab w:leader="none" w:pos="8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any material change, through any acquisition, disposition of assets or otherwise, in the nature of our business or operations and our subsidiaries as of the date of our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26567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11" w:name="page112"/>
    <w:bookmarkEnd w:id="111"/>
    <w:p>
      <w:pPr>
        <w:ind w:left="820" w:hanging="269"/>
        <w:spacing w:after="0"/>
        <w:tabs>
          <w:tab w:leader="none" w:pos="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terminating Wesley Edens as our chief executive officer or as Chairman of the Board of Directors and hiring or appointing his successor;</w:t>
      </w:r>
    </w:p>
    <w:p>
      <w:pPr>
        <w:spacing w:after="0" w:line="222" w:lineRule="exact"/>
        <w:rPr>
          <w:rFonts w:ascii="Arial" w:cs="Arial" w:eastAsia="Arial" w:hAnsi="Arial"/>
          <w:sz w:val="15"/>
          <w:szCs w:val="15"/>
          <w:color w:val="auto"/>
        </w:rPr>
      </w:pPr>
    </w:p>
    <w:p>
      <w:pPr>
        <w:ind w:left="820" w:right="140" w:hanging="269"/>
        <w:spacing w:after="0" w:line="291" w:lineRule="auto"/>
        <w:tabs>
          <w:tab w:leader="none" w:pos="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162" w:lineRule="exact"/>
        <w:rPr>
          <w:rFonts w:ascii="Arial" w:cs="Arial" w:eastAsia="Arial" w:hAnsi="Arial"/>
          <w:sz w:val="15"/>
          <w:szCs w:val="15"/>
          <w:color w:val="auto"/>
        </w:rPr>
      </w:pPr>
    </w:p>
    <w:p>
      <w:pPr>
        <w:ind w:left="820" w:hanging="269"/>
        <w:spacing w:after="0"/>
        <w:tabs>
          <w:tab w:leader="none" w:pos="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increase or decrease in the size of the Board of Directors, committees of the Board of Directors and board and committees of our subsidiaries;</w:t>
      </w:r>
    </w:p>
    <w:p>
      <w:pPr>
        <w:spacing w:after="0" w:line="222" w:lineRule="exact"/>
        <w:rPr>
          <w:rFonts w:ascii="Arial" w:cs="Arial" w:eastAsia="Arial" w:hAnsi="Arial"/>
          <w:sz w:val="15"/>
          <w:szCs w:val="15"/>
          <w:color w:val="auto"/>
        </w:rPr>
      </w:pPr>
    </w:p>
    <w:p>
      <w:pPr>
        <w:ind w:left="820" w:hanging="269"/>
        <w:spacing w:after="0" w:line="291" w:lineRule="auto"/>
        <w:tabs>
          <w:tab w:leader="none" w:pos="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voluntary election by us or any of our subsidiaries to liquidate or dissolve or commence bankruptcy or insolvency proceedings or the adoption of a plan with respect to any of the foregoing; and</w:t>
      </w:r>
    </w:p>
    <w:p>
      <w:pPr>
        <w:spacing w:after="0" w:line="162" w:lineRule="exact"/>
        <w:rPr>
          <w:rFonts w:ascii="Arial" w:cs="Arial" w:eastAsia="Arial" w:hAnsi="Arial"/>
          <w:sz w:val="15"/>
          <w:szCs w:val="15"/>
          <w:color w:val="auto"/>
        </w:rPr>
      </w:pPr>
    </w:p>
    <w:p>
      <w:pPr>
        <w:ind w:left="820" w:right="20" w:hanging="269"/>
        <w:spacing w:after="0" w:line="291" w:lineRule="auto"/>
        <w:tabs>
          <w:tab w:leader="none" w:pos="82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Opportunity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Under our operating agreement, to the extent permitted by law:</w:t>
      </w:r>
    </w:p>
    <w:p>
      <w:pPr>
        <w:spacing w:after="0" w:line="208" w:lineRule="exact"/>
        <w:rPr>
          <w:sz w:val="20"/>
          <w:szCs w:val="20"/>
          <w:color w:val="auto"/>
        </w:rPr>
      </w:pPr>
    </w:p>
    <w:p>
      <w:pPr>
        <w:jc w:val="both"/>
        <w:ind w:left="560" w:right="20" w:hanging="288"/>
        <w:spacing w:after="0" w:line="274" w:lineRule="auto"/>
        <w:tabs>
          <w:tab w:leader="none" w:pos="5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New Fortress Energy Holdings LLC (“New Fortress Energy Holdings”)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75" w:lineRule="exact"/>
        <w:rPr>
          <w:rFonts w:ascii="Arial" w:cs="Arial" w:eastAsia="Arial" w:hAnsi="Arial"/>
          <w:sz w:val="15"/>
          <w:szCs w:val="15"/>
          <w:color w:val="auto"/>
        </w:rPr>
      </w:pPr>
    </w:p>
    <w:p>
      <w:pPr>
        <w:ind w:left="560" w:right="500" w:hanging="288"/>
        <w:spacing w:after="0" w:line="291" w:lineRule="auto"/>
        <w:tabs>
          <w:tab w:leader="none" w:pos="5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if New Fortress Energy Holdings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162" w:lineRule="exact"/>
        <w:rPr>
          <w:rFonts w:ascii="Arial" w:cs="Arial" w:eastAsia="Arial" w:hAnsi="Arial"/>
          <w:sz w:val="15"/>
          <w:szCs w:val="15"/>
          <w:color w:val="auto"/>
        </w:rPr>
      </w:pPr>
    </w:p>
    <w:p>
      <w:pPr>
        <w:ind w:left="560" w:hanging="288"/>
        <w:spacing w:after="0"/>
        <w:tabs>
          <w:tab w:leader="none" w:pos="5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we have renounced any interest or expectancy in, or in being offered an opportunity to participate in, such corporate opportunities; and</w:t>
      </w:r>
    </w:p>
    <w:p>
      <w:pPr>
        <w:spacing w:after="0" w:line="222" w:lineRule="exact"/>
        <w:rPr>
          <w:rFonts w:ascii="Arial" w:cs="Arial" w:eastAsia="Arial" w:hAnsi="Arial"/>
          <w:sz w:val="15"/>
          <w:szCs w:val="15"/>
          <w:color w:val="auto"/>
        </w:rPr>
      </w:pPr>
    </w:p>
    <w:p>
      <w:pPr>
        <w:ind w:left="560" w:right="60" w:hanging="288"/>
        <w:spacing w:after="0" w:line="294" w:lineRule="auto"/>
        <w:tabs>
          <w:tab w:leader="none" w:pos="5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the event that any of our directors and officers who is also a director, officer or employee of New Fortress Energy Holdings and their respective affiliates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New Fortress Energy Holdings and their respective affiliates pursues or acquires the corporate opportunity or if such person did not present the corporate opportunity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726567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12" w:name="page113"/>
    <w:bookmarkEnd w:id="112"/>
    <w:p>
      <w:pPr>
        <w:ind w:left="10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10.31</w:t>
      </w:r>
    </w:p>
    <w:p>
      <w:pPr>
        <w:spacing w:after="0" w:line="223" w:lineRule="exact"/>
        <w:rPr>
          <w:sz w:val="20"/>
          <w:szCs w:val="20"/>
          <w:color w:val="auto"/>
        </w:rPr>
      </w:pPr>
    </w:p>
    <w:p>
      <w:pPr>
        <w:jc w:val="both"/>
        <w:ind w:firstLine="697"/>
        <w:spacing w:after="0"/>
        <w:rPr>
          <w:sz w:val="20"/>
          <w:szCs w:val="20"/>
          <w:color w:val="auto"/>
        </w:rPr>
      </w:pPr>
      <w:r>
        <w:rPr>
          <w:rFonts w:ascii="Arial" w:cs="Arial" w:eastAsia="Arial" w:hAnsi="Arial"/>
          <w:sz w:val="19"/>
          <w:szCs w:val="19"/>
          <w:color w:val="auto"/>
        </w:rPr>
        <w:t>This Separation Agreement and General Release (the “</w:t>
      </w:r>
      <w:r>
        <w:rPr>
          <w:rFonts w:ascii="Arial" w:cs="Arial" w:eastAsia="Arial" w:hAnsi="Arial"/>
          <w:sz w:val="19"/>
          <w:szCs w:val="19"/>
          <w:u w:val="single" w:color="auto"/>
          <w:color w:val="auto"/>
        </w:rPr>
        <w:t>Agreement</w:t>
      </w:r>
      <w:r>
        <w:rPr>
          <w:rFonts w:ascii="Arial" w:cs="Arial" w:eastAsia="Arial" w:hAnsi="Arial"/>
          <w:sz w:val="19"/>
          <w:szCs w:val="19"/>
          <w:color w:val="auto"/>
        </w:rPr>
        <w:t>”) confirms the following understandings and agreements between NFE Management LLC (together with its affiliates, “</w:t>
      </w:r>
      <w:r>
        <w:rPr>
          <w:rFonts w:ascii="Arial" w:cs="Arial" w:eastAsia="Arial" w:hAnsi="Arial"/>
          <w:sz w:val="19"/>
          <w:szCs w:val="19"/>
          <w:u w:val="single" w:color="auto"/>
          <w:color w:val="auto"/>
        </w:rPr>
        <w:t>NFE</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and Michael J. Utsler (hereinafter referred to as “</w:t>
      </w:r>
      <w:r>
        <w:rPr>
          <w:rFonts w:ascii="Arial" w:cs="Arial" w:eastAsia="Arial" w:hAnsi="Arial"/>
          <w:sz w:val="19"/>
          <w:szCs w:val="19"/>
          <w:u w:val="single" w:color="auto"/>
          <w:color w:val="auto"/>
        </w:rPr>
        <w:t>you</w:t>
      </w:r>
      <w:r>
        <w:rPr>
          <w:rFonts w:ascii="Arial" w:cs="Arial" w:eastAsia="Arial" w:hAnsi="Arial"/>
          <w:sz w:val="19"/>
          <w:szCs w:val="19"/>
          <w:color w:val="auto"/>
        </w:rPr>
        <w:t>” or “</w:t>
      </w:r>
      <w:r>
        <w:rPr>
          <w:rFonts w:ascii="Arial" w:cs="Arial" w:eastAsia="Arial" w:hAnsi="Arial"/>
          <w:sz w:val="19"/>
          <w:szCs w:val="19"/>
          <w:u w:val="single" w:color="auto"/>
          <w:color w:val="auto"/>
        </w:rPr>
        <w:t>your</w:t>
      </w:r>
      <w:r>
        <w:rPr>
          <w:rFonts w:ascii="Arial" w:cs="Arial" w:eastAsia="Arial" w:hAnsi="Arial"/>
          <w:sz w:val="19"/>
          <w:szCs w:val="19"/>
          <w:color w:val="auto"/>
        </w:rPr>
        <w:t>”) regarding your separation of employment with the Company.</w:t>
      </w:r>
    </w:p>
    <w:p>
      <w:pPr>
        <w:spacing w:after="0" w:line="181" w:lineRule="exact"/>
        <w:rPr>
          <w:sz w:val="20"/>
          <w:szCs w:val="20"/>
          <w:color w:val="auto"/>
        </w:rPr>
      </w:pPr>
    </w:p>
    <w:p>
      <w:pPr>
        <w:ind w:firstLine="690"/>
        <w:spacing w:after="0" w:line="250" w:lineRule="auto"/>
        <w:tabs>
          <w:tab w:leader="none" w:pos="15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 Your employment with the Company terminated on November 12, 2019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You will be paid your base salary through the Termination Date.</w:t>
      </w:r>
    </w:p>
    <w:p>
      <w:pPr>
        <w:spacing w:after="0" w:line="172" w:lineRule="exact"/>
        <w:rPr>
          <w:sz w:val="20"/>
          <w:szCs w:val="20"/>
          <w:color w:val="auto"/>
        </w:rPr>
      </w:pPr>
    </w:p>
    <w:p>
      <w:pPr>
        <w:jc w:val="both"/>
        <w:ind w:firstLine="690"/>
        <w:spacing w:after="0" w:line="273" w:lineRule="auto"/>
        <w:tabs>
          <w:tab w:leader="none" w:pos="1573" w:val="left"/>
        </w:tabs>
        <w:numPr>
          <w:ilvl w:val="0"/>
          <w:numId w:val="92"/>
        </w:numPr>
        <w:rPr>
          <w:rFonts w:ascii="Arial" w:cs="Arial" w:eastAsia="Arial" w:hAnsi="Arial"/>
          <w:sz w:val="17"/>
          <w:szCs w:val="17"/>
          <w:color w:val="auto"/>
        </w:rPr>
      </w:pPr>
      <w:r>
        <w:rPr>
          <w:rFonts w:ascii="Arial" w:cs="Arial" w:eastAsia="Arial" w:hAnsi="Arial"/>
          <w:sz w:val="17"/>
          <w:szCs w:val="17"/>
          <w:color w:val="auto"/>
        </w:rPr>
        <w:t>Your health care benefits will terminate on November 30, 2019. Thereafter and subject to Section 2(b), you will be provided an opportunity to continue health coverage for yourself and qualifying dependents under the Company’s group health plan in accordance with the Consolidated Omnibus Budget Reconciliation Act (“</w:t>
      </w:r>
      <w:r>
        <w:rPr>
          <w:rFonts w:ascii="Arial" w:cs="Arial" w:eastAsia="Arial" w:hAnsi="Arial"/>
          <w:sz w:val="17"/>
          <w:szCs w:val="17"/>
          <w:u w:val="single" w:color="auto"/>
          <w:color w:val="auto"/>
        </w:rPr>
        <w:t>COBRA</w:t>
      </w:r>
      <w:r>
        <w:rPr>
          <w:rFonts w:ascii="Arial" w:cs="Arial" w:eastAsia="Arial" w:hAnsi="Arial"/>
          <w:sz w:val="17"/>
          <w:szCs w:val="17"/>
          <w:color w:val="auto"/>
        </w:rPr>
        <w:t>”). Specific information on COBRA, including its rate structure, will be forwarded to you separately. Your coverage and cost levels are subject to adjustment in accordance with the terms of the documents governing the program.</w:t>
      </w:r>
    </w:p>
    <w:p>
      <w:pPr>
        <w:spacing w:after="0" w:line="156" w:lineRule="exact"/>
        <w:rPr>
          <w:rFonts w:ascii="Arial" w:cs="Arial" w:eastAsia="Arial" w:hAnsi="Arial"/>
          <w:sz w:val="17"/>
          <w:szCs w:val="17"/>
          <w:color w:val="auto"/>
        </w:rPr>
      </w:pPr>
    </w:p>
    <w:p>
      <w:pPr>
        <w:jc w:val="both"/>
        <w:ind w:firstLine="690"/>
        <w:spacing w:after="0"/>
        <w:tabs>
          <w:tab w:leader="none" w:pos="1439" w:val="left"/>
        </w:tabs>
        <w:numPr>
          <w:ilvl w:val="0"/>
          <w:numId w:val="92"/>
        </w:numPr>
        <w:rPr>
          <w:rFonts w:ascii="Arial" w:cs="Arial" w:eastAsia="Arial" w:hAnsi="Arial"/>
          <w:sz w:val="19"/>
          <w:szCs w:val="19"/>
          <w:color w:val="auto"/>
        </w:rPr>
      </w:pPr>
      <w:r>
        <w:rPr>
          <w:rFonts w:ascii="Arial" w:cs="Arial" w:eastAsia="Arial" w:hAnsi="Arial"/>
          <w:sz w:val="19"/>
          <w:szCs w:val="19"/>
          <w:color w:val="auto"/>
        </w:rPr>
        <w:t>Except as otherwise specifically set forth in this Agreement, after the Termination Date you shall no longer be entitled to any further compensation or any monies from the Company or any of its affiliates or to receive any of the benefits made available to you during your employment at the Company including but not limited to any bonus payment.</w:t>
      </w:r>
    </w:p>
    <w:p>
      <w:pPr>
        <w:spacing w:after="0" w:line="180" w:lineRule="exact"/>
        <w:rPr>
          <w:rFonts w:ascii="Arial" w:cs="Arial" w:eastAsia="Arial" w:hAnsi="Arial"/>
          <w:sz w:val="19"/>
          <w:szCs w:val="19"/>
          <w:color w:val="auto"/>
        </w:rPr>
      </w:pPr>
    </w:p>
    <w:p>
      <w:pPr>
        <w:jc w:val="both"/>
        <w:ind w:right="20" w:firstLine="690"/>
        <w:spacing w:after="0" w:line="313" w:lineRule="auto"/>
        <w:tabs>
          <w:tab w:leader="none" w:pos="1366" w:val="left"/>
        </w:tabs>
        <w:numPr>
          <w:ilvl w:val="0"/>
          <w:numId w:val="92"/>
        </w:numPr>
        <w:rPr>
          <w:rFonts w:ascii="Arial" w:cs="Arial" w:eastAsia="Arial" w:hAnsi="Arial"/>
          <w:sz w:val="15"/>
          <w:szCs w:val="15"/>
          <w:color w:val="auto"/>
        </w:rPr>
      </w:pPr>
      <w:r>
        <w:rPr>
          <w:rFonts w:ascii="Arial" w:cs="Arial" w:eastAsia="Arial" w:hAnsi="Arial"/>
          <w:sz w:val="15"/>
          <w:szCs w:val="15"/>
          <w:color w:val="auto"/>
        </w:rPr>
        <w:t>You represent that, to the best of your knowledge, you have (i) fully complied with all Company policies and procedures (and all prior versions of such in effect during your employment) (the “</w:t>
      </w:r>
      <w:r>
        <w:rPr>
          <w:rFonts w:ascii="Arial" w:cs="Arial" w:eastAsia="Arial" w:hAnsi="Arial"/>
          <w:sz w:val="15"/>
          <w:szCs w:val="15"/>
          <w:u w:val="single" w:color="auto"/>
          <w:color w:val="auto"/>
        </w:rPr>
        <w:t>Policies</w:t>
      </w:r>
      <w:r>
        <w:rPr>
          <w:rFonts w:ascii="Arial" w:cs="Arial" w:eastAsia="Arial" w:hAnsi="Arial"/>
          <w:sz w:val="15"/>
          <w:szCs w:val="15"/>
          <w:color w:val="auto"/>
        </w:rPr>
        <w:t>”) and (ii) not breached, or caused the Company to breach, any applicable law, rule, regulation, covenant or agreement in connection with Company business in any jurisdiction during the course of your employment. You further represent that you are not aware of any breach of any Policies, or any laws, rules, regulations, covenants or agreements applicable to the Company by any Company employee or entity and that you have previously reported any known or suspected breaches, in writing, to the Company’s General Counsel.</w:t>
      </w:r>
    </w:p>
    <w:p>
      <w:pPr>
        <w:spacing w:after="0" w:line="130" w:lineRule="exact"/>
        <w:rPr>
          <w:sz w:val="20"/>
          <w:szCs w:val="20"/>
          <w:color w:val="auto"/>
        </w:rPr>
      </w:pPr>
    </w:p>
    <w:p>
      <w:pPr>
        <w:ind w:firstLine="690"/>
        <w:spacing w:after="0" w:line="250" w:lineRule="auto"/>
        <w:tabs>
          <w:tab w:leader="none" w:pos="1386" w:val="left"/>
        </w:tabs>
        <w:numPr>
          <w:ilvl w:val="0"/>
          <w:numId w:val="93"/>
        </w:numPr>
        <w:rPr>
          <w:rFonts w:ascii="Arial" w:cs="Arial" w:eastAsia="Arial" w:hAnsi="Arial"/>
          <w:sz w:val="19"/>
          <w:szCs w:val="19"/>
          <w:color w:val="auto"/>
        </w:rPr>
      </w:pPr>
      <w:r>
        <w:rPr>
          <w:rFonts w:ascii="Arial" w:cs="Arial" w:eastAsia="Arial" w:hAnsi="Arial"/>
          <w:sz w:val="19"/>
          <w:szCs w:val="19"/>
          <w:color w:val="auto"/>
        </w:rPr>
        <w:t>Following the Effective Date (as defined in Section 19 below), and contingent upon your (i) complying with this Agreement; and (ii) executing and not revoking this Agreement pursuant to Section 19 below, the Company agrees to the following:</w:t>
      </w:r>
    </w:p>
    <w:p>
      <w:pPr>
        <w:spacing w:after="0" w:line="172" w:lineRule="exact"/>
        <w:rPr>
          <w:sz w:val="20"/>
          <w:szCs w:val="20"/>
          <w:color w:val="auto"/>
        </w:rPr>
      </w:pPr>
    </w:p>
    <w:p>
      <w:pPr>
        <w:jc w:val="both"/>
        <w:ind w:firstLine="690"/>
        <w:spacing w:after="0" w:line="273" w:lineRule="auto"/>
        <w:tabs>
          <w:tab w:leader="none" w:pos="137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As consideration for entering into this Agreement, the Company agrees to provide you with two special payments totaling $600,000 as follows: (i) a special payment in the amount of $300,000, less applicable deductions and withholdings, to be paid within thirty (30) days following the Effective Date of this Agreement, and (ii) a special payment in the amount of $300,000, less applicable deductions and withholdings, to be paid on or before May 12, 2020. You acknowledge and agree that you have no contractual entitlement to such payment, other than pursuant to this Agreement.</w:t>
      </w:r>
    </w:p>
    <w:p>
      <w:pPr>
        <w:spacing w:after="0" w:line="156" w:lineRule="exact"/>
        <w:rPr>
          <w:rFonts w:ascii="Arial" w:cs="Arial" w:eastAsia="Arial" w:hAnsi="Arial"/>
          <w:sz w:val="17"/>
          <w:szCs w:val="17"/>
          <w:color w:val="auto"/>
        </w:rPr>
      </w:pPr>
    </w:p>
    <w:p>
      <w:pPr>
        <w:jc w:val="both"/>
        <w:ind w:firstLine="690"/>
        <w:spacing w:after="0" w:line="265" w:lineRule="auto"/>
        <w:tabs>
          <w:tab w:leader="none" w:pos="1395"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the event you timely elect to continue the group health plan coverage that you had in effect on the day prior to the Termination Date pursuant to COBRA, the Company will pay for a portion of your COBRA costs so that your cost is the same as other Company employees with the same coverage until the earlier of (i) February 29, 2020 and (ii) the date you become eligible for coverage under another employer’s group health plan. Thereafter, and for the balance of the applicable COBRA coverage period, you may continue COBRA at your sole expense. You will be responsible for paying your share of COBRA directly to the Company’s COBRA administrator. Specific information on COBRA, including its rate structure, will be forwarded to you separately. You acknowledge and agree that: (i) you will not be eligible to receive the benefits described in this Section 2(b) unless you execute without revoking, this Agreement; and (ii) this is a benefit to which you are not entitled absent this Agreement.</w:t>
      </w:r>
    </w:p>
    <w:p>
      <w:pPr>
        <w:spacing w:after="0" w:line="161" w:lineRule="exact"/>
        <w:rPr>
          <w:rFonts w:ascii="Arial" w:cs="Arial" w:eastAsia="Arial" w:hAnsi="Arial"/>
          <w:sz w:val="17"/>
          <w:szCs w:val="17"/>
          <w:color w:val="auto"/>
        </w:rPr>
      </w:pPr>
    </w:p>
    <w:p>
      <w:pPr>
        <w:jc w:val="both"/>
        <w:ind w:firstLine="690"/>
        <w:spacing w:after="0" w:line="235" w:lineRule="auto"/>
        <w:tabs>
          <w:tab w:leader="none" w:pos="1522"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Company hereby acknowledges that following the Termination Date, you will not be bound by the non-competition and non-solicitation provisions of the Protective Covenants section of your offer letter with NFE Management LLC dated August 30, 2018 (the “</w:t>
      </w:r>
      <w:r>
        <w:rPr>
          <w:rFonts w:ascii="Arial" w:cs="Arial" w:eastAsia="Arial" w:hAnsi="Arial"/>
          <w:sz w:val="19"/>
          <w:szCs w:val="19"/>
          <w:u w:val="single" w:color="auto"/>
          <w:color w:val="auto"/>
        </w:rPr>
        <w:t>Offer Letter</w:t>
      </w:r>
      <w:r>
        <w:rPr>
          <w:rFonts w:ascii="Arial" w:cs="Arial" w:eastAsia="Arial" w:hAnsi="Arial"/>
          <w:sz w:val="19"/>
          <w:szCs w:val="19"/>
          <w:color w:val="auto"/>
        </w:rPr>
        <w:t>”), relating to obligations following the Termination Date. You acknowledge and agree that you remain bound by all other restrictions set forth in the Offer Letter including those in the Protective Covenants section thereof and your Confidentiality and Proprietary Rights Agreement dated September 25, 2018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26567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260" w:right="219" w:bottom="1440" w:gutter="0" w:footer="0" w:header="0"/>
        </w:sectPr>
      </w:pPr>
    </w:p>
    <w:bookmarkStart w:id="113" w:name="page114"/>
    <w:bookmarkEnd w:id="113"/>
    <w:p>
      <w:pPr>
        <w:jc w:val="both"/>
        <w:ind w:firstLine="690"/>
        <w:spacing w:after="0" w:line="239" w:lineRule="auto"/>
        <w:tabs>
          <w:tab w:leader="none" w:pos="1379"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As used in this Agreement, the term “</w:t>
      </w:r>
      <w:r>
        <w:rPr>
          <w:rFonts w:ascii="Arial" w:cs="Arial" w:eastAsia="Arial" w:hAnsi="Arial"/>
          <w:sz w:val="19"/>
          <w:szCs w:val="19"/>
          <w:u w:val="single" w:color="auto"/>
          <w:color w:val="auto"/>
        </w:rPr>
        <w:t>claims</w:t>
      </w:r>
      <w:r>
        <w:rPr>
          <w:rFonts w:ascii="Arial" w:cs="Arial" w:eastAsia="Arial" w:hAnsi="Arial"/>
          <w:sz w:val="19"/>
          <w:szCs w:val="19"/>
          <w:color w:val="auto"/>
        </w:rPr>
        <w:t>” shall include all claims, covenants, warranties, promises, undertakings, actions, suits, causes of action, obligations, debts, attorneys’ fees, accounts, judgments, losses and liabilities of whatsoever kind or nature, in law, equity or otherwise.</w:t>
      </w:r>
    </w:p>
    <w:p>
      <w:pPr>
        <w:spacing w:after="0" w:line="183" w:lineRule="exact"/>
        <w:rPr>
          <w:sz w:val="20"/>
          <w:szCs w:val="20"/>
          <w:color w:val="auto"/>
        </w:rPr>
      </w:pPr>
    </w:p>
    <w:p>
      <w:pPr>
        <w:jc w:val="both"/>
        <w:ind w:firstLine="690"/>
        <w:spacing w:after="0" w:line="259" w:lineRule="auto"/>
        <w:tabs>
          <w:tab w:leader="none" w:pos="1432"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and in consideration of the payments and other benefits described in Section 2 above, and other good and valuable consideration, you, for and on behalf of yourself and your heirs, administrators, executors, and assigns, do fully and forever release, remise and discharge (“</w:t>
      </w:r>
      <w:r>
        <w:rPr>
          <w:rFonts w:ascii="Arial" w:cs="Arial" w:eastAsia="Arial" w:hAnsi="Arial"/>
          <w:sz w:val="17"/>
          <w:szCs w:val="17"/>
          <w:u w:val="single" w:color="auto"/>
          <w:color w:val="auto"/>
        </w:rPr>
        <w:t>release</w:t>
      </w:r>
      <w:r>
        <w:rPr>
          <w:rFonts w:ascii="Arial" w:cs="Arial" w:eastAsia="Arial" w:hAnsi="Arial"/>
          <w:sz w:val="17"/>
          <w:szCs w:val="17"/>
          <w:color w:val="auto"/>
        </w:rPr>
        <w:t>”) the Company, its direct and indirect parents, subsidiaries and affiliates, together with its and their respective officers, directors, partners, shareholders, attorneys, employees and agents (collectively, the “</w:t>
      </w:r>
      <w:r>
        <w:rPr>
          <w:rFonts w:ascii="Arial" w:cs="Arial" w:eastAsia="Arial" w:hAnsi="Arial"/>
          <w:sz w:val="17"/>
          <w:szCs w:val="17"/>
          <w:u w:val="single" w:color="auto"/>
          <w:color w:val="auto"/>
        </w:rPr>
        <w:t>Group</w:t>
      </w:r>
      <w:r>
        <w:rPr>
          <w:rFonts w:ascii="Arial" w:cs="Arial" w:eastAsia="Arial" w:hAnsi="Arial"/>
          <w:sz w:val="17"/>
          <w:szCs w:val="17"/>
          <w:color w:val="auto"/>
        </w:rPr>
        <w:t>”), from any and all claims which you had, may have had, or now have against the Company and the Group through the Effective Date of this Agreement, for or by reason of any matter, cause or thing whatsoever, whether known or unknown, including any claim arising out of or attributable to your employment or the termination of your employment with the Company, including but not limited to claims of breach of contract, wrongful termination, unjust dismissal, defamation, retaliation, libel or slander, or under any federal, state or local law dealing with discrimination based on age, race, sex, national origin, religion, disability, sexual preference or any other characteristic protected by applicable law. This release of claims includes, but is not limited to, all claims arising under the Age Discrimination in Employment Act, Title VII of the Civil Rights Act, the Americans with Disabilities Act, the Civil Rights Act of 1991, the Family and Medical Leave Act, the Equal Pay Act, the Worker Adjustment and Retraining Notification Act, the New York Human Rights Law, the New York Labor Code, the New York Worker Adjustment and Retraining Notification Act, the New York City Administrative Code, the New York Labor Law, the Florida Civil Rights Act (Fla. Stat. §760.01, et seq.), the Florida and Federal Constitutions, the Florida AIDS Act (Fla. Stat. §760.50, et seq.), the Florida Whistleblower Act (Fla. Stat. §448.01, et seq.), Florida Worker’s Compensation Retaliation Statute (Fla. Stat. §440.205), the Florida Minimum Wage Act (Fla. Stat. § 448.110); Florida’s wage payment and wage discrimination laws (including, without limitation, Fla. Stat. §§ 448.07, 448.08, 448.110; the Florida Equal Pay Law, Fla. Stat. §725.07), and all other federal, state and local labor and anti-discrimination laws, the common law and any other purported restriction on an employer’s right to terminate the employment of employees. Notwithstanding the foregoing, the release in this Agreement does not extend to those rights that cannot be waived as a matter of law.</w:t>
      </w:r>
    </w:p>
    <w:p>
      <w:pPr>
        <w:spacing w:after="0" w:line="175" w:lineRule="exact"/>
        <w:rPr>
          <w:rFonts w:ascii="Arial" w:cs="Arial" w:eastAsia="Arial" w:hAnsi="Arial"/>
          <w:sz w:val="17"/>
          <w:szCs w:val="17"/>
          <w:color w:val="auto"/>
        </w:rPr>
      </w:pPr>
    </w:p>
    <w:p>
      <w:pPr>
        <w:ind w:left="1400" w:hanging="710"/>
        <w:spacing w:after="0"/>
        <w:tabs>
          <w:tab w:leader="none" w:pos="14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You specifically release all claims under the Age Discrimination in Employment Act (the “</w:t>
      </w:r>
      <w:r>
        <w:rPr>
          <w:rFonts w:ascii="Arial" w:cs="Arial" w:eastAsia="Arial" w:hAnsi="Arial"/>
          <w:sz w:val="17"/>
          <w:szCs w:val="17"/>
          <w:u w:val="single" w:color="auto"/>
          <w:color w:val="auto"/>
        </w:rPr>
        <w:t>ADEA</w:t>
      </w:r>
      <w:r>
        <w:rPr>
          <w:rFonts w:ascii="Arial" w:cs="Arial" w:eastAsia="Arial" w:hAnsi="Arial"/>
          <w:sz w:val="17"/>
          <w:szCs w:val="17"/>
          <w:color w:val="auto"/>
        </w:rPr>
        <w:t>”) relating to your employment and</w:t>
      </w:r>
    </w:p>
    <w:p>
      <w:pPr>
        <w:spacing w:after="0" w:line="2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its termination.</w:t>
      </w:r>
    </w:p>
    <w:p>
      <w:pPr>
        <w:spacing w:after="0" w:line="183" w:lineRule="exact"/>
        <w:rPr>
          <w:rFonts w:ascii="Arial" w:cs="Arial" w:eastAsia="Arial" w:hAnsi="Arial"/>
          <w:sz w:val="17"/>
          <w:szCs w:val="17"/>
          <w:color w:val="auto"/>
        </w:rPr>
      </w:pPr>
    </w:p>
    <w:p>
      <w:pPr>
        <w:jc w:val="both"/>
        <w:ind w:firstLine="690"/>
        <w:spacing w:after="0" w:line="245" w:lineRule="auto"/>
        <w:tabs>
          <w:tab w:leader="none" w:pos="1433"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represent that you have not filed or permitted to be filed any legal action, charge or complaint, in any forum whatsoever, against any member of the Group, individually or collectively, and you covenant and agree that you will not file or permit to be filed any lawsuits at any time hereafter with respect to the subject matter of this Agreement and claims released pursuant to this Agreement (including, without limitation, any claims relating to the termination of your employment), except as may be necessary to enforce this Agreement or to seek a determination of the validity of the waiver of your rights under the ADEA. Nothing in this Agreement shall be construed to prohibit you from filing a charge with or participating in any investigation or proceeding conducted by the Equal Employment Opportunity Commission or a comparable state or local agency. Notwithstanding the foregoing, you agree to waive your right to recover monetary damages in any charge, complaint, or lawsuit filed by you or by anyone else on your behalf. Except as otherwise provided in this paragraph, you will not voluntarily participate in any judicial proceeding of any nature or description against any member of the Group that in any way involves the allegations and facts that you could have raised against any member of the Group. You further agree that you will not encourage or voluntarily cooperate with current or former employees of the Group or any other potential plaintiff, to commence any legal action or make any claim against any of the Group in respect of such person’s employment or termination of employment with or by the Group or otherwise.</w:t>
      </w:r>
    </w:p>
    <w:p>
      <w:pPr>
        <w:spacing w:after="0" w:line="183" w:lineRule="exact"/>
        <w:rPr>
          <w:sz w:val="20"/>
          <w:szCs w:val="20"/>
          <w:color w:val="auto"/>
        </w:rPr>
      </w:pPr>
    </w:p>
    <w:p>
      <w:pPr>
        <w:jc w:val="both"/>
        <w:ind w:firstLine="690"/>
        <w:spacing w:after="0" w:line="235" w:lineRule="auto"/>
        <w:tabs>
          <w:tab w:leader="none" w:pos="1375" w:val="left"/>
        </w:tabs>
        <w:numPr>
          <w:ilvl w:val="0"/>
          <w:numId w:val="97"/>
        </w:numPr>
        <w:rPr>
          <w:rFonts w:ascii="Arial" w:cs="Arial" w:eastAsia="Arial" w:hAnsi="Arial"/>
          <w:sz w:val="19"/>
          <w:szCs w:val="19"/>
          <w:color w:val="auto"/>
        </w:rPr>
      </w:pPr>
      <w:r>
        <w:rPr>
          <w:rFonts w:ascii="Arial" w:cs="Arial" w:eastAsia="Arial" w:hAnsi="Arial"/>
          <w:sz w:val="19"/>
          <w:szCs w:val="19"/>
          <w:color w:val="auto"/>
        </w:rPr>
        <w:t>You are specifically agreeing to the terms of this Agreement, including, without limitation, the release and related matters set forth in Section 3 because the Company has agreed to pay you money and provide other benefits to which you were not otherwise entitled under the Company’s policies and has provided such other good and valuable consideration as specified herein. The Company has agreed to provide this money and other benefits because of your agreement to accept it in full settlement of all possible claims you might have or ever had and because of your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726567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4" w:name="page115"/>
    <w:bookmarkEnd w:id="114"/>
    <w:p>
      <w:pPr>
        <w:ind w:left="-690" w:right="240" w:firstLine="690"/>
        <w:spacing w:after="0" w:line="239" w:lineRule="auto"/>
        <w:tabs>
          <w:tab w:leader="none" w:pos="657" w:val="left"/>
        </w:tabs>
        <w:numPr>
          <w:ilvl w:val="0"/>
          <w:numId w:val="98"/>
        </w:numPr>
        <w:rPr>
          <w:rFonts w:ascii="Arial" w:cs="Arial" w:eastAsia="Arial" w:hAnsi="Arial"/>
          <w:sz w:val="19"/>
          <w:szCs w:val="19"/>
          <w:color w:val="auto"/>
        </w:rPr>
      </w:pPr>
      <w:r>
        <w:rPr>
          <w:rFonts w:ascii="Arial" w:cs="Arial" w:eastAsia="Arial" w:hAnsi="Arial"/>
          <w:sz w:val="19"/>
          <w:szCs w:val="19"/>
          <w:color w:val="auto"/>
        </w:rPr>
        <w:t>Upon termination of your employment, you agree to immediately return to the Company all Company property (including without limitation any physical or personal property belonging to the Company that you received, prepared, used, helped prepare, or otherwise had access to in connection with your employment with the Company).</w:t>
      </w:r>
    </w:p>
    <w:p>
      <w:pPr>
        <w:spacing w:after="0" w:line="182" w:lineRule="exact"/>
        <w:rPr>
          <w:rFonts w:ascii="Arial" w:cs="Arial" w:eastAsia="Arial" w:hAnsi="Arial"/>
          <w:sz w:val="19"/>
          <w:szCs w:val="19"/>
          <w:color w:val="auto"/>
        </w:rPr>
      </w:pPr>
    </w:p>
    <w:p>
      <w:pPr>
        <w:jc w:val="both"/>
        <w:ind w:left="-690" w:firstLine="690"/>
        <w:spacing w:after="0" w:line="260" w:lineRule="auto"/>
        <w:tabs>
          <w:tab w:leader="none" w:pos="719"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agree that in the course of your employment with the Company you have had access to and acquired Confidential Information. The term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as used in this Agreement means (a) confidential information of the Company, including, without limitation, information received from third parties under confidential conditions, and (b) other technical, business or financial information or trade secrets or proprietary information (including, but not limited to, account records, confidential plans for the creation or disposition of products, product development plans, marketing strategies and financial data and plans), the use or disclosure of which would be contrary to the interests of the Company, its affiliates or related companies, or the Group. You understand and agree that such Confidential Information has been disclosed to you in confidence and for use only on behalf of the Company. You understand and agree that (i) you will not make use of Confidential Information on your own behalf, or on behalf of any third party and (ii) you will keep such Confidential Information confidential at all times after your employment with the Company, unless disclosure is required under compulsion of law. In the event you are required by compulsion of law to disclose Confidential Information, you shall promptly notify the General Counsel of the Company, following receipt of any order or other legal process requiring you to divulge Confidential Information, of such receipt and of the content of any testimony or information to be provided, and you shall (x) permit the Company a reasonable period of time to seek an appropriate protective order; (y) cooperate with the Company if it seeks a protective order or similar treatment; and (z) if applicable, not disclose any more information than is otherwise required. In addition, you remain bound by any confidentiality agreements between you and the Company or any of its affiliates, including, for the avoidance of doubt, the Confidentiality and Proprietary Rights Agreement you signed with the Company.</w:t>
      </w:r>
    </w:p>
    <w:p>
      <w:pPr>
        <w:spacing w:after="0" w:line="171" w:lineRule="exact"/>
        <w:rPr>
          <w:rFonts w:ascii="Arial" w:cs="Arial" w:eastAsia="Arial" w:hAnsi="Arial"/>
          <w:sz w:val="17"/>
          <w:szCs w:val="17"/>
          <w:color w:val="auto"/>
        </w:rPr>
      </w:pPr>
    </w:p>
    <w:p>
      <w:pPr>
        <w:jc w:val="both"/>
        <w:ind w:left="-690" w:firstLine="690"/>
        <w:spacing w:after="0" w:line="245" w:lineRule="auto"/>
        <w:tabs>
          <w:tab w:leader="none" w:pos="8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Nothing in this Agreement shall be construed to (i) prohibit you from lawfully making reports to, communicating with, or filing a charge or complaint with any government agency or law enforcement entity regarding possible violations of federal law or regulation in accordance with the provisions and rules promulgated under Section 21F of the Securities and Exchange Act of 1934 or Section 806 of the Sarbanes-Oxley Act of 2002, or of any other express whistleblower protection provisions of state or federal law or regulation; (ii) require notification or prior approval by the Company of any reporting, communicating, or filing described in clause (i) hereof; or (iii) limit your right to receive an award for any reporting, providing any information, or filing described in clause (i) hereof. Furthermore, nothing in this Agreement prohibits you from disclosing a trade secret or other Confidential Information, provided that such disclosure is: (x) (1) made in confidence to a Federal, State, or local government official, either directly or indirectly, or to an attorney; and (2) solely for the purpose of reporting or investigating a suspected violation of law; or (y) made in a complaint or other document filed in a lawsuit or other proceeding, provided that such filing is made under seal. Additionally, nothing in this Agreement prohibits you from disclosing a trade secret or other Confidential Information to your attorney in connection with the filing of a retaliation lawsuit for reporting a suspected violation of law, or from using a trade secret or other Confidential Information in such a lawsuit provided that you (A) file any document containing the trade secret or other Confidential Information under seal; and (B) do not disclose the trade secret or other Confidential Information, except pursuant to court order.</w:t>
      </w:r>
    </w:p>
    <w:p>
      <w:pPr>
        <w:spacing w:after="0" w:line="180" w:lineRule="exact"/>
        <w:rPr>
          <w:rFonts w:ascii="Arial" w:cs="Arial" w:eastAsia="Arial" w:hAnsi="Arial"/>
          <w:sz w:val="18"/>
          <w:szCs w:val="18"/>
          <w:color w:val="auto"/>
        </w:rPr>
      </w:pPr>
    </w:p>
    <w:p>
      <w:pPr>
        <w:jc w:val="both"/>
        <w:ind w:left="-690" w:firstLine="690"/>
        <w:spacing w:after="0" w:line="336" w:lineRule="auto"/>
        <w:tabs>
          <w:tab w:leader="none" w:pos="661" w:val="left"/>
        </w:tabs>
        <w:numPr>
          <w:ilvl w:val="0"/>
          <w:numId w:val="98"/>
        </w:numPr>
        <w:rPr>
          <w:rFonts w:ascii="Arial" w:cs="Arial" w:eastAsia="Arial" w:hAnsi="Arial"/>
          <w:sz w:val="15"/>
          <w:szCs w:val="15"/>
          <w:color w:val="auto"/>
        </w:rPr>
      </w:pPr>
      <w:r>
        <w:rPr>
          <w:rFonts w:ascii="Arial" w:cs="Arial" w:eastAsia="Arial" w:hAnsi="Arial"/>
          <w:sz w:val="15"/>
          <w:szCs w:val="15"/>
          <w:color w:val="auto"/>
        </w:rPr>
        <w:t>You shall cooperate fully with the Company and shall make yourself reasonably available to the Company to respond to requests by the Company concerning matters including, but not limited to, business items with which you had direct involvement in or knowledge of and any litigation, arbitration, regulatory proceeding or other similar process involving facts or events relating to the Company that may be within your knowledge.</w:t>
      </w:r>
    </w:p>
    <w:p>
      <w:pPr>
        <w:spacing w:after="0" w:line="111" w:lineRule="exact"/>
        <w:rPr>
          <w:rFonts w:ascii="Arial" w:cs="Arial" w:eastAsia="Arial" w:hAnsi="Arial"/>
          <w:sz w:val="15"/>
          <w:szCs w:val="15"/>
          <w:color w:val="auto"/>
        </w:rPr>
      </w:pPr>
    </w:p>
    <w:p>
      <w:pPr>
        <w:ind w:left="-690" w:right="20" w:firstLine="690"/>
        <w:spacing w:after="0" w:line="250" w:lineRule="auto"/>
        <w:tabs>
          <w:tab w:leader="none" w:pos="798" w:val="left"/>
        </w:tabs>
        <w:numPr>
          <w:ilvl w:val="0"/>
          <w:numId w:val="98"/>
        </w:numPr>
        <w:rPr>
          <w:rFonts w:ascii="Arial" w:cs="Arial" w:eastAsia="Arial" w:hAnsi="Arial"/>
          <w:sz w:val="19"/>
          <w:szCs w:val="19"/>
          <w:color w:val="auto"/>
        </w:rPr>
      </w:pPr>
      <w:r>
        <w:rPr>
          <w:rFonts w:ascii="Arial" w:cs="Arial" w:eastAsia="Arial" w:hAnsi="Arial"/>
          <w:sz w:val="19"/>
          <w:szCs w:val="19"/>
          <w:color w:val="auto"/>
        </w:rPr>
        <w:t>You acknowledge that you have read this Agreement in its entirety, fully understand its meaning and are executing this Agreement voluntarily and of your own free will with full knowledge of its significance.</w:t>
      </w:r>
    </w:p>
    <w:p>
      <w:pPr>
        <w:spacing w:after="0" w:line="172" w:lineRule="exact"/>
        <w:rPr>
          <w:rFonts w:ascii="Arial" w:cs="Arial" w:eastAsia="Arial" w:hAnsi="Arial"/>
          <w:sz w:val="19"/>
          <w:szCs w:val="19"/>
          <w:color w:val="auto"/>
        </w:rPr>
      </w:pPr>
    </w:p>
    <w:p>
      <w:pPr>
        <w:jc w:val="both"/>
        <w:ind w:left="-690" w:firstLine="690"/>
        <w:spacing w:after="0" w:line="251" w:lineRule="auto"/>
        <w:tabs>
          <w:tab w:leader="none" w:pos="699"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agree to maintain the confidentiality of this Agreement, and to refrain from disclosing or making reference to its terms, except (i) as required by law; or (ii) with your accountant or attorney for the sole purposes of obtaining, respectively, financial or legal advice; or (iii) with your immediate family members (the parties in clauses (ii) and (iii), “</w:t>
      </w:r>
      <w:r>
        <w:rPr>
          <w:rFonts w:ascii="Arial" w:cs="Arial" w:eastAsia="Arial" w:hAnsi="Arial"/>
          <w:sz w:val="18"/>
          <w:szCs w:val="18"/>
          <w:u w:val="single" w:color="auto"/>
          <w:color w:val="auto"/>
        </w:rPr>
        <w:t>Permissible Parties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Permissible Parties agree to keep the terms and existence of this Agreement confidential. You acknowledge and agree that any disclosure of any information by you or the Permissible Parties contrary to the provisions of this Agreement shall be a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217170</wp:posOffset>
            </wp:positionV>
            <wp:extent cx="726567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0750"/>
          </w:cols>
          <w:pgMar w:left="930" w:top="121" w:right="219" w:bottom="1440" w:gutter="0" w:footer="0" w:header="0"/>
        </w:sectPr>
      </w:pPr>
    </w:p>
    <w:bookmarkStart w:id="115" w:name="page116"/>
    <w:bookmarkEnd w:id="115"/>
    <w:p>
      <w:pPr>
        <w:jc w:val="both"/>
        <w:ind w:left="-690" w:right="20" w:firstLine="690"/>
        <w:spacing w:after="0" w:line="237" w:lineRule="auto"/>
        <w:tabs>
          <w:tab w:leader="none" w:pos="734" w:val="left"/>
        </w:tabs>
        <w:numPr>
          <w:ilvl w:val="0"/>
          <w:numId w:val="99"/>
        </w:numPr>
        <w:rPr>
          <w:rFonts w:ascii="Arial" w:cs="Arial" w:eastAsia="Arial" w:hAnsi="Arial"/>
          <w:sz w:val="19"/>
          <w:szCs w:val="19"/>
          <w:color w:val="auto"/>
        </w:rPr>
      </w:pPr>
      <w:r>
        <w:rPr>
          <w:rFonts w:ascii="Arial" w:cs="Arial" w:eastAsia="Arial" w:hAnsi="Arial"/>
          <w:sz w:val="19"/>
          <w:szCs w:val="19"/>
          <w:color w:val="auto"/>
        </w:rPr>
        <w:t>You agree that you shall not make, or cause to be made, any statement or communicate any information (whether oral or written) that disparages or reflects negatively on the Company or any member of the Group. Notwithstanding the foregoing, nothing in this Agreement shall prevent you from disclosing truthful information to the extent requested or required by a court of competent jurisdiction or government agency or as required under applicable laws or regulations.</w:t>
      </w:r>
    </w:p>
    <w:p>
      <w:pPr>
        <w:spacing w:after="0" w:line="181" w:lineRule="exact"/>
        <w:rPr>
          <w:rFonts w:ascii="Arial" w:cs="Arial" w:eastAsia="Arial" w:hAnsi="Arial"/>
          <w:sz w:val="19"/>
          <w:szCs w:val="19"/>
          <w:color w:val="auto"/>
        </w:rPr>
      </w:pPr>
    </w:p>
    <w:p>
      <w:pPr>
        <w:jc w:val="both"/>
        <w:ind w:left="-690" w:firstLine="690"/>
        <w:spacing w:after="0" w:line="260" w:lineRule="auto"/>
        <w:tabs>
          <w:tab w:leader="none" w:pos="67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a further condition of this Agreement, you acknowledge that you have no legal entitlement to reemployment with the Company and its affiliates, and you waive and release any right to be considered for employment or reemployment with the Company and its affiliates, and/or the Company and its affiliates from any liability for any failure or refusal to hire you or engage you to perform services.</w:t>
      </w:r>
    </w:p>
    <w:p>
      <w:pPr>
        <w:spacing w:after="0" w:line="163" w:lineRule="exact"/>
        <w:rPr>
          <w:rFonts w:ascii="Arial" w:cs="Arial" w:eastAsia="Arial" w:hAnsi="Arial"/>
          <w:sz w:val="18"/>
          <w:szCs w:val="18"/>
          <w:color w:val="auto"/>
        </w:rPr>
      </w:pPr>
    </w:p>
    <w:p>
      <w:pPr>
        <w:jc w:val="both"/>
        <w:ind w:left="-690" w:firstLine="690"/>
        <w:spacing w:after="0" w:line="262" w:lineRule="auto"/>
        <w:tabs>
          <w:tab w:leader="none" w:pos="709"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shall be entitled to have the provisions of this Agreement specifically enforced through injunctive relief, without having to prove the adequacy of the available remedies at law, and without being required to post bond or security, it being acknowledged and agreed that such breach will cause irreparable injury to the Company and that money damages will not provide an adequate remedy to the Company. Moreover, you understand and agree that if you breach any provisions of this Agreement, in addition to any other legal or equitable remedy the Company may have, the Company shall be entitled to not make any payments to you under Section 2, and recover any payments made to you or on your behalf under Section 2 and you shall reimburse the Company for all its reasonable attorneys’ fees and costs incurred by it arising out of any such breach. The remedies set forth in this Section 13 shall not apply to any challenge to the validity of the waiver and release of your rights under the ADEA. In the event you challenge the validity of the waiver and release of your rights under the ADEA, then the Company’s right to attorneys’ fees and costs shall be governed by the provisions of the ADEA. Any such action permitted to the Company by the foregoing, however, shall not affect or impair any of your obligations under this Agreement, including without limitation, the release of claims in Section 3 hereof.</w:t>
      </w:r>
    </w:p>
    <w:p>
      <w:pPr>
        <w:spacing w:after="0" w:line="166" w:lineRule="exact"/>
        <w:rPr>
          <w:rFonts w:ascii="Arial" w:cs="Arial" w:eastAsia="Arial" w:hAnsi="Arial"/>
          <w:sz w:val="17"/>
          <w:szCs w:val="17"/>
          <w:color w:val="auto"/>
        </w:rPr>
      </w:pPr>
    </w:p>
    <w:p>
      <w:pPr>
        <w:jc w:val="both"/>
        <w:ind w:left="-690" w:firstLine="690"/>
        <w:spacing w:after="0" w:line="267" w:lineRule="auto"/>
        <w:tabs>
          <w:tab w:leader="none" w:pos="657"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the event that any one or more of the provisions of this Agreement is held to be invalid, illegal or unenforceable, the validity, legality and enforceability of the remaining provisions will not in any way be affected or impaired thereby; provided, however, that if any court or arbitrator finds that the release of claims set forth herein is unlawful or unenforceable, or was not entered into knowingly and voluntarily, you agree at the Company’s option, either to return the consideration provided for herein or to execute a release in a form satisfactory to the Company that is lawful and enforceable. Moreover, if any one or more of the provisions contained in this Agreement is held to be excessively broad as to duration, scope, activity or subject, such provisions will be construed by limiting and reducing them so as to be enforceable to the maximum extent compatible with applicable law.</w:t>
      </w:r>
    </w:p>
    <w:p>
      <w:pPr>
        <w:spacing w:after="0" w:line="158" w:lineRule="exact"/>
        <w:rPr>
          <w:rFonts w:ascii="Arial" w:cs="Arial" w:eastAsia="Arial" w:hAnsi="Arial"/>
          <w:sz w:val="17"/>
          <w:szCs w:val="17"/>
          <w:color w:val="auto"/>
        </w:rPr>
      </w:pPr>
    </w:p>
    <w:p>
      <w:pPr>
        <w:jc w:val="both"/>
        <w:ind w:left="-690" w:right="20" w:firstLine="690"/>
        <w:spacing w:after="0"/>
        <w:tabs>
          <w:tab w:leader="none" w:pos="733" w:val="left"/>
        </w:tabs>
        <w:numPr>
          <w:ilvl w:val="0"/>
          <w:numId w:val="99"/>
        </w:numPr>
        <w:rPr>
          <w:rFonts w:ascii="Arial" w:cs="Arial" w:eastAsia="Arial" w:hAnsi="Arial"/>
          <w:sz w:val="19"/>
          <w:szCs w:val="19"/>
          <w:color w:val="auto"/>
        </w:rPr>
      </w:pPr>
      <w:r>
        <w:rPr>
          <w:rFonts w:ascii="Arial" w:cs="Arial" w:eastAsia="Arial" w:hAnsi="Arial"/>
          <w:sz w:val="19"/>
          <w:szCs w:val="19"/>
          <w:color w:val="auto"/>
        </w:rPr>
        <w:t>Nothing herein shall be deemed to constitute an admission of wrongdoing by the Company or any member of the Group. Neither this Agreement nor any of its terms shall be used as an admission or introduced as evidence as to any issue of law or fact in any proceeding, suit or action, other than an action to enforce this Agreement.</w:t>
      </w:r>
    </w:p>
    <w:p>
      <w:pPr>
        <w:spacing w:after="0" w:line="180" w:lineRule="exact"/>
        <w:rPr>
          <w:rFonts w:ascii="Arial" w:cs="Arial" w:eastAsia="Arial" w:hAnsi="Arial"/>
          <w:sz w:val="19"/>
          <w:szCs w:val="19"/>
          <w:color w:val="auto"/>
        </w:rPr>
      </w:pPr>
    </w:p>
    <w:p>
      <w:pPr>
        <w:ind w:left="-690" w:right="20" w:firstLine="690"/>
        <w:spacing w:after="0" w:line="381" w:lineRule="auto"/>
        <w:tabs>
          <w:tab w:leader="none" w:pos="708"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This Agreement may be executed in two (2) or more counterparts, each of which shall be deemed an original, but all of which together shall constitute one and the same instrument. Fax and PDF copies of such executed counterparts may be used in lieu of the originals for any purpose.</w:t>
      </w:r>
    </w:p>
    <w:p>
      <w:pPr>
        <w:spacing w:after="0" w:line="79" w:lineRule="exact"/>
        <w:rPr>
          <w:rFonts w:ascii="Arial" w:cs="Arial" w:eastAsia="Arial" w:hAnsi="Arial"/>
          <w:sz w:val="15"/>
          <w:szCs w:val="15"/>
          <w:color w:val="auto"/>
        </w:rPr>
      </w:pPr>
    </w:p>
    <w:p>
      <w:pPr>
        <w:jc w:val="both"/>
        <w:ind w:left="-690" w:firstLine="690"/>
        <w:spacing w:after="0" w:line="263" w:lineRule="auto"/>
        <w:tabs>
          <w:tab w:leader="none" w:pos="714"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The parties agree that, subject to Section 17(b) below and to the fullest extent permitted by law, any dispute, controversy or claim arising out of, relating to, or in connection with this Agreement shall be submitted to arbitration before a single arbitrator in Miami, Florida in accordance with the Employment Arbitration Rules &amp; Procedures of Judicial Arbitration and Mediation Services, Inc. (JAMS). The determination of the arbitrator shall be conclusive and binding on the Company (or its affiliates, where applicable) and you, and judgment may be entered on the arbitrator’s award in any court having jurisdiction. The arbitrator shall apply New York law to the merits of any dispute or claims, without reference to the rules of conflicts of law applicable therein. You understand that by signing this Agreement, you agree to submit any claims arising out of, relating to, or in connection with this Agreement, or the interpretation, validity, construction, performance, or breach thereof, or your employment or the termination thereof, to binding arbitration, and that this arbitration provision constitutes a waiver of your right to a jury trial and relates to the resolution of all disputes relating to all aspects of the employer/employee relationship to the fullest extent permitted by law, including but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78740</wp:posOffset>
            </wp:positionV>
            <wp:extent cx="726567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0750"/>
          </w:cols>
          <w:pgMar w:left="930" w:top="121" w:right="219" w:bottom="1440" w:gutter="0" w:footer="0" w:header="0"/>
        </w:sectPr>
      </w:pPr>
    </w:p>
    <w:bookmarkStart w:id="116" w:name="page117"/>
    <w:bookmarkEnd w:id="116"/>
    <w:p>
      <w:pPr>
        <w:jc w:val="both"/>
        <w:ind w:left="-690" w:firstLine="690"/>
        <w:spacing w:after="0" w:line="239" w:lineRule="auto"/>
        <w:tabs>
          <w:tab w:leader="none" w:pos="77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2" w:lineRule="exact"/>
        <w:rPr>
          <w:rFonts w:ascii="Arial" w:cs="Arial" w:eastAsia="Arial" w:hAnsi="Arial"/>
          <w:sz w:val="19"/>
          <w:szCs w:val="19"/>
          <w:color w:val="auto"/>
        </w:rPr>
      </w:pPr>
    </w:p>
    <w:p>
      <w:pPr>
        <w:jc w:val="both"/>
        <w:ind w:left="-690" w:firstLine="690"/>
        <w:spacing w:after="0" w:line="237" w:lineRule="auto"/>
        <w:tabs>
          <w:tab w:leader="none" w:pos="83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and all claims for violation of any federal, state or municipal statute, including, without limitation, the Age Discrimination in Employment Act of 1967, Title VII of the Civil Rights Act of 1964, as amended, the Civil Rights Act of 1991, the Equal Pay Act, the Employee Retirement Income Security Act of 1974, as amended, the Americans with Disabilities Act of 1990, the Family Medical Leave Act of 1993, the Fair Labor Standards Act; and</w:t>
      </w:r>
    </w:p>
    <w:p>
      <w:pPr>
        <w:spacing w:after="0" w:line="182" w:lineRule="exact"/>
        <w:rPr>
          <w:rFonts w:ascii="Arial" w:cs="Arial" w:eastAsia="Arial" w:hAnsi="Arial"/>
          <w:sz w:val="19"/>
          <w:szCs w:val="19"/>
          <w:color w:val="auto"/>
        </w:rPr>
      </w:pPr>
    </w:p>
    <w:p>
      <w:pPr>
        <w:ind w:left="-690" w:right="20" w:firstLine="690"/>
        <w:spacing w:after="0" w:line="250" w:lineRule="auto"/>
        <w:tabs>
          <w:tab w:leader="none" w:pos="96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and all claims arising out of any other federal, state or local laws or regulations relating to employment or employment discrimination, including but not limited to, any claim challenging the validity of the waiver of claims contained herein.</w:t>
      </w:r>
    </w:p>
    <w:p>
      <w:pPr>
        <w:spacing w:after="0" w:line="172" w:lineRule="exact"/>
        <w:rPr>
          <w:sz w:val="20"/>
          <w:szCs w:val="20"/>
          <w:color w:val="auto"/>
        </w:rPr>
      </w:pPr>
    </w:p>
    <w:p>
      <w:pPr>
        <w:jc w:val="both"/>
        <w:ind w:left="-690" w:firstLine="690"/>
        <w:spacing w:after="0" w:line="265" w:lineRule="auto"/>
        <w:tabs>
          <w:tab w:leader="none" w:pos="7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Agreement does not constitute an agreement to arbitrate claims on a collective or class basis. It is expressly agreed that, to the fullest extent permitted by law, no arbitrator shall have the authority to consider class or collective claims in connection with any claims, to order consolidation or to join different claimants or grant relief other than on an individual basis to the individual claimant involved. You waive any right to assert any claim on a class or collective basis in any forum. Any issue concerning arbitrability of a particular issue or claim pursuant to this Agreement, and any issue concerning the validity or enforceability of the collective and class action waiver contained in this Agreement shall be decided by a court of a competent jurisdiction, and no arbitrator shall have any authority to consider or decide any issue concerning arbitrability of a particular issue or claim pursuant to this Agreement, concerning the validity or enforceability of the collective and class action waiver.</w:t>
      </w:r>
    </w:p>
    <w:p>
      <w:pPr>
        <w:spacing w:after="0" w:line="161" w:lineRule="exact"/>
        <w:rPr>
          <w:rFonts w:ascii="Arial" w:cs="Arial" w:eastAsia="Arial" w:hAnsi="Arial"/>
          <w:sz w:val="17"/>
          <w:szCs w:val="17"/>
          <w:color w:val="auto"/>
        </w:rPr>
      </w:pPr>
    </w:p>
    <w:p>
      <w:pPr>
        <w:jc w:val="both"/>
        <w:ind w:left="-690" w:firstLine="690"/>
        <w:spacing w:after="0"/>
        <w:tabs>
          <w:tab w:leader="none" w:pos="69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Notwithstanding the foregoing, nothing herein shall preclude either party from seeking temporary or preliminary injunctive relief. The parties agree to submit to the exclusive jurisdiction of the United States District Court of the Southern District of New York, or if that court lacks jurisdiction, in a state court located within the geographical boundaries thereof.</w:t>
      </w:r>
    </w:p>
    <w:p>
      <w:pPr>
        <w:spacing w:after="0" w:line="181" w:lineRule="exact"/>
        <w:rPr>
          <w:sz w:val="20"/>
          <w:szCs w:val="20"/>
          <w:color w:val="auto"/>
        </w:rPr>
      </w:pPr>
    </w:p>
    <w:p>
      <w:pPr>
        <w:ind w:left="-690" w:firstLine="690"/>
        <w:spacing w:after="0" w:line="250" w:lineRule="auto"/>
        <w:tabs>
          <w:tab w:leader="none" w:pos="80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terms of this Agreement and all rights and obligations of the parties thereto, including its enforcement, shall be interpreted and governed by the laws of the State of New York, without regard to principles of conflicts of law.</w:t>
      </w:r>
    </w:p>
    <w:p>
      <w:pPr>
        <w:spacing w:after="0" w:line="172" w:lineRule="exact"/>
        <w:rPr>
          <w:rFonts w:ascii="Arial" w:cs="Arial" w:eastAsia="Arial" w:hAnsi="Arial"/>
          <w:sz w:val="19"/>
          <w:szCs w:val="19"/>
          <w:color w:val="auto"/>
        </w:rPr>
      </w:pPr>
    </w:p>
    <w:p>
      <w:pPr>
        <w:jc w:val="both"/>
        <w:ind w:left="-690" w:firstLine="690"/>
        <w:spacing w:after="0" w:line="264" w:lineRule="auto"/>
        <w:tabs>
          <w:tab w:leader="none" w:pos="80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You understand that you have been given twenty-one (21) days from the original date of presentment of this Agreement (set forth below) to consider whether or not to execute this Agreement, although you may elect to sign it sooner. You agree that any modification to this Agreement, material or otherwise, does not restart, extend or affect in any way the original twenty-one (21) day consideration period. You shall have a period of seven (7) days after the day on which you sign this Agreement to revoke your consent thereto, which revocation must be in writing delivered to the Company, to the attention of Mark Wiley in the Company’s Human Resources department, and this Agreement shall not become effective until the eighth day following your execution of it (the “</w:t>
      </w:r>
      <w:r>
        <w:rPr>
          <w:rFonts w:ascii="Arial" w:cs="Arial" w:eastAsia="Arial" w:hAnsi="Arial"/>
          <w:sz w:val="17"/>
          <w:szCs w:val="17"/>
          <w:u w:val="single" w:color="auto"/>
          <w:color w:val="auto"/>
        </w:rPr>
        <w:t>Effective Date</w:t>
      </w:r>
      <w:r>
        <w:rPr>
          <w:rFonts w:ascii="Arial" w:cs="Arial" w:eastAsia="Arial" w:hAnsi="Arial"/>
          <w:sz w:val="17"/>
          <w:szCs w:val="17"/>
          <w:color w:val="auto"/>
        </w:rPr>
        <w:t>”). You understand that if you revoke your consent within such seven (7) day period, all of the Company’s obligations to you under this Agreement will immediately cease, and the Company will not be required to make the payments or provide the benefits to you set forth herein pursuant to the terms hereof. You are advised to have this Agreement reviewed by legal counsel of your choice.</w:t>
      </w:r>
    </w:p>
    <w:p>
      <w:pPr>
        <w:spacing w:after="0" w:line="161" w:lineRule="exact"/>
        <w:rPr>
          <w:rFonts w:ascii="Arial" w:cs="Arial" w:eastAsia="Arial" w:hAnsi="Arial"/>
          <w:sz w:val="17"/>
          <w:szCs w:val="17"/>
          <w:color w:val="auto"/>
        </w:rPr>
      </w:pPr>
    </w:p>
    <w:p>
      <w:pPr>
        <w:jc w:val="both"/>
        <w:ind w:left="-690" w:firstLine="690"/>
        <w:spacing w:after="0" w:line="263" w:lineRule="auto"/>
        <w:tabs>
          <w:tab w:leader="none" w:pos="80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terms contained in this Agreement constitute the entire agreement between the parties with respect to the subject matter hereof and supersede all prior negotiations, representations or agreements relating thereto, whether written or oral, with the exception of any agreements or provisions in agreements concerning confidentiality, trade secrets, restrictive covenants, or any nonsolicitation or nonservicing agreements, all of which agreements shall remain in full force and effect except as explicitly stated in Section 2(c) of this Agreement, and are hereby confirmed and ratified. In further consideration of this Agreement and notwithstanding anything herein to the contrary, except to the extent otherwise explicitly specified in Section 2(c) of this Agreement, you agree to abide by and hereby reaffirm any confidentiality or restrictive covenant obligations contained in any agreements you may have entered into or otherwise are bound by with the Company, the terms of which are hereby incorporated by reference. You represent that in executing this Agreement, you have not relied upon any representation or statement not set forth herein. No amendment or modification of this Agreement shall be valid or binding upon the parties unless in writing and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211455</wp:posOffset>
            </wp:positionV>
            <wp:extent cx="726567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0750"/>
          </w:cols>
          <w:pgMar w:left="930" w:top="121" w:right="219" w:bottom="1440" w:gutter="0" w:footer="0" w:header="0"/>
        </w:sectPr>
      </w:pPr>
    </w:p>
    <w:bookmarkStart w:id="117" w:name="page118"/>
    <w:bookmarkEnd w:id="117"/>
    <w:p>
      <w:pPr>
        <w:jc w:val="both"/>
        <w:ind w:firstLine="690"/>
        <w:spacing w:after="0" w:line="237" w:lineRule="auto"/>
        <w:tabs>
          <w:tab w:leader="none" w:pos="139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language used in this Agreement will be deemed to be language chosen by the parties to express their mutual intent, and no rule of law or contract interpretation that provides that in the case of ambiguity or uncertainty a provision should be construed against the draftsmen will be applied against any party. The provisions of this Agreement shall be construed according to their fair meaning and neither for nor against any party irrespective of which party did cause such provisions to be drafted.</w:t>
      </w:r>
    </w:p>
    <w:p>
      <w:pPr>
        <w:spacing w:after="0" w:line="181" w:lineRule="exact"/>
        <w:rPr>
          <w:rFonts w:ascii="Arial" w:cs="Arial" w:eastAsia="Arial" w:hAnsi="Arial"/>
          <w:sz w:val="19"/>
          <w:szCs w:val="19"/>
          <w:color w:val="auto"/>
        </w:rPr>
      </w:pPr>
    </w:p>
    <w:p>
      <w:pPr>
        <w:jc w:val="both"/>
        <w:ind w:firstLine="690"/>
        <w:spacing w:after="0" w:line="282" w:lineRule="auto"/>
        <w:tabs>
          <w:tab w:leader="none" w:pos="14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shall be entitled to withhold from any amounts to be paid to you hereunder any federal, state, or local withholding or other taxes or amounts, which it is from time to time required to withhold, and any lawful deductions authorized by you. The Company shall have no liability whatsoever for your personal tax consequences arising out of this Agreement or any payments or arrangements contemplated hereunder.</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Dated November 25, 2019</w:t>
      </w:r>
    </w:p>
    <w:p>
      <w:pPr>
        <w:spacing w:after="0" w:line="208" w:lineRule="exact"/>
        <w:rPr>
          <w:sz w:val="20"/>
          <w:szCs w:val="20"/>
          <w:color w:val="auto"/>
        </w:rPr>
      </w:pPr>
    </w:p>
    <w:p>
      <w:pPr>
        <w:ind w:left="6420"/>
        <w:spacing w:after="0"/>
        <w:rPr>
          <w:sz w:val="20"/>
          <w:szCs w:val="20"/>
          <w:color w:val="auto"/>
        </w:rPr>
      </w:pPr>
      <w:r>
        <w:rPr>
          <w:rFonts w:ascii="Arial" w:cs="Arial" w:eastAsia="Arial" w:hAnsi="Arial"/>
          <w:sz w:val="15"/>
          <w:szCs w:val="15"/>
          <w:color w:val="auto"/>
        </w:rPr>
        <w:t>NFE MANAGEMENT LLC</w:t>
      </w:r>
    </w:p>
    <w:p>
      <w:pPr>
        <w:spacing w:after="0" w:line="199" w:lineRule="exact"/>
        <w:rPr>
          <w:sz w:val="20"/>
          <w:szCs w:val="20"/>
          <w:color w:val="auto"/>
        </w:rPr>
      </w:pPr>
    </w:p>
    <w:tbl>
      <w:tblPr>
        <w:tblLayout w:type="fixed"/>
        <w:tblInd w:w="5720" w:type="dxa"/>
        <w:tblCellMar>
          <w:top w:w="0" w:type="dxa"/>
          <w:left w:w="0" w:type="dxa"/>
          <w:bottom w:w="0" w:type="dxa"/>
          <w:right w:w="0" w:type="dxa"/>
        </w:tblCellMar>
      </w:tblPr>
      <w:tr>
        <w:trPr>
          <w:trHeight w:val="211"/>
        </w:trPr>
        <w:tc>
          <w:tcPr>
            <w:tcW w:w="9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ind w:left="660"/>
              <w:spacing w:after="0"/>
              <w:rPr>
                <w:sz w:val="20"/>
                <w:szCs w:val="20"/>
                <w:color w:val="auto"/>
              </w:rPr>
            </w:pPr>
            <w:r>
              <w:rPr>
                <w:rFonts w:ascii="Arial" w:cs="Arial" w:eastAsia="Arial" w:hAnsi="Arial"/>
                <w:sz w:val="15"/>
                <w:szCs w:val="15"/>
                <w:color w:val="auto"/>
              </w:rPr>
              <w:t>/s/ Cameron MacDougall</w:t>
            </w:r>
          </w:p>
        </w:tc>
        <w:tc>
          <w:tcPr>
            <w:tcW w:w="20" w:type="dxa"/>
            <w:vAlign w:val="bottom"/>
          </w:tcPr>
          <w:p>
            <w:pPr>
              <w:spacing w:after="0"/>
              <w:rPr>
                <w:sz w:val="18"/>
                <w:szCs w:val="18"/>
                <w:color w:val="auto"/>
              </w:rPr>
            </w:pPr>
          </w:p>
        </w:tc>
      </w:tr>
      <w:tr>
        <w:trPr>
          <w:trHeight w:val="196"/>
        </w:trPr>
        <w:tc>
          <w:tcPr>
            <w:tcW w:w="960" w:type="dxa"/>
            <w:vAlign w:val="bottom"/>
          </w:tcPr>
          <w:p>
            <w:pPr>
              <w:ind w:left="700"/>
              <w:spacing w:after="0"/>
              <w:rPr>
                <w:sz w:val="20"/>
                <w:szCs w:val="20"/>
                <w:color w:val="auto"/>
              </w:rPr>
            </w:pPr>
            <w:r>
              <w:rPr>
                <w:rFonts w:ascii="Arial" w:cs="Arial" w:eastAsia="Arial" w:hAnsi="Arial"/>
                <w:sz w:val="15"/>
                <w:szCs w:val="15"/>
                <w:color w:val="auto"/>
              </w:rPr>
              <w:t>By:</w:t>
            </w:r>
          </w:p>
        </w:tc>
        <w:tc>
          <w:tcPr>
            <w:tcW w:w="3040" w:type="dxa"/>
            <w:vAlign w:val="bottom"/>
          </w:tcPr>
          <w:p>
            <w:pPr>
              <w:ind w:left="660"/>
              <w:spacing w:after="0"/>
              <w:rPr>
                <w:sz w:val="20"/>
                <w:szCs w:val="20"/>
                <w:color w:val="auto"/>
              </w:rPr>
            </w:pPr>
            <w:r>
              <w:rPr>
                <w:rFonts w:ascii="Arial" w:cs="Arial" w:eastAsia="Arial" w:hAnsi="Arial"/>
                <w:sz w:val="15"/>
                <w:szCs w:val="15"/>
                <w:color w:val="auto"/>
              </w:rPr>
              <w:t>Cameron MacDougall</w:t>
            </w:r>
          </w:p>
        </w:tc>
        <w:tc>
          <w:tcPr>
            <w:tcW w:w="20" w:type="dxa"/>
            <w:vAlign w:val="bottom"/>
          </w:tcPr>
          <w:p>
            <w:pPr>
              <w:spacing w:after="0"/>
              <w:rPr>
                <w:sz w:val="17"/>
                <w:szCs w:val="17"/>
                <w:color w:val="auto"/>
              </w:rPr>
            </w:pPr>
          </w:p>
        </w:tc>
      </w:tr>
      <w:tr>
        <w:trPr>
          <w:trHeight w:val="376"/>
        </w:trPr>
        <w:tc>
          <w:tcPr>
            <w:tcW w:w="960" w:type="dxa"/>
            <w:vAlign w:val="bottom"/>
          </w:tcPr>
          <w:p>
            <w:pPr>
              <w:ind w:left="620"/>
              <w:spacing w:after="0"/>
              <w:rPr>
                <w:sz w:val="20"/>
                <w:szCs w:val="20"/>
                <w:color w:val="auto"/>
              </w:rPr>
            </w:pPr>
            <w:r>
              <w:rPr>
                <w:rFonts w:ascii="Arial" w:cs="Arial" w:eastAsia="Arial" w:hAnsi="Arial"/>
                <w:sz w:val="15"/>
                <w:szCs w:val="15"/>
                <w:color w:val="auto"/>
                <w:w w:val="89"/>
              </w:rPr>
              <w:t>Date:</w:t>
            </w:r>
          </w:p>
        </w:tc>
        <w:tc>
          <w:tcPr>
            <w:tcW w:w="3040" w:type="dxa"/>
            <w:vAlign w:val="bottom"/>
            <w:tcBorders>
              <w:bottom w:val="single" w:sz="8" w:color="auto"/>
            </w:tcBorders>
          </w:tcPr>
          <w:p>
            <w:pPr>
              <w:ind w:left="680"/>
              <w:spacing w:after="0"/>
              <w:rPr>
                <w:sz w:val="20"/>
                <w:szCs w:val="20"/>
                <w:color w:val="auto"/>
              </w:rPr>
            </w:pPr>
            <w:r>
              <w:rPr>
                <w:rFonts w:ascii="Arial" w:cs="Arial" w:eastAsia="Arial" w:hAnsi="Arial"/>
                <w:sz w:val="15"/>
                <w:szCs w:val="15"/>
                <w:color w:val="auto"/>
              </w:rPr>
              <w:t>November 25, 2019</w:t>
            </w:r>
          </w:p>
        </w:tc>
        <w:tc>
          <w:tcPr>
            <w:tcW w:w="20" w:type="dxa"/>
            <w:vAlign w:val="bottom"/>
            <w:tcBorders>
              <w:bottom w:val="single" w:sz="8" w:color="auto"/>
            </w:tcBorders>
          </w:tcPr>
          <w:p>
            <w:pPr>
              <w:spacing w:after="0"/>
              <w:rPr>
                <w:sz w:val="24"/>
                <w:szCs w:val="24"/>
                <w:color w:val="auto"/>
              </w:rPr>
            </w:pPr>
          </w:p>
        </w:tc>
      </w:tr>
    </w:tbl>
    <w:p>
      <w:pPr>
        <w:spacing w:after="0" w:line="199" w:lineRule="exact"/>
        <w:rPr>
          <w:sz w:val="20"/>
          <w:szCs w:val="20"/>
          <w:color w:val="auto"/>
        </w:rPr>
      </w:pPr>
    </w:p>
    <w:p>
      <w:pPr>
        <w:jc w:val="right"/>
        <w:ind w:right="8380"/>
        <w:spacing w:after="0"/>
        <w:rPr>
          <w:sz w:val="20"/>
          <w:szCs w:val="20"/>
          <w:color w:val="auto"/>
        </w:rPr>
      </w:pPr>
      <w:r>
        <w:rPr>
          <w:rFonts w:ascii="Arial" w:cs="Arial" w:eastAsia="Arial" w:hAnsi="Arial"/>
          <w:sz w:val="15"/>
          <w:szCs w:val="15"/>
          <w:color w:val="auto"/>
        </w:rPr>
        <w:t>AGREED TO AND ACCEPTED BY:</w:t>
      </w:r>
    </w:p>
    <w:p>
      <w:pPr>
        <w:spacing w:after="0" w:line="199" w:lineRule="exact"/>
        <w:rPr>
          <w:sz w:val="20"/>
          <w:szCs w:val="20"/>
          <w:color w:val="auto"/>
        </w:rPr>
      </w:pPr>
    </w:p>
    <w:p>
      <w:pPr>
        <w:jc w:val="right"/>
        <w:ind w:right="8360"/>
        <w:spacing w:after="0"/>
        <w:rPr>
          <w:sz w:val="20"/>
          <w:szCs w:val="20"/>
          <w:color w:val="auto"/>
        </w:rPr>
      </w:pPr>
      <w:r>
        <w:rPr>
          <w:rFonts w:ascii="Arial" w:cs="Arial" w:eastAsia="Arial" w:hAnsi="Arial"/>
          <w:sz w:val="15"/>
          <w:szCs w:val="15"/>
          <w:color w:val="auto"/>
        </w:rPr>
        <w:t>/s/ Michael J. Utlser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25450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2545080" cy="1460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p>
      <w:pPr>
        <w:spacing w:after="0" w:line="48" w:lineRule="exact"/>
        <w:rPr>
          <w:sz w:val="20"/>
          <w:szCs w:val="20"/>
          <w:color w:val="auto"/>
        </w:rPr>
      </w:pPr>
    </w:p>
    <w:p>
      <w:pPr>
        <w:ind w:left="700"/>
        <w:spacing w:after="0" w:line="549" w:lineRule="auto"/>
        <w:rPr>
          <w:sz w:val="20"/>
          <w:szCs w:val="20"/>
          <w:color w:val="auto"/>
        </w:rPr>
      </w:pPr>
      <w:r>
        <w:rPr>
          <w:rFonts w:ascii="Arial" w:cs="Arial" w:eastAsia="Arial" w:hAnsi="Arial"/>
          <w:sz w:val="15"/>
          <w:szCs w:val="15"/>
          <w:color w:val="auto"/>
        </w:rPr>
        <w:t>Michael J. Utsler Date: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November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29845</wp:posOffset>
            </wp:positionV>
            <wp:extent cx="181483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1814830" cy="14605"/>
                    </a:xfrm>
                    <a:prstGeom prst="rect">
                      <a:avLst/>
                    </a:prstGeom>
                    <a:noFill/>
                  </pic:spPr>
                </pic:pic>
              </a:graphicData>
            </a:graphic>
          </wp:anchor>
        </w:drawing>
        <w:drawing>
          <wp:anchor simplePos="0" relativeHeight="251657728" behindDoc="1" locked="0" layoutInCell="0" allowOverlap="1">
            <wp:simplePos x="0" y="0"/>
            <wp:positionH relativeFrom="column">
              <wp:posOffset>-1172210</wp:posOffset>
            </wp:positionH>
            <wp:positionV relativeFrom="paragraph">
              <wp:posOffset>368935</wp:posOffset>
            </wp:positionV>
            <wp:extent cx="726567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2">
            <w:col w:w="1760" w:space="80"/>
            <w:col w:w="9600"/>
          </w:cols>
          <w:pgMar w:left="240" w:top="121" w:right="219" w:bottom="1440" w:gutter="0" w:footer="0" w:header="0"/>
          <w:type w:val="continuous"/>
        </w:sectPr>
      </w:pPr>
    </w:p>
    <w:bookmarkStart w:id="118" w:name="page119"/>
    <w:bookmarkEnd w:id="118"/>
    <w:p>
      <w:pPr>
        <w:ind w:left="104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21.1</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360" w:type="dxa"/>
            <w:vAlign w:val="bottom"/>
          </w:tcPr>
          <w:p>
            <w:pPr>
              <w:spacing w:after="0"/>
              <w:rPr>
                <w:sz w:val="21"/>
                <w:szCs w:val="21"/>
                <w:color w:val="auto"/>
              </w:rPr>
            </w:pPr>
          </w:p>
        </w:tc>
        <w:tc>
          <w:tcPr>
            <w:tcW w:w="8080" w:type="dxa"/>
            <w:vAlign w:val="bottom"/>
            <w:gridSpan w:val="2"/>
          </w:tcPr>
          <w:p>
            <w:pPr>
              <w:ind w:left="420"/>
              <w:spacing w:after="0"/>
              <w:rPr>
                <w:sz w:val="20"/>
                <w:szCs w:val="20"/>
                <w:color w:val="auto"/>
              </w:rPr>
            </w:pPr>
            <w:r>
              <w:rPr>
                <w:rFonts w:ascii="Arial" w:cs="Arial" w:eastAsia="Arial" w:hAnsi="Arial"/>
                <w:sz w:val="19"/>
                <w:szCs w:val="19"/>
                <w:b w:val="1"/>
                <w:bCs w:val="1"/>
                <w:color w:val="auto"/>
              </w:rPr>
              <w:t>List of Subsidiaries of New Fortress Energy LLC</w:t>
            </w:r>
          </w:p>
        </w:tc>
      </w:tr>
      <w:tr>
        <w:trPr>
          <w:trHeight w:val="203"/>
        </w:trPr>
        <w:tc>
          <w:tcPr>
            <w:tcW w:w="336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r>
      <w:tr>
        <w:trPr>
          <w:trHeight w:val="209"/>
        </w:trPr>
        <w:tc>
          <w:tcPr>
            <w:tcW w:w="3360" w:type="dxa"/>
            <w:vAlign w:val="bottom"/>
            <w:tcBorders>
              <w:left w:val="single" w:sz="8" w:color="auto"/>
            </w:tcBorders>
          </w:tcPr>
          <w:p>
            <w:pPr>
              <w:ind w:left="40"/>
              <w:spacing w:after="0"/>
              <w:rPr>
                <w:sz w:val="20"/>
                <w:szCs w:val="20"/>
                <w:color w:val="auto"/>
              </w:rPr>
            </w:pPr>
            <w:r>
              <w:rPr>
                <w:rFonts w:ascii="Arial" w:cs="Arial" w:eastAsia="Arial" w:hAnsi="Arial"/>
                <w:sz w:val="15"/>
                <w:szCs w:val="15"/>
                <w:b w:val="1"/>
                <w:bCs w:val="1"/>
                <w:color w:val="auto"/>
              </w:rPr>
              <w:t>Entity Name</w:t>
            </w:r>
          </w:p>
        </w:tc>
        <w:tc>
          <w:tcPr>
            <w:tcW w:w="5220" w:type="dxa"/>
            <w:vAlign w:val="bottom"/>
            <w:tcBorders>
              <w:right w:val="single" w:sz="8" w:color="auto"/>
            </w:tcBorders>
          </w:tcPr>
          <w:p>
            <w:pPr>
              <w:spacing w:after="0"/>
              <w:rPr>
                <w:sz w:val="18"/>
                <w:szCs w:val="18"/>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Jurisdiction</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Amaunet S. de R.L. de C.V.</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Mexico</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American Energy Logistics Solutions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American LNG Marketing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American Natural Gas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Atlantic Distribution Holdings SRL</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Barbados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Atlantic Energy Holdings Limited</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Barbados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Atlantic Energy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Atlantic Energy Infrastructure Holdings SRL</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Barbados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Atlantic Pipeline Holdings SRL</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Barbados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Atlantic Power Holdings Limited</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Bermuda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Atlantic Power Holdings SRL</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Barbados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Atlantic Terminal Holdings Limited</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Barbados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Atlantic Terminal Infrastructure Holdings SRL</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Barbados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Bradford County Development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Bradford County GPF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Bradford County GPF Partners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Bradford County Power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Bradford County Power Partners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Bradford County Real Estate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Bradford County Real Estate Partners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Bradford County Transport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Bradford County Transport Partners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Energy Transport Solutions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Island LNG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LA Development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LA Real Estate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LA Real Estate Partners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LNG Holdings (Florida)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LNG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New Fortress Energy Foundation Limited</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5"/>
              </w:rPr>
              <w:t>Jamaica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New Fortress Energy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New Fortress Energy Jamaica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New Fortress Energy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New Fortress Energy Marketing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New Fortress Intermediate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NFE Angola – Sociedade Unipessoal, Lda.</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Angola</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NFE Angola Holdings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NFE Atlantic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NFE Bahamas Holdings Ltd.</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Bahamas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NFE BCS Holdings (A)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NFE BCS Holdings (B)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NFE Equipment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NFE Equipment Partners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NFE Ghana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33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NFE Ghana Partners LLC</w:t>
            </w:r>
          </w:p>
        </w:tc>
        <w:tc>
          <w:tcPr>
            <w:tcW w:w="5220" w:type="dxa"/>
            <w:vAlign w:val="bottom"/>
            <w:tcBorders>
              <w:bottom w:val="single" w:sz="8" w:color="CCEEFF"/>
              <w:right w:val="single" w:sz="8" w:color="auto"/>
            </w:tcBorders>
            <w:shd w:val="clear" w:color="auto" w:fill="CCEEFF"/>
          </w:tcPr>
          <w:p>
            <w:pPr>
              <w:spacing w:after="0"/>
              <w:rPr>
                <w:sz w:val="20"/>
                <w:szCs w:val="20"/>
                <w:color w:val="auto"/>
              </w:rPr>
            </w:pP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33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5"/>
                <w:szCs w:val="15"/>
                <w:color w:val="auto"/>
              </w:rPr>
              <w:t>NFE Honduras Holdings LLC</w:t>
            </w:r>
          </w:p>
        </w:tc>
        <w:tc>
          <w:tcPr>
            <w:tcW w:w="5220" w:type="dxa"/>
            <w:vAlign w:val="bottom"/>
            <w:tcBorders>
              <w:top w:val="single" w:sz="8" w:color="auto"/>
              <w:right w:val="single" w:sz="8" w:color="auto"/>
            </w:tcBorders>
          </w:tcPr>
          <w:p>
            <w:pPr>
              <w:spacing w:after="0"/>
              <w:rPr>
                <w:sz w:val="18"/>
                <w:szCs w:val="18"/>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619"/>
        </w:trPr>
        <w:tc>
          <w:tcPr>
            <w:tcW w:w="33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56" w:right="219" w:bottom="1440" w:gutter="0" w:footer="0" w:header="0"/>
        </w:sectPr>
      </w:pPr>
    </w:p>
    <w:bookmarkStart w:id="119" w:name="page120"/>
    <w:bookmarkEnd w:id="1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858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International Holdings Limited</w:t>
            </w:r>
          </w:p>
        </w:tc>
        <w:tc>
          <w:tcPr>
            <w:tcW w:w="28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7"/>
              </w:rPr>
              <w:t>United Kingdom</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International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Ireland Financing DAC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Ireland</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ISO Holdings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ISO Partners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Jamaica GP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Logistics Holdings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Management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Mexico Holdings B.V.</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Netherlands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Mexico Holdings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Mexico Holdings Parent B.V.</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Netherlands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Nicaragua Development Partners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Nicaragua Development Partners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Nicaragua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Nicaragua Holdings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North Distribution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5"/>
              </w:rPr>
              <w:t>Jamaica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North Holdings Limited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Bermuda</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North Holdings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5"/>
              </w:rPr>
              <w:t>Jamaica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North Infrastructure Limited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Bermuda</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North Trading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Bermuda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North Transport Limited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5"/>
              </w:rPr>
              <w:t>Jamaica</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Pacifico LAP, S. de R.L. de C.V.</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Mexico</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Plant Development Holdings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Shannon Holdings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Ireland</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Side Vehicle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South Holdings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Bermuda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South Holdings Limited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5"/>
              </w:rPr>
              <w:t>Jamaica</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South Power Holdings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5"/>
              </w:rPr>
              <w:t>Jamaica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South Power Holdings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South Power Trading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5"/>
              </w:rPr>
              <w:t>Jamaica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South Power Trading Limited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Bermuda</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South Trading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Bermuda</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Sub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 Transport Holdings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 Transport Partners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NFEnergía GN de BCS S. de R.L. de C.V.</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Mexico</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NFEnergia Honduras S. de R.L.</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Honduras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NFEnergia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1"/>
              </w:rPr>
              <w:t>Puerto Rico</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NFEnergia Mexico S. de R.L. de C.V.</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Mexico</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NFI Equity Holdings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PA Development Holdings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PA Real Estate Holdings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PA Real Estate Partners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Path Ltd.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Bahamas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Shannon LNG Energy Limited</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Ireland</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Shannon LNG Limited</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Ireland</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Soluciones de Energia Limpia PR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Puerto Rico</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241"/>
        </w:trPr>
        <w:tc>
          <w:tcPr>
            <w:tcW w:w="85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TICO Development Partners Holdings LLC</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United States</w:t>
            </w:r>
          </w:p>
        </w:tc>
      </w:tr>
      <w:tr>
        <w:trPr>
          <w:trHeight w:val="209"/>
        </w:trPr>
        <w:tc>
          <w:tcPr>
            <w:tcW w:w="85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TICO Development Partners LLC</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United States</w:t>
            </w:r>
          </w:p>
        </w:tc>
      </w:tr>
      <w:tr>
        <w:trPr>
          <w:trHeight w:val="27"/>
        </w:trPr>
        <w:tc>
          <w:tcPr>
            <w:tcW w:w="85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305"/>
        </w:trPr>
        <w:tc>
          <w:tcPr>
            <w:tcW w:w="85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0"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4" w:lineRule="exact"/>
        <w:rPr>
          <w:sz w:val="20"/>
          <w:szCs w:val="20"/>
          <w:color w:val="auto"/>
        </w:rPr>
      </w:pPr>
    </w:p>
    <w:p>
      <w:pPr>
        <w:ind w:right="60"/>
        <w:spacing w:after="0"/>
        <w:rPr>
          <w:sz w:val="20"/>
          <w:szCs w:val="20"/>
          <w:color w:val="auto"/>
        </w:rPr>
      </w:pPr>
      <w:r>
        <w:rPr>
          <w:rFonts w:ascii="Arial" w:cs="Arial" w:eastAsia="Arial" w:hAnsi="Arial"/>
          <w:sz w:val="19"/>
          <w:szCs w:val="19"/>
          <w:color w:val="auto"/>
        </w:rPr>
        <w:t>We consent to the incorporation by reference in the Registration Statement (Form S-8 No. 333-229507) pertaining to the New Fortress Energy LLC 2019 Omnibus Incentive Plan of our report dated March 4, 2020, with respect to the consolidated financial statements and schedules of New Fortress Energy LLC included in this Annual Report (Form 10-K)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Philadelphia, Pennsylvania</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320675</wp:posOffset>
            </wp:positionV>
            <wp:extent cx="726567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0"/>
          </w:cols>
          <w:pgMar w:left="240" w:top="256" w:right="2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31.1</w:t>
      </w:r>
    </w:p>
    <w:p>
      <w:pPr>
        <w:spacing w:after="0" w:line="200"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CERTIFICATION OF CHIEF EXECUTIVE OFFICER</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RULE 13A-14(A) AND RULE 15D-14(A)</w:t>
      </w: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 AS AMENDED</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9"/>
          <w:szCs w:val="19"/>
          <w:color w:val="auto"/>
        </w:rPr>
        <w:t>I, Wesley R. Edens, certify that:</w:t>
      </w:r>
    </w:p>
    <w:p>
      <w:pPr>
        <w:spacing w:after="0" w:line="208" w:lineRule="exact"/>
        <w:rPr>
          <w:sz w:val="20"/>
          <w:szCs w:val="20"/>
          <w:color w:val="auto"/>
        </w:rPr>
      </w:pPr>
    </w:p>
    <w:p>
      <w:pPr>
        <w:ind w:left="567" w:hanging="567"/>
        <w:spacing w:after="0"/>
        <w:tabs>
          <w:tab w:leader="none" w:pos="5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 have reviewed this Annual Report on Form 10-K (the “report”) of New Fortress Energy LLC (the “registrant”);</w:t>
      </w:r>
    </w:p>
    <w:p>
      <w:pPr>
        <w:spacing w:after="0" w:line="222" w:lineRule="exact"/>
        <w:rPr>
          <w:rFonts w:ascii="Arial" w:cs="Arial" w:eastAsia="Arial" w:hAnsi="Arial"/>
          <w:sz w:val="15"/>
          <w:szCs w:val="15"/>
          <w:color w:val="auto"/>
        </w:rPr>
      </w:pPr>
    </w:p>
    <w:p>
      <w:pPr>
        <w:ind w:left="567" w:right="120" w:hanging="567"/>
        <w:spacing w:after="0" w:line="291" w:lineRule="auto"/>
        <w:tabs>
          <w:tab w:leader="none" w:pos="5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5"/>
          <w:szCs w:val="15"/>
          <w:color w:val="auto"/>
        </w:rPr>
      </w:pPr>
    </w:p>
    <w:p>
      <w:pPr>
        <w:ind w:left="567" w:right="160" w:hanging="567"/>
        <w:spacing w:after="0" w:line="291" w:lineRule="auto"/>
        <w:tabs>
          <w:tab w:leader="none" w:pos="5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5"/>
          <w:szCs w:val="15"/>
          <w:color w:val="auto"/>
        </w:rPr>
      </w:pPr>
    </w:p>
    <w:p>
      <w:pPr>
        <w:ind w:left="567" w:right="260" w:hanging="567"/>
        <w:spacing w:after="0" w:line="329" w:lineRule="auto"/>
        <w:tabs>
          <w:tab w:leader="none" w:pos="567"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4"/>
          <w:szCs w:val="14"/>
          <w:color w:val="auto"/>
        </w:rPr>
      </w:pPr>
    </w:p>
    <w:p>
      <w:pPr>
        <w:jc w:val="both"/>
        <w:ind w:left="1107" w:right="280" w:hanging="549"/>
        <w:spacing w:after="0" w:line="274" w:lineRule="auto"/>
        <w:tabs>
          <w:tab w:leader="none" w:pos="110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5"/>
          <w:szCs w:val="15"/>
          <w:color w:val="auto"/>
        </w:rPr>
      </w:pPr>
    </w:p>
    <w:p>
      <w:pPr>
        <w:ind w:left="1107" w:right="340" w:hanging="549"/>
        <w:spacing w:after="0" w:line="274" w:lineRule="auto"/>
        <w:tabs>
          <w:tab w:leader="none" w:pos="110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5"/>
          <w:szCs w:val="15"/>
          <w:color w:val="auto"/>
        </w:rPr>
      </w:pPr>
    </w:p>
    <w:p>
      <w:pPr>
        <w:ind w:left="1107" w:right="80" w:hanging="549"/>
        <w:spacing w:after="0" w:line="291" w:lineRule="auto"/>
        <w:tabs>
          <w:tab w:leader="none" w:pos="110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5"/>
          <w:szCs w:val="15"/>
          <w:color w:val="auto"/>
        </w:rPr>
      </w:pPr>
    </w:p>
    <w:p>
      <w:pPr>
        <w:ind w:left="1107" w:right="60" w:hanging="549"/>
        <w:spacing w:after="0" w:line="274" w:lineRule="auto"/>
        <w:tabs>
          <w:tab w:leader="none" w:pos="110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5"/>
          <w:szCs w:val="15"/>
          <w:color w:val="auto"/>
        </w:rPr>
      </w:pPr>
    </w:p>
    <w:p>
      <w:pPr>
        <w:ind w:left="567" w:right="100" w:hanging="567"/>
        <w:spacing w:after="0" w:line="291" w:lineRule="auto"/>
        <w:tabs>
          <w:tab w:leader="none" w:pos="56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107" w:right="280" w:hanging="549"/>
        <w:spacing w:after="0" w:line="291" w:lineRule="auto"/>
        <w:tabs>
          <w:tab w:leader="none" w:pos="110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5"/>
          <w:szCs w:val="15"/>
          <w:color w:val="auto"/>
        </w:rPr>
      </w:pPr>
    </w:p>
    <w:p>
      <w:pPr>
        <w:ind w:left="1107" w:right="540" w:hanging="549"/>
        <w:spacing w:after="0" w:line="291" w:lineRule="auto"/>
        <w:tabs>
          <w:tab w:leader="none" w:pos="110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7"/>
        <w:spacing w:after="0"/>
        <w:tabs>
          <w:tab w:leader="none" w:pos="5947" w:val="left"/>
          <w:tab w:leader="none" w:pos="6387" w:val="left"/>
        </w:tabs>
        <w:rPr>
          <w:sz w:val="20"/>
          <w:szCs w:val="20"/>
          <w:color w:val="auto"/>
        </w:rPr>
      </w:pPr>
      <w:r>
        <w:rPr>
          <w:rFonts w:ascii="Arial" w:cs="Arial" w:eastAsia="Arial" w:hAnsi="Arial"/>
          <w:sz w:val="15"/>
          <w:szCs w:val="15"/>
          <w:color w:val="auto"/>
        </w:rPr>
        <w:t>Date: March 4,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22860</wp:posOffset>
            </wp:positionV>
            <wp:extent cx="702246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022465" cy="14605"/>
                    </a:xfrm>
                    <a:prstGeom prst="rect">
                      <a:avLst/>
                    </a:prstGeom>
                    <a:noFill/>
                  </pic:spPr>
                </pic:pic>
              </a:graphicData>
            </a:graphic>
          </wp:anchor>
        </w:drawing>
      </w:r>
    </w:p>
    <w:p>
      <w:pPr>
        <w:spacing w:after="0" w:line="28" w:lineRule="exact"/>
        <w:rPr>
          <w:sz w:val="20"/>
          <w:szCs w:val="20"/>
          <w:color w:val="auto"/>
        </w:rPr>
      </w:pPr>
    </w:p>
    <w:p>
      <w:pPr>
        <w:ind w:left="6407"/>
        <w:spacing w:after="0"/>
        <w:rPr>
          <w:sz w:val="20"/>
          <w:szCs w:val="20"/>
          <w:color w:val="auto"/>
        </w:rPr>
      </w:pPr>
      <w:r>
        <w:rPr>
          <w:rFonts w:ascii="Arial" w:cs="Arial" w:eastAsia="Arial" w:hAnsi="Arial"/>
          <w:sz w:val="15"/>
          <w:szCs w:val="15"/>
          <w:color w:val="auto"/>
        </w:rPr>
        <w:t>Wesley R. Edens</w:t>
      </w:r>
    </w:p>
    <w:p>
      <w:pPr>
        <w:spacing w:after="0" w:line="23" w:lineRule="exact"/>
        <w:rPr>
          <w:sz w:val="20"/>
          <w:szCs w:val="20"/>
          <w:color w:val="auto"/>
        </w:rPr>
      </w:pPr>
    </w:p>
    <w:p>
      <w:pPr>
        <w:ind w:left="6407"/>
        <w:spacing w:after="0"/>
        <w:rPr>
          <w:sz w:val="20"/>
          <w:szCs w:val="20"/>
          <w:color w:val="auto"/>
        </w:rPr>
      </w:pPr>
      <w:r>
        <w:rPr>
          <w:rFonts w:ascii="Arial" w:cs="Arial" w:eastAsia="Arial" w:hAnsi="Arial"/>
          <w:sz w:val="15"/>
          <w:szCs w:val="15"/>
          <w:color w:val="auto"/>
        </w:rPr>
        <w:t>Chief Executive Officer</w:t>
      </w:r>
    </w:p>
    <w:p>
      <w:pPr>
        <w:spacing w:after="0" w:line="13" w:lineRule="exact"/>
        <w:rPr>
          <w:sz w:val="20"/>
          <w:szCs w:val="20"/>
          <w:color w:val="auto"/>
        </w:rPr>
      </w:pPr>
    </w:p>
    <w:p>
      <w:pPr>
        <w:ind w:left="6407"/>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26567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256" w:right="2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31.2</w:t>
      </w:r>
    </w:p>
    <w:p>
      <w:pPr>
        <w:spacing w:after="0" w:line="200" w:lineRule="exact"/>
        <w:rPr>
          <w:sz w:val="20"/>
          <w:szCs w:val="20"/>
          <w:color w:val="auto"/>
        </w:rPr>
      </w:pPr>
    </w:p>
    <w:p>
      <w:pPr>
        <w:ind w:left="3507"/>
        <w:spacing w:after="0"/>
        <w:rPr>
          <w:sz w:val="20"/>
          <w:szCs w:val="20"/>
          <w:color w:val="auto"/>
        </w:rPr>
      </w:pPr>
      <w:r>
        <w:rPr>
          <w:rFonts w:ascii="Arial" w:cs="Arial" w:eastAsia="Arial" w:hAnsi="Arial"/>
          <w:sz w:val="19"/>
          <w:szCs w:val="19"/>
          <w:b w:val="1"/>
          <w:bCs w:val="1"/>
          <w:color w:val="auto"/>
        </w:rPr>
        <w:t>CERTIFICATION OF CHIEF FINANCIAL OFFICER</w:t>
      </w:r>
    </w:p>
    <w:p>
      <w:pPr>
        <w:spacing w:after="0" w:line="1" w:lineRule="exact"/>
        <w:rPr>
          <w:sz w:val="20"/>
          <w:szCs w:val="20"/>
          <w:color w:val="auto"/>
        </w:rPr>
      </w:pPr>
    </w:p>
    <w:p>
      <w:pPr>
        <w:ind w:left="3427"/>
        <w:spacing w:after="0"/>
        <w:rPr>
          <w:sz w:val="20"/>
          <w:szCs w:val="20"/>
          <w:color w:val="auto"/>
        </w:rPr>
      </w:pPr>
      <w:r>
        <w:rPr>
          <w:rFonts w:ascii="Arial" w:cs="Arial" w:eastAsia="Arial" w:hAnsi="Arial"/>
          <w:sz w:val="19"/>
          <w:szCs w:val="19"/>
          <w:b w:val="1"/>
          <w:bCs w:val="1"/>
          <w:color w:val="auto"/>
        </w:rPr>
        <w:t>PURSUANT TO RULE 13A-14(A) AND RULE 15D-14(A)</w:t>
      </w:r>
    </w:p>
    <w:p>
      <w:pPr>
        <w:ind w:left="2967"/>
        <w:spacing w:after="0"/>
        <w:rPr>
          <w:sz w:val="20"/>
          <w:szCs w:val="20"/>
          <w:color w:val="auto"/>
        </w:rPr>
      </w:pPr>
      <w:r>
        <w:rPr>
          <w:rFonts w:ascii="Arial" w:cs="Arial" w:eastAsia="Arial" w:hAnsi="Arial"/>
          <w:sz w:val="19"/>
          <w:szCs w:val="19"/>
          <w:b w:val="1"/>
          <w:bCs w:val="1"/>
          <w:color w:val="auto"/>
        </w:rPr>
        <w:t>OF THE SECURITIES EXCHANGE ACT OF 1934, AS AMENDED</w:t>
      </w:r>
    </w:p>
    <w:p>
      <w:pPr>
        <w:spacing w:after="0" w:line="393" w:lineRule="exact"/>
        <w:rPr>
          <w:sz w:val="20"/>
          <w:szCs w:val="20"/>
          <w:color w:val="auto"/>
        </w:rPr>
      </w:pPr>
    </w:p>
    <w:p>
      <w:pPr>
        <w:ind w:left="7"/>
        <w:spacing w:after="0"/>
        <w:rPr>
          <w:sz w:val="20"/>
          <w:szCs w:val="20"/>
          <w:color w:val="auto"/>
        </w:rPr>
      </w:pPr>
      <w:r>
        <w:rPr>
          <w:rFonts w:ascii="Arial" w:cs="Arial" w:eastAsia="Arial" w:hAnsi="Arial"/>
          <w:sz w:val="19"/>
          <w:szCs w:val="19"/>
          <w:color w:val="auto"/>
        </w:rPr>
        <w:t>I, Christopher S. Guinta, certify that:</w:t>
      </w:r>
    </w:p>
    <w:p>
      <w:pPr>
        <w:spacing w:after="0" w:line="208" w:lineRule="exact"/>
        <w:rPr>
          <w:sz w:val="20"/>
          <w:szCs w:val="20"/>
          <w:color w:val="auto"/>
        </w:rPr>
      </w:pPr>
    </w:p>
    <w:p>
      <w:pPr>
        <w:ind w:left="567" w:hanging="567"/>
        <w:spacing w:after="0"/>
        <w:tabs>
          <w:tab w:leader="none" w:pos="5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 have reviewed this Annual Report on Form 10-K (the “report”) of New Fortress Energy LLC (the “registrant”);</w:t>
      </w:r>
    </w:p>
    <w:p>
      <w:pPr>
        <w:spacing w:after="0" w:line="222" w:lineRule="exact"/>
        <w:rPr>
          <w:rFonts w:ascii="Arial" w:cs="Arial" w:eastAsia="Arial" w:hAnsi="Arial"/>
          <w:sz w:val="15"/>
          <w:szCs w:val="15"/>
          <w:color w:val="auto"/>
        </w:rPr>
      </w:pPr>
    </w:p>
    <w:p>
      <w:pPr>
        <w:ind w:left="567" w:right="120" w:hanging="567"/>
        <w:spacing w:after="0" w:line="291" w:lineRule="auto"/>
        <w:tabs>
          <w:tab w:leader="none" w:pos="5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5"/>
          <w:szCs w:val="15"/>
          <w:color w:val="auto"/>
        </w:rPr>
      </w:pPr>
    </w:p>
    <w:p>
      <w:pPr>
        <w:ind w:left="567" w:right="160" w:hanging="567"/>
        <w:spacing w:after="0" w:line="291" w:lineRule="auto"/>
        <w:tabs>
          <w:tab w:leader="none" w:pos="5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5"/>
          <w:szCs w:val="15"/>
          <w:color w:val="auto"/>
        </w:rPr>
      </w:pPr>
    </w:p>
    <w:p>
      <w:pPr>
        <w:ind w:left="567" w:right="260" w:hanging="567"/>
        <w:spacing w:after="0" w:line="329" w:lineRule="auto"/>
        <w:tabs>
          <w:tab w:leader="none" w:pos="56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4"/>
          <w:szCs w:val="14"/>
          <w:color w:val="auto"/>
        </w:rPr>
      </w:pPr>
    </w:p>
    <w:p>
      <w:pPr>
        <w:jc w:val="both"/>
        <w:ind w:left="1107" w:right="280" w:hanging="549"/>
        <w:spacing w:after="0" w:line="274" w:lineRule="auto"/>
        <w:tabs>
          <w:tab w:leader="none" w:pos="110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5"/>
          <w:szCs w:val="15"/>
          <w:color w:val="auto"/>
        </w:rPr>
      </w:pPr>
    </w:p>
    <w:p>
      <w:pPr>
        <w:ind w:left="1107" w:right="340" w:hanging="549"/>
        <w:spacing w:after="0" w:line="274" w:lineRule="auto"/>
        <w:tabs>
          <w:tab w:leader="none" w:pos="110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5"/>
          <w:szCs w:val="15"/>
          <w:color w:val="auto"/>
        </w:rPr>
      </w:pPr>
    </w:p>
    <w:p>
      <w:pPr>
        <w:ind w:left="1107" w:right="80" w:hanging="549"/>
        <w:spacing w:after="0" w:line="291" w:lineRule="auto"/>
        <w:tabs>
          <w:tab w:leader="none" w:pos="110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5"/>
          <w:szCs w:val="15"/>
          <w:color w:val="auto"/>
        </w:rPr>
      </w:pPr>
    </w:p>
    <w:p>
      <w:pPr>
        <w:ind w:left="1107" w:right="60" w:hanging="549"/>
        <w:spacing w:after="0" w:line="274" w:lineRule="auto"/>
        <w:tabs>
          <w:tab w:leader="none" w:pos="110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5"/>
          <w:szCs w:val="15"/>
          <w:color w:val="auto"/>
        </w:rPr>
      </w:pPr>
    </w:p>
    <w:p>
      <w:pPr>
        <w:ind w:left="567" w:right="100" w:hanging="567"/>
        <w:spacing w:after="0" w:line="291" w:lineRule="auto"/>
        <w:tabs>
          <w:tab w:leader="none" w:pos="56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5"/>
          <w:szCs w:val="15"/>
          <w:color w:val="auto"/>
        </w:rPr>
      </w:pPr>
    </w:p>
    <w:p>
      <w:pPr>
        <w:ind w:left="1107" w:right="280" w:hanging="549"/>
        <w:spacing w:after="0" w:line="291" w:lineRule="auto"/>
        <w:tabs>
          <w:tab w:leader="none" w:pos="110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5"/>
          <w:szCs w:val="15"/>
          <w:color w:val="auto"/>
        </w:rPr>
      </w:pPr>
    </w:p>
    <w:p>
      <w:pPr>
        <w:ind w:left="1107" w:right="540" w:hanging="549"/>
        <w:spacing w:after="0" w:line="291" w:lineRule="auto"/>
        <w:tabs>
          <w:tab w:leader="none" w:pos="110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7"/>
        <w:spacing w:after="0"/>
        <w:tabs>
          <w:tab w:leader="none" w:pos="5947" w:val="left"/>
          <w:tab w:leader="none" w:pos="6387" w:val="left"/>
        </w:tabs>
        <w:rPr>
          <w:sz w:val="20"/>
          <w:szCs w:val="20"/>
          <w:color w:val="auto"/>
        </w:rPr>
      </w:pPr>
      <w:r>
        <w:rPr>
          <w:rFonts w:ascii="Arial" w:cs="Arial" w:eastAsia="Arial" w:hAnsi="Arial"/>
          <w:sz w:val="15"/>
          <w:szCs w:val="15"/>
          <w:color w:val="auto"/>
        </w:rPr>
        <w:t>Date: March 4, 2020</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22860</wp:posOffset>
            </wp:positionV>
            <wp:extent cx="702246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022465" cy="14605"/>
                    </a:xfrm>
                    <a:prstGeom prst="rect">
                      <a:avLst/>
                    </a:prstGeom>
                    <a:noFill/>
                  </pic:spPr>
                </pic:pic>
              </a:graphicData>
            </a:graphic>
          </wp:anchor>
        </w:drawing>
      </w:r>
    </w:p>
    <w:p>
      <w:pPr>
        <w:spacing w:after="0" w:line="28" w:lineRule="exact"/>
        <w:rPr>
          <w:sz w:val="20"/>
          <w:szCs w:val="20"/>
          <w:color w:val="auto"/>
        </w:rPr>
      </w:pPr>
    </w:p>
    <w:p>
      <w:pPr>
        <w:ind w:left="6407"/>
        <w:spacing w:after="0"/>
        <w:rPr>
          <w:sz w:val="20"/>
          <w:szCs w:val="20"/>
          <w:color w:val="auto"/>
        </w:rPr>
      </w:pPr>
      <w:r>
        <w:rPr>
          <w:rFonts w:ascii="Arial" w:cs="Arial" w:eastAsia="Arial" w:hAnsi="Arial"/>
          <w:sz w:val="15"/>
          <w:szCs w:val="15"/>
          <w:color w:val="auto"/>
        </w:rPr>
        <w:t>Christopher S. Guinta</w:t>
      </w:r>
    </w:p>
    <w:p>
      <w:pPr>
        <w:spacing w:after="0" w:line="23" w:lineRule="exact"/>
        <w:rPr>
          <w:sz w:val="20"/>
          <w:szCs w:val="20"/>
          <w:color w:val="auto"/>
        </w:rPr>
      </w:pPr>
    </w:p>
    <w:p>
      <w:pPr>
        <w:ind w:left="6407"/>
        <w:spacing w:after="0"/>
        <w:rPr>
          <w:sz w:val="20"/>
          <w:szCs w:val="20"/>
          <w:color w:val="auto"/>
        </w:rPr>
      </w:pPr>
      <w:r>
        <w:rPr>
          <w:rFonts w:ascii="Arial" w:cs="Arial" w:eastAsia="Arial" w:hAnsi="Arial"/>
          <w:sz w:val="15"/>
          <w:szCs w:val="15"/>
          <w:color w:val="auto"/>
        </w:rPr>
        <w:t>Chief Financial Officer</w:t>
      </w:r>
    </w:p>
    <w:p>
      <w:pPr>
        <w:spacing w:after="0" w:line="13" w:lineRule="exact"/>
        <w:rPr>
          <w:sz w:val="20"/>
          <w:szCs w:val="20"/>
          <w:color w:val="auto"/>
        </w:rPr>
      </w:pPr>
    </w:p>
    <w:p>
      <w:pPr>
        <w:ind w:left="6407"/>
        <w:spacing w:after="0"/>
        <w:rPr>
          <w:sz w:val="20"/>
          <w:szCs w:val="20"/>
          <w:color w:val="auto"/>
        </w:rPr>
      </w:pPr>
      <w:r>
        <w:rPr>
          <w:rFonts w:ascii="Arial" w:cs="Arial" w:eastAsia="Arial" w:hAnsi="Arial"/>
          <w:sz w:val="15"/>
          <w:szCs w:val="15"/>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26567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265670" cy="14605"/>
                    </a:xfrm>
                    <a:prstGeom prst="rect">
                      <a:avLst/>
                    </a:prstGeom>
                    <a:noFill/>
                  </pic:spPr>
                </pic:pic>
              </a:graphicData>
            </a:graphic>
          </wp:anchor>
        </w:drawing>
      </w:r>
    </w:p>
    <w:p>
      <w:pPr>
        <w:sectPr>
          <w:pgSz w:w="11900" w:h="16838" w:orient="portrait"/>
          <w:cols w:equalWidth="0" w:num="1">
            <w:col w:w="11447"/>
          </w:cols>
          <w:pgMar w:left="233" w:top="256"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EXECUTIVE OFFICER UNDER SECTION 906</w:t>
      </w:r>
    </w:p>
    <w:p>
      <w:pPr>
        <w:jc w:val="center"/>
        <w:spacing w:after="0"/>
        <w:rPr>
          <w:sz w:val="20"/>
          <w:szCs w:val="20"/>
          <w:color w:val="auto"/>
        </w:rPr>
      </w:pPr>
      <w:r>
        <w:rPr>
          <w:rFonts w:ascii="Arial" w:cs="Arial" w:eastAsia="Arial" w:hAnsi="Arial"/>
          <w:sz w:val="19"/>
          <w:szCs w:val="19"/>
          <w:b w:val="1"/>
          <w:bCs w:val="1"/>
          <w:color w:val="auto"/>
        </w:rPr>
        <w:t>OF THE SARBANES OXLEY ACT OF 2002, 18 U.S.C. § 1350</w:t>
      </w:r>
    </w:p>
    <w:p>
      <w:pPr>
        <w:spacing w:after="0" w:line="184" w:lineRule="exact"/>
        <w:rPr>
          <w:sz w:val="20"/>
          <w:szCs w:val="20"/>
          <w:color w:val="auto"/>
        </w:rPr>
      </w:pPr>
    </w:p>
    <w:p>
      <w:pPr>
        <w:ind w:right="80"/>
        <w:spacing w:after="0"/>
        <w:rPr>
          <w:sz w:val="20"/>
          <w:szCs w:val="20"/>
          <w:color w:val="auto"/>
        </w:rPr>
      </w:pPr>
      <w:r>
        <w:rPr>
          <w:rFonts w:ascii="Arial" w:cs="Arial" w:eastAsia="Arial" w:hAnsi="Arial"/>
          <w:sz w:val="19"/>
          <w:szCs w:val="19"/>
          <w:color w:val="auto"/>
        </w:rPr>
        <w:t>In connection with the Annual Report on Form 10-K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89" w:lineRule="exact"/>
        <w:rPr>
          <w:sz w:val="20"/>
          <w:szCs w:val="20"/>
          <w:color w:val="auto"/>
        </w:rPr>
      </w:pPr>
    </w:p>
    <w:p>
      <w:pPr>
        <w:ind w:left="1100" w:hanging="549"/>
        <w:spacing w:after="0"/>
        <w:tabs>
          <w:tab w:leader="none" w:pos="11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22" w:lineRule="exact"/>
        <w:rPr>
          <w:rFonts w:ascii="Arial" w:cs="Arial" w:eastAsia="Arial" w:hAnsi="Arial"/>
          <w:sz w:val="15"/>
          <w:szCs w:val="15"/>
          <w:color w:val="auto"/>
        </w:rPr>
      </w:pPr>
    </w:p>
    <w:p>
      <w:pPr>
        <w:ind w:left="1100" w:hanging="549"/>
        <w:spacing w:after="0"/>
        <w:tabs>
          <w:tab w:leader="none" w:pos="11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gridSpan w:val="2"/>
          </w:tcPr>
          <w:p>
            <w:pPr>
              <w:spacing w:after="0"/>
              <w:rPr>
                <w:sz w:val="20"/>
                <w:szCs w:val="20"/>
                <w:color w:val="auto"/>
              </w:rPr>
            </w:pPr>
            <w:r>
              <w:rPr>
                <w:rFonts w:ascii="Arial" w:cs="Arial" w:eastAsia="Arial" w:hAnsi="Arial"/>
                <w:sz w:val="15"/>
                <w:szCs w:val="15"/>
                <w:color w:val="auto"/>
              </w:rPr>
              <w:t>Date: March 4, 2020</w:t>
            </w:r>
          </w:p>
        </w:tc>
        <w:tc>
          <w:tcPr>
            <w:tcW w:w="1820" w:type="dxa"/>
            <w:vAlign w:val="bottom"/>
          </w:tcPr>
          <w:p>
            <w:pPr>
              <w:ind w:left="1380"/>
              <w:spacing w:after="0"/>
              <w:rPr>
                <w:sz w:val="20"/>
                <w:szCs w:val="20"/>
                <w:color w:val="auto"/>
              </w:rPr>
            </w:pPr>
            <w:r>
              <w:rPr>
                <w:rFonts w:ascii="Arial" w:cs="Arial" w:eastAsia="Arial" w:hAnsi="Arial"/>
                <w:sz w:val="15"/>
                <w:szCs w:val="15"/>
                <w:color w:val="auto"/>
              </w:rPr>
              <w:t>By:</w:t>
            </w:r>
          </w:p>
        </w:tc>
        <w:tc>
          <w:tcPr>
            <w:tcW w:w="5040" w:type="dxa"/>
            <w:vAlign w:val="bottom"/>
          </w:tcPr>
          <w:p>
            <w:pPr>
              <w:spacing w:after="0"/>
              <w:rPr>
                <w:sz w:val="20"/>
                <w:szCs w:val="20"/>
                <w:color w:val="auto"/>
              </w:rPr>
            </w:pPr>
            <w:r>
              <w:rPr>
                <w:rFonts w:ascii="Arial" w:cs="Arial" w:eastAsia="Arial" w:hAnsi="Arial"/>
                <w:sz w:val="15"/>
                <w:szCs w:val="15"/>
                <w:color w:val="auto"/>
              </w:rPr>
              <w:t>/s/ Wesley R. Edens</w:t>
            </w:r>
          </w:p>
        </w:tc>
      </w:tr>
      <w:tr>
        <w:trPr>
          <w:trHeight w:val="175"/>
        </w:trPr>
        <w:tc>
          <w:tcPr>
            <w:tcW w:w="380" w:type="dxa"/>
            <w:vAlign w:val="bottom"/>
          </w:tcPr>
          <w:p>
            <w:pPr>
              <w:spacing w:after="0"/>
              <w:rPr>
                <w:sz w:val="15"/>
                <w:szCs w:val="15"/>
                <w:color w:val="auto"/>
              </w:rPr>
            </w:pPr>
          </w:p>
        </w:tc>
        <w:tc>
          <w:tcPr>
            <w:tcW w:w="4200" w:type="dxa"/>
            <w:vAlign w:val="bottom"/>
            <w:tcBorders>
              <w:top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Wesley R. Edens</w:t>
            </w:r>
          </w:p>
        </w:tc>
      </w:tr>
      <w:tr>
        <w:trPr>
          <w:trHeight w:val="186"/>
        </w:trPr>
        <w:tc>
          <w:tcPr>
            <w:tcW w:w="3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196"/>
        </w:trPr>
        <w:tc>
          <w:tcPr>
            <w:tcW w:w="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(Principal Executive Officer)</w:t>
            </w:r>
          </w:p>
        </w:tc>
      </w:tr>
      <w:tr>
        <w:trPr>
          <w:trHeight w:val="515"/>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56"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65670" cy="29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265670" cy="29210"/>
                    </a:xfrm>
                    <a:prstGeom prst="rect">
                      <a:avLst/>
                    </a:prstGeom>
                    <a:noFill/>
                  </pic:spPr>
                </pic:pic>
              </a:graphicData>
            </a:graphic>
          </wp:anchor>
        </w:drawing>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FINANCIAL OFFICER UNDER SECTION 906</w:t>
      </w:r>
    </w:p>
    <w:p>
      <w:pPr>
        <w:jc w:val="center"/>
        <w:spacing w:after="0"/>
        <w:rPr>
          <w:sz w:val="20"/>
          <w:szCs w:val="20"/>
          <w:color w:val="auto"/>
        </w:rPr>
      </w:pPr>
      <w:r>
        <w:rPr>
          <w:rFonts w:ascii="Arial" w:cs="Arial" w:eastAsia="Arial" w:hAnsi="Arial"/>
          <w:sz w:val="19"/>
          <w:szCs w:val="19"/>
          <w:b w:val="1"/>
          <w:bCs w:val="1"/>
          <w:color w:val="auto"/>
        </w:rPr>
        <w:t>OF THE SARBANES OXLEY ACT OF 2002, 18 U.S.C. § 1350</w:t>
      </w:r>
    </w:p>
    <w:p>
      <w:pPr>
        <w:spacing w:after="0" w:line="169"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In connection with the Annual Report on Form 10-K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53" w:lineRule="exact"/>
        <w:rPr>
          <w:sz w:val="20"/>
          <w:szCs w:val="20"/>
          <w:color w:val="auto"/>
        </w:rPr>
      </w:pPr>
    </w:p>
    <w:p>
      <w:pPr>
        <w:ind w:left="1100" w:hanging="549"/>
        <w:spacing w:after="0"/>
        <w:tabs>
          <w:tab w:leader="none" w:pos="11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222" w:lineRule="exact"/>
        <w:rPr>
          <w:rFonts w:ascii="Arial" w:cs="Arial" w:eastAsia="Arial" w:hAnsi="Arial"/>
          <w:sz w:val="15"/>
          <w:szCs w:val="15"/>
          <w:color w:val="auto"/>
        </w:rPr>
      </w:pPr>
    </w:p>
    <w:p>
      <w:pPr>
        <w:ind w:left="1100" w:hanging="549"/>
        <w:spacing w:after="0"/>
        <w:tabs>
          <w:tab w:leader="none" w:pos="11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80" w:type="dxa"/>
            <w:vAlign w:val="bottom"/>
            <w:gridSpan w:val="2"/>
          </w:tcPr>
          <w:p>
            <w:pPr>
              <w:spacing w:after="0"/>
              <w:rPr>
                <w:sz w:val="20"/>
                <w:szCs w:val="20"/>
                <w:color w:val="auto"/>
              </w:rPr>
            </w:pPr>
            <w:r>
              <w:rPr>
                <w:rFonts w:ascii="Arial" w:cs="Arial" w:eastAsia="Arial" w:hAnsi="Arial"/>
                <w:sz w:val="15"/>
                <w:szCs w:val="15"/>
                <w:color w:val="auto"/>
              </w:rPr>
              <w:t>Date: March 4, 2020</w:t>
            </w:r>
          </w:p>
        </w:tc>
        <w:tc>
          <w:tcPr>
            <w:tcW w:w="1820" w:type="dxa"/>
            <w:vAlign w:val="bottom"/>
          </w:tcPr>
          <w:p>
            <w:pPr>
              <w:ind w:left="1380"/>
              <w:spacing w:after="0"/>
              <w:rPr>
                <w:sz w:val="20"/>
                <w:szCs w:val="20"/>
                <w:color w:val="auto"/>
              </w:rPr>
            </w:pPr>
            <w:r>
              <w:rPr>
                <w:rFonts w:ascii="Arial" w:cs="Arial" w:eastAsia="Arial" w:hAnsi="Arial"/>
                <w:sz w:val="15"/>
                <w:szCs w:val="15"/>
                <w:color w:val="auto"/>
              </w:rPr>
              <w:t>By:</w:t>
            </w:r>
          </w:p>
        </w:tc>
        <w:tc>
          <w:tcPr>
            <w:tcW w:w="5040" w:type="dxa"/>
            <w:vAlign w:val="bottom"/>
          </w:tcPr>
          <w:p>
            <w:pPr>
              <w:spacing w:after="0"/>
              <w:rPr>
                <w:sz w:val="20"/>
                <w:szCs w:val="20"/>
                <w:color w:val="auto"/>
              </w:rPr>
            </w:pPr>
            <w:r>
              <w:rPr>
                <w:rFonts w:ascii="Arial" w:cs="Arial" w:eastAsia="Arial" w:hAnsi="Arial"/>
                <w:sz w:val="15"/>
                <w:szCs w:val="15"/>
                <w:color w:val="auto"/>
              </w:rPr>
              <w:t>/s/ Christopher S. Guinta</w:t>
            </w:r>
          </w:p>
        </w:tc>
      </w:tr>
      <w:tr>
        <w:trPr>
          <w:trHeight w:val="187"/>
        </w:trPr>
        <w:tc>
          <w:tcPr>
            <w:tcW w:w="380" w:type="dxa"/>
            <w:vAlign w:val="bottom"/>
          </w:tcPr>
          <w:p>
            <w:pPr>
              <w:spacing w:after="0"/>
              <w:rPr>
                <w:sz w:val="16"/>
                <w:szCs w:val="16"/>
                <w:color w:val="auto"/>
              </w:rPr>
            </w:pPr>
          </w:p>
        </w:tc>
        <w:tc>
          <w:tcPr>
            <w:tcW w:w="4200" w:type="dxa"/>
            <w:vAlign w:val="bottom"/>
            <w:tcBorders>
              <w:top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Christopher S. Guinta</w:t>
            </w:r>
          </w:p>
        </w:tc>
      </w:tr>
      <w:tr>
        <w:trPr>
          <w:trHeight w:val="196"/>
        </w:trPr>
        <w:tc>
          <w:tcPr>
            <w:tcW w:w="3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209"/>
        </w:trPr>
        <w:tc>
          <w:tcPr>
            <w:tcW w:w="3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5"/>
                <w:szCs w:val="15"/>
                <w:color w:val="auto"/>
              </w:rPr>
              <w:t>(Principal Financial Officer)</w:t>
            </w:r>
          </w:p>
        </w:tc>
      </w:tr>
      <w:tr>
        <w:trPr>
          <w:trHeight w:val="538"/>
        </w:trPr>
        <w:tc>
          <w:tcPr>
            <w:tcW w:w="3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2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1)"/>
      <w:numFmt w:val="lowerRoman"/>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1)"/>
      <w:numFmt w:val="decimal"/>
      <w:start w:val="2"/>
    </w:lvl>
  </w:abstractNum>
  <w:abstractNum w:abstractNumId="25">
    <w:nsid w:val="4AD084E9"/>
    <w:multiLevelType w:val="hybridMultilevel"/>
    <w:lvl w:ilvl="0">
      <w:lvlJc w:val="left"/>
      <w:lvlText w:val="(%1)"/>
      <w:numFmt w:val="lowerLetter"/>
      <w:start w:val="2"/>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
    </w:lvl>
  </w:abstractNum>
  <w:abstractNum w:abstractNumId="29">
    <w:nsid w:val="100F8FCA"/>
    <w:multiLevelType w:val="hybridMultilevel"/>
    <w:lvl w:ilvl="0">
      <w:lvlJc w:val="left"/>
      <w:lvlText w:val="%1."/>
      <w:numFmt w:val="decimal"/>
      <w:start w:val="2"/>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Letter"/>
      <w:start w:val="2"/>
    </w:lvl>
  </w:abstractNum>
  <w:abstractNum w:abstractNumId="32">
    <w:nsid w:val="5F5E7FD0"/>
    <w:multiLevelType w:val="hybridMultilevel"/>
    <w:lvl w:ilvl="0">
      <w:lvlJc w:val="left"/>
      <w:lvlText w:val="(%1)"/>
      <w:numFmt w:val="lowerLetter"/>
      <w:start w:val="3"/>
    </w:lvl>
  </w:abstractNum>
  <w:abstractNum w:abstractNumId="33">
    <w:nsid w:val="98A3148"/>
    <w:multiLevelType w:val="hybridMultilevel"/>
    <w:lvl w:ilvl="0">
      <w:lvlJc w:val="left"/>
      <w:lvlText w:val="(%1)"/>
      <w:numFmt w:val="lowerLetter"/>
      <w:start w:val="4"/>
    </w:lvl>
  </w:abstractNum>
  <w:abstractNum w:abstractNumId="34">
    <w:nsid w:val="799D0247"/>
    <w:multiLevelType w:val="hybridMultilevel"/>
    <w:lvl w:ilvl="0">
      <w:lvlJc w:val="left"/>
      <w:lvlText w:val="(%1)"/>
      <w:numFmt w:val="lowerLetter"/>
      <w:start w:val="5"/>
    </w:lvl>
  </w:abstractNum>
  <w:abstractNum w:abstractNumId="35">
    <w:nsid w:val="6B94764"/>
    <w:multiLevelType w:val="hybridMultilevel"/>
    <w:lvl w:ilvl="0">
      <w:lvlJc w:val="left"/>
      <w:lvlText w:val="(%1)"/>
      <w:numFmt w:val="lowerLetter"/>
      <w:start w:val="6"/>
    </w:lvl>
  </w:abstractNum>
  <w:abstractNum w:abstractNumId="36">
    <w:nsid w:val="42C296BD"/>
    <w:multiLevelType w:val="hybridMultilevel"/>
    <w:lvl w:ilvl="0">
      <w:lvlJc w:val="left"/>
      <w:lvlText w:val="(%1)"/>
      <w:numFmt w:val="lowerLetter"/>
      <w:start w:val="7"/>
    </w:lvl>
  </w:abstractNum>
  <w:abstractNum w:abstractNumId="37">
    <w:nsid w:val="168E121F"/>
    <w:multiLevelType w:val="hybridMultilevel"/>
    <w:lvl w:ilvl="0">
      <w:lvlJc w:val="left"/>
      <w:lvlText w:val="(%1)"/>
      <w:numFmt w:val="lowerLetter"/>
      <w:start w:val="8"/>
    </w:lvl>
  </w:abstractNum>
  <w:abstractNum w:abstractNumId="38">
    <w:nsid w:val="1EBA5D23"/>
    <w:multiLevelType w:val="hybridMultilevel"/>
    <w:lvl w:ilvl="0">
      <w:lvlJc w:val="left"/>
      <w:lvlText w:val="(%1)"/>
      <w:numFmt w:val="lowerRoman"/>
      <w:start w:val="1"/>
    </w:lvl>
  </w:abstractNum>
  <w:abstractNum w:abstractNumId="39">
    <w:nsid w:val="661E3F1E"/>
    <w:multiLevelType w:val="hybridMultilevel"/>
    <w:lvl w:ilvl="0">
      <w:lvlJc w:val="left"/>
      <w:lvlText w:val="(%1)"/>
      <w:numFmt w:val="lowerLetter"/>
      <w:start w:val="10"/>
    </w:lvl>
  </w:abstractNum>
  <w:abstractNum w:abstractNumId="40">
    <w:nsid w:val="5DC79EA8"/>
    <w:multiLevelType w:val="hybridMultilevel"/>
    <w:lvl w:ilvl="0">
      <w:lvlJc w:val="left"/>
      <w:lvlText w:val="(%1)"/>
      <w:numFmt w:val="lowerLetter"/>
      <w:start w:val="11"/>
    </w:lvl>
  </w:abstractNum>
  <w:abstractNum w:abstractNumId="41">
    <w:nsid w:val="540A471C"/>
    <w:multiLevelType w:val="hybridMultilevel"/>
    <w:lvl w:ilvl="0">
      <w:lvlJc w:val="left"/>
      <w:lvlText w:val="(%1)"/>
      <w:numFmt w:val="lowerLetter"/>
      <w:start w:val="12"/>
    </w:lvl>
  </w:abstractNum>
  <w:abstractNum w:abstractNumId="42">
    <w:nsid w:val="7BD3EE7B"/>
    <w:multiLevelType w:val="hybridMultilevel"/>
    <w:lvl w:ilvl="0">
      <w:lvlJc w:val="left"/>
      <w:lvlText w:val="(%1)"/>
      <w:numFmt w:val="lowerLetter"/>
      <w:start w:val="13"/>
    </w:lvl>
  </w:abstractNum>
  <w:abstractNum w:abstractNumId="43">
    <w:nsid w:val="51D9C564"/>
    <w:multiLevelType w:val="hybridMultilevel"/>
    <w:lvl w:ilvl="0">
      <w:lvlJc w:val="left"/>
      <w:lvlText w:val="(%1)"/>
      <w:numFmt w:val="lowerLetter"/>
      <w:start w:val="14"/>
    </w:lvl>
  </w:abstractNum>
  <w:abstractNum w:abstractNumId="44">
    <w:nsid w:val="613EFDC5"/>
    <w:multiLevelType w:val="hybridMultilevel"/>
    <w:lvl w:ilvl="0">
      <w:lvlJc w:val="left"/>
      <w:lvlText w:val="(%1)"/>
      <w:numFmt w:val="lowerLetter"/>
      <w:start w:val="15"/>
    </w:lvl>
  </w:abstractNum>
  <w:abstractNum w:abstractNumId="45">
    <w:nsid w:val="BF72B14"/>
    <w:multiLevelType w:val="hybridMultilevel"/>
    <w:lvl w:ilvl="0">
      <w:lvlJc w:val="left"/>
      <w:lvlText w:val="(%1)"/>
      <w:numFmt w:val="lowerLetter"/>
      <w:start w:val="16"/>
    </w:lvl>
  </w:abstractNum>
  <w:abstractNum w:abstractNumId="46">
    <w:nsid w:val="11447B73"/>
    <w:multiLevelType w:val="hybridMultilevel"/>
    <w:lvl w:ilvl="0">
      <w:lvlJc w:val="left"/>
      <w:lvlText w:val="(%1)"/>
      <w:numFmt w:val="lowerLetter"/>
      <w:start w:val="17"/>
    </w:lvl>
  </w:abstractNum>
  <w:abstractNum w:abstractNumId="47">
    <w:nsid w:val="42963E5A"/>
    <w:multiLevelType w:val="hybridMultilevel"/>
    <w:lvl w:ilvl="0">
      <w:lvlJc w:val="left"/>
      <w:lvlText w:val="(%1)"/>
      <w:numFmt w:val="lowerLetter"/>
      <w:start w:val="18"/>
    </w:lvl>
  </w:abstractNum>
  <w:abstractNum w:abstractNumId="48">
    <w:nsid w:val="A0382C5"/>
    <w:multiLevelType w:val="hybridMultilevel"/>
    <w:lvl w:ilvl="0">
      <w:lvlJc w:val="left"/>
      <w:lvlText w:val="(%1)"/>
      <w:numFmt w:val="lowerLetter"/>
      <w:start w:val="19"/>
    </w:lvl>
  </w:abstractNum>
  <w:abstractNum w:abstractNumId="49">
    <w:nsid w:val="8F2B15E"/>
    <w:multiLevelType w:val="hybridMultilevel"/>
    <w:lvl w:ilvl="0">
      <w:lvlJc w:val="left"/>
      <w:lvlText w:val="(%1)"/>
      <w:numFmt w:val="lowerLetter"/>
      <w:start w:val="20"/>
    </w:lvl>
  </w:abstractNum>
  <w:abstractNum w:abstractNumId="50">
    <w:nsid w:val="1A32234B"/>
    <w:multiLevelType w:val="hybridMultilevel"/>
    <w:lvl w:ilvl="0">
      <w:lvlJc w:val="left"/>
      <w:lvlText w:val="(%1)"/>
      <w:numFmt w:val="lowerLetter"/>
      <w:start w:val="21"/>
    </w:lvl>
  </w:abstractNum>
  <w:abstractNum w:abstractNumId="51">
    <w:nsid w:val="3B0FD379"/>
    <w:multiLevelType w:val="hybridMultilevel"/>
    <w:lvl w:ilvl="0">
      <w:lvlJc w:val="left"/>
      <w:lvlText w:val="%1."/>
      <w:numFmt w:val="decimal"/>
      <w:start w:val="3"/>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decimal"/>
      <w:start w:val="842"/>
    </w:lvl>
  </w:abstractNum>
  <w:abstractNum w:abstractNumId="54">
    <w:nsid w:val="60B6DF70"/>
    <w:multiLevelType w:val="hybridMultilevel"/>
    <w:lvl w:ilvl="0">
      <w:lvlJc w:val="left"/>
      <w:lvlText w:val="(%1)"/>
      <w:numFmt w:val="lowerLetter"/>
      <w:start w:val="2"/>
    </w:lvl>
  </w:abstractNum>
  <w:abstractNum w:abstractNumId="55">
    <w:nsid w:val="6A5EE64"/>
    <w:multiLevelType w:val="hybridMultilevel"/>
    <w:lvl w:ilvl="0">
      <w:lvlJc w:val="left"/>
      <w:lvlText w:val="%1."/>
      <w:numFmt w:val="decimal"/>
      <w:start w:val="4"/>
    </w:lvl>
  </w:abstractNum>
  <w:abstractNum w:abstractNumId="56">
    <w:nsid w:val="14330624"/>
    <w:multiLevelType w:val="hybridMultilevel"/>
    <w:lvl w:ilvl="0">
      <w:lvlJc w:val="left"/>
      <w:lvlText w:val="%1."/>
      <w:numFmt w:val="decimal"/>
      <w:start w:val="5"/>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7"/>
    </w:lvl>
  </w:abstractNum>
  <w:abstractNum w:abstractNumId="62">
    <w:nsid w:val="6EB5BD4"/>
    <w:multiLevelType w:val="hybridMultilevel"/>
    <w:lvl w:ilvl="0">
      <w:lvlJc w:val="left"/>
      <w:lvlText w:val="%1."/>
      <w:numFmt w:val="decimal"/>
      <w:start w:val="9"/>
    </w:lvl>
  </w:abstractNum>
  <w:abstractNum w:abstractNumId="63">
    <w:nsid w:val="6F6DD9AC"/>
    <w:multiLevelType w:val="hybridMultilevel"/>
    <w:lvl w:ilvl="0">
      <w:lvlJc w:val="left"/>
      <w:lvlText w:val="%1."/>
      <w:numFmt w:val="decimal"/>
      <w:start w:val="10"/>
    </w:lvl>
  </w:abstractNum>
  <w:abstractNum w:abstractNumId="64">
    <w:nsid w:val="94211F2"/>
    <w:multiLevelType w:val="hybridMultilevel"/>
    <w:lvl w:ilvl="0">
      <w:lvlJc w:val="left"/>
      <w:lvlText w:val="%1."/>
      <w:numFmt w:val="decimal"/>
      <w:start w:val="11"/>
    </w:lvl>
  </w:abstractNum>
  <w:abstractNum w:abstractNumId="65">
    <w:nsid w:val="885E1B"/>
    <w:multiLevelType w:val="hybridMultilevel"/>
    <w:lvl w:ilvl="0">
      <w:lvlJc w:val="left"/>
      <w:lvlText w:val="%1."/>
      <w:numFmt w:val="decimal"/>
      <w:start w:val="12"/>
    </w:lvl>
  </w:abstractNum>
  <w:abstractNum w:abstractNumId="66">
    <w:nsid w:val="76272110"/>
    <w:multiLevelType w:val="hybridMultilevel"/>
    <w:lvl w:ilvl="0">
      <w:lvlJc w:val="left"/>
      <w:lvlText w:val="%1."/>
      <w:numFmt w:val="decimal"/>
      <w:start w:val="14"/>
    </w:lvl>
  </w:abstractNum>
  <w:abstractNum w:abstractNumId="67">
    <w:nsid w:val="4C04A8AF"/>
    <w:multiLevelType w:val="hybridMultilevel"/>
    <w:lvl w:ilvl="0">
      <w:lvlJc w:val="left"/>
      <w:lvlText w:val="%1."/>
      <w:numFmt w:val="decimal"/>
      <w:start w:val="15"/>
    </w:lvl>
  </w:abstractNum>
  <w:abstractNum w:abstractNumId="68">
    <w:nsid w:val="1716703B"/>
    <w:multiLevelType w:val="hybridMultilevel"/>
    <w:lvl w:ilvl="0">
      <w:lvlJc w:val="left"/>
      <w:lvlText w:val="%1."/>
      <w:numFmt w:val="decimal"/>
      <w:start w:val="16"/>
    </w:lvl>
  </w:abstractNum>
  <w:abstractNum w:abstractNumId="69">
    <w:nsid w:val="14E17E33"/>
    <w:multiLevelType w:val="hybridMultilevel"/>
    <w:lvl w:ilvl="0">
      <w:lvlJc w:val="left"/>
      <w:lvlText w:val="%1."/>
      <w:numFmt w:val="decimal"/>
      <w:start w:val="19"/>
    </w:lvl>
  </w:abstractNum>
  <w:abstractNum w:abstractNumId="70">
    <w:nsid w:val="3222E7CD"/>
    <w:multiLevelType w:val="hybridMultilevel"/>
    <w:lvl w:ilvl="0">
      <w:lvlJc w:val="left"/>
      <w:lvlText w:val="²"/>
      <w:numFmt w:val="bullet"/>
      <w:start w:val="1"/>
    </w:lvl>
  </w:abstractNum>
  <w:abstractNum w:abstractNumId="71">
    <w:nsid w:val="74DE0EE3"/>
    <w:multiLevelType w:val="hybridMultilevel"/>
    <w:lvl w:ilvl="0">
      <w:lvlJc w:val="left"/>
      <w:lvlText w:val="%1."/>
      <w:numFmt w:val="decimal"/>
      <w:start w:val="21"/>
    </w:lvl>
  </w:abstractNum>
  <w:abstractNum w:abstractNumId="72">
    <w:nsid w:val="68EBC550"/>
    <w:multiLevelType w:val="hybridMultilevel"/>
    <w:lvl w:ilvl="0">
      <w:lvlJc w:val="left"/>
      <w:lvlText w:val="%1."/>
      <w:numFmt w:val="decimal"/>
      <w:start w:val="22"/>
    </w:lvl>
  </w:abstractNum>
  <w:abstractNum w:abstractNumId="73">
    <w:nsid w:val="2DF6D648"/>
    <w:multiLevelType w:val="hybridMultilevel"/>
    <w:lvl w:ilvl="0">
      <w:lvlJc w:val="left"/>
      <w:lvlText w:val="%1."/>
      <w:numFmt w:val="decimal"/>
      <w:start w:val="23"/>
    </w:lvl>
  </w:abstractNum>
  <w:abstractNum w:abstractNumId="74">
    <w:nsid w:val="46B7D447"/>
    <w:multiLevelType w:val="hybridMultilevel"/>
    <w:lvl w:ilvl="0">
      <w:lvlJc w:val="left"/>
      <w:lvlText w:val="%1."/>
      <w:numFmt w:val="decimal"/>
      <w:start w:val="24"/>
    </w:lvl>
  </w:abstractNum>
  <w:abstractNum w:abstractNumId="75">
    <w:nsid w:val="4A2AC315"/>
    <w:multiLevelType w:val="hybridMultilevel"/>
    <w:lvl w:ilvl="0">
      <w:lvlJc w:val="left"/>
      <w:lvlText w:val="%1."/>
      <w:numFmt w:val="decimal"/>
      <w:start w:val="26"/>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2"/>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lowerLetter"/>
      <w:start w:val="2"/>
    </w:lvl>
  </w:abstractNum>
  <w:abstractNum w:abstractNumId="92">
    <w:nsid w:val="6A5F7029"/>
    <w:multiLevelType w:val="hybridMultilevel"/>
    <w:lvl w:ilvl="0">
      <w:lvlJc w:val="left"/>
      <w:lvlText w:val="%1."/>
      <w:numFmt w:val="decimal"/>
      <w:start w:val="2"/>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decimal"/>
      <w:start w:val="3"/>
    </w:lvl>
  </w:abstractNum>
  <w:abstractNum w:abstractNumId="95">
    <w:nsid w:val="73A1821B"/>
    <w:multiLevelType w:val="hybridMultilevel"/>
    <w:lvl w:ilvl="0">
      <w:lvlJc w:val="left"/>
      <w:lvlText w:val="(%1)"/>
      <w:numFmt w:val="lowerLetter"/>
      <w:start w:val="2"/>
    </w:lvl>
  </w:abstractNum>
  <w:abstractNum w:abstractNumId="96">
    <w:nsid w:val="7DE67713"/>
    <w:multiLevelType w:val="hybridMultilevel"/>
    <w:lvl w:ilvl="0">
      <w:lvlJc w:val="left"/>
      <w:lvlText w:val="%1."/>
      <w:numFmt w:val="decimal"/>
      <w:start w:val="4"/>
    </w:lvl>
  </w:abstractNum>
  <w:abstractNum w:abstractNumId="97">
    <w:nsid w:val="555C55B5"/>
    <w:multiLevelType w:val="hybridMultilevel"/>
    <w:lvl w:ilvl="0">
      <w:lvlJc w:val="left"/>
      <w:lvlText w:val="%1."/>
      <w:numFmt w:val="decimal"/>
      <w:start w:val="5"/>
    </w:lvl>
  </w:abstractNum>
  <w:abstractNum w:abstractNumId="98">
    <w:nsid w:val="3FA62ACA"/>
    <w:multiLevelType w:val="hybridMultilevel"/>
    <w:lvl w:ilvl="0">
      <w:lvlJc w:val="left"/>
      <w:lvlText w:val="%1."/>
      <w:numFmt w:val="decimal"/>
      <w:start w:val="11"/>
    </w:lvl>
  </w:abstractNum>
  <w:abstractNum w:abstractNumId="99">
    <w:nsid w:val="14FCE74E"/>
    <w:multiLevelType w:val="hybridMultilevel"/>
    <w:lvl w:ilvl="0">
      <w:lvlJc w:val="left"/>
      <w:lvlText w:val="(%1)"/>
      <w:numFmt w:val="lowerRoman"/>
      <w:start w:val="1"/>
    </w:lvl>
  </w:abstractNum>
  <w:abstractNum w:abstractNumId="100">
    <w:nsid w:val="6A3DD3E8"/>
    <w:multiLevelType w:val="hybridMultilevel"/>
    <w:lvl w:ilvl="0">
      <w:lvlJc w:val="left"/>
      <w:lvlText w:val="(%1)"/>
      <w:numFmt w:val="lowerLetter"/>
      <w:start w:val="2"/>
    </w:lvl>
  </w:abstractNum>
  <w:abstractNum w:abstractNumId="101">
    <w:nsid w:val="71C91298"/>
    <w:multiLevelType w:val="hybridMultilevel"/>
    <w:lvl w:ilvl="0">
      <w:lvlJc w:val="left"/>
      <w:lvlText w:val="%1."/>
      <w:numFmt w:val="decimal"/>
      <w:start w:val="18"/>
    </w:lvl>
  </w:abstractNum>
  <w:abstractNum w:abstractNumId="102">
    <w:nsid w:val="9DAF632"/>
    <w:multiLevelType w:val="hybridMultilevel"/>
    <w:lvl w:ilvl="0">
      <w:lvlJc w:val="left"/>
      <w:lvlText w:val="%1."/>
      <w:numFmt w:val="decimal"/>
      <w:start w:val="2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102"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75" Type="http://schemas.openxmlformats.org/officeDocument/2006/relationships/hyperlink" Target="http://www.sec.gov/Archives/edgar/data/1749723/000114036118042889/s002392x7_ex3-1.htm" TargetMode="External"/><Relationship Id="rId76" Type="http://schemas.openxmlformats.org/officeDocument/2006/relationships/hyperlink" Target="http://www.sec.gov/Archives/edgar/data/1749723/000114036118042889/s002392x7_ex3-2.htm" TargetMode="External"/><Relationship Id="rId77" Type="http://schemas.openxmlformats.org/officeDocument/2006/relationships/hyperlink" Target="http://www.sec.gov/Archives/edgar/data/1749723/000114036119002493/s002392x20_ex3-1.htm" TargetMode="External"/><Relationship Id="rId78" Type="http://schemas.openxmlformats.org/officeDocument/2006/relationships/hyperlink" Target="http://www.sec.gov/Archives/edgar/data/1749723/000114036119002493/s002392x20_ex10-1.htm" TargetMode="External"/><Relationship Id="rId79" Type="http://schemas.openxmlformats.org/officeDocument/2006/relationships/hyperlink" Target="http://www.sec.gov/Archives/edgar/data/1749723/000114036119002493/s002392x20_ex10-2.htm" TargetMode="External"/><Relationship Id="rId80" Type="http://schemas.openxmlformats.org/officeDocument/2006/relationships/hyperlink" Target="http://www.sec.gov/Archives/edgar/data/1749723/000114036119002438/s002392x19_ex4-4.htm" TargetMode="External"/><Relationship Id="rId81" Type="http://schemas.openxmlformats.org/officeDocument/2006/relationships/hyperlink" Target="http://www.sec.gov/Archives/edgar/data/1749723/000114036118045661/s002392x8_ex10-4.htm" TargetMode="External"/><Relationship Id="rId82" Type="http://schemas.openxmlformats.org/officeDocument/2006/relationships/hyperlink" Target="http://www.sec.gov/Archives/edgar/data/1749723/000114036119000862/s002392x10_ex10-5.htm" TargetMode="External"/><Relationship Id="rId83" Type="http://schemas.openxmlformats.org/officeDocument/2006/relationships/hyperlink" Target="http://www.sec.gov/Archives/edgar/data/1749723/000114036119000862/s002392x10_ex10-6.htm" TargetMode="External"/><Relationship Id="rId84" Type="http://schemas.openxmlformats.org/officeDocument/2006/relationships/hyperlink" Target="http://www.sec.gov/Archives/edgar/data/1749723/000114036119002493/s002392x20_ex4-1.htm" TargetMode="External"/><Relationship Id="rId85" Type="http://schemas.openxmlformats.org/officeDocument/2006/relationships/hyperlink" Target="http://www.sec.gov/Archives/edgar/data/1749723/000114036119002493/s002392x20_ex10-3.htm" TargetMode="External"/><Relationship Id="rId86" Type="http://schemas.openxmlformats.org/officeDocument/2006/relationships/hyperlink" Target="http://www.sec.gov/Archives/edgar/data/1749723/000114036118042889/s002392x7_ex10-11.htm" TargetMode="External"/><Relationship Id="rId87" Type="http://schemas.openxmlformats.org/officeDocument/2006/relationships/hyperlink" Target="http://www.sec.gov/Archives/edgar/data/1749723/000114036118042889/s002392x7_ex10-12.htm" TargetMode="External"/><Relationship Id="rId88" Type="http://schemas.openxmlformats.org/officeDocument/2006/relationships/hyperlink" Target="http://www.sec.gov/Archives/edgar/data/1749723/000114036118042889/s002392x7_ex10-13.htm" TargetMode="External"/><Relationship Id="rId89" Type="http://schemas.openxmlformats.org/officeDocument/2006/relationships/hyperlink" Target="http://www.sec.gov/Archives/edgar/data/1749723/000114036119002493/s002392x20_ex10-4.htm" TargetMode="External"/><Relationship Id="rId90" Type="http://schemas.openxmlformats.org/officeDocument/2006/relationships/hyperlink" Target="http://www.sec.gov/Archives/edgar/data/1749723/000114036119002493/s002392x20_ex10-5.htm" TargetMode="External"/><Relationship Id="rId91" Type="http://schemas.openxmlformats.org/officeDocument/2006/relationships/hyperlink" Target="http://www.sec.gov/Archives/edgar/data/1749723/000114036119002493/s002392x20_ex10-6.htm" TargetMode="External"/><Relationship Id="rId92" Type="http://schemas.openxmlformats.org/officeDocument/2006/relationships/hyperlink" Target="http://www.sec.gov/Archives/edgar/data/1749723/000114036119002493/s002392x20_ex10-7.htm" TargetMode="External"/><Relationship Id="rId93" Type="http://schemas.openxmlformats.org/officeDocument/2006/relationships/hyperlink" Target="http://www.sec.gov/Archives/edgar/data/1749723/000114036119002493/s002392x20_ex10-8.htm" TargetMode="External"/><Relationship Id="rId94" Type="http://schemas.openxmlformats.org/officeDocument/2006/relationships/hyperlink" Target="http://www.sec.gov/Archives/edgar/data/1749723/000114036119002493/s002392x20_ex10-9.htm" TargetMode="External"/><Relationship Id="rId95" Type="http://schemas.openxmlformats.org/officeDocument/2006/relationships/hyperlink" Target="http://www.sec.gov/Archives/edgar/data/1749723/000114036119002493/s002392x20_ex10-10.htm" TargetMode="External"/><Relationship Id="rId96" Type="http://schemas.openxmlformats.org/officeDocument/2006/relationships/hyperlink" Target="http://www.sec.gov/Archives/edgar/data/1749723/000114036119002493/s002392x20_ex10-11.htm" TargetMode="External"/><Relationship Id="rId97" Type="http://schemas.openxmlformats.org/officeDocument/2006/relationships/hyperlink" Target="http://www.sec.gov/Archives/edgar/data/1749723/000114036119002493/s002392x20_ex10-12.htm" TargetMode="External"/><Relationship Id="rId98" Type="http://schemas.openxmlformats.org/officeDocument/2006/relationships/hyperlink" Target="http://www.sec.gov/Archives/edgar/data/1749723/000114036119002493/s002392x20_ex10-13.htm" TargetMode="External"/><Relationship Id="rId99" Type="http://schemas.openxmlformats.org/officeDocument/2006/relationships/hyperlink" Target="http://www.sec.gov/Archives/edgar/data/1749723/000114036119000862/s002392x10_ex10-15.htm" TargetMode="External"/><Relationship Id="rId100" Type="http://schemas.openxmlformats.org/officeDocument/2006/relationships/hyperlink" Target="http://www.sec.gov/Archives/edgar/data/1749723/000114036119005657/s002752x1_ex10-25.htm" TargetMode="External"/><Relationship Id="rId101" Type="http://schemas.openxmlformats.org/officeDocument/2006/relationships/hyperlink" Target="http://www.sec.gov/Archives/edgar/data/1749723/000114036119005657/s002752x1_ex10-26.htm" TargetMode="External"/><Relationship Id="rId103" Type="http://schemas.openxmlformats.org/officeDocument/2006/relationships/hyperlink" Target="http://www.sec.gov/Archives/edgar/data/1749723/000114036119000862/s002392x10_ex10-16.htm" TargetMode="External"/><Relationship Id="rId104" Type="http://schemas.openxmlformats.org/officeDocument/2006/relationships/hyperlink" Target="http://www.sec.gov/Archives/edgar/data/1749723/000114036119001592/s002392x11_ex10-17.htm" TargetMode="External"/><Relationship Id="rId105" Type="http://schemas.openxmlformats.org/officeDocument/2006/relationships/hyperlink" Target="http://www.sec.gov/Archives/edgar/data/1749723/000114036119005657/s002752x1_ex10-29.htm" TargetMode="External"/><Relationship Id="rId106" Type="http://schemas.openxmlformats.org/officeDocument/2006/relationships/hyperlink" Target="http://www.sec.gov/Archives/edgar/data/1749723/000114036120000659/ex10_1.htm" TargetMode="External"/><Relationship Id="rId107" Type="http://schemas.openxmlformats.org/officeDocument/2006/relationships/hyperlink" Target="http://www.sec.gov/Archives/edgar/data/1749723/000114036119016232/ex10_1.htm" TargetMode="External"/><Relationship Id="rId108" Type="http://schemas.openxmlformats.org/officeDocument/2006/relationships/hyperlink" Target="http://www.sec.gov/Archives/edgar/data/1749723/000114036119009182/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2020-03-04T16:25:36Z</dcterms:created>
  <dcterms:modified xsi:type="dcterms:W3CDTF">2020-03-04T16:25:36Z</dcterms:modified>
</cp:coreProperties>
</file>