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132715</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182245</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October 29, 2020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142875</wp:posOffset>
            </wp:positionV>
            <wp:extent cx="12858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141605</wp:posOffset>
            </wp:positionV>
            <wp:extent cx="12858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ectPr>
          <w:pgSz w:w="11900" w:h="16838" w:orient="portrait"/>
          <w:cols w:equalWidth="0" w:num="1">
            <w:col w:w="11080"/>
          </w:cols>
          <w:pgMar w:left="320" w:top="529" w:right="49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001-38790</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2920"/>
          </w:cols>
          <w:pgMar w:left="320" w:top="529" w:right="49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10011</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529" w:right="499" w:bottom="1440" w:gutter="0" w:footer="0" w:header="0"/>
          <w:type w:val="continuous"/>
        </w:sectPr>
      </w:pPr>
    </w:p>
    <w:p>
      <w:pPr>
        <w:spacing w:after="0" w:line="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2858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173990</wp:posOffset>
            </wp:positionV>
            <wp:extent cx="12858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8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196"/>
        </w:trPr>
        <w:tc>
          <w:tcPr>
            <w:tcW w:w="220" w:type="dxa"/>
            <w:vAlign w:val="bottom"/>
          </w:tcPr>
          <w:p>
            <w:pPr>
              <w:spacing w:after="0"/>
              <w:rPr>
                <w:sz w:val="17"/>
                <w:szCs w:val="17"/>
                <w:color w:val="auto"/>
              </w:rPr>
            </w:pPr>
          </w:p>
        </w:tc>
        <w:tc>
          <w:tcPr>
            <w:tcW w:w="2440" w:type="dxa"/>
            <w:vAlign w:val="bottom"/>
            <w:gridSpan w:val="2"/>
          </w:tcPr>
          <w:p>
            <w:pPr>
              <w:jc w:val="center"/>
              <w:ind w:right="1140"/>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980" w:type="dxa"/>
            <w:vAlign w:val="bottom"/>
            <w:gridSpan w:val="3"/>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Trading Symbol(s)</w:t>
            </w:r>
          </w:p>
        </w:tc>
        <w:tc>
          <w:tcPr>
            <w:tcW w:w="7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26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900" w:type="dxa"/>
            <w:vAlign w:val="bottom"/>
          </w:tcPr>
          <w:p>
            <w:pPr>
              <w:spacing w:after="0"/>
              <w:rPr>
                <w:sz w:val="20"/>
                <w:szCs w:val="20"/>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318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5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29"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29, 2020, New Fortress Energy Inc. (“NFE” or the “Company”) issued a press release announcing the Company’s financial and operating results for its fiscal quarter ended September 30, 2020. A copy of the Company’s press release is attached to this Current Report on Form 8-K (the “Current Report”) as Exhibit 99.1 and is incorporated herein solely for purposes of this Item 2.02 disclosure.</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80" w:type="dxa"/>
            <w:vAlign w:val="bottom"/>
          </w:tcPr>
          <w:p>
            <w:pPr>
              <w:spacing w:after="0"/>
              <w:rPr>
                <w:sz w:val="18"/>
                <w:szCs w:val="18"/>
                <w:color w:val="auto"/>
              </w:rPr>
            </w:pPr>
          </w:p>
        </w:tc>
      </w:tr>
      <w:tr>
        <w:trPr>
          <w:trHeight w:val="245"/>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880" w:type="dxa"/>
            <w:vAlign w:val="bottom"/>
          </w:tcPr>
          <w:p>
            <w:pPr>
              <w:jc w:val="right"/>
              <w:ind w:right="4416"/>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14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220" w:type="dxa"/>
            <w:vAlign w:val="bottom"/>
          </w:tcPr>
          <w:p>
            <w:pPr>
              <w:spacing w:after="0"/>
              <w:rPr>
                <w:sz w:val="20"/>
                <w:szCs w:val="20"/>
                <w:color w:val="auto"/>
              </w:rPr>
            </w:pPr>
          </w:p>
        </w:tc>
        <w:tc>
          <w:tcPr>
            <w:tcW w:w="9880" w:type="dxa"/>
            <w:vAlign w:val="bottom"/>
            <w:tcBorders>
              <w:top w:val="single" w:sz="8" w:color="auto"/>
            </w:tcBorders>
          </w:tcPr>
          <w:p>
            <w:pPr>
              <w:jc w:val="right"/>
              <w:ind w:right="4376"/>
              <w:spacing w:after="0"/>
              <w:rPr>
                <w:sz w:val="20"/>
                <w:szCs w:val="20"/>
                <w:color w:val="auto"/>
              </w:rPr>
            </w:pPr>
            <w:r>
              <w:rPr>
                <w:rFonts w:ascii="Times New Roman" w:cs="Times New Roman" w:eastAsia="Times New Roman" w:hAnsi="Times New Roman"/>
                <w:sz w:val="18"/>
                <w:szCs w:val="18"/>
                <w:color w:val="auto"/>
                <w:w w:val="99"/>
              </w:rPr>
              <w:t>Press Release, dated October 29, 2020, issued by New Fortress Energy Inc.</w:t>
            </w:r>
          </w:p>
        </w:tc>
      </w:tr>
      <w:tr>
        <w:trPr>
          <w:trHeight w:val="566"/>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jc w:val="right"/>
              <w:ind w:right="5496"/>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808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4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2020</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198"/>
        </w:trPr>
        <w:tc>
          <w:tcPr>
            <w:tcW w:w="3160" w:type="dxa"/>
            <w:vAlign w:val="bottom"/>
          </w:tcPr>
          <w:p>
            <w:pPr>
              <w:spacing w:after="0"/>
              <w:rPr>
                <w:sz w:val="17"/>
                <w:szCs w:val="17"/>
                <w:color w:val="auto"/>
              </w:rPr>
            </w:pPr>
          </w:p>
        </w:tc>
        <w:tc>
          <w:tcPr>
            <w:tcW w:w="2460" w:type="dxa"/>
            <w:vAlign w:val="bottom"/>
            <w:gridSpan w:val="2"/>
          </w:tcPr>
          <w:p>
            <w:pPr>
              <w:ind w:left="1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S. Guinta</w:t>
            </w:r>
          </w:p>
        </w:tc>
      </w:tr>
      <w:tr>
        <w:trPr>
          <w:trHeight w:val="234"/>
        </w:trPr>
        <w:tc>
          <w:tcPr>
            <w:tcW w:w="3160" w:type="dxa"/>
            <w:vAlign w:val="bottom"/>
          </w:tcPr>
          <w:p>
            <w:pPr>
              <w:spacing w:after="0"/>
              <w:rPr>
                <w:sz w:val="20"/>
                <w:szCs w:val="20"/>
                <w:color w:val="auto"/>
              </w:rPr>
            </w:pP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98"/>
        </w:trPr>
        <w:tc>
          <w:tcPr>
            <w:tcW w:w="3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720" w:type="dxa"/>
            <w:vAlign w:val="bottom"/>
            <w:gridSpan w:val="2"/>
          </w:tcPr>
          <w:p>
            <w:pPr>
              <w:jc w:val="right"/>
              <w:ind w:right="5490"/>
              <w:spacing w:after="0"/>
              <w:rPr>
                <w:sz w:val="20"/>
                <w:szCs w:val="20"/>
                <w:color w:val="auto"/>
              </w:rPr>
            </w:pPr>
            <w:r>
              <w:rPr>
                <w:rFonts w:ascii="Times New Roman" w:cs="Times New Roman" w:eastAsia="Times New Roman" w:hAnsi="Times New Roman"/>
                <w:sz w:val="14"/>
                <w:szCs w:val="14"/>
                <w:color w:val="auto"/>
              </w:rPr>
              <w:t>3</w:t>
            </w:r>
          </w:p>
        </w:tc>
      </w:tr>
      <w:tr>
        <w:trPr>
          <w:trHeight w:val="84"/>
        </w:trPr>
        <w:tc>
          <w:tcPr>
            <w:tcW w:w="316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150495</wp:posOffset>
            </wp:positionV>
            <wp:extent cx="154305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Fortress Energy Announces Third Quarter 2020 Results, Dividend of $0.10 per Class A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third quarter ending September 30, 2020. NFE also announced today that its Board of Directors has declared a fourth quarter 2020 common stock dividend of $0.10 per Class A common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volumes were achieved in the third quarter</w:t>
      </w:r>
    </w:p>
    <w:p>
      <w:pPr>
        <w:ind w:left="1300"/>
        <w:spacing w:after="0" w:line="198" w:lineRule="auto"/>
        <w:rPr>
          <w:sz w:val="20"/>
          <w:szCs w:val="20"/>
          <w:color w:val="auto"/>
        </w:rPr>
      </w:pPr>
      <w:r>
        <w:rPr>
          <w:rFonts w:ascii="Times New Roman" w:cs="Times New Roman" w:eastAsia="Times New Roman" w:hAnsi="Times New Roman"/>
          <w:sz w:val="18"/>
          <w:szCs w:val="18"/>
          <w:color w:val="auto"/>
        </w:rPr>
        <w:t>Average daily volumes sold in Q3 2020 were approximately 1.5 million gallons per day, which is a 0.6 million increase from Q2 2020</w:t>
      </w:r>
    </w:p>
    <w:p>
      <w:pPr>
        <w:ind w:left="980"/>
        <w:spacing w:after="0" w:line="209" w:lineRule="auto"/>
        <w:rPr>
          <w:sz w:val="20"/>
          <w:szCs w:val="20"/>
          <w:color w:val="auto"/>
        </w:rPr>
      </w:pPr>
      <w:r>
        <w:rPr>
          <w:rFonts w:ascii="Times New Roman" w:cs="Times New Roman" w:eastAsia="Times New Roman" w:hAnsi="Times New Roman"/>
          <w:sz w:val="18"/>
          <w:szCs w:val="18"/>
          <w:color w:val="auto"/>
        </w:rPr>
        <w:t>Gallons per day volumes are expected to be between 1.7 million and 2.0 million on average for the remainder of 2020</w:t>
      </w:r>
    </w:p>
    <w:p>
      <w:pPr>
        <w:spacing w:after="0" w:line="9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Construction related activities remain largely on time and on budget</w:t>
      </w:r>
      <w:r>
        <w:rPr>
          <w:rFonts w:ascii="Times New Roman" w:cs="Times New Roman" w:eastAsia="Times New Roman" w:hAnsi="Times New Roman"/>
          <w:sz w:val="14"/>
          <w:szCs w:val="14"/>
          <w:color w:val="auto"/>
        </w:rPr>
        <w:t>(1)</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While we have had some minor delays in permitting and construction execution, all long lead items are on time</w:t>
      </w:r>
    </w:p>
    <w:p>
      <w:pPr>
        <w:spacing w:after="0" w:line="63" w:lineRule="exact"/>
        <w:rPr>
          <w:sz w:val="20"/>
          <w:szCs w:val="20"/>
          <w:color w:val="auto"/>
        </w:rPr>
      </w:pPr>
    </w:p>
    <w:p>
      <w:pPr>
        <w:ind w:left="980"/>
        <w:spacing w:after="0" w:line="187" w:lineRule="auto"/>
        <w:rPr>
          <w:sz w:val="20"/>
          <w:szCs w:val="20"/>
          <w:color w:val="auto"/>
        </w:rPr>
      </w:pPr>
      <w:r>
        <w:rPr>
          <w:rFonts w:ascii="Times New Roman" w:cs="Times New Roman" w:eastAsia="Times New Roman" w:hAnsi="Times New Roman"/>
          <w:sz w:val="18"/>
          <w:szCs w:val="18"/>
          <w:color w:val="auto"/>
        </w:rPr>
        <w:t>We have purchased ISO flex equipment, including a 266 foot OSV and are in the process of manufacturing our proprietary manifold</w:t>
      </w:r>
    </w:p>
    <w:p>
      <w:pPr>
        <w:spacing w:after="0" w:line="5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We see exciting growth opportunities through our two primary growth channels</w:t>
      </w:r>
    </w:p>
    <w:p>
      <w:pPr>
        <w:ind w:left="1300"/>
        <w:spacing w:after="0" w:line="181" w:lineRule="auto"/>
        <w:rPr>
          <w:sz w:val="20"/>
          <w:szCs w:val="20"/>
          <w:color w:val="auto"/>
        </w:rPr>
      </w:pPr>
      <w:r>
        <w:rPr>
          <w:rFonts w:ascii="Times New Roman" w:cs="Times New Roman" w:eastAsia="Times New Roman" w:hAnsi="Times New Roman"/>
          <w:sz w:val="13"/>
          <w:szCs w:val="13"/>
          <w:color w:val="auto"/>
        </w:rPr>
        <w:t>Organic growth</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3"/>
          <w:szCs w:val="13"/>
          <w:color w:val="auto"/>
        </w:rPr>
        <w:t xml:space="preserve"> – We are targeting over 2.5 million GPD of increased volumes through existing infrastructure, which require only</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modest additional capital</w:t>
      </w:r>
    </w:p>
    <w:p>
      <w:pPr>
        <w:spacing w:after="0" w:line="28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We announced two significant green hydrogen developments to advance NFE’s transition to zero emissions:</w:t>
      </w:r>
    </w:p>
    <w:p>
      <w:pPr>
        <w:jc w:val="center"/>
        <w:ind w:right="-99"/>
        <w:spacing w:after="0" w:line="196" w:lineRule="auto"/>
        <w:rPr>
          <w:sz w:val="20"/>
          <w:szCs w:val="20"/>
          <w:color w:val="auto"/>
        </w:rPr>
      </w:pPr>
      <w:r>
        <w:rPr>
          <w:rFonts w:ascii="Times New Roman" w:cs="Times New Roman" w:eastAsia="Times New Roman" w:hAnsi="Times New Roman"/>
          <w:sz w:val="18"/>
          <w:szCs w:val="18"/>
          <w:color w:val="auto"/>
        </w:rPr>
        <w:t>Invested in H2Pro, an Israel-based hydrogen startup that is developing a novel, low-cost hydrogen production technology</w:t>
      </w:r>
    </w:p>
    <w:p>
      <w:pPr>
        <w:ind w:left="1300"/>
        <w:spacing w:after="0" w:line="200" w:lineRule="auto"/>
        <w:rPr>
          <w:sz w:val="20"/>
          <w:szCs w:val="20"/>
          <w:color w:val="auto"/>
        </w:rPr>
      </w:pPr>
      <w:r>
        <w:rPr>
          <w:rFonts w:ascii="Times New Roman" w:cs="Times New Roman" w:eastAsia="Times New Roman" w:hAnsi="Times New Roman"/>
          <w:sz w:val="18"/>
          <w:szCs w:val="18"/>
          <w:color w:val="auto"/>
        </w:rPr>
        <w:t>Announced partnership with Long Ridge Terminal Partners and GE Gas Power for first purpose-built hydrogen-burning power plant in US that will begin blending hydrogen with natural gas as early as 2021</w:t>
      </w:r>
      <w:r>
        <w:rPr>
          <w:rFonts w:ascii="Times New Roman" w:cs="Times New Roman" w:eastAsia="Times New Roman" w:hAnsi="Times New Roman"/>
          <w:sz w:val="29"/>
          <w:szCs w:val="29"/>
          <w:color w:val="auto"/>
          <w:vertAlign w:val="superscript"/>
        </w:rPr>
        <w:t>(6)</w:t>
      </w:r>
    </w:p>
    <w:p>
      <w:pPr>
        <w:spacing w:after="0" w:line="3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COVID-19 pandemic, we have taken great efforts to ensure continued service and performance for our customers</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We’ve hired over 60 people since the pandemic began and spent nearly $1 million on COVID-19 preventative measures</w:t>
      </w:r>
    </w:p>
    <w:p>
      <w:pPr>
        <w:spacing w:after="0" w:line="9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We issued $1,000 million of 6.75%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t>Completed the issuance in September 2020 and used the net cash proceeds to repay the outstanding principal and interest under the Credit</w:t>
      </w:r>
    </w:p>
    <w:p>
      <w:pPr>
        <w:ind w:left="980"/>
        <w:spacing w:after="0" w:line="183" w:lineRule="auto"/>
        <w:rPr>
          <w:sz w:val="20"/>
          <w:szCs w:val="20"/>
          <w:color w:val="auto"/>
        </w:rPr>
      </w:pPr>
      <w:r>
        <w:rPr>
          <w:rFonts w:ascii="Times New Roman" w:cs="Times New Roman" w:eastAsia="Times New Roman" w:hAnsi="Times New Roman"/>
          <w:sz w:val="17"/>
          <w:szCs w:val="17"/>
          <w:color w:val="auto"/>
        </w:rPr>
        <w:t>Agreement and Senior Secured Bonds and Senior Unsecured Bonds</w:t>
      </w:r>
      <w:r>
        <w:rPr>
          <w:rFonts w:ascii="Times New Roman" w:cs="Times New Roman" w:eastAsia="Times New Roman" w:hAnsi="Times New Roman"/>
          <w:sz w:val="28"/>
          <w:szCs w:val="28"/>
          <w:color w:val="auto"/>
          <w:vertAlign w:val="superscript"/>
        </w:rPr>
        <w:t>(7)</w:t>
      </w:r>
    </w:p>
    <w:p>
      <w:pPr>
        <w:spacing w:after="0" w:line="26" w:lineRule="exact"/>
        <w:rPr>
          <w:sz w:val="20"/>
          <w:szCs w:val="20"/>
          <w:color w:val="auto"/>
        </w:rPr>
      </w:pPr>
    </w:p>
    <w:p>
      <w:pPr>
        <w:ind w:left="660" w:right="20" w:hanging="328"/>
        <w:spacing w:after="0" w:line="24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declared first quarterly dividend ($0.10 per share) in September 2020 and are pleased to announce today that our Board of Directors approved a dividend for the fourth quarter of $0.10 per share, which will have a record date of December 2, 2020 and a payment date of December 9, 2020.</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revenue was nearly $137 million, increasing over $40 million from Q2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approximately $37 million, decreasing by approximately $130 million from the Q2 2020 net loss of approximately $167 million</w:t>
      </w:r>
    </w:p>
    <w:p>
      <w:pPr>
        <w:ind w:left="1300"/>
        <w:spacing w:after="0" w:line="198" w:lineRule="auto"/>
        <w:rPr>
          <w:sz w:val="20"/>
          <w:szCs w:val="20"/>
          <w:color w:val="auto"/>
        </w:rPr>
      </w:pPr>
      <w:r>
        <w:rPr>
          <w:rFonts w:ascii="Times New Roman" w:cs="Times New Roman" w:eastAsia="Times New Roman" w:hAnsi="Times New Roman"/>
          <w:sz w:val="18"/>
          <w:szCs w:val="18"/>
          <w:color w:val="auto"/>
        </w:rPr>
        <w:t>Our current period net loss is primarily driven by an approximately $28 million loss on extinguishment of debt and financing costs</w:t>
      </w:r>
    </w:p>
    <w:p>
      <w:pPr>
        <w:ind w:left="980"/>
        <w:spacing w:after="0" w:line="209" w:lineRule="auto"/>
        <w:rPr>
          <w:sz w:val="20"/>
          <w:szCs w:val="20"/>
          <w:color w:val="auto"/>
        </w:rPr>
      </w:pPr>
      <w:r>
        <w:rPr>
          <w:rFonts w:ascii="Times New Roman" w:cs="Times New Roman" w:eastAsia="Times New Roman" w:hAnsi="Times New Roman"/>
          <w:sz w:val="18"/>
          <w:szCs w:val="18"/>
          <w:color w:val="auto"/>
        </w:rPr>
        <w:t>We are realizing substantially lower LNG costs as a result of cancelling 2H 2020 cargos in Q2 2020, significantly lowering our net loss</w:t>
      </w:r>
    </w:p>
    <w:p>
      <w:pPr>
        <w:spacing w:after="0" w:line="9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Operating Margin*</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was over $51 million, representing over a 230% increase from Q2 2020</w:t>
      </w:r>
    </w:p>
    <w:p>
      <w:pPr>
        <w:spacing w:after="0" w:line="20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*Operating Margin is a non-GAAP financial measure. For definitions and reconciliations of non-GAAP results please refer to the exhibit to this press release.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0"/>
        </w:trPr>
        <w:tc>
          <w:tcPr>
            <w:tcW w:w="152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194"/>
        </w:trPr>
        <w:tc>
          <w:tcPr>
            <w:tcW w:w="15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 except Average Volumes)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Volumes (k GPD)</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bl>
    <w:p>
      <w:pPr>
        <w:spacing w:after="0" w:line="16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over $40 million from Q2 2020 primarily driven by additional revenue in Puerto Rico for gas delivered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loss decreased approximately $130 million from Q2 2020; contributing to the Q3 2020 net loss were the costs of extinguishment of debt and financing costs</w:t>
      </w:r>
    </w:p>
    <w:p>
      <w:pPr>
        <w:ind w:left="660" w:hanging="328"/>
        <w:spacing w:after="0" w:line="19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record Operating Margin in Q3 2020 due to increased volumes, largely on account of our Puerto Rico Facility reaching Run Rate Volumes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and due to the termination of the 2H 2020 LNG cargos</w:t>
      </w:r>
    </w:p>
    <w:p>
      <w:pPr>
        <w:spacing w:after="0" w:line="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was approximately $19 million when excluding non-cash expenses, non-capitalizable development related expenses and expenses associated with simplifying our corporate and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Please refer to our Q3 2020 Investor Presentation for further information about the following terms:</w:t>
      </w:r>
    </w:p>
    <w:p>
      <w:pPr>
        <w:spacing w:after="0" w:line="29" w:lineRule="exact"/>
        <w:rPr>
          <w:sz w:val="20"/>
          <w:szCs w:val="20"/>
          <w:color w:val="auto"/>
        </w:rPr>
      </w:pPr>
    </w:p>
    <w:p>
      <w:pPr>
        <w:ind w:firstLine="8"/>
        <w:spacing w:after="0" w:line="250" w:lineRule="auto"/>
        <w:tabs>
          <w:tab w:leader="none" w:pos="221"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time” and “on budget” are based on internal evaluations and refer to completing certain stages of projects within a timeframe and within a spectrum of budget parameters that, when taken as a whole, are substantially consistent with our business model.</w:t>
      </w:r>
    </w:p>
    <w:p>
      <w:pPr>
        <w:jc w:val="both"/>
        <w:ind w:firstLine="8"/>
        <w:spacing w:after="0" w:line="250" w:lineRule="auto"/>
        <w:tabs>
          <w:tab w:leader="none" w:pos="19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“Operational”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We cannot assure you if or when such projects will reach full commercial operations. Actual results could differ materially from the illustrations reflected in this presentation and there can be no assurance we will achieve our goals.</w:t>
      </w:r>
    </w:p>
    <w:p>
      <w:pPr>
        <w:spacing w:after="0" w:line="1" w:lineRule="exact"/>
        <w:rPr>
          <w:rFonts w:ascii="Times New Roman" w:cs="Times New Roman" w:eastAsia="Times New Roman" w:hAnsi="Times New Roman"/>
          <w:sz w:val="18"/>
          <w:szCs w:val="18"/>
          <w:i w:val="1"/>
          <w:iCs w:val="1"/>
          <w:color w:val="auto"/>
        </w:rPr>
      </w:pPr>
    </w:p>
    <w:p>
      <w:pPr>
        <w:ind w:firstLine="8"/>
        <w:spacing w:after="0" w:line="250" w:lineRule="auto"/>
        <w:tabs>
          <w:tab w:leader="none" w:pos="21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“Organic growth” means the growth in our business as a result of increased volumes through existing infrastructure, [including infrastructure under development,] for which we have not sold the total capacity of such infrastructure.</w:t>
      </w:r>
    </w:p>
    <w:p>
      <w:pPr>
        <w:ind w:firstLine="8"/>
        <w:spacing w:after="0" w:line="250" w:lineRule="auto"/>
        <w:tabs>
          <w:tab w:leader="none" w:pos="202"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“Inorganic growth” means the growth in our business with customers who require new large-scale infrastructure, which includes customers in markets in which we have existing operations and development and new markets.</w:t>
      </w:r>
    </w:p>
    <w:p>
      <w:pPr>
        <w:jc w:val="both"/>
        <w:ind w:firstLine="8"/>
        <w:spacing w:after="0" w:line="250" w:lineRule="auto"/>
        <w:tabs>
          <w:tab w:leader="none" w:pos="1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Discussion”, “In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are substantially in excess of potential minimum volume commitments.</w:t>
      </w:r>
    </w:p>
    <w:p>
      <w:pPr>
        <w:spacing w:after="0" w:line="2" w:lineRule="exact"/>
        <w:rPr>
          <w:rFonts w:ascii="Times New Roman" w:cs="Times New Roman" w:eastAsia="Times New Roman" w:hAnsi="Times New Roman"/>
          <w:sz w:val="18"/>
          <w:szCs w:val="18"/>
          <w:i w:val="1"/>
          <w:iCs w:val="1"/>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is finalizing the commercial terms of its partnership with Long Ridge Terminal Partners and GE Gas Power.</w:t>
      </w:r>
    </w:p>
    <w:p>
      <w:pPr>
        <w:spacing w:after="0" w:line="9"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19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“Credit Agreement” refers to the credit agreement to borrow $800mm in term loans entered into on January 10, 2020 and repaid in full on September 2, 2020. “Senior Secured Bonds and Senior Unsecured Bonds” refers to the facility for a total of $180mm of secured and unsecured bonds entered into on September 2, 2019 and repaid in full on September 21, 2020.</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02"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Margin” means the sum of (i) Net income / (loss), (ii) Selling, general and administrative, (iii) Depreciation and amortization, (iv) Interest expense, (v) Other (income) expense, net (vi) Contract termination charges and Loss on Mitigation Sales, (vii ) Loss on extinguishment of debt, net, and (viii) Tax expense (benefit), each as reported on our financial statements. Operating Margin is mathematically equivalent to Revenue minus Cost of sales minus Operations and maintenance, each as reported in our financial statements.</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1" w:lineRule="auto"/>
        <w:tabs>
          <w:tab w:leader="none" w:pos="211"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“Run Rate” means the date on which management currently estimates the initial ramp-up of operations on a particular facility will be over, and the facility will be using natural gas or producing LNG at a sustainable level. “Run-Rate Volumes” refers to the volumes of natural gas or LNG that are being used or produced. Volumes of LNG and natural gas that we are able to deliver and sell through a particular facility may keep increasing after the Run Rate date due to additional large or small scale customers being added for service by the facility, so the Run Rate does not represent the date on which management expects the relevant facility to be operating at its full capacity. It is also possible for a facility to be operating at Run-Rate volumes prior to full commercial operations, and there can be no assurance if or when full commercial operations will occur. Operations of such projects at their full capacity volumes will occur later than, and may occur substantially later than, Run Rate. We cannot assure you if or when such projects will reach the date Run Rate or full capacity volumes. Actual results could differ materially from the illustration and there can be no assurance we will achieve our goal.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will host a conference call on Thursday, October 29, 2020 at 8:00 A.M. Eastern Time. The conference call may be accessed by dialing (866) 953-0778 (from within the U.S.) or (630) 652-5853 (from outside of the U.S.) fifteen minutes prior to the scheduled start of the call; please reference “NFE Third Quarter 2020 Earnings Call.”</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also be available after 11:00 A.M. on Thursday, October 29, 2020 through 11:00 P.M. on Thursday, November 5, 2020 at (855) 859-2056 (from within the U.S.) or (404) 537-3406 (from outside of the U.S.), Passcode: 9151299.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regasification and power generation operations. This measure excludes items that have little or no significance on day-to-day performance of our current liquefaction, regasification and power generation operations, including our corporate SG&amp;A, contract termination charges and loss on mitigation sales, loss on extinguishment of debt, net, and other expense.</w:t>
      </w:r>
    </w:p>
    <w:p>
      <w:pPr>
        <w:spacing w:after="0" w:line="1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regasification and power generation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press release constitute “forward-looking statements” including our expected volumes of LNG or production of power in particular jurisdictions; our expected volumes for In Discussion Volumes; the expectation that we will continue to take advantage of low LNG prices; our expectations regarding our organic growth opportunities and the full capacity of our existing infrastructure, our expectations regarding our inorganic growth opportunities, the key markets we may enter and the Illustrative Operating Margin related to such growth, and our expectations regarding our green hydrogen investment and pilot projects.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development,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the risk that the foregoing or other factors negatively impact our liquidity, the risk that our organic and inorganic growth opportunities do not materialize due to our inability to reach commercial arrangements on terms that are acceptable to us or at all, the risk that organic and inorganic growth opportunities do not offer the Operating Margin that we expect due to higher costs of LNG, higher costs of infrastructure for inorganic growth, competitive pressures on our pricing, or other factors, and the risk that our investment and pilot projects in green hydrogen do not advance NFE’s transition to zero emissions on the timeline we expect or at all.. Accordingly, readers should not place undue reliance on forward-looking statements as a prediction of actual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Andreini</w:t>
      </w:r>
    </w:p>
    <w:p>
      <w:pPr>
        <w:spacing w:after="0" w:line="9" w:lineRule="exact"/>
        <w:rPr>
          <w:sz w:val="20"/>
          <w:szCs w:val="20"/>
          <w:color w:val="auto"/>
        </w:rPr>
      </w:pPr>
    </w:p>
    <w:p>
      <w:pPr>
        <w:ind w:right="9500" w:firstLine="8"/>
        <w:spacing w:after="0" w:line="260"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798-6128 aandreini@fortress.com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Kane</w:t>
      </w:r>
    </w:p>
    <w:p>
      <w:pPr>
        <w:spacing w:after="0" w:line="27" w:lineRule="exact"/>
        <w:rPr>
          <w:sz w:val="20"/>
          <w:szCs w:val="20"/>
          <w:color w:val="auto"/>
        </w:rPr>
      </w:pPr>
    </w:p>
    <w:p>
      <w:pPr>
        <w:ind w:right="9000" w:firstLine="8"/>
        <w:spacing w:after="0" w:line="290" w:lineRule="auto"/>
        <w:tabs>
          <w:tab w:leader="none" w:pos="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268-7455 jkane@newfortressenergy.com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Suski</w:t>
      </w:r>
    </w:p>
    <w:p>
      <w:pPr>
        <w:spacing w:after="0" w:line="9" w:lineRule="exact"/>
        <w:rPr>
          <w:sz w:val="20"/>
          <w:szCs w:val="20"/>
          <w:color w:val="auto"/>
        </w:rPr>
      </w:pPr>
    </w:p>
    <w:p>
      <w:pPr>
        <w:ind w:right="9020" w:firstLine="8"/>
        <w:spacing w:after="0" w:line="290" w:lineRule="auto"/>
        <w:tabs>
          <w:tab w:leader="none" w:pos="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Exhibits –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2020 and September 30, 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83,863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52,995</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94,566</w:t>
            </w: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136,858</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71,665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charges and loss on mitigation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(148,205)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(166,402)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(34,834)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(166,519)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(36,670)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(137,425)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57,341,215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170,074,532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(166,519)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(36,670)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currency translation adjustment</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(165,999)</w:t>
            </w:r>
          </w:p>
        </w:tc>
        <w:tc>
          <w:tcPr>
            <w:tcW w:w="22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25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(136,990)</w:t>
            </w:r>
          </w:p>
        </w:tc>
        <w:tc>
          <w:tcPr>
            <w:tcW w:w="2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00" w:type="dxa"/>
            <w:vAlign w:val="bottom"/>
            <w:shd w:val="clear" w:color="auto" w:fill="CCEEFF"/>
          </w:tcPr>
          <w:p>
            <w:pPr>
              <w:spacing w:after="0"/>
              <w:rPr>
                <w:sz w:val="22"/>
                <w:szCs w:val="22"/>
                <w:color w:val="auto"/>
              </w:rPr>
            </w:pPr>
          </w:p>
        </w:tc>
      </w:tr>
      <w:tr>
        <w:trPr>
          <w:trHeight w:val="419"/>
        </w:trPr>
        <w:tc>
          <w:tcPr>
            <w:tcW w:w="8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define non-GAAP operating margin as GAAP net loss, adjusted for selling, general and administrative expense, contract termination charges and loss on mitigation sales, depreciation and amortization, interest expense, other expense (income), loss on extinguishment of debt, net and tax expense (benefit).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60" w:type="dxa"/>
            <w:vAlign w:val="bottom"/>
          </w:tcPr>
          <w:p>
            <w:pPr>
              <w:spacing w:after="0"/>
              <w:rPr>
                <w:sz w:val="21"/>
                <w:szCs w:val="21"/>
                <w:color w:val="auto"/>
              </w:rPr>
            </w:pPr>
          </w:p>
        </w:tc>
      </w:tr>
      <w:tr>
        <w:trPr>
          <w:trHeight w:val="223"/>
        </w:trPr>
        <w:tc>
          <w:tcPr>
            <w:tcW w:w="5880" w:type="dxa"/>
            <w:vAlign w:val="bottom"/>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(166,519)</w:t>
            </w: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charges and loss on mitigation sales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30,849</w:t>
            </w:r>
          </w:p>
        </w:tc>
        <w:tc>
          <w:tcPr>
            <w:tcW w:w="22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9,489</w:t>
            </w:r>
          </w:p>
        </w:tc>
        <w:tc>
          <w:tcPr>
            <w:tcW w:w="22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19,813</w:t>
            </w:r>
          </w:p>
        </w:tc>
        <w:tc>
          <w:tcPr>
            <w:tcW w:w="22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c>
          <w:tcPr>
            <w:tcW w:w="226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23,505</w:t>
            </w:r>
          </w:p>
        </w:tc>
        <w:tc>
          <w:tcPr>
            <w:tcW w:w="2260" w:type="dxa"/>
            <w:vAlign w:val="bottom"/>
          </w:tcPr>
          <w:p>
            <w:pPr>
              <w:spacing w:after="0"/>
              <w:rPr>
                <w:sz w:val="18"/>
                <w:szCs w:val="18"/>
                <w:color w:val="auto"/>
              </w:rPr>
            </w:pP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51,391</w:t>
            </w:r>
          </w:p>
        </w:tc>
        <w:tc>
          <w:tcPr>
            <w:tcW w:w="2260" w:type="dxa"/>
            <w:vAlign w:val="bottom"/>
          </w:tcPr>
          <w:p>
            <w:pPr>
              <w:spacing w:after="0"/>
              <w:rPr>
                <w:sz w:val="18"/>
                <w:szCs w:val="18"/>
                <w:color w:val="auto"/>
              </w:rPr>
            </w:pPr>
          </w:p>
        </w:tc>
      </w:tr>
      <w:tr>
        <w:trPr>
          <w:trHeight w:val="21"/>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5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2020 and December 31,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allowances of $183 and $0,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63,432</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39,734</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280,525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211,120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34,971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192,222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91,174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81,626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10,252</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25,475</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222,251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619,057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14,929</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1,301,076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736,490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750.0 million shares authorized, 169.3 million issued and 168.7 million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shares, 0.6 million shares as of September 30, 2020, at cost; 0 shares at December 31, 2019, at cost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shares, 0 shares issued and outstanding as of September 30, 2020; 23.6 million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130,658</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shares, 0 shares issued and outstanding as of September 30, 2020; 144.3 million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(229,673)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NFE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84,805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387,324</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ind w:right="5260"/>
        <w:spacing w:after="0" w:line="291" w:lineRule="auto"/>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 For the three and nine months ended September 30, 2020 and 2019 (Unaudited, in thousands of U.S. dollars,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83,863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223,542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93,221</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52,995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82,412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26,152</w:t>
            </w:r>
          </w:p>
        </w:tc>
      </w:tr>
      <w:tr>
        <w:trPr>
          <w:trHeight w:val="22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136,858</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305,954</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119,373</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71,665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30,849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40,913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charges and loss on mitigation sales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5,731</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479,343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(47,726)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(173,389)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(151,022)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23,505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(34,834)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(54,488)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(261,531)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(36,670)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(54,424)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(263,480)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139,483</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(36,358)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(26,466)</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170,074,532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22,692,104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85,009,385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19,689,568</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(36,670)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(263,480)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(165,949)</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currency translation adjustment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47,825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80,156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139,607</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5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 and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(263,480)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(165,949)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contract termination charges and loss on mitigation sales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and financing expenses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value of investment in equity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receivables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right-of-use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amounts due to affiliates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16,644</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(295,635)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received on finance lease,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(115,704)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(295,035)</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of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(1,490,002)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IPO</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274,948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related to tax withholdings for share-based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dividends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(6,938)</w:t>
            </w:r>
          </w:p>
        </w:tc>
      </w:tr>
      <w:tr>
        <w:trPr>
          <w:trHeight w:val="223"/>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593,001</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143,205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100,853</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244,058</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accounts payable and accrued liabilities associated with construction in progress and property, plant and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additions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(51,586)</w:t>
            </w:r>
          </w:p>
        </w:tc>
      </w:tr>
      <w:tr>
        <w:trPr>
          <w:trHeight w:val="601"/>
        </w:trPr>
        <w:tc>
          <w:tcPr>
            <w:tcW w:w="8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
      <w:numFmt w:val="bullet"/>
      <w:start w:val="1"/>
    </w:lvl>
  </w:abstractNum>
  <w:abstractNum w:abstractNumId="4">
    <w:nsid w:val="4DB127F8"/>
    <w:multiLevelType w:val="hybridMultilevel"/>
    <w:lvl w:ilvl="0">
      <w:lvlJc w:val="left"/>
      <w:lvlText w:val=" "/>
      <w:numFmt w:val="bullet"/>
      <w:start w:val="1"/>
    </w:lvl>
  </w:abstractNum>
  <w:abstractNum w:abstractNumId="5">
    <w:nsid w:val="216231B"/>
    <w:multiLevelType w:val="hybridMultilevel"/>
    <w:lvl w:ilvl="0">
      <w:lvlJc w:val="left"/>
      <w:lvlText w:val=" "/>
      <w:numFmt w:val="bullet"/>
      <w:start w:val="1"/>
    </w:lvl>
  </w:abstractNum>
  <w:abstractNum w:abstractNumId="6">
    <w:nsid w:val="1F16E9E8"/>
    <w:multiLevelType w:val="hybridMultilevel"/>
    <w:lvl w:ilvl="0">
      <w:lvlJc w:val="left"/>
      <w:lvlText w:val="•"/>
      <w:numFmt w:val="bullet"/>
      <w:start w:val="1"/>
    </w:lvl>
    <w:lvl w:ilvl="1">
      <w:lvlJc w:val="left"/>
      <w:lvlText w:val=" "/>
      <w:numFmt w:val="bullet"/>
      <w:start w:val="1"/>
    </w:lvl>
  </w:abstractNum>
  <w:abstractNum w:abstractNumId="7">
    <w:nsid w:val="1190CDE7"/>
    <w:multiLevelType w:val="hybridMultilevel"/>
    <w:lvl w:ilvl="0">
      <w:lvlJc w:val="left"/>
      <w:lvlText w:val=" "/>
      <w:numFmt w:val="bullet"/>
      <w:start w:val="1"/>
    </w:lvl>
  </w:abstractNum>
  <w:abstractNum w:abstractNumId="8">
    <w:nsid w:val="66EF438D"/>
    <w:multiLevelType w:val="hybridMultilevel"/>
    <w:lvl w:ilvl="0">
      <w:lvlJc w:val="left"/>
      <w:lvlText w:val="•"/>
      <w:numFmt w:val="bullet"/>
      <w:start w:val="1"/>
    </w:lvl>
    <w:lvl w:ilvl="1">
      <w:lvlJc w:val="left"/>
      <w:lvlText w:val=" "/>
      <w:numFmt w:val="bullet"/>
      <w:start w:val="1"/>
    </w:lvl>
  </w:abstractNum>
  <w:abstractNum w:abstractNumId="9">
    <w:nsid w:val="140E0F76"/>
    <w:multiLevelType w:val="hybridMultilevel"/>
    <w:lvl w:ilvl="0">
      <w:lvlJc w:val="left"/>
      <w:lvlText w:val=" "/>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12"/>
    </w:lvl>
  </w:abstractNum>
  <w:abstractNum w:abstractNumId="13">
    <w:nsid w:val="7FDCC233"/>
    <w:multiLevelType w:val="hybridMultilevel"/>
    <w:lvl w:ilvl="0">
      <w:lvlJc w:val="left"/>
      <w:lvlText w:val="(%1)"/>
      <w:numFmt w:val="decimal"/>
      <w:start w:val="516"/>
    </w:lvl>
  </w:abstractNum>
  <w:abstractNum w:abstractNumId="14">
    <w:nsid w:val="1BEFD79F"/>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2020-10-29T05:28:22Z</dcterms:created>
  <dcterms:modified xsi:type="dcterms:W3CDTF">2020-10-29T05:28:22Z</dcterms:modified>
</cp:coreProperties>
</file>