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5443802.xml.htm"/>
      <w:bookmarkStart w:id="1" w:name="kswkform4_1745443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Shin Yunyoung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 19TH STREET, 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 Fortress Energy Inc.</w:t>
              </w:r>
            </w:hyperlink>
            <w:r>
              <w:rPr/>
              <w:t xml:space="preserve"> [ </w:t>
            </w:r>
            <w:r>
              <w:rPr>
                <w:rFonts w:ascii="Times;serif" w:hAnsi="Times;serif"/>
                <w:color w:val="0000FF"/>
                <w:sz w:val="24"/>
                <w:shd w:fill="FFFFFF" w:val="clear"/>
              </w:rPr>
              <w:t>NFE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01/02/2025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80,455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128,115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04/21/2025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44,558</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83,557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666"/>
        <w:gridCol w:w="80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80,455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 shares were sold. Reflects withholding of shares to satisfy tax liability in connection with delivery of shares made on April 21, 2025 in connection with the vesting of restricted stock units granted on March 11,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11, 2024, the Reporting Person was granted 111,338 RSUs that vest as follows: (a) 80,455 on January 2, 2025, and (b) 30,883 on January 2, 2026, subject to the Reporting Person remaining employed with the Issuer on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Yunyoung Shin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0496" TargetMode="External"/><Relationship Id="rId5" Type="http://schemas.openxmlformats.org/officeDocument/2006/relationships/hyperlink" Target="http://www.sec.gov/cgi-bin/browse-edgar?action=getcompany&amp;CIK=000174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3679</Characters>
  <CharactersWithSpaces>4296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