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2349699.xml.htm"/>
      <w:bookmarkStart w:id="1" w:name="kswkform4_17123496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Guinta Christopher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W. 19TH STREET, 8TH FLOOR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New Fortress Energy Inc.</w:t>
              </w:r>
            </w:hyperlink>
            <w:r>
              <w:rPr/>
              <w:t xml:space="preserve"> [ </w:t>
            </w:r>
            <w:r>
              <w:rPr>
                <w:rFonts w:ascii="Times;serif" w:hAnsi="Times;serif"/>
                <w:color w:val="0000FF"/>
                <w:sz w:val="24"/>
                <w:shd w:fill="FFFFFF" w:val="clear"/>
              </w:rPr>
              <w:t>NFE</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666"/>
        <w:gridCol w:w="92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that vests as follows: (a) 118,182 RSUs shall vest on January 2, 2025, and (b) 44,118 RSUs shall vest on January 2, 2026, subject to the Reporting Person remaining employed with the Issuer on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S. Guinta, by Cameron D. MacDougall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4129" TargetMode="External"/><Relationship Id="rId4" Type="http://schemas.openxmlformats.org/officeDocument/2006/relationships/hyperlink" Target="http://www.sec.gov/cgi-bin/browse-edgar?action=getcompany&amp;CIK=00017497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3354</Characters>
  <CharactersWithSpaces>3910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