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18, 2025</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580" w:space="720"/>
            <w:col w:w="284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840" w:type="dxa"/>
        <w:tblCellMar>
          <w:top w:w="0" w:type="dxa"/>
          <w:left w:w="0" w:type="dxa"/>
          <w:bottom w:w="0" w:type="dxa"/>
          <w:right w:w="0" w:type="dxa"/>
        </w:tblCellMar>
      </w:tblPr>
      <w:tr>
        <w:trPr>
          <w:trHeight w:val="207"/>
        </w:trPr>
        <w:tc>
          <w:tcPr>
            <w:tcW w:w="26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12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0"/>
        </w:trPr>
        <w:tc>
          <w:tcPr>
            <w:tcW w:w="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77"/>
        </w:trPr>
        <w:tc>
          <w:tcPr>
            <w:tcW w:w="3520" w:type="dxa"/>
            <w:vAlign w:val="bottom"/>
            <w:gridSpan w:val="3"/>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3120" w:type="dxa"/>
            <w:vAlign w:val="bottom"/>
            <w:gridSpan w:val="2"/>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319" w:lineRule="exact"/>
        <w:rPr>
          <w:sz w:val="24"/>
          <w:szCs w:val="24"/>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At the 2025 Annual Meeting of Stockholders (the “Annual Meeting”) held on June 18, 2025, the stockholders of New Fortress Energy Inc. (the “Company”) voted on the matters described below:</w:t>
      </w:r>
    </w:p>
    <w:p>
      <w:pPr>
        <w:spacing w:after="0" w:line="189" w:lineRule="exact"/>
        <w:rPr>
          <w:sz w:val="20"/>
          <w:szCs w:val="20"/>
          <w:color w:val="auto"/>
        </w:rPr>
      </w:pPr>
    </w:p>
    <w:p>
      <w:pPr>
        <w:ind w:left="660" w:right="40" w:hanging="328"/>
        <w:spacing w:after="0" w:line="24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elected three Class III directors, who comprise all the directors of such class, to serve until the 2028 Annual Meeting of Stockholders and until their respective successors are duly elected or appointed and qualified. The numbers of shares that voted for the election of such directors, withheld authority to vote for such directors, and represented broker non-votes with respect to this proposal are summarized in the table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10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0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12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3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Desmond Iain Catterall</w:t>
            </w: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194,996,793</w:t>
            </w:r>
          </w:p>
        </w:tc>
        <w:tc>
          <w:tcPr>
            <w:tcW w:w="10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26,913,669</w:t>
            </w:r>
          </w:p>
        </w:tc>
        <w:tc>
          <w:tcPr>
            <w:tcW w:w="1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23,232,492</w:t>
            </w: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Wesley R. Edens</w:t>
            </w: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201,583,435</w:t>
            </w:r>
          </w:p>
        </w:tc>
        <w:tc>
          <w:tcPr>
            <w:tcW w:w="2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20,327,027</w:t>
            </w:r>
          </w:p>
        </w:tc>
        <w:tc>
          <w:tcPr>
            <w:tcW w:w="2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23,232,492</w:t>
            </w:r>
          </w:p>
        </w:tc>
      </w:tr>
      <w:tr>
        <w:trPr>
          <w:trHeight w:val="22"/>
        </w:trPr>
        <w:tc>
          <w:tcPr>
            <w:tcW w:w="3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22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Randal A. Nardone</w:t>
            </w:r>
          </w:p>
        </w:tc>
        <w:tc>
          <w:tcPr>
            <w:tcW w:w="100" w:type="dxa"/>
            <w:vAlign w:val="bottom"/>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201,451,890</w:t>
            </w:r>
          </w:p>
        </w:tc>
        <w:tc>
          <w:tcPr>
            <w:tcW w:w="100" w:type="dxa"/>
            <w:vAlign w:val="bottom"/>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20,458,572</w:t>
            </w:r>
          </w:p>
        </w:tc>
        <w:tc>
          <w:tcPr>
            <w:tcW w:w="120" w:type="dxa"/>
            <w:vAlign w:val="bottom"/>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23,232,492</w:t>
            </w:r>
          </w:p>
        </w:tc>
      </w:tr>
      <w:tr>
        <w:trPr>
          <w:trHeight w:val="22"/>
        </w:trPr>
        <w:tc>
          <w:tcPr>
            <w:tcW w:w="374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left="660" w:right="20" w:hanging="328"/>
        <w:spacing w:after="0" w:line="24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ratified the appointment of Ernst &amp; Young LLP as the Company’s independent registered public accounting firm for the fiscal year ending December 31, 2025. The numbers of shares that voted for, against and abstained from voting for or against the ratification of the selection of Ernst &amp; Young LLP are summarized in the table below:</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7"/>
        </w:trPr>
        <w:tc>
          <w:tcPr>
            <w:tcW w:w="5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28"/>
        </w:trPr>
        <w:tc>
          <w:tcPr>
            <w:tcW w:w="5640" w:type="dxa"/>
            <w:vAlign w:val="bottom"/>
            <w:shd w:val="clear" w:color="auto" w:fill="CCEEFF"/>
          </w:tcPr>
          <w:p>
            <w:pPr>
              <w:jc w:val="right"/>
              <w:ind w:right="2270"/>
              <w:spacing w:after="0"/>
              <w:rPr>
                <w:sz w:val="20"/>
                <w:szCs w:val="20"/>
                <w:color w:val="auto"/>
              </w:rPr>
            </w:pPr>
            <w:r>
              <w:rPr>
                <w:rFonts w:ascii="Times New Roman" w:cs="Times New Roman" w:eastAsia="Times New Roman" w:hAnsi="Times New Roman"/>
                <w:sz w:val="18"/>
                <w:szCs w:val="18"/>
                <w:color w:val="auto"/>
              </w:rPr>
              <w:t>244,403,944</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402,955</w:t>
            </w: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336,055</w:t>
            </w:r>
          </w:p>
        </w:tc>
      </w:tr>
      <w:tr>
        <w:trPr>
          <w:trHeight w:val="22"/>
        </w:trPr>
        <w:tc>
          <w:tcPr>
            <w:tcW w:w="5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r>
    </w:tbl>
    <w:p>
      <w:pPr>
        <w:spacing w:after="0" w:line="306" w:lineRule="exact"/>
        <w:rPr>
          <w:sz w:val="20"/>
          <w:szCs w:val="20"/>
          <w:color w:val="auto"/>
        </w:rPr>
      </w:pPr>
    </w:p>
    <w:p>
      <w:pPr>
        <w:ind w:firstLine="8"/>
        <w:spacing w:after="0" w:line="242" w:lineRule="auto"/>
        <w:tabs>
          <w:tab w:leader="none" w:pos="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non-votes are instances where a broker holding shares of record for a beneficial owner does not vote the shares because it has not received voting instructions from the beneficial owner and therefore is precluded by stock exchange rules from voting on a particular matter. Under these rules, when a broker holding shares in “street name” does not receive voting instructions from a beneficial owner, the broker has discretionary authority to vote on certain routine matters but is prohibited from voting on non-routine matters. Brokers who do not receive instructions are not entitled to vote on the election of directors, but they are entitled to vote on the ratification of the appointment of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1188085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86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53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2025</w:t>
            </w: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3340" w:type="dxa"/>
            <w:vAlign w:val="bottom"/>
          </w:tcPr>
          <w:p>
            <w:pPr>
              <w:spacing w:after="0"/>
              <w:rPr>
                <w:sz w:val="21"/>
                <w:szCs w:val="21"/>
                <w:color w:val="auto"/>
              </w:rPr>
            </w:pP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3340" w:type="dxa"/>
            <w:vAlign w:val="bottom"/>
          </w:tcPr>
          <w:p>
            <w:pPr>
              <w:spacing w:after="0"/>
              <w:rPr>
                <w:sz w:val="22"/>
                <w:szCs w:val="22"/>
                <w:color w:val="auto"/>
              </w:rPr>
            </w:pP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2025-06-25T15:47:25Z</dcterms:created>
  <dcterms:modified xsi:type="dcterms:W3CDTF">2025-06-25T15:47:25Z</dcterms:modified>
</cp:coreProperties>
</file>