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644393 100</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(CUSIP Number)</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Lynn M. Edens</w:t>
      </w:r>
    </w:p>
    <w:p>
      <w:pPr>
        <w:jc w:val="center"/>
        <w:ind w:right="-19"/>
        <w:spacing w:after="0" w:line="235" w:lineRule="auto"/>
        <w:rPr>
          <w:sz w:val="20"/>
          <w:szCs w:val="20"/>
          <w:color w:val="auto"/>
        </w:rPr>
      </w:pPr>
      <w:r>
        <w:rPr>
          <w:rFonts w:ascii="Arial" w:cs="Arial" w:eastAsia="Arial" w:hAnsi="Arial"/>
          <w:sz w:val="22"/>
          <w:szCs w:val="22"/>
          <w:b w:val="1"/>
          <w:bCs w:val="1"/>
          <w:color w:val="auto"/>
        </w:rPr>
        <w:t>c/o Baobob Advisors LLC</w:t>
      </w:r>
    </w:p>
    <w:p>
      <w:pPr>
        <w:jc w:val="center"/>
        <w:ind w:right="-19"/>
        <w:spacing w:after="0" w:line="181" w:lineRule="auto"/>
        <w:rPr>
          <w:sz w:val="20"/>
          <w:szCs w:val="20"/>
          <w:color w:val="auto"/>
        </w:rPr>
      </w:pPr>
      <w:r>
        <w:rPr>
          <w:rFonts w:ascii="Arial" w:cs="Arial" w:eastAsia="Arial" w:hAnsi="Arial"/>
          <w:sz w:val="19"/>
          <w:szCs w:val="19"/>
          <w:b w:val="1"/>
          <w:bCs w:val="1"/>
          <w:color w:val="auto"/>
        </w:rPr>
        <w:t>111 W. 19</w:t>
      </w:r>
      <w:r>
        <w:rPr>
          <w:rFonts w:ascii="Arial" w:cs="Arial" w:eastAsia="Arial" w:hAnsi="Arial"/>
          <w:sz w:val="29"/>
          <w:szCs w:val="29"/>
          <w:b w:val="1"/>
          <w:bCs w:val="1"/>
          <w:color w:val="auto"/>
          <w:vertAlign w:val="superscript"/>
        </w:rPr>
        <w:t>th</w:t>
      </w:r>
      <w:r>
        <w:rPr>
          <w:rFonts w:ascii="Arial" w:cs="Arial" w:eastAsia="Arial" w:hAnsi="Arial"/>
          <w:sz w:val="19"/>
          <w:szCs w:val="19"/>
          <w:b w:val="1"/>
          <w:bCs w:val="1"/>
          <w:color w:val="auto"/>
        </w:rPr>
        <w:t xml:space="preserve"> Street</w:t>
      </w:r>
    </w:p>
    <w:p>
      <w:pPr>
        <w:jc w:val="center"/>
        <w:ind w:right="-19"/>
        <w:spacing w:after="0" w:line="236" w:lineRule="auto"/>
        <w:rPr>
          <w:sz w:val="20"/>
          <w:szCs w:val="20"/>
          <w:color w:val="auto"/>
        </w:rPr>
      </w:pPr>
      <w:r>
        <w:rPr>
          <w:rFonts w:ascii="Arial" w:cs="Arial" w:eastAsia="Arial" w:hAnsi="Arial"/>
          <w:sz w:val="22"/>
          <w:szCs w:val="22"/>
          <w:b w:val="1"/>
          <w:bCs w:val="1"/>
          <w:color w:val="auto"/>
        </w:rPr>
        <w:t>New York, New York 10011</w:t>
      </w:r>
    </w:p>
    <w:p>
      <w:pPr>
        <w:jc w:val="center"/>
        <w:ind w:right="-19"/>
        <w:spacing w:after="0" w:line="207" w:lineRule="exact"/>
        <w:rPr>
          <w:sz w:val="20"/>
          <w:szCs w:val="20"/>
          <w:color w:val="auto"/>
        </w:rPr>
      </w:pPr>
      <w:r>
        <w:rPr>
          <w:rFonts w:ascii="Arial" w:cs="Arial" w:eastAsia="Arial" w:hAnsi="Arial"/>
          <w:sz w:val="18"/>
          <w:szCs w:val="18"/>
          <w:b w:val="1"/>
          <w:bCs w:val="1"/>
          <w:color w:val="auto"/>
        </w:rPr>
        <w:t>(212) 798</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6055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ind w:right="800"/>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9"/>
          <w:szCs w:val="19"/>
          <w:color w:val="auto"/>
        </w:rPr>
        <w:t>☐</w:t>
      </w:r>
    </w:p>
    <w:p>
      <w:pPr>
        <w:spacing w:after="0" w:line="189" w:lineRule="exact"/>
        <w:rPr>
          <w:sz w:val="24"/>
          <w:szCs w:val="24"/>
          <w:color w:val="auto"/>
        </w:rPr>
      </w:pPr>
    </w:p>
    <w:p>
      <w:pPr>
        <w:ind w:right="240"/>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Rule 13d-7 for other parties to whom copies are to be sent.</w:t>
      </w:r>
    </w:p>
    <w:p>
      <w:pPr>
        <w:spacing w:after="0" w:line="202" w:lineRule="exact"/>
        <w:rPr>
          <w:sz w:val="24"/>
          <w:szCs w:val="24"/>
          <w:color w:val="auto"/>
        </w:rPr>
      </w:pPr>
    </w:p>
    <w:p>
      <w:pPr>
        <w:ind w:firstLine="8"/>
        <w:spacing w:after="0"/>
        <w:tabs>
          <w:tab w:leader="none" w:pos="648"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ind w:right="22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(the “</w:t>
      </w:r>
      <w:r>
        <w:rPr>
          <w:rFonts w:ascii="Arial" w:cs="Arial" w:eastAsia="Arial" w:hAnsi="Arial"/>
          <w:sz w:val="22"/>
          <w:szCs w:val="22"/>
          <w:i w:val="1"/>
          <w:iCs w:val="1"/>
          <w:color w:val="auto"/>
        </w:rPr>
        <w:t>Act</w:t>
      </w:r>
      <w:r>
        <w:rPr>
          <w:rFonts w:ascii="Arial" w:cs="Arial" w:eastAsia="Arial" w:hAnsi="Arial"/>
          <w:sz w:val="22"/>
          <w:szCs w:val="22"/>
          <w:color w:val="auto"/>
        </w:rPr>
        <w:t>”) or otherwise subject to the liabilities of that section of the Act but shall be subject to all other provisions of the Act (however, see the Notes).</w:t>
      </w:r>
    </w:p>
    <w:p>
      <w:pPr>
        <w:spacing w:after="0" w:line="213" w:lineRule="exact"/>
        <w:rPr>
          <w:sz w:val="24"/>
          <w:szCs w:val="24"/>
          <w:color w:val="auto"/>
        </w:rPr>
      </w:pPr>
    </w:p>
    <w:p>
      <w:pPr>
        <w:ind w:right="420"/>
        <w:spacing w:after="0" w:line="250" w:lineRule="auto"/>
        <w:rPr>
          <w:sz w:val="20"/>
          <w:szCs w:val="20"/>
          <w:color w:val="auto"/>
        </w:rPr>
      </w:pPr>
      <w:r>
        <w:rPr>
          <w:rFonts w:ascii="Arial" w:cs="Arial" w:eastAsia="Arial" w:hAnsi="Arial"/>
          <w:sz w:val="22"/>
          <w:szCs w:val="22"/>
          <w:color w:val="auto"/>
        </w:rPr>
        <w:t>†This Schedule 13D constitutes Amendment No. 1 to the Schedule 13D filing by Edens Family Holdings LLC and the initial Schedule 13D filing by Lynn M. Edens. See Explanatory Note.</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 D</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CUSIP No. 644393 100</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9"/>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color w:val="auto"/>
              </w:rPr>
              <w:t>Lynn M. Edens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bottom w:val="single" w:sz="8" w:color="auto"/>
              <w:right w:val="single" w:sz="8" w:color="auto"/>
            </w:tcBorders>
          </w:tcPr>
          <w:p>
            <w:pPr>
              <w:spacing w:after="0"/>
              <w:rPr>
                <w:sz w:val="16"/>
                <w:szCs w:val="16"/>
                <w:color w:val="auto"/>
              </w:rPr>
            </w:pPr>
          </w:p>
        </w:tc>
        <w:tc>
          <w:tcPr>
            <w:tcW w:w="93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20"/>
              <w:spacing w:after="0"/>
              <w:rPr>
                <w:sz w:val="20"/>
                <w:szCs w:val="20"/>
                <w:color w:val="auto"/>
              </w:rPr>
            </w:pPr>
            <w:r>
              <w:rPr>
                <w:rFonts w:ascii="Arial" w:cs="Arial" w:eastAsia="Arial" w:hAnsi="Arial"/>
                <w:sz w:val="14"/>
                <w:szCs w:val="14"/>
                <w:color w:val="auto"/>
              </w:rPr>
              <w:t>N/A (please see Item 3)</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bottom w:val="single" w:sz="8" w:color="auto"/>
              <w:right w:val="single" w:sz="8" w:color="auto"/>
            </w:tcBorders>
          </w:tcPr>
          <w:p>
            <w:pPr>
              <w:spacing w:after="0"/>
              <w:rPr>
                <w:sz w:val="16"/>
                <w:szCs w:val="16"/>
                <w:color w:val="auto"/>
              </w:rPr>
            </w:pPr>
          </w:p>
        </w:tc>
        <w:tc>
          <w:tcPr>
            <w:tcW w:w="9320" w:type="dxa"/>
            <w:vAlign w:val="bottom"/>
            <w:tcBorders>
              <w:bottom w:val="single" w:sz="8" w:color="auto"/>
            </w:tcBorders>
            <w:gridSpan w:val="4"/>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w w:val="90"/>
              </w:rPr>
              <w:t>United States</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20"/>
              <w:spacing w:after="0"/>
              <w:rPr>
                <w:sz w:val="20"/>
                <w:szCs w:val="20"/>
                <w:color w:val="auto"/>
              </w:rPr>
            </w:pPr>
            <w:r>
              <w:rPr>
                <w:rFonts w:ascii="Arial" w:cs="Arial" w:eastAsia="Arial" w:hAnsi="Arial"/>
                <w:sz w:val="14"/>
                <w:szCs w:val="14"/>
                <w:color w:val="auto"/>
              </w:rPr>
              <w:t>25,086,851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2"/>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4"/>
                <w:szCs w:val="14"/>
                <w:color w:val="auto"/>
              </w:rPr>
              <w:t>25,086,851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gridSpan w:val="2"/>
          </w:tcPr>
          <w:p>
            <w:pPr>
              <w:spacing w:after="0"/>
              <w:rPr>
                <w:sz w:val="16"/>
                <w:szCs w:val="16"/>
                <w:color w:val="auto"/>
              </w:rPr>
            </w:pPr>
          </w:p>
        </w:tc>
        <w:tc>
          <w:tcPr>
            <w:tcW w:w="8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25,086,851</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16"/>
                <w:szCs w:val="16"/>
                <w:color w:val="auto"/>
              </w:rPr>
            </w:pPr>
          </w:p>
        </w:tc>
        <w:tc>
          <w:tcPr>
            <w:tcW w:w="8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12.1%</w:t>
            </w:r>
            <w:r>
              <w:rPr>
                <w:rFonts w:ascii="Arial" w:cs="Arial" w:eastAsia="Arial" w:hAnsi="Arial"/>
                <w:sz w:val="29"/>
                <w:szCs w:val="29"/>
                <w:color w:val="auto"/>
                <w:vertAlign w:val="superscript"/>
              </w:rPr>
              <w:t>(1)</w:t>
            </w:r>
          </w:p>
        </w:tc>
        <w:tc>
          <w:tcPr>
            <w:tcW w:w="5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IN</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right="340" w:hanging="412"/>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Calculations are based upon a total of 206,698,564 Class A Shares outstanding as of May 3, 2021, as reported by the Issuer in its Form 10-Q filed with the Securities and Exchange Commission on May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SCHEDULE 13 D</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CUSIP No. 644393 100</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9"/>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20"/>
              <w:spacing w:after="0"/>
              <w:rPr>
                <w:sz w:val="20"/>
                <w:szCs w:val="20"/>
                <w:color w:val="auto"/>
              </w:rPr>
            </w:pPr>
            <w:r>
              <w:rPr>
                <w:rFonts w:ascii="Arial" w:cs="Arial" w:eastAsia="Arial" w:hAnsi="Arial"/>
                <w:sz w:val="14"/>
                <w:szCs w:val="14"/>
                <w:color w:val="auto"/>
              </w:rPr>
              <w:t>Edens Family Holdings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bottom w:val="single" w:sz="8" w:color="auto"/>
              <w:right w:val="single" w:sz="8" w:color="auto"/>
            </w:tcBorders>
          </w:tcPr>
          <w:p>
            <w:pPr>
              <w:spacing w:after="0"/>
              <w:rPr>
                <w:sz w:val="16"/>
                <w:szCs w:val="16"/>
                <w:color w:val="auto"/>
              </w:rPr>
            </w:pPr>
          </w:p>
        </w:tc>
        <w:tc>
          <w:tcPr>
            <w:tcW w:w="93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20"/>
              <w:spacing w:after="0"/>
              <w:rPr>
                <w:sz w:val="20"/>
                <w:szCs w:val="20"/>
                <w:color w:val="auto"/>
              </w:rPr>
            </w:pPr>
            <w:r>
              <w:rPr>
                <w:rFonts w:ascii="Arial" w:cs="Arial" w:eastAsia="Arial" w:hAnsi="Arial"/>
                <w:sz w:val="14"/>
                <w:szCs w:val="14"/>
                <w:color w:val="auto"/>
              </w:rPr>
              <w:t>N/A (please see Item 3)</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400" w:type="dxa"/>
            <w:vAlign w:val="bottom"/>
            <w:tcBorders>
              <w:left w:val="single" w:sz="8" w:color="auto"/>
              <w:bottom w:val="single" w:sz="8" w:color="auto"/>
              <w:right w:val="single" w:sz="8" w:color="auto"/>
            </w:tcBorders>
          </w:tcPr>
          <w:p>
            <w:pPr>
              <w:spacing w:after="0"/>
              <w:rPr>
                <w:sz w:val="16"/>
                <w:szCs w:val="16"/>
                <w:color w:val="auto"/>
              </w:rPr>
            </w:pPr>
          </w:p>
        </w:tc>
        <w:tc>
          <w:tcPr>
            <w:tcW w:w="9320" w:type="dxa"/>
            <w:vAlign w:val="bottom"/>
            <w:tcBorders>
              <w:bottom w:val="single" w:sz="8" w:color="auto"/>
            </w:tcBorders>
            <w:gridSpan w:val="4"/>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w w:val="90"/>
              </w:rPr>
              <w:t>United States</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20"/>
              <w:spacing w:after="0"/>
              <w:rPr>
                <w:sz w:val="20"/>
                <w:szCs w:val="20"/>
                <w:color w:val="auto"/>
              </w:rPr>
            </w:pPr>
            <w:r>
              <w:rPr>
                <w:rFonts w:ascii="Arial" w:cs="Arial" w:eastAsia="Arial" w:hAnsi="Arial"/>
                <w:sz w:val="14"/>
                <w:szCs w:val="14"/>
                <w:color w:val="auto"/>
              </w:rPr>
              <w:t>25,086,851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2"/>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4"/>
                <w:szCs w:val="14"/>
                <w:color w:val="auto"/>
              </w:rPr>
              <w:t>25,086,851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gridSpan w:val="2"/>
          </w:tcPr>
          <w:p>
            <w:pPr>
              <w:spacing w:after="0"/>
              <w:rPr>
                <w:sz w:val="16"/>
                <w:szCs w:val="16"/>
                <w:color w:val="auto"/>
              </w:rPr>
            </w:pPr>
          </w:p>
        </w:tc>
        <w:tc>
          <w:tcPr>
            <w:tcW w:w="8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25,086,851</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16"/>
                <w:szCs w:val="16"/>
                <w:color w:val="auto"/>
              </w:rPr>
            </w:pPr>
          </w:p>
        </w:tc>
        <w:tc>
          <w:tcPr>
            <w:tcW w:w="8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w w:val="99"/>
              </w:rPr>
              <w:t>12.1%</w:t>
            </w:r>
            <w:r>
              <w:rPr>
                <w:rFonts w:ascii="Arial" w:cs="Arial" w:eastAsia="Arial" w:hAnsi="Arial"/>
                <w:sz w:val="23"/>
                <w:szCs w:val="23"/>
                <w:color w:val="auto"/>
                <w:w w:val="99"/>
                <w:vertAlign w:val="superscript"/>
              </w:rPr>
              <w:t>(1)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1400" w:type="dxa"/>
            <w:vAlign w:val="bottom"/>
            <w:tcBorders>
              <w:left w:val="single" w:sz="8" w:color="auto"/>
              <w:bottom w:val="single" w:sz="8" w:color="auto"/>
              <w:right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80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OO</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right="340" w:hanging="412"/>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Calculations are based upon a total of 206,698,564 Class A Shares outstanding as of May 3, 2021, as reported by the Issuer in its Form 10-Q filed with the Securities and Exchange Commission on May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9"/>
          <w:szCs w:val="19"/>
          <w:color w:val="auto"/>
        </w:rPr>
        <w:t>This filing constitutes (i) Amendment No. 1 (this “</w:t>
      </w:r>
      <w:r>
        <w:rPr>
          <w:rFonts w:ascii="Arial" w:cs="Arial" w:eastAsia="Arial" w:hAnsi="Arial"/>
          <w:sz w:val="19"/>
          <w:szCs w:val="19"/>
          <w:i w:val="1"/>
          <w:iCs w:val="1"/>
          <w:color w:val="auto"/>
        </w:rPr>
        <w:t>Amendment</w:t>
      </w:r>
      <w:r>
        <w:rPr>
          <w:rFonts w:ascii="Arial" w:cs="Arial" w:eastAsia="Arial" w:hAnsi="Arial"/>
          <w:sz w:val="19"/>
          <w:szCs w:val="19"/>
          <w:color w:val="auto"/>
        </w:rPr>
        <w:t>”) to the Schedule 13D filed by Edens Family Holdings LLC, a Delaware limited liability company (“</w:t>
      </w:r>
      <w:r>
        <w:rPr>
          <w:rFonts w:ascii="Arial" w:cs="Arial" w:eastAsia="Arial" w:hAnsi="Arial"/>
          <w:sz w:val="19"/>
          <w:szCs w:val="19"/>
          <w:i w:val="1"/>
          <w:iCs w:val="1"/>
          <w:color w:val="auto"/>
        </w:rPr>
        <w:t>Family LLC</w:t>
      </w:r>
      <w:r>
        <w:rPr>
          <w:rFonts w:ascii="Arial" w:cs="Arial" w:eastAsia="Arial" w:hAnsi="Arial"/>
          <w:sz w:val="19"/>
          <w:szCs w:val="19"/>
          <w:color w:val="auto"/>
        </w:rPr>
        <w:t>”), with the Securities and Exchange Commission (the “</w:t>
      </w:r>
      <w:r>
        <w:rPr>
          <w:rFonts w:ascii="Arial" w:cs="Arial" w:eastAsia="Arial" w:hAnsi="Arial"/>
          <w:sz w:val="19"/>
          <w:szCs w:val="19"/>
          <w:i w:val="1"/>
          <w:iCs w:val="1"/>
          <w:color w:val="auto"/>
        </w:rPr>
        <w:t>SEC</w:t>
      </w:r>
      <w:r>
        <w:rPr>
          <w:rFonts w:ascii="Arial" w:cs="Arial" w:eastAsia="Arial" w:hAnsi="Arial"/>
          <w:sz w:val="19"/>
          <w:szCs w:val="19"/>
          <w:color w:val="auto"/>
        </w:rPr>
        <w:t>”) on March 18, 2021 (the “</w:t>
      </w:r>
      <w:r>
        <w:rPr>
          <w:rFonts w:ascii="Arial" w:cs="Arial" w:eastAsia="Arial" w:hAnsi="Arial"/>
          <w:sz w:val="19"/>
          <w:szCs w:val="19"/>
          <w:i w:val="1"/>
          <w:iCs w:val="1"/>
          <w:color w:val="auto"/>
        </w:rPr>
        <w:t>Original Schedule 13D</w:t>
      </w:r>
      <w:r>
        <w:rPr>
          <w:rFonts w:ascii="Arial" w:cs="Arial" w:eastAsia="Arial" w:hAnsi="Arial"/>
          <w:sz w:val="19"/>
          <w:szCs w:val="19"/>
          <w:color w:val="auto"/>
        </w:rPr>
        <w:t>”) (the Original Schedule 13D, as further amended and supplemented by this Amendment, the “</w:t>
      </w:r>
      <w:r>
        <w:rPr>
          <w:rFonts w:ascii="Arial" w:cs="Arial" w:eastAsia="Arial" w:hAnsi="Arial"/>
          <w:sz w:val="19"/>
          <w:szCs w:val="19"/>
          <w:i w:val="1"/>
          <w:iCs w:val="1"/>
          <w:color w:val="auto"/>
        </w:rPr>
        <w:t>Schedule 13D</w:t>
      </w:r>
      <w:r>
        <w:rPr>
          <w:rFonts w:ascii="Arial" w:cs="Arial" w:eastAsia="Arial" w:hAnsi="Arial"/>
          <w:sz w:val="19"/>
          <w:szCs w:val="19"/>
          <w:color w:val="auto"/>
        </w:rPr>
        <w:t>”) with respect to the shares of Class A common stock (“</w:t>
      </w:r>
      <w:r>
        <w:rPr>
          <w:rFonts w:ascii="Arial" w:cs="Arial" w:eastAsia="Arial" w:hAnsi="Arial"/>
          <w:sz w:val="19"/>
          <w:szCs w:val="19"/>
          <w:i w:val="1"/>
          <w:iCs w:val="1"/>
          <w:color w:val="auto"/>
        </w:rPr>
        <w:t>Class A Shares</w:t>
      </w:r>
      <w:r>
        <w:rPr>
          <w:rFonts w:ascii="Arial" w:cs="Arial" w:eastAsia="Arial" w:hAnsi="Arial"/>
          <w:sz w:val="19"/>
          <w:szCs w:val="19"/>
          <w:color w:val="auto"/>
        </w:rPr>
        <w:t>”) of New Fortress Energy Inc., a Delaware corporation (the “</w:t>
      </w:r>
      <w:r>
        <w:rPr>
          <w:rFonts w:ascii="Arial" w:cs="Arial" w:eastAsia="Arial" w:hAnsi="Arial"/>
          <w:sz w:val="19"/>
          <w:szCs w:val="19"/>
          <w:i w:val="1"/>
          <w:iCs w:val="1"/>
          <w:color w:val="auto"/>
        </w:rPr>
        <w:t>Issuer</w:t>
      </w:r>
      <w:r>
        <w:rPr>
          <w:rFonts w:ascii="Arial" w:cs="Arial" w:eastAsia="Arial" w:hAnsi="Arial"/>
          <w:sz w:val="19"/>
          <w:szCs w:val="19"/>
          <w:color w:val="auto"/>
        </w:rPr>
        <w:t>”), and (ii) the initial Schedule 13D filing by Lynn M. Edens with respect to the Class A Shares (Ms. Edens and Family LLC, together, the “</w:t>
      </w:r>
      <w:r>
        <w:rPr>
          <w:rFonts w:ascii="Arial" w:cs="Arial" w:eastAsia="Arial" w:hAnsi="Arial"/>
          <w:sz w:val="19"/>
          <w:szCs w:val="19"/>
          <w:i w:val="1"/>
          <w:iCs w:val="1"/>
          <w:color w:val="auto"/>
        </w:rPr>
        <w:t>Reporting Persons</w:t>
      </w:r>
      <w:r>
        <w:rPr>
          <w:rFonts w:ascii="Arial" w:cs="Arial" w:eastAsia="Arial" w:hAnsi="Arial"/>
          <w:sz w:val="19"/>
          <w:szCs w:val="19"/>
          <w:color w:val="auto"/>
        </w:rPr>
        <w:t>”). As previously disclosed, on March 12, 2021, Wesley R. Edens formed Family LLC and, on March 16, 2021, contributed 25,086,851 Class A Shares and certain other securities to it. The Reporting Persons are filing this Amendment to disclose that, on June 11, 2021, Wesley R. Edens transferred all of the Family LLC common limited liability company interests to Ms. Edens for no consideration and Ms. Edens became the manager of Family LLC. The Reporting Persons have made this filing jointly pursuant to Rule 13d-1(k)(1).</w:t>
      </w:r>
    </w:p>
    <w:p>
      <w:pPr>
        <w:spacing w:after="0" w:line="188" w:lineRule="exact"/>
        <w:rPr>
          <w:sz w:val="20"/>
          <w:szCs w:val="20"/>
          <w:color w:val="auto"/>
        </w:rPr>
      </w:pPr>
    </w:p>
    <w:p>
      <w:pPr>
        <w:ind w:right="180" w:firstLine="648"/>
        <w:spacing w:after="0" w:line="274" w:lineRule="auto"/>
        <w:rPr>
          <w:sz w:val="20"/>
          <w:szCs w:val="20"/>
          <w:color w:val="auto"/>
        </w:rPr>
      </w:pPr>
      <w:r>
        <w:rPr>
          <w:rFonts w:ascii="Arial" w:cs="Arial" w:eastAsia="Arial" w:hAnsi="Arial"/>
          <w:sz w:val="21"/>
          <w:szCs w:val="21"/>
          <w:color w:val="auto"/>
        </w:rPr>
        <w:t>This Amendment amends and restates Family LLC’s Original Schedule 13D. Capitalized terms used in this Amendment and not otherwise defined shall have the same meanings ascribed to them in the Original Schedule 13D.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1 to the Schedule 13D is hereby amended and restated as follows:</w:t>
      </w:r>
    </w:p>
    <w:p>
      <w:pPr>
        <w:spacing w:after="0" w:line="233"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This Schedule 13D relates to the Class A Shares of the Issuer, which has its principal executive offices at 111 W. 19th St., 8th Floor, New York, NY 10011.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2 to the Schedule 13D is hereby amended and restated as follows: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Edens Family Holdings LLC</w:t>
      </w:r>
    </w:p>
    <w:p>
      <w:pPr>
        <w:spacing w:after="0" w:line="233"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Family LLC is a holding company organized under the laws of the State of Delaware with its principal office located at 111 W. 19th St., 8th Floor, New York, NY 10011. Ms. Edens is the member of Family LLC.</w:t>
      </w:r>
    </w:p>
    <w:p>
      <w:pPr>
        <w:spacing w:after="0" w:line="202"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In the past five years, Family LLC has not been convicted in a criminal proceeding (excluding traffic violations or similar misdemeanors), nor has it been a party to a civil proceeding of a judicial or administrative body of competent jurisdiction that has resulted in a judgment, decree or final order enjoining future violations of, or prohibiting or mandating activities subject to, federal or state securities laws or finding any violations with respect to such laws.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Lynn M. Edens</w:t>
      </w:r>
    </w:p>
    <w:p>
      <w:pPr>
        <w:spacing w:after="0" w:line="233" w:lineRule="exact"/>
        <w:rPr>
          <w:sz w:val="20"/>
          <w:szCs w:val="20"/>
          <w:color w:val="auto"/>
        </w:rPr>
      </w:pPr>
    </w:p>
    <w:p>
      <w:pPr>
        <w:ind w:left="1320" w:hanging="664"/>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Lynn M. Edens</w:t>
      </w:r>
    </w:p>
    <w:p>
      <w:pPr>
        <w:spacing w:after="0" w:line="233" w:lineRule="exact"/>
        <w:rPr>
          <w:rFonts w:ascii="Arial" w:cs="Arial" w:eastAsia="Arial" w:hAnsi="Arial"/>
          <w:sz w:val="22"/>
          <w:szCs w:val="22"/>
          <w:color w:val="auto"/>
        </w:rPr>
      </w:pPr>
    </w:p>
    <w:p>
      <w:pPr>
        <w:ind w:left="1340" w:hanging="684"/>
        <w:spacing w:after="0"/>
        <w:tabs>
          <w:tab w:leader="none" w:pos="134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principal business address of Ms. Edens is c/o Baobob Advisors LLC, 111 W. 19th St., 8th Floor, New York,</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NY 10011</w:t>
      </w:r>
    </w:p>
    <w:p>
      <w:pPr>
        <w:spacing w:after="0" w:line="215" w:lineRule="exact"/>
        <w:rPr>
          <w:rFonts w:ascii="Arial" w:cs="Arial" w:eastAsia="Arial" w:hAnsi="Arial"/>
          <w:sz w:val="19"/>
          <w:szCs w:val="19"/>
          <w:color w:val="auto"/>
        </w:rPr>
      </w:pPr>
    </w:p>
    <w:p>
      <w:pPr>
        <w:ind w:left="1320" w:hanging="664"/>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present principal occupation of Ms. Edens is a private citizen.</w:t>
      </w:r>
    </w:p>
    <w:p>
      <w:pPr>
        <w:spacing w:after="0" w:line="233" w:lineRule="exact"/>
        <w:rPr>
          <w:rFonts w:ascii="Arial" w:cs="Arial" w:eastAsia="Arial" w:hAnsi="Arial"/>
          <w:sz w:val="22"/>
          <w:szCs w:val="22"/>
          <w:color w:val="auto"/>
        </w:rPr>
      </w:pPr>
    </w:p>
    <w:p>
      <w:pPr>
        <w:ind w:right="180" w:firstLine="656"/>
        <w:spacing w:after="0" w:line="250" w:lineRule="auto"/>
        <w:tabs>
          <w:tab w:leader="none" w:pos="1332"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past five years, Ms. Edens has not been convicted in a criminal proceeding (excluding traffic violations or similar misdemeanors).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 w:name="page5"/>
    <w:bookmarkEnd w:id="4"/>
    <w:p>
      <w:pPr>
        <w:ind w:right="160" w:firstLine="656"/>
        <w:spacing w:after="0" w:line="297" w:lineRule="auto"/>
        <w:tabs>
          <w:tab w:leader="none" w:pos="132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 the past five years, Ms. Edens has not been a party to a civil proceeding of a judicial or administrative body of competent jurisdiction that has resulted in a judgment, decree or final order enjoining future violations of, or prohibiting or mandating activities subject to, federal or state securities laws or finding any violations with respect to such laws.</w:t>
      </w:r>
    </w:p>
    <w:p>
      <w:pPr>
        <w:spacing w:after="0" w:line="161" w:lineRule="exact"/>
        <w:rPr>
          <w:rFonts w:ascii="Arial" w:cs="Arial" w:eastAsia="Arial" w:hAnsi="Arial"/>
          <w:sz w:val="19"/>
          <w:szCs w:val="19"/>
          <w:color w:val="auto"/>
        </w:rPr>
      </w:pPr>
    </w:p>
    <w:p>
      <w:pPr>
        <w:ind w:left="1420" w:hanging="764"/>
        <w:spacing w:after="0"/>
        <w:tabs>
          <w:tab w:leader="none" w:pos="1420" w:val="left"/>
        </w:tabs>
        <w:numPr>
          <w:ilvl w:val="0"/>
          <w:numId w:val="5"/>
        </w:numPr>
        <w:rPr>
          <w:rFonts w:ascii="Arial" w:cs="Arial" w:eastAsia="Arial" w:hAnsi="Arial"/>
          <w:sz w:val="22"/>
          <w:szCs w:val="22"/>
          <w:color w:val="auto"/>
        </w:rPr>
      </w:pPr>
      <w:r>
        <w:rPr>
          <w:rFonts w:ascii="Arial" w:cs="Arial" w:eastAsia="Arial" w:hAnsi="Arial"/>
          <w:sz w:val="22"/>
          <w:szCs w:val="22"/>
          <w:color w:val="auto"/>
        </w:rPr>
        <w:t>Ms. Edens is a citizen of the United States.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3 to the Schedule 13D is hereby amended and restated as follows:</w:t>
      </w:r>
    </w:p>
    <w:p>
      <w:pPr>
        <w:spacing w:after="0" w:line="233" w:lineRule="exact"/>
        <w:rPr>
          <w:sz w:val="20"/>
          <w:szCs w:val="20"/>
          <w:color w:val="auto"/>
        </w:rPr>
      </w:pPr>
    </w:p>
    <w:p>
      <w:pPr>
        <w:ind w:right="40" w:firstLine="648"/>
        <w:spacing w:after="0" w:line="282" w:lineRule="auto"/>
        <w:rPr>
          <w:sz w:val="20"/>
          <w:szCs w:val="20"/>
          <w:color w:val="auto"/>
        </w:rPr>
      </w:pPr>
      <w:r>
        <w:rPr>
          <w:rFonts w:ascii="Arial" w:cs="Arial" w:eastAsia="Arial" w:hAnsi="Arial"/>
          <w:sz w:val="19"/>
          <w:szCs w:val="19"/>
          <w:color w:val="auto"/>
        </w:rPr>
        <w:t>As previously disclosed, on March 12, 2021, Wesley R. Edens formed Family LLC and, on March 16, 2021, contributed 25,086,851 Class A Shares and certain other securities to it. The Reporting Persons are filing this Amendment to disclose that, on June 11, 2021, Wesley R. Edens transferred all of the Family LLC common limited liability company interests to Ms. Edens for no consideration. As a result of such transfer, Ms. Edens obtained voting and investment power in respect of the Class A Shares owned by Family LLC and became the beneficial owner of such Class A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4 to the Schedule 13D is hereby amended and restated as follows:</w:t>
      </w:r>
    </w:p>
    <w:p>
      <w:pPr>
        <w:spacing w:after="0" w:line="233" w:lineRule="exact"/>
        <w:rPr>
          <w:sz w:val="20"/>
          <w:szCs w:val="20"/>
          <w:color w:val="auto"/>
        </w:rPr>
      </w:pPr>
    </w:p>
    <w:p>
      <w:pPr>
        <w:jc w:val="both"/>
        <w:ind w:right="120" w:firstLine="648"/>
        <w:spacing w:after="0" w:line="257" w:lineRule="auto"/>
        <w:rPr>
          <w:sz w:val="20"/>
          <w:szCs w:val="20"/>
          <w:color w:val="auto"/>
        </w:rPr>
      </w:pPr>
      <w:r>
        <w:rPr>
          <w:rFonts w:ascii="Arial" w:cs="Arial" w:eastAsia="Arial" w:hAnsi="Arial"/>
          <w:sz w:val="21"/>
          <w:szCs w:val="21"/>
          <w:color w:val="auto"/>
        </w:rPr>
        <w:t>On June 11, 2021, Wesley R. Edens transferred all of the Family LLC common limited liability company interests to Ms. Edens for no consideration. As a result of such transfer, Ms. Edens obtained voting and investment power in respect of the Class A Shares owned by Family LLC and became a beneficial owner of such Class A Shares.</w:t>
      </w:r>
    </w:p>
    <w:p>
      <w:pPr>
        <w:spacing w:after="0" w:line="196"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The Reporting Persons hold their securities of the Issuer for investment purposes. Depending on the factors discussed herein, the Reporting Persons may, from time to time, acquire additional Class A Shares and/or retain and/or sell all or a portion of the Class A Shares held by the Reporting Persons in the open market or in privately negotiated transactions. The Reporting Persons intend to evaluate on an ongoing basis this investment in the Issuer and options with respect to such investment. Any actions the Reporting Persons might undertake will be dependent upon the Reporting Persons’ review of numerous factors, including, among other things, the price levels of the Class A Shares, general market and economic conditions, ongoing evaluation of the Issuer’s business, financial condition, operations and prospects, the relative attractiveness of alternative business and investment opportunities, and other future developments.</w:t>
      </w:r>
    </w:p>
    <w:p>
      <w:pPr>
        <w:spacing w:after="0" w:line="184" w:lineRule="exact"/>
        <w:rPr>
          <w:sz w:val="20"/>
          <w:szCs w:val="20"/>
          <w:color w:val="auto"/>
        </w:rPr>
      </w:pPr>
    </w:p>
    <w:p>
      <w:pPr>
        <w:ind w:right="180" w:firstLine="648"/>
        <w:spacing w:after="0" w:line="287" w:lineRule="auto"/>
        <w:rPr>
          <w:sz w:val="20"/>
          <w:szCs w:val="20"/>
          <w:color w:val="auto"/>
        </w:rPr>
      </w:pPr>
      <w:r>
        <w:rPr>
          <w:rFonts w:ascii="Arial" w:cs="Arial" w:eastAsia="Arial" w:hAnsi="Arial"/>
          <w:sz w:val="19"/>
          <w:szCs w:val="19"/>
          <w:color w:val="auto"/>
        </w:rPr>
        <w:t>The Reporting Persons reserve the right to change their purpose and to formulate and implement plans or proposals with respect to the Issuer at any time and from time to time. Any such action may be made by the Reporting Persons alone or in conjunction with other stockholders and/or other third parties and could include one or more purposes, plans or proposals that relate to or would result in actions required to be reported herein in accordance with Item 4 of Schedule 13D.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5 to the Schedule 13D is hereby amended and restated as follows:</w:t>
      </w:r>
    </w:p>
    <w:p>
      <w:pPr>
        <w:spacing w:after="0" w:line="233" w:lineRule="exact"/>
        <w:rPr>
          <w:sz w:val="20"/>
          <w:szCs w:val="20"/>
          <w:color w:val="auto"/>
        </w:rPr>
      </w:pPr>
    </w:p>
    <w:p>
      <w:pPr>
        <w:ind w:right="80" w:firstLine="656"/>
        <w:spacing w:after="0"/>
        <w:tabs>
          <w:tab w:leader="none" w:pos="942" w:val="left"/>
        </w:tabs>
        <w:numPr>
          <w:ilvl w:val="0"/>
          <w:numId w:val="6"/>
        </w:numPr>
        <w:rPr>
          <w:rFonts w:ascii="Arial" w:cs="Arial" w:eastAsia="Arial" w:hAnsi="Arial"/>
          <w:sz w:val="22"/>
          <w:szCs w:val="22"/>
          <w:color w:val="auto"/>
        </w:rPr>
      </w:pPr>
      <w:r>
        <w:rPr>
          <w:rFonts w:ascii="Arial" w:cs="Arial" w:eastAsia="Arial" w:hAnsi="Arial"/>
          <w:sz w:val="22"/>
          <w:szCs w:val="22"/>
          <w:color w:val="auto"/>
        </w:rPr>
        <w:t>— (b) The aggregate number and percentage of Class A Shares beneficially owned by Family LLC (on the basis of a total of 206,698,564 Class A Shares issued and outstanding as of May 3, 2021, as reported by the Issuer in its Form 10-Q filed with the Securities and Exchange Commission on May 7, 2021)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ind w:left="660"/>
        <w:spacing w:after="0"/>
        <w:rPr>
          <w:sz w:val="20"/>
          <w:szCs w:val="20"/>
          <w:color w:val="auto"/>
        </w:rPr>
      </w:pPr>
      <w:r>
        <w:rPr>
          <w:rFonts w:ascii="Arial" w:cs="Arial" w:eastAsia="Arial" w:hAnsi="Arial"/>
          <w:sz w:val="22"/>
          <w:szCs w:val="22"/>
          <w:color w:val="auto"/>
        </w:rPr>
        <w:t>Amount beneficially owned: 25,086,851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Percentage:</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Number of shares to which the Reporting Person has:</w:t>
            </w:r>
          </w:p>
        </w:tc>
        <w:tc>
          <w:tcPr>
            <w:tcW w:w="2820" w:type="dxa"/>
            <w:vAlign w:val="bottom"/>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 Sole power to vote or to direct the vote:</w:t>
            </w:r>
          </w:p>
        </w:tc>
        <w:tc>
          <w:tcPr>
            <w:tcW w:w="2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ii. Shared power to vote or to direct the vote:</w:t>
            </w:r>
          </w:p>
        </w:tc>
        <w:tc>
          <w:tcPr>
            <w:tcW w:w="2820" w:type="dxa"/>
            <w:vAlign w:val="bottom"/>
          </w:tcPr>
          <w:p>
            <w:pPr>
              <w:jc w:val="right"/>
              <w:ind w:right="90"/>
              <w:spacing w:after="0"/>
              <w:rPr>
                <w:sz w:val="20"/>
                <w:szCs w:val="20"/>
                <w:color w:val="auto"/>
              </w:rPr>
            </w:pPr>
            <w:r>
              <w:rPr>
                <w:rFonts w:ascii="Arial" w:cs="Arial" w:eastAsia="Arial" w:hAnsi="Arial"/>
                <w:sz w:val="18"/>
                <w:szCs w:val="18"/>
                <w:color w:val="auto"/>
              </w:rPr>
              <w:t>25,086,851</w:t>
            </w: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iii. Sole power to dispose or to direct the disposition of:</w:t>
            </w:r>
          </w:p>
        </w:tc>
        <w:tc>
          <w:tcPr>
            <w:tcW w:w="2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iv. Shared power to dispose or to direct the disposition of:</w:t>
            </w:r>
          </w:p>
        </w:tc>
        <w:tc>
          <w:tcPr>
            <w:tcW w:w="2820" w:type="dxa"/>
            <w:vAlign w:val="bottom"/>
          </w:tcPr>
          <w:p>
            <w:pPr>
              <w:jc w:val="right"/>
              <w:ind w:right="90"/>
              <w:spacing w:after="0"/>
              <w:rPr>
                <w:sz w:val="20"/>
                <w:szCs w:val="20"/>
                <w:color w:val="auto"/>
              </w:rPr>
            </w:pPr>
            <w:r>
              <w:rPr>
                <w:rFonts w:ascii="Arial" w:cs="Arial" w:eastAsia="Arial" w:hAnsi="Arial"/>
                <w:sz w:val="18"/>
                <w:szCs w:val="18"/>
                <w:color w:val="auto"/>
              </w:rPr>
              <w:t>25,086,851</w:t>
            </w:r>
          </w:p>
        </w:tc>
      </w:tr>
    </w:tbl>
    <w:p>
      <w:pPr>
        <w:spacing w:after="0" w:line="207"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Ms. Edens has voting and investment power in respect of the Class A Shares owned by Family LLC and is a beneficial owner of the same 25,086,851 Class A Shares. As a result, the aggregate number and percentage of Class A Shares beneficially owned by Ms. Edens (on the basis of a total of 206,698,564 Class A Shares issued and outstanding as of May 3, 2021, as reported by the Issuer in its Form 10-Q filed with the Securities and Exchange Commission on May 7, 2021) are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Amount beneficially owned: 25,086,851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Percentage:</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Number of shares to which the Reporting Person has:</w:t>
            </w:r>
          </w:p>
        </w:tc>
        <w:tc>
          <w:tcPr>
            <w:tcW w:w="2820" w:type="dxa"/>
            <w:vAlign w:val="bottom"/>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 Sole power to vote or to direct the vote:</w:t>
            </w:r>
          </w:p>
        </w:tc>
        <w:tc>
          <w:tcPr>
            <w:tcW w:w="2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ii. Shared power to vote or to direct the vote:</w:t>
            </w:r>
          </w:p>
        </w:tc>
        <w:tc>
          <w:tcPr>
            <w:tcW w:w="2820" w:type="dxa"/>
            <w:vAlign w:val="bottom"/>
          </w:tcPr>
          <w:p>
            <w:pPr>
              <w:jc w:val="right"/>
              <w:ind w:right="90"/>
              <w:spacing w:after="0"/>
              <w:rPr>
                <w:sz w:val="20"/>
                <w:szCs w:val="20"/>
                <w:color w:val="auto"/>
              </w:rPr>
            </w:pPr>
            <w:r>
              <w:rPr>
                <w:rFonts w:ascii="Arial" w:cs="Arial" w:eastAsia="Arial" w:hAnsi="Arial"/>
                <w:sz w:val="18"/>
                <w:szCs w:val="18"/>
                <w:color w:val="auto"/>
              </w:rPr>
              <w:t>25,086,851</w:t>
            </w: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iii. Sole power to dispose or to direct the disposition of:</w:t>
            </w:r>
          </w:p>
        </w:tc>
        <w:tc>
          <w:tcPr>
            <w:tcW w:w="2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iv. Shared power to dispose or to direct the disposition of:</w:t>
            </w:r>
          </w:p>
        </w:tc>
        <w:tc>
          <w:tcPr>
            <w:tcW w:w="2820" w:type="dxa"/>
            <w:vAlign w:val="bottom"/>
          </w:tcPr>
          <w:p>
            <w:pPr>
              <w:jc w:val="right"/>
              <w:ind w:right="90"/>
              <w:spacing w:after="0"/>
              <w:rPr>
                <w:sz w:val="20"/>
                <w:szCs w:val="20"/>
                <w:color w:val="auto"/>
              </w:rPr>
            </w:pPr>
            <w:r>
              <w:rPr>
                <w:rFonts w:ascii="Arial" w:cs="Arial" w:eastAsia="Arial" w:hAnsi="Arial"/>
                <w:sz w:val="18"/>
                <w:szCs w:val="18"/>
                <w:color w:val="auto"/>
              </w:rPr>
              <w:t>25,086,851</w:t>
            </w:r>
          </w:p>
        </w:tc>
      </w:tr>
    </w:tbl>
    <w:p>
      <w:pPr>
        <w:spacing w:after="0" w:line="207" w:lineRule="exact"/>
        <w:rPr>
          <w:sz w:val="20"/>
          <w:szCs w:val="20"/>
          <w:color w:val="auto"/>
        </w:rPr>
      </w:pPr>
    </w:p>
    <w:p>
      <w:pPr>
        <w:ind w:firstLine="656"/>
        <w:spacing w:after="0" w:line="274" w:lineRule="auto"/>
        <w:tabs>
          <w:tab w:leader="none" w:pos="1428"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information contained in Item 3 above is incorporated herein by reference. Except as described therein, none of the Reporting Persons has effected any transactions in the Class A Shares during the past 60 days.</w:t>
      </w:r>
    </w:p>
    <w:p>
      <w:pPr>
        <w:spacing w:after="0" w:line="177" w:lineRule="exact"/>
        <w:rPr>
          <w:rFonts w:ascii="Arial" w:cs="Arial" w:eastAsia="Arial" w:hAnsi="Arial"/>
          <w:sz w:val="21"/>
          <w:szCs w:val="21"/>
          <w:color w:val="auto"/>
        </w:rPr>
      </w:pPr>
    </w:p>
    <w:p>
      <w:pPr>
        <w:ind w:right="80" w:firstLine="656"/>
        <w:spacing w:after="0" w:line="328" w:lineRule="auto"/>
        <w:tabs>
          <w:tab w:leader="none" w:pos="1440" w:val="left"/>
        </w:tabs>
        <w:numPr>
          <w:ilvl w:val="0"/>
          <w:numId w:val="7"/>
        </w:numPr>
        <w:rPr>
          <w:rFonts w:ascii="Arial" w:cs="Arial" w:eastAsia="Arial" w:hAnsi="Arial"/>
          <w:sz w:val="19"/>
          <w:szCs w:val="19"/>
          <w:color w:val="auto"/>
        </w:rPr>
      </w:pPr>
      <w:r>
        <w:rPr>
          <w:rFonts w:ascii="Arial" w:cs="Arial" w:eastAsia="Arial" w:hAnsi="Arial"/>
          <w:sz w:val="19"/>
          <w:szCs w:val="19"/>
          <w:color w:val="auto"/>
        </w:rPr>
        <w:t>No other person is known by the Reporting Persons to have the right to receive or the power to direct the receipt of dividends on or the proceeds from the sale of the Class A Shares beneficially owned by the Reporting Persons.</w:t>
      </w:r>
    </w:p>
    <w:p>
      <w:pPr>
        <w:spacing w:after="0" w:line="131" w:lineRule="exact"/>
        <w:rPr>
          <w:rFonts w:ascii="Arial" w:cs="Arial" w:eastAsia="Arial" w:hAnsi="Arial"/>
          <w:sz w:val="19"/>
          <w:szCs w:val="19"/>
          <w:color w:val="auto"/>
        </w:rPr>
      </w:pPr>
    </w:p>
    <w:p>
      <w:pPr>
        <w:ind w:left="1440" w:hanging="784"/>
        <w:spacing w:after="0"/>
        <w:tabs>
          <w:tab w:leader="none" w:pos="1440" w:val="left"/>
        </w:tabs>
        <w:numPr>
          <w:ilvl w:val="0"/>
          <w:numId w:val="7"/>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6 to the Schedule 13D is hereby amended and restated as follows: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information provided in Item 3 and Item 4 is incorporated by reference herein.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spacing w:after="0"/>
        <w:tabs>
          <w:tab w:leader="none" w:pos="1120" w:val="left"/>
        </w:tabs>
        <w:rPr>
          <w:rFonts w:ascii="Arial" w:cs="Arial" w:eastAsia="Arial" w:hAnsi="Arial"/>
          <w:sz w:val="18"/>
          <w:szCs w:val="18"/>
          <w:color w:val="0000EE"/>
        </w:rPr>
      </w:pPr>
      <w:hyperlink w:anchor="page8">
        <w:r>
          <w:rPr>
            <w:rFonts w:ascii="Arial" w:cs="Arial" w:eastAsia="Arial" w:hAnsi="Arial"/>
            <w:sz w:val="18"/>
            <w:szCs w:val="18"/>
            <w:u w:val="single" w:color="auto"/>
            <w:color w:val="0000EE"/>
          </w:rPr>
          <w:t>Exhibit A</w:t>
        </w:r>
      </w:hyperlink>
      <w:r>
        <w:rPr>
          <w:rFonts w:ascii="Arial" w:cs="Arial" w:eastAsia="Arial" w:hAnsi="Arial"/>
          <w:sz w:val="18"/>
          <w:szCs w:val="18"/>
          <w:color w:val="0000EE"/>
        </w:rPr>
        <w:tab/>
      </w:r>
      <w:r>
        <w:rPr>
          <w:rFonts w:ascii="Arial" w:cs="Arial" w:eastAsia="Arial" w:hAnsi="Arial"/>
          <w:sz w:val="16"/>
          <w:szCs w:val="16"/>
          <w:color w:val="0000EE"/>
        </w:rPr>
        <w:t>Joint Filing Agreement by and between Lynn M. Edens and Edens Family Holdings LLC, dated June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as of June 14, 2021</w:t>
      </w:r>
    </w:p>
    <w:p>
      <w:pPr>
        <w:spacing w:after="0" w:line="24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Lynn M. Edens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Lynn M.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Edens Family Holdings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M. Edens</w:t>
            </w:r>
          </w:p>
        </w:tc>
        <w:tc>
          <w:tcPr>
            <w:tcW w:w="1120" w:type="dxa"/>
            <w:vAlign w:val="bottom"/>
          </w:tcPr>
          <w:p>
            <w:pPr>
              <w:spacing w:after="0"/>
              <w:rPr>
                <w:sz w:val="21"/>
                <w:szCs w:val="21"/>
                <w:color w:val="auto"/>
              </w:rPr>
            </w:pPr>
          </w:p>
        </w:tc>
      </w:tr>
      <w:tr>
        <w:trPr>
          <w:trHeight w:val="202"/>
        </w:trPr>
        <w:tc>
          <w:tcPr>
            <w:tcW w:w="62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Lynn M. Edens</w:t>
            </w:r>
          </w:p>
        </w:tc>
        <w:tc>
          <w:tcPr>
            <w:tcW w:w="1120" w:type="dxa"/>
            <w:vAlign w:val="bottom"/>
          </w:tcPr>
          <w:p>
            <w:pPr>
              <w:spacing w:after="0"/>
              <w:rPr>
                <w:sz w:val="17"/>
                <w:szCs w:val="17"/>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Member</w:t>
            </w:r>
          </w:p>
        </w:tc>
        <w:tc>
          <w:tcPr>
            <w:tcW w:w="1120" w:type="dxa"/>
            <w:vAlign w:val="bottom"/>
          </w:tcPr>
          <w:p>
            <w:pPr>
              <w:spacing w:after="0"/>
              <w:rPr>
                <w:sz w:val="20"/>
                <w:szCs w:val="20"/>
                <w:color w:val="auto"/>
              </w:rPr>
            </w:pPr>
          </w:p>
        </w:tc>
      </w:tr>
      <w:tr>
        <w:trPr>
          <w:trHeight w:val="601"/>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w:t>
      </w:r>
    </w:p>
    <w:p>
      <w:pPr>
        <w:spacing w:after="0" w:line="23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JOINT FILING AGREEMENT</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PURSUANT TO RULE 13d-1(k)</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 accordance with Rule 13d-1(k), the undersigned acknowledge and agree that only one statement on Schedule 13D, constituting</w:t>
      </w:r>
    </w:p>
    <w:p>
      <w:pPr>
        <w:spacing w:after="0" w:line="43" w:lineRule="exact"/>
        <w:rPr>
          <w:sz w:val="20"/>
          <w:szCs w:val="20"/>
          <w:color w:val="auto"/>
        </w:rPr>
      </w:pPr>
    </w:p>
    <w:p>
      <w:pPr>
        <w:ind w:right="160" w:firstLine="8"/>
        <w:spacing w:after="0" w:line="266" w:lineRule="auto"/>
        <w:tabs>
          <w:tab w:leader="none" w:pos="258" w:val="left"/>
        </w:tabs>
        <w:numPr>
          <w:ilvl w:val="0"/>
          <w:numId w:val="8"/>
        </w:numPr>
        <w:rPr>
          <w:rFonts w:ascii="Arial" w:cs="Arial" w:eastAsia="Arial" w:hAnsi="Arial"/>
          <w:sz w:val="19"/>
          <w:szCs w:val="19"/>
          <w:color w:val="auto"/>
        </w:rPr>
      </w:pPr>
      <w:r>
        <w:rPr>
          <w:rFonts w:ascii="Arial" w:cs="Arial" w:eastAsia="Arial" w:hAnsi="Arial"/>
          <w:sz w:val="19"/>
          <w:szCs w:val="19"/>
          <w:color w:val="auto"/>
        </w:rPr>
        <w:t>Amendment No. 1 (this “</w:t>
      </w:r>
      <w:r>
        <w:rPr>
          <w:rFonts w:ascii="Arial" w:cs="Arial" w:eastAsia="Arial" w:hAnsi="Arial"/>
          <w:sz w:val="19"/>
          <w:szCs w:val="19"/>
          <w:i w:val="1"/>
          <w:iCs w:val="1"/>
          <w:color w:val="auto"/>
        </w:rPr>
        <w:t>Amendment</w:t>
      </w:r>
      <w:r>
        <w:rPr>
          <w:rFonts w:ascii="Arial" w:cs="Arial" w:eastAsia="Arial" w:hAnsi="Arial"/>
          <w:sz w:val="19"/>
          <w:szCs w:val="19"/>
          <w:color w:val="auto"/>
        </w:rPr>
        <w:t>”) to the Schedule 13D filed with the Securities and Exchange Commission (the “</w:t>
      </w:r>
      <w:r>
        <w:rPr>
          <w:rFonts w:ascii="Arial" w:cs="Arial" w:eastAsia="Arial" w:hAnsi="Arial"/>
          <w:sz w:val="19"/>
          <w:szCs w:val="19"/>
          <w:i w:val="1"/>
          <w:iCs w:val="1"/>
          <w:color w:val="auto"/>
        </w:rPr>
        <w:t>SEC</w:t>
      </w:r>
      <w:r>
        <w:rPr>
          <w:rFonts w:ascii="Arial" w:cs="Arial" w:eastAsia="Arial" w:hAnsi="Arial"/>
          <w:sz w:val="19"/>
          <w:szCs w:val="19"/>
          <w:color w:val="auto"/>
        </w:rPr>
        <w:t>”) on March 18, 2021 (the “</w:t>
      </w:r>
      <w:r>
        <w:rPr>
          <w:rFonts w:ascii="Arial" w:cs="Arial" w:eastAsia="Arial" w:hAnsi="Arial"/>
          <w:sz w:val="19"/>
          <w:szCs w:val="19"/>
          <w:i w:val="1"/>
          <w:iCs w:val="1"/>
          <w:color w:val="auto"/>
        </w:rPr>
        <w:t>Original Schedule 13D</w:t>
      </w:r>
      <w:r>
        <w:rPr>
          <w:rFonts w:ascii="Arial" w:cs="Arial" w:eastAsia="Arial" w:hAnsi="Arial"/>
          <w:sz w:val="19"/>
          <w:szCs w:val="19"/>
          <w:color w:val="auto"/>
        </w:rPr>
        <w:t>”, as further amended and supplemented by this Amendment, the “</w:t>
      </w:r>
      <w:r>
        <w:rPr>
          <w:rFonts w:ascii="Arial" w:cs="Arial" w:eastAsia="Arial" w:hAnsi="Arial"/>
          <w:sz w:val="19"/>
          <w:szCs w:val="19"/>
          <w:i w:val="1"/>
          <w:iCs w:val="1"/>
          <w:color w:val="auto"/>
        </w:rPr>
        <w:t>Schedule</w:t>
      </w:r>
    </w:p>
    <w:p>
      <w:pPr>
        <w:spacing w:after="0" w:line="1" w:lineRule="exact"/>
        <w:rPr>
          <w:rFonts w:ascii="Arial" w:cs="Arial" w:eastAsia="Arial" w:hAnsi="Arial"/>
          <w:sz w:val="19"/>
          <w:szCs w:val="19"/>
          <w:color w:val="auto"/>
        </w:rPr>
      </w:pPr>
    </w:p>
    <w:p>
      <w:pPr>
        <w:ind w:right="40"/>
        <w:spacing w:after="0" w:line="272" w:lineRule="auto"/>
        <w:rPr>
          <w:rFonts w:ascii="Arial" w:cs="Arial" w:eastAsia="Arial" w:hAnsi="Arial"/>
          <w:sz w:val="19"/>
          <w:szCs w:val="19"/>
          <w:color w:val="auto"/>
        </w:rPr>
      </w:pPr>
      <w:r>
        <w:rPr>
          <w:rFonts w:ascii="Arial" w:cs="Arial" w:eastAsia="Arial" w:hAnsi="Arial"/>
          <w:sz w:val="19"/>
          <w:szCs w:val="19"/>
          <w:i w:val="1"/>
          <w:iCs w:val="1"/>
          <w:color w:val="auto"/>
        </w:rPr>
        <w:t>13D</w:t>
      </w:r>
      <w:r>
        <w:rPr>
          <w:rFonts w:ascii="Arial" w:cs="Arial" w:eastAsia="Arial" w:hAnsi="Arial"/>
          <w:sz w:val="19"/>
          <w:szCs w:val="19"/>
          <w:color w:val="auto"/>
        </w:rPr>
        <w:t>”) by Edens Family Holdings LLC with respect to the shares of Class A common stock (“</w:t>
      </w:r>
      <w:r>
        <w:rPr>
          <w:rFonts w:ascii="Arial" w:cs="Arial" w:eastAsia="Arial" w:hAnsi="Arial"/>
          <w:sz w:val="19"/>
          <w:szCs w:val="19"/>
          <w:i w:val="1"/>
          <w:iCs w:val="1"/>
          <w:color w:val="auto"/>
        </w:rPr>
        <w:t>Class A Shares</w:t>
      </w:r>
      <w:r>
        <w:rPr>
          <w:rFonts w:ascii="Arial" w:cs="Arial" w:eastAsia="Arial" w:hAnsi="Arial"/>
          <w:sz w:val="19"/>
          <w:szCs w:val="19"/>
          <w:color w:val="auto"/>
        </w:rPr>
        <w:t>”) of New Fortress</w:t>
      </w:r>
      <w:r>
        <w:rPr>
          <w:rFonts w:ascii="Arial" w:cs="Arial" w:eastAsia="Arial" w:hAnsi="Arial"/>
          <w:sz w:val="19"/>
          <w:szCs w:val="19"/>
          <w:i w:val="1"/>
          <w:iCs w:val="1"/>
          <w:color w:val="auto"/>
        </w:rPr>
        <w:t xml:space="preserve"> </w:t>
      </w:r>
      <w:r>
        <w:rPr>
          <w:rFonts w:ascii="Arial" w:cs="Arial" w:eastAsia="Arial" w:hAnsi="Arial"/>
          <w:sz w:val="19"/>
          <w:szCs w:val="19"/>
          <w:color w:val="auto"/>
        </w:rPr>
        <w:t>Energy Inc., a Delaware corporation (the “</w:t>
      </w:r>
      <w:r>
        <w:rPr>
          <w:rFonts w:ascii="Arial" w:cs="Arial" w:eastAsia="Arial" w:hAnsi="Arial"/>
          <w:sz w:val="19"/>
          <w:szCs w:val="19"/>
          <w:i w:val="1"/>
          <w:iCs w:val="1"/>
          <w:color w:val="auto"/>
        </w:rPr>
        <w:t>Issuer</w:t>
      </w:r>
      <w:r>
        <w:rPr>
          <w:rFonts w:ascii="Arial" w:cs="Arial" w:eastAsia="Arial" w:hAnsi="Arial"/>
          <w:sz w:val="19"/>
          <w:szCs w:val="19"/>
          <w:color w:val="auto"/>
        </w:rPr>
        <w:t>”), and (ii) the initial Schedule 13D filing by Lynn M. Edens with respect to the Class A Shares, and any further amendments thereto, need be filed with respect to each of the undersigned’s beneficial ownership of Class A Shares, and that all subsequent amendments to this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Dated: June 14, 2021</w:t>
      </w:r>
    </w:p>
    <w:p>
      <w:pPr>
        <w:spacing w:after="0" w:line="240" w:lineRule="exact"/>
        <w:rPr>
          <w:sz w:val="20"/>
          <w:szCs w:val="20"/>
          <w:color w:val="auto"/>
        </w:rPr>
      </w:pPr>
    </w:p>
    <w:tbl>
      <w:tblPr>
        <w:tblLayout w:type="fixed"/>
        <w:tblInd w:w="5640" w:type="dxa"/>
        <w:tblCellMar>
          <w:top w:w="0" w:type="dxa"/>
          <w:left w:w="0" w:type="dxa"/>
          <w:bottom w:w="0" w:type="dxa"/>
          <w:right w:w="0" w:type="dxa"/>
        </w:tblCellMar>
      </w:tblPr>
      <w:tr>
        <w:trPr>
          <w:trHeight w:val="25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M. Edens</w:t>
            </w:r>
          </w:p>
        </w:tc>
      </w:tr>
      <w:tr>
        <w:trPr>
          <w:trHeight w:val="230"/>
        </w:trPr>
        <w:tc>
          <w:tcPr>
            <w:tcW w:w="6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rPr>
                <w:sz w:val="20"/>
                <w:szCs w:val="20"/>
                <w:color w:val="auto"/>
              </w:rPr>
            </w:pPr>
            <w:r>
              <w:rPr>
                <w:rFonts w:ascii="Arial" w:cs="Arial" w:eastAsia="Arial" w:hAnsi="Arial"/>
                <w:sz w:val="18"/>
                <w:szCs w:val="18"/>
                <w:color w:val="auto"/>
              </w:rPr>
              <w:t>Lynn M. Edens</w:t>
            </w:r>
          </w:p>
        </w:tc>
      </w:tr>
    </w:tbl>
    <w:p>
      <w:pPr>
        <w:spacing w:after="0" w:line="18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Edens Family Holdings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320" w:type="dxa"/>
            <w:vAlign w:val="bottom"/>
          </w:tcPr>
          <w:p>
            <w:pPr>
              <w:ind w:left="56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M. Edens</w:t>
            </w:r>
          </w:p>
        </w:tc>
        <w:tc>
          <w:tcPr>
            <w:tcW w:w="440" w:type="dxa"/>
            <w:vAlign w:val="bottom"/>
          </w:tcPr>
          <w:p>
            <w:pPr>
              <w:spacing w:after="0"/>
              <w:rPr>
                <w:sz w:val="21"/>
                <w:szCs w:val="21"/>
                <w:color w:val="auto"/>
              </w:rPr>
            </w:pPr>
          </w:p>
        </w:tc>
      </w:tr>
      <w:tr>
        <w:trPr>
          <w:trHeight w:val="202"/>
        </w:trPr>
        <w:tc>
          <w:tcPr>
            <w:tcW w:w="632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Lynn M. Edens</w:t>
            </w:r>
          </w:p>
        </w:tc>
        <w:tc>
          <w:tcPr>
            <w:tcW w:w="440" w:type="dxa"/>
            <w:vAlign w:val="bottom"/>
          </w:tcPr>
          <w:p>
            <w:pPr>
              <w:spacing w:after="0"/>
              <w:rPr>
                <w:sz w:val="17"/>
                <w:szCs w:val="17"/>
                <w:color w:val="auto"/>
              </w:rPr>
            </w:pPr>
          </w:p>
        </w:tc>
      </w:tr>
      <w:tr>
        <w:trPr>
          <w:trHeight w:val="230"/>
        </w:trPr>
        <w:tc>
          <w:tcPr>
            <w:tcW w:w="6320" w:type="dxa"/>
            <w:vAlign w:val="bottom"/>
          </w:tcPr>
          <w:p>
            <w:pPr>
              <w:ind w:left="564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Member</w:t>
            </w:r>
          </w:p>
        </w:tc>
        <w:tc>
          <w:tcPr>
            <w:tcW w:w="440" w:type="dxa"/>
            <w:vAlign w:val="bottom"/>
          </w:tcPr>
          <w:p>
            <w:pPr>
              <w:spacing w:after="0"/>
              <w:rPr>
                <w:sz w:val="20"/>
                <w:szCs w:val="20"/>
                <w:color w:val="auto"/>
              </w:rPr>
            </w:pPr>
          </w:p>
        </w:tc>
      </w:tr>
      <w:tr>
        <w:trPr>
          <w:trHeight w:val="601"/>
        </w:trPr>
        <w:tc>
          <w:tcPr>
            <w:tcW w:w="63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2021-06-15T05:36:37Z</dcterms:created>
  <dcterms:modified xsi:type="dcterms:W3CDTF">2021-06-15T05:36:37Z</dcterms:modified>
</cp:coreProperties>
</file>