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8-A/A</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209" w:lineRule="exact"/>
        <w:rPr>
          <w:sz w:val="24"/>
          <w:szCs w:val="24"/>
          <w:color w:val="auto"/>
        </w:rPr>
      </w:pPr>
    </w:p>
    <w:p>
      <w:pPr>
        <w:jc w:val="center"/>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New Fortress Energy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22"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604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color w:val="auto"/>
                <w:w w:val="89"/>
              </w:rPr>
              <w:t>Delaware</w:t>
            </w:r>
          </w:p>
        </w:tc>
        <w:tc>
          <w:tcPr>
            <w:tcW w:w="5200" w:type="dxa"/>
            <w:vAlign w:val="bottom"/>
            <w:tcBorders>
              <w:bottom w:val="single" w:sz="8" w:color="auto"/>
            </w:tcBorders>
          </w:tcPr>
          <w:p>
            <w:pPr>
              <w:jc w:val="right"/>
              <w:ind w:right="2290"/>
              <w:spacing w:after="0"/>
              <w:rPr>
                <w:sz w:val="20"/>
                <w:szCs w:val="20"/>
                <w:color w:val="auto"/>
              </w:rPr>
            </w:pPr>
            <w:r>
              <w:rPr>
                <w:rFonts w:ascii="Arial" w:cs="Arial" w:eastAsia="Arial" w:hAnsi="Arial"/>
                <w:sz w:val="18"/>
                <w:szCs w:val="18"/>
                <w:color w:val="auto"/>
              </w:rPr>
              <w:t>83-1482060</w:t>
            </w:r>
          </w:p>
        </w:tc>
      </w:tr>
      <w:tr>
        <w:trPr>
          <w:trHeight w:val="230"/>
        </w:trPr>
        <w:tc>
          <w:tcPr>
            <w:tcW w:w="6040" w:type="dxa"/>
            <w:vAlign w:val="bottom"/>
          </w:tcPr>
          <w:p>
            <w:pPr>
              <w:jc w:val="center"/>
              <w:ind w:right="3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5200" w:type="dxa"/>
            <w:vAlign w:val="bottom"/>
          </w:tcPr>
          <w:p>
            <w:pPr>
              <w:jc w:val="center"/>
              <w:ind w:right="330"/>
              <w:spacing w:after="0"/>
              <w:rPr>
                <w:sz w:val="20"/>
                <w:szCs w:val="20"/>
                <w:color w:val="auto"/>
              </w:rPr>
            </w:pPr>
            <w:r>
              <w:rPr>
                <w:rFonts w:ascii="Arial" w:cs="Arial" w:eastAsia="Arial" w:hAnsi="Arial"/>
                <w:sz w:val="18"/>
                <w:szCs w:val="18"/>
                <w:color w:val="auto"/>
                <w:w w:val="94"/>
              </w:rPr>
              <w:t>(I.R.S. Employer Identification No.)</w:t>
            </w:r>
          </w:p>
        </w:tc>
      </w:tr>
      <w:tr>
        <w:trPr>
          <w:trHeight w:val="452"/>
        </w:trPr>
        <w:tc>
          <w:tcPr>
            <w:tcW w:w="604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color w:val="auto"/>
                <w:w w:val="92"/>
              </w:rPr>
              <w:t>111 W. 19th Street, 8th Floor, New York, NY</w:t>
            </w:r>
          </w:p>
        </w:tc>
        <w:tc>
          <w:tcPr>
            <w:tcW w:w="5200" w:type="dxa"/>
            <w:vAlign w:val="bottom"/>
            <w:tcBorders>
              <w:bottom w:val="single" w:sz="8" w:color="auto"/>
            </w:tcBorders>
          </w:tcPr>
          <w:p>
            <w:pPr>
              <w:jc w:val="right"/>
              <w:ind w:right="2490"/>
              <w:spacing w:after="0"/>
              <w:rPr>
                <w:sz w:val="20"/>
                <w:szCs w:val="20"/>
                <w:color w:val="auto"/>
              </w:rPr>
            </w:pPr>
            <w:r>
              <w:rPr>
                <w:rFonts w:ascii="Arial" w:cs="Arial" w:eastAsia="Arial" w:hAnsi="Arial"/>
                <w:sz w:val="18"/>
                <w:szCs w:val="18"/>
                <w:color w:val="auto"/>
              </w:rPr>
              <w:t>10011</w:t>
            </w:r>
          </w:p>
        </w:tc>
      </w:tr>
      <w:tr>
        <w:trPr>
          <w:trHeight w:val="230"/>
        </w:trPr>
        <w:tc>
          <w:tcPr>
            <w:tcW w:w="6040" w:type="dxa"/>
            <w:vAlign w:val="bottom"/>
          </w:tcPr>
          <w:p>
            <w:pPr>
              <w:jc w:val="center"/>
              <w:ind w:right="330"/>
              <w:spacing w:after="0"/>
              <w:rPr>
                <w:sz w:val="20"/>
                <w:szCs w:val="20"/>
                <w:color w:val="auto"/>
              </w:rPr>
            </w:pPr>
            <w:r>
              <w:rPr>
                <w:rFonts w:ascii="Arial" w:cs="Arial" w:eastAsia="Arial" w:hAnsi="Arial"/>
                <w:sz w:val="18"/>
                <w:szCs w:val="18"/>
                <w:color w:val="auto"/>
                <w:w w:val="92"/>
              </w:rPr>
              <w:t>(Address of principal executive offices)</w:t>
            </w:r>
          </w:p>
        </w:tc>
        <w:tc>
          <w:tcPr>
            <w:tcW w:w="5200" w:type="dxa"/>
            <w:vAlign w:val="bottom"/>
          </w:tcPr>
          <w:p>
            <w:pPr>
              <w:jc w:val="center"/>
              <w:ind w:right="330"/>
              <w:spacing w:after="0"/>
              <w:rPr>
                <w:sz w:val="20"/>
                <w:szCs w:val="20"/>
                <w:color w:val="auto"/>
              </w:rPr>
            </w:pPr>
            <w:r>
              <w:rPr>
                <w:rFonts w:ascii="Arial" w:cs="Arial" w:eastAsia="Arial" w:hAnsi="Arial"/>
                <w:sz w:val="18"/>
                <w:szCs w:val="18"/>
                <w:color w:val="auto"/>
                <w:w w:val="91"/>
              </w:rPr>
              <w:t>(Zip Code)</w:t>
            </w:r>
          </w:p>
        </w:tc>
      </w:tr>
    </w:tbl>
    <w:p>
      <w:pPr>
        <w:spacing w:after="0" w:line="20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Securities to be registered pursuant to Section 12(b) of the Act:</w:t>
      </w: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jc w:val="center"/>
              <w:ind w:left="90"/>
              <w:spacing w:after="0"/>
              <w:rPr>
                <w:sz w:val="20"/>
                <w:szCs w:val="20"/>
                <w:color w:val="auto"/>
              </w:rPr>
            </w:pPr>
            <w:r>
              <w:rPr>
                <w:rFonts w:ascii="Arial" w:cs="Arial" w:eastAsia="Arial" w:hAnsi="Arial"/>
                <w:sz w:val="18"/>
                <w:szCs w:val="18"/>
                <w:color w:val="auto"/>
                <w:w w:val="90"/>
              </w:rPr>
              <w:t>Title of each class</w:t>
            </w:r>
          </w:p>
        </w:tc>
        <w:tc>
          <w:tcPr>
            <w:tcW w:w="5800" w:type="dxa"/>
            <w:vAlign w:val="bottom"/>
          </w:tcPr>
          <w:p>
            <w:pPr>
              <w:jc w:val="center"/>
              <w:ind w:left="90"/>
              <w:spacing w:after="0"/>
              <w:rPr>
                <w:sz w:val="20"/>
                <w:szCs w:val="20"/>
                <w:color w:val="auto"/>
              </w:rPr>
            </w:pPr>
            <w:r>
              <w:rPr>
                <w:rFonts w:ascii="Arial" w:cs="Arial" w:eastAsia="Arial" w:hAnsi="Arial"/>
                <w:sz w:val="18"/>
                <w:szCs w:val="18"/>
                <w:color w:val="auto"/>
                <w:w w:val="89"/>
              </w:rPr>
              <w:t>Name of each exchange on which</w:t>
            </w:r>
          </w:p>
        </w:tc>
      </w:tr>
      <w:tr>
        <w:trPr>
          <w:trHeight w:val="237"/>
        </w:trPr>
        <w:tc>
          <w:tcPr>
            <w:tcW w:w="544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88"/>
              </w:rPr>
              <w:t>to be so registered</w:t>
            </w:r>
          </w:p>
        </w:tc>
        <w:tc>
          <w:tcPr>
            <w:tcW w:w="580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87"/>
              </w:rPr>
              <w:t>each class is to be registered</w:t>
            </w:r>
          </w:p>
        </w:tc>
      </w:tr>
      <w:tr>
        <w:trPr>
          <w:trHeight w:val="230"/>
        </w:trPr>
        <w:tc>
          <w:tcPr>
            <w:tcW w:w="5440" w:type="dxa"/>
            <w:vAlign w:val="bottom"/>
          </w:tcPr>
          <w:p>
            <w:pPr>
              <w:jc w:val="center"/>
              <w:ind w:left="90"/>
              <w:spacing w:after="0"/>
              <w:rPr>
                <w:sz w:val="20"/>
                <w:szCs w:val="20"/>
                <w:color w:val="auto"/>
              </w:rPr>
            </w:pPr>
            <w:r>
              <w:rPr>
                <w:rFonts w:ascii="Arial" w:cs="Arial" w:eastAsia="Arial" w:hAnsi="Arial"/>
                <w:sz w:val="18"/>
                <w:szCs w:val="18"/>
                <w:color w:val="auto"/>
                <w:w w:val="91"/>
              </w:rPr>
              <w:t>Class A Common Stock</w:t>
            </w:r>
          </w:p>
        </w:tc>
        <w:tc>
          <w:tcPr>
            <w:tcW w:w="5800" w:type="dxa"/>
            <w:vAlign w:val="bottom"/>
          </w:tcPr>
          <w:p>
            <w:pPr>
              <w:jc w:val="center"/>
              <w:ind w:left="90"/>
              <w:spacing w:after="0"/>
              <w:rPr>
                <w:sz w:val="20"/>
                <w:szCs w:val="20"/>
                <w:color w:val="auto"/>
              </w:rPr>
            </w:pPr>
            <w:r>
              <w:rPr>
                <w:rFonts w:ascii="Arial" w:cs="Arial" w:eastAsia="Arial" w:hAnsi="Arial"/>
                <w:sz w:val="18"/>
                <w:szCs w:val="18"/>
                <w:color w:val="auto"/>
                <w:w w:val="94"/>
              </w:rPr>
              <w:t>NASDAQ Global Select Market</w:t>
            </w:r>
          </w:p>
        </w:tc>
      </w:tr>
    </w:tbl>
    <w:p>
      <w:pPr>
        <w:spacing w:after="0" w:line="207" w:lineRule="exact"/>
        <w:rPr>
          <w:sz w:val="24"/>
          <w:szCs w:val="24"/>
          <w:color w:val="auto"/>
        </w:rPr>
      </w:pPr>
    </w:p>
    <w:p>
      <w:pPr>
        <w:ind w:right="660"/>
        <w:spacing w:after="0" w:line="278" w:lineRule="exact"/>
        <w:rPr>
          <w:sz w:val="20"/>
          <w:szCs w:val="20"/>
          <w:color w:val="auto"/>
        </w:rPr>
      </w:pPr>
      <w:r>
        <w:rPr>
          <w:rFonts w:ascii="Arial" w:cs="Arial" w:eastAsia="Arial" w:hAnsi="Arial"/>
          <w:sz w:val="22"/>
          <w:szCs w:val="22"/>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22"/>
          <w:szCs w:val="22"/>
          <w:color w:val="auto"/>
        </w:rPr>
        <w:t>☑</w:t>
      </w:r>
    </w:p>
    <w:p>
      <w:pPr>
        <w:spacing w:after="0" w:line="188" w:lineRule="exact"/>
        <w:rPr>
          <w:sz w:val="24"/>
          <w:szCs w:val="24"/>
          <w:color w:val="auto"/>
        </w:rPr>
      </w:pPr>
    </w:p>
    <w:p>
      <w:pPr>
        <w:ind w:right="660"/>
        <w:spacing w:after="0" w:line="278" w:lineRule="exact"/>
        <w:rPr>
          <w:sz w:val="20"/>
          <w:szCs w:val="20"/>
          <w:color w:val="auto"/>
        </w:rPr>
      </w:pPr>
      <w:r>
        <w:rPr>
          <w:rFonts w:ascii="Arial" w:cs="Arial" w:eastAsia="Arial" w:hAnsi="Arial"/>
          <w:sz w:val="22"/>
          <w:szCs w:val="22"/>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22"/>
          <w:szCs w:val="22"/>
          <w:color w:val="auto"/>
        </w:rPr>
        <w:t>☐</w:t>
      </w:r>
    </w:p>
    <w:p>
      <w:pPr>
        <w:spacing w:after="0" w:line="188" w:lineRule="exact"/>
        <w:rPr>
          <w:sz w:val="24"/>
          <w:szCs w:val="24"/>
          <w:color w:val="auto"/>
        </w:rPr>
      </w:pPr>
    </w:p>
    <w:p>
      <w:pPr>
        <w:ind w:right="140"/>
        <w:spacing w:after="0" w:line="278" w:lineRule="exact"/>
        <w:rPr>
          <w:sz w:val="20"/>
          <w:szCs w:val="20"/>
          <w:color w:val="auto"/>
        </w:rPr>
      </w:pPr>
      <w:r>
        <w:rPr>
          <w:rFonts w:ascii="Arial" w:cs="Arial" w:eastAsia="Arial" w:hAnsi="Arial"/>
          <w:sz w:val="22"/>
          <w:szCs w:val="22"/>
          <w:color w:val="auto"/>
        </w:rPr>
        <w:t xml:space="preserve">If this form relates to the registration of a class of securities concurrently with a Regulation A offering, check the following box. </w:t>
      </w:r>
      <w:r>
        <w:rPr>
          <w:rFonts w:ascii="MS PGothic" w:cs="MS PGothic" w:eastAsia="MS PGothic" w:hAnsi="MS PGothic"/>
          <w:sz w:val="22"/>
          <w:szCs w:val="22"/>
          <w:color w:val="auto"/>
        </w:rPr>
        <w:t>☐</w:t>
      </w:r>
    </w:p>
    <w:p>
      <w:pPr>
        <w:spacing w:after="0" w:line="188" w:lineRule="exact"/>
        <w:rPr>
          <w:sz w:val="24"/>
          <w:szCs w:val="24"/>
          <w:color w:val="auto"/>
        </w:rPr>
      </w:pPr>
    </w:p>
    <w:p>
      <w:pPr>
        <w:spacing w:after="0"/>
        <w:rPr>
          <w:sz w:val="20"/>
          <w:szCs w:val="20"/>
          <w:color w:val="auto"/>
        </w:rPr>
      </w:pPr>
      <w:r>
        <w:rPr>
          <w:rFonts w:ascii="Arial" w:cs="Arial" w:eastAsia="Arial" w:hAnsi="Arial"/>
          <w:sz w:val="19"/>
          <w:szCs w:val="19"/>
          <w:color w:val="auto"/>
        </w:rPr>
        <w:t>Securities Act registration statement or Regulation A offering statement file number to which this form relates: 333-228339</w:t>
      </w:r>
    </w:p>
    <w:p>
      <w:pPr>
        <w:spacing w:after="0" w:line="268" w:lineRule="exact"/>
        <w:rPr>
          <w:sz w:val="24"/>
          <w:szCs w:val="24"/>
          <w:color w:val="auto"/>
        </w:rPr>
      </w:pPr>
    </w:p>
    <w:p>
      <w:pPr>
        <w:spacing w:after="0"/>
        <w:rPr>
          <w:sz w:val="20"/>
          <w:szCs w:val="20"/>
          <w:color w:val="auto"/>
        </w:rPr>
      </w:pPr>
      <w:r>
        <w:rPr>
          <w:rFonts w:ascii="Arial" w:cs="Arial" w:eastAsia="Arial" w:hAnsi="Arial"/>
          <w:sz w:val="22"/>
          <w:szCs w:val="22"/>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Explanatory Note</w:t>
      </w:r>
    </w:p>
    <w:p>
      <w:pPr>
        <w:spacing w:after="0" w:line="240" w:lineRule="exact"/>
        <w:rPr>
          <w:sz w:val="20"/>
          <w:szCs w:val="20"/>
          <w:color w:val="auto"/>
        </w:rPr>
      </w:pPr>
    </w:p>
    <w:p>
      <w:pPr>
        <w:ind w:right="120"/>
        <w:spacing w:after="0" w:line="245" w:lineRule="auto"/>
        <w:rPr>
          <w:sz w:val="20"/>
          <w:szCs w:val="20"/>
          <w:color w:val="auto"/>
        </w:rPr>
      </w:pPr>
      <w:r>
        <w:rPr>
          <w:rFonts w:ascii="Arial" w:cs="Arial" w:eastAsia="Arial" w:hAnsi="Arial"/>
          <w:sz w:val="21"/>
          <w:szCs w:val="21"/>
          <w:color w:val="auto"/>
        </w:rPr>
        <w:t>This Amendment No. 1 (this “</w:t>
      </w:r>
      <w:r>
        <w:rPr>
          <w:rFonts w:ascii="Arial" w:cs="Arial" w:eastAsia="Arial" w:hAnsi="Arial"/>
          <w:sz w:val="21"/>
          <w:szCs w:val="21"/>
          <w:u w:val="single" w:color="auto"/>
          <w:color w:val="auto"/>
        </w:rPr>
        <w:t>Amendment</w:t>
      </w:r>
      <w:r>
        <w:rPr>
          <w:rFonts w:ascii="Arial" w:cs="Arial" w:eastAsia="Arial" w:hAnsi="Arial"/>
          <w:sz w:val="21"/>
          <w:szCs w:val="21"/>
          <w:color w:val="auto"/>
        </w:rPr>
        <w:t>”) to Form 8-A (the “</w:t>
      </w:r>
      <w:r>
        <w:rPr>
          <w:rFonts w:ascii="Arial" w:cs="Arial" w:eastAsia="Arial" w:hAnsi="Arial"/>
          <w:sz w:val="21"/>
          <w:szCs w:val="21"/>
          <w:u w:val="single" w:color="auto"/>
          <w:color w:val="auto"/>
        </w:rPr>
        <w:t>Registration Statement</w:t>
      </w:r>
      <w:r>
        <w:rPr>
          <w:rFonts w:ascii="Arial" w:cs="Arial" w:eastAsia="Arial" w:hAnsi="Arial"/>
          <w:sz w:val="21"/>
          <w:szCs w:val="21"/>
          <w:color w:val="auto"/>
        </w:rPr>
        <w:t>”) is being filed pursuant to Section 12(b) under the Securities Exchange Act of 1934, as amended (the “</w:t>
      </w:r>
      <w:r>
        <w:rPr>
          <w:rFonts w:ascii="Arial" w:cs="Arial" w:eastAsia="Arial" w:hAnsi="Arial"/>
          <w:sz w:val="21"/>
          <w:szCs w:val="21"/>
          <w:u w:val="single" w:color="auto"/>
          <w:color w:val="auto"/>
        </w:rPr>
        <w:t>Exchange Act</w:t>
      </w:r>
      <w:r>
        <w:rPr>
          <w:rFonts w:ascii="Arial" w:cs="Arial" w:eastAsia="Arial" w:hAnsi="Arial"/>
          <w:sz w:val="21"/>
          <w:szCs w:val="21"/>
          <w:color w:val="auto"/>
        </w:rPr>
        <w:t>”), by New Fortress Energy Inc., a Delaware corporation (the “</w:t>
      </w:r>
      <w:r>
        <w:rPr>
          <w:rFonts w:ascii="Arial" w:cs="Arial" w:eastAsia="Arial" w:hAnsi="Arial"/>
          <w:sz w:val="21"/>
          <w:szCs w:val="21"/>
          <w:u w:val="single" w:color="auto"/>
          <w:color w:val="auto"/>
        </w:rPr>
        <w:t>Corporation</w:t>
      </w:r>
      <w:r>
        <w:rPr>
          <w:rFonts w:ascii="Arial" w:cs="Arial" w:eastAsia="Arial" w:hAnsi="Arial"/>
          <w:sz w:val="21"/>
          <w:szCs w:val="21"/>
          <w:color w:val="auto"/>
        </w:rPr>
        <w:t>”), as the successor registrant to New Fortress Energy LLC, a Delaware limited liability company (the “</w:t>
      </w:r>
      <w:r>
        <w:rPr>
          <w:rFonts w:ascii="Arial" w:cs="Arial" w:eastAsia="Arial" w:hAnsi="Arial"/>
          <w:sz w:val="21"/>
          <w:szCs w:val="21"/>
          <w:u w:val="single" w:color="auto"/>
          <w:color w:val="auto"/>
        </w:rPr>
        <w:t>LLC</w:t>
      </w:r>
      <w:r>
        <w:rPr>
          <w:rFonts w:ascii="Arial" w:cs="Arial" w:eastAsia="Arial" w:hAnsi="Arial"/>
          <w:sz w:val="21"/>
          <w:szCs w:val="21"/>
          <w:color w:val="auto"/>
        </w:rPr>
        <w:t>”). Effective at 12:01 a.m. (Eastern Time) on August 7, 2020, the LLC converted from a Delaware limited liability company to a Delaware corporation (the “</w:t>
      </w:r>
      <w:r>
        <w:rPr>
          <w:rFonts w:ascii="Arial" w:cs="Arial" w:eastAsia="Arial" w:hAnsi="Arial"/>
          <w:sz w:val="21"/>
          <w:szCs w:val="21"/>
          <w:u w:val="single" w:color="auto"/>
          <w:color w:val="auto"/>
        </w:rPr>
        <w:t>Conversion</w:t>
      </w:r>
      <w:r>
        <w:rPr>
          <w:rFonts w:ascii="Arial" w:cs="Arial" w:eastAsia="Arial" w:hAnsi="Arial"/>
          <w:sz w:val="21"/>
          <w:szCs w:val="21"/>
          <w:color w:val="auto"/>
        </w:rPr>
        <w:t>”). In accordance with Rule 12g-3 under the Exchange Act, upon the effective time of the Conversion, the Class A common stock, par value $0.01 per share (the “</w:t>
      </w:r>
      <w:r>
        <w:rPr>
          <w:rFonts w:ascii="Arial" w:cs="Arial" w:eastAsia="Arial" w:hAnsi="Arial"/>
          <w:sz w:val="21"/>
          <w:szCs w:val="21"/>
          <w:u w:val="single" w:color="auto"/>
          <w:color w:val="auto"/>
        </w:rPr>
        <w:t>Class A Common Stock</w:t>
      </w:r>
      <w:r>
        <w:rPr>
          <w:rFonts w:ascii="Arial" w:cs="Arial" w:eastAsia="Arial" w:hAnsi="Arial"/>
          <w:sz w:val="21"/>
          <w:szCs w:val="21"/>
          <w:color w:val="auto"/>
        </w:rPr>
        <w:t>”), of the Corporation was deemed to be registered under Section 12(b) of the Exchange Act as the Corporation is deemed to be the successor registrant to the LLC. The Corporation expressly adopts the Registration Statement, as modified by this Amendment, as its own registration statement for all purposes of the Exchange Act. The Class A Common Stock will continue to trade on the NASDAQ Global Select Market under the ticker symbol “NFE.”</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This Amendment amends the Registration Statement as follows:</w:t>
      </w:r>
    </w:p>
    <w:p>
      <w:pPr>
        <w:spacing w:after="0" w:line="23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Description of Registrant’s Securities to be Registered.</w:t>
      </w:r>
    </w:p>
    <w:p>
      <w:pPr>
        <w:spacing w:after="0" w:line="249" w:lineRule="exact"/>
        <w:rPr>
          <w:sz w:val="20"/>
          <w:szCs w:val="20"/>
          <w:color w:val="auto"/>
        </w:rPr>
      </w:pPr>
    </w:p>
    <w:p>
      <w:pPr>
        <w:ind w:right="700"/>
        <w:spacing w:after="0" w:line="328" w:lineRule="auto"/>
        <w:rPr>
          <w:sz w:val="20"/>
          <w:szCs w:val="20"/>
          <w:color w:val="auto"/>
        </w:rPr>
      </w:pPr>
      <w:r>
        <w:rPr>
          <w:rFonts w:ascii="Arial" w:cs="Arial" w:eastAsia="Arial" w:hAnsi="Arial"/>
          <w:sz w:val="19"/>
          <w:szCs w:val="19"/>
          <w:color w:val="auto"/>
        </w:rPr>
        <w:t>A description of the Class A Common Stock is contained in “Description of Capital Stock” set forth in Exhibit 99.1 to the Corporation’s Current Report on Form 8-K filed on August 7, 2020, which is incorporated herein by reference.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10560" w:type="dxa"/>
            <w:vAlign w:val="bottom"/>
          </w:tcPr>
          <w:p>
            <w:pPr>
              <w:ind w:left="140"/>
              <w:spacing w:after="0"/>
              <w:rPr>
                <w:sz w:val="20"/>
                <w:szCs w:val="20"/>
                <w:color w:val="auto"/>
              </w:rPr>
            </w:pPr>
            <w:r>
              <w:rPr>
                <w:rFonts w:ascii="Arial" w:cs="Arial" w:eastAsia="Arial" w:hAnsi="Arial"/>
                <w:sz w:val="18"/>
                <w:szCs w:val="18"/>
                <w:b w:val="1"/>
                <w:bCs w:val="1"/>
                <w:color w:val="auto"/>
              </w:rPr>
              <w:t>Exhibits.</w:t>
            </w:r>
          </w:p>
        </w:tc>
      </w:tr>
      <w:tr>
        <w:trPr>
          <w:trHeight w:val="445"/>
        </w:trPr>
        <w:tc>
          <w:tcPr>
            <w:tcW w:w="680" w:type="dxa"/>
            <w:vAlign w:val="bottom"/>
          </w:tcPr>
          <w:p>
            <w:pPr>
              <w:spacing w:after="0"/>
              <w:rPr>
                <w:rFonts w:ascii="Arial" w:cs="Arial" w:eastAsia="Arial" w:hAnsi="Arial"/>
                <w:sz w:val="18"/>
                <w:szCs w:val="18"/>
                <w:u w:val="single" w:color="auto"/>
                <w:color w:val="0000EE"/>
              </w:rPr>
            </w:pPr>
            <w:hyperlink r:id="rId13">
              <w:r>
                <w:rPr>
                  <w:rFonts w:ascii="Arial" w:cs="Arial" w:eastAsia="Arial" w:hAnsi="Arial"/>
                  <w:sz w:val="18"/>
                  <w:szCs w:val="18"/>
                  <w:u w:val="single" w:color="auto"/>
                  <w:color w:val="0000EE"/>
                </w:rPr>
                <w:t>3.1</w:t>
              </w:r>
            </w:hyperlink>
          </w:p>
        </w:tc>
        <w:tc>
          <w:tcPr>
            <w:tcW w:w="10560" w:type="dxa"/>
            <w:vAlign w:val="bottom"/>
          </w:tcPr>
          <w:p>
            <w:pPr>
              <w:ind w:left="460"/>
              <w:spacing w:after="0"/>
              <w:rPr>
                <w:sz w:val="20"/>
                <w:szCs w:val="20"/>
                <w:color w:val="auto"/>
              </w:rPr>
            </w:pPr>
            <w:r>
              <w:rPr>
                <w:rFonts w:ascii="Arial" w:cs="Arial" w:eastAsia="Arial" w:hAnsi="Arial"/>
                <w:sz w:val="18"/>
                <w:szCs w:val="18"/>
                <w:color w:val="auto"/>
                <w:w w:val="91"/>
              </w:rPr>
              <w:t>Certificate of Conversion to a Corporation of New Fortress Energy LLC (incorporated herein by reference to Exhibit 99.2 of the Company’s</w:t>
            </w:r>
          </w:p>
        </w:tc>
      </w:tr>
      <w:tr>
        <w:trPr>
          <w:trHeight w:val="230"/>
        </w:trPr>
        <w:tc>
          <w:tcPr>
            <w:tcW w:w="680" w:type="dxa"/>
            <w:vAlign w:val="bottom"/>
          </w:tcPr>
          <w:p>
            <w:pPr>
              <w:spacing w:after="0"/>
              <w:rPr>
                <w:sz w:val="20"/>
                <w:szCs w:val="20"/>
                <w:color w:val="auto"/>
              </w:rPr>
            </w:pPr>
          </w:p>
        </w:tc>
        <w:tc>
          <w:tcPr>
            <w:tcW w:w="10560" w:type="dxa"/>
            <w:vAlign w:val="bottom"/>
          </w:tcPr>
          <w:p>
            <w:pPr>
              <w:ind w:left="460"/>
              <w:spacing w:after="0"/>
              <w:rPr>
                <w:sz w:val="20"/>
                <w:szCs w:val="20"/>
                <w:color w:val="auto"/>
              </w:rPr>
            </w:pPr>
            <w:r>
              <w:rPr>
                <w:rFonts w:ascii="Arial" w:cs="Arial" w:eastAsia="Arial" w:hAnsi="Arial"/>
                <w:sz w:val="18"/>
                <w:szCs w:val="18"/>
                <w:color w:val="auto"/>
              </w:rPr>
              <w:t>Quarterly Report on Form 10-Q filed on August 4, 2020)</w:t>
            </w:r>
          </w:p>
        </w:tc>
      </w:tr>
      <w:tr>
        <w:trPr>
          <w:trHeight w:val="418"/>
        </w:trPr>
        <w:tc>
          <w:tcPr>
            <w:tcW w:w="680" w:type="dxa"/>
            <w:vAlign w:val="bottom"/>
          </w:tcPr>
          <w:p>
            <w:pPr>
              <w:spacing w:after="0"/>
              <w:rPr>
                <w:rFonts w:ascii="Arial" w:cs="Arial" w:eastAsia="Arial" w:hAnsi="Arial"/>
                <w:sz w:val="18"/>
                <w:szCs w:val="18"/>
                <w:u w:val="single" w:color="auto"/>
                <w:color w:val="0000EE"/>
              </w:rPr>
            </w:pPr>
            <w:hyperlink r:id="rId14">
              <w:r>
                <w:rPr>
                  <w:rFonts w:ascii="Arial" w:cs="Arial" w:eastAsia="Arial" w:hAnsi="Arial"/>
                  <w:sz w:val="18"/>
                  <w:szCs w:val="18"/>
                  <w:u w:val="single" w:color="auto"/>
                  <w:color w:val="0000EE"/>
                </w:rPr>
                <w:t>3.2</w:t>
              </w:r>
            </w:hyperlink>
          </w:p>
        </w:tc>
        <w:tc>
          <w:tcPr>
            <w:tcW w:w="10560" w:type="dxa"/>
            <w:vAlign w:val="bottom"/>
          </w:tcPr>
          <w:p>
            <w:pPr>
              <w:ind w:left="460"/>
              <w:spacing w:after="0"/>
              <w:rPr>
                <w:sz w:val="20"/>
                <w:szCs w:val="20"/>
                <w:color w:val="auto"/>
              </w:rPr>
            </w:pPr>
            <w:r>
              <w:rPr>
                <w:rFonts w:ascii="Arial" w:cs="Arial" w:eastAsia="Arial" w:hAnsi="Arial"/>
                <w:sz w:val="18"/>
                <w:szCs w:val="18"/>
                <w:color w:val="auto"/>
                <w:w w:val="95"/>
              </w:rPr>
              <w:t>Certificate of Incorporation of New Fortress Energy Inc. (incorporated herein by reference to Exhibit 99.3 of the Company’s Quarterly</w:t>
            </w:r>
          </w:p>
        </w:tc>
      </w:tr>
      <w:tr>
        <w:trPr>
          <w:trHeight w:val="230"/>
        </w:trPr>
        <w:tc>
          <w:tcPr>
            <w:tcW w:w="680" w:type="dxa"/>
            <w:vAlign w:val="bottom"/>
          </w:tcPr>
          <w:p>
            <w:pPr>
              <w:spacing w:after="0"/>
              <w:rPr>
                <w:sz w:val="20"/>
                <w:szCs w:val="20"/>
                <w:color w:val="auto"/>
              </w:rPr>
            </w:pPr>
          </w:p>
        </w:tc>
        <w:tc>
          <w:tcPr>
            <w:tcW w:w="10560" w:type="dxa"/>
            <w:vAlign w:val="bottom"/>
          </w:tcPr>
          <w:p>
            <w:pPr>
              <w:ind w:left="460"/>
              <w:spacing w:after="0"/>
              <w:rPr>
                <w:sz w:val="20"/>
                <w:szCs w:val="20"/>
                <w:color w:val="auto"/>
              </w:rPr>
            </w:pPr>
            <w:r>
              <w:rPr>
                <w:rFonts w:ascii="Arial" w:cs="Arial" w:eastAsia="Arial" w:hAnsi="Arial"/>
                <w:sz w:val="18"/>
                <w:szCs w:val="18"/>
                <w:color w:val="auto"/>
              </w:rPr>
              <w:t>Report on Form 10-Q filed on August 4, 2020)</w:t>
            </w:r>
          </w:p>
        </w:tc>
      </w:tr>
      <w:tr>
        <w:trPr>
          <w:trHeight w:val="418"/>
        </w:trPr>
        <w:tc>
          <w:tcPr>
            <w:tcW w:w="680" w:type="dxa"/>
            <w:vAlign w:val="bottom"/>
          </w:tcPr>
          <w:p>
            <w:pPr>
              <w:spacing w:after="0"/>
              <w:rPr>
                <w:rFonts w:ascii="Arial" w:cs="Arial" w:eastAsia="Arial" w:hAnsi="Arial"/>
                <w:sz w:val="18"/>
                <w:szCs w:val="18"/>
                <w:u w:val="single" w:color="auto"/>
                <w:color w:val="0000EE"/>
              </w:rPr>
            </w:pPr>
            <w:hyperlink r:id="rId15">
              <w:r>
                <w:rPr>
                  <w:rFonts w:ascii="Arial" w:cs="Arial" w:eastAsia="Arial" w:hAnsi="Arial"/>
                  <w:sz w:val="18"/>
                  <w:szCs w:val="18"/>
                  <w:u w:val="single" w:color="auto"/>
                  <w:color w:val="0000EE"/>
                </w:rPr>
                <w:t>3.3</w:t>
              </w:r>
            </w:hyperlink>
          </w:p>
        </w:tc>
        <w:tc>
          <w:tcPr>
            <w:tcW w:w="10560" w:type="dxa"/>
            <w:vAlign w:val="bottom"/>
          </w:tcPr>
          <w:p>
            <w:pPr>
              <w:ind w:left="460"/>
              <w:spacing w:after="0"/>
              <w:rPr>
                <w:sz w:val="20"/>
                <w:szCs w:val="20"/>
                <w:color w:val="auto"/>
              </w:rPr>
            </w:pPr>
            <w:r>
              <w:rPr>
                <w:rFonts w:ascii="Arial" w:cs="Arial" w:eastAsia="Arial" w:hAnsi="Arial"/>
                <w:sz w:val="18"/>
                <w:szCs w:val="18"/>
                <w:color w:val="auto"/>
                <w:w w:val="93"/>
              </w:rPr>
              <w:t>Bylaws of New Fortress Energy Inc. (incorporated herein by reference to Exhibit 99.4 of the Company’s Quarterly Report on Form 10-Q</w:t>
            </w:r>
          </w:p>
        </w:tc>
      </w:tr>
      <w:tr>
        <w:trPr>
          <w:trHeight w:val="230"/>
        </w:trPr>
        <w:tc>
          <w:tcPr>
            <w:tcW w:w="680" w:type="dxa"/>
            <w:vAlign w:val="bottom"/>
          </w:tcPr>
          <w:p>
            <w:pPr>
              <w:spacing w:after="0"/>
              <w:rPr>
                <w:sz w:val="20"/>
                <w:szCs w:val="20"/>
                <w:color w:val="auto"/>
              </w:rPr>
            </w:pPr>
          </w:p>
        </w:tc>
        <w:tc>
          <w:tcPr>
            <w:tcW w:w="10560" w:type="dxa"/>
            <w:vAlign w:val="bottom"/>
          </w:tcPr>
          <w:p>
            <w:pPr>
              <w:ind w:left="460"/>
              <w:spacing w:after="0"/>
              <w:rPr>
                <w:sz w:val="20"/>
                <w:szCs w:val="20"/>
                <w:color w:val="auto"/>
              </w:rPr>
            </w:pPr>
            <w:r>
              <w:rPr>
                <w:rFonts w:ascii="Arial" w:cs="Arial" w:eastAsia="Arial" w:hAnsi="Arial"/>
                <w:sz w:val="18"/>
                <w:szCs w:val="18"/>
                <w:color w:val="auto"/>
              </w:rPr>
              <w:t>filed on August 4, 2020)</w:t>
            </w:r>
          </w:p>
        </w:tc>
      </w:tr>
      <w:tr>
        <w:trPr>
          <w:trHeight w:val="425"/>
        </w:trPr>
        <w:tc>
          <w:tcPr>
            <w:tcW w:w="680" w:type="dxa"/>
            <w:vAlign w:val="bottom"/>
            <w:tcBorders>
              <w:bottom w:val="single" w:sz="8" w:color="auto"/>
            </w:tcBorders>
          </w:tcPr>
          <w:p>
            <w:pPr>
              <w:spacing w:after="0"/>
              <w:rPr>
                <w:sz w:val="24"/>
                <w:szCs w:val="24"/>
                <w:color w:val="auto"/>
              </w:rPr>
            </w:pPr>
          </w:p>
        </w:tc>
        <w:tc>
          <w:tcPr>
            <w:tcW w:w="10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 w:right="339" w:bottom="1440" w:gutter="0" w:footer="0" w:header="0"/>
        </w:sectPr>
      </w:pPr>
    </w:p>
    <w:bookmarkStart w:id="2" w:name="page3"/>
    <w:bookmarkEnd w:id="2"/>
    <w:p>
      <w:pPr>
        <w:ind w:left="5000"/>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spacing w:after="0" w:line="274" w:lineRule="auto"/>
        <w:rPr>
          <w:sz w:val="20"/>
          <w:szCs w:val="20"/>
          <w:color w:val="auto"/>
        </w:rPr>
      </w:pPr>
      <w:r>
        <w:rPr>
          <w:rFonts w:ascii="Arial" w:cs="Arial" w:eastAsia="Arial" w:hAnsi="Arial"/>
          <w:sz w:val="21"/>
          <w:szCs w:val="21"/>
          <w:color w:val="auto"/>
        </w:rPr>
        <w:t>Pursuant to the requirements of Section 12 of the Securities Exchange Act of 1934, the Registrant has duly caused this registration statement to be signed on its behalf by the undersigned, thereto duly authorized.</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NEW FORTRESS ENERGY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Christopher S. Guinta</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240"/>
      </w:cols>
      <w:pgMar w:left="320" w:top="111"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3" Type="http://schemas.openxmlformats.org/officeDocument/2006/relationships/hyperlink" Target="http://www.sec.gov/Archives/edgar/data/1749723/000114036120017367/brhc10013767_ex99-2.htm" TargetMode="External"/><Relationship Id="rId14" Type="http://schemas.openxmlformats.org/officeDocument/2006/relationships/hyperlink" Target="http://www.sec.gov/Archives/edgar/data/1749723/000114036120017367/brhc10013767_ex99-3.htm" TargetMode="External"/><Relationship Id="rId15" Type="http://schemas.openxmlformats.org/officeDocument/2006/relationships/hyperlink" Target="http://www.sec.gov/Archives/edgar/data/1749723/000114036120017367/brhc10013767_ex99-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2020-08-07T05:32:04Z</dcterms:created>
  <dcterms:modified xsi:type="dcterms:W3CDTF">2020-08-07T05:32:04Z</dcterms:modified>
</cp:coreProperties>
</file>