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2025</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13" w:lineRule="exact"/>
        <w:rPr>
          <w:sz w:val="24"/>
          <w:szCs w:val="24"/>
          <w:color w:val="auto"/>
        </w:rPr>
      </w:pPr>
    </w:p>
    <w:p>
      <w:pPr>
        <w:sectPr>
          <w:pgSz w:w="11900" w:h="16838" w:orient="portrait"/>
          <w:cols w:equalWidth="0" w:num="2">
            <w:col w:w="8120" w:space="720"/>
            <w:col w:w="2240"/>
          </w:cols>
          <w:pgMar w:left="320" w:top="1029"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ectPr>
          <w:pgSz w:w="11900" w:h="16838" w:orient="portrait"/>
          <w:cols w:equalWidth="0" w:num="1">
            <w:col w:w="11080"/>
          </w:cols>
          <w:pgMar w:left="320" w:top="1029" w:right="499" w:bottom="1440" w:gutter="0" w:footer="0" w:header="0"/>
          <w:type w:val="continuous"/>
        </w:sectPr>
      </w:pPr>
    </w:p>
    <w:p>
      <w:pPr>
        <w:spacing w:after="0" w:line="200" w:lineRule="exact"/>
        <w:rPr>
          <w:sz w:val="24"/>
          <w:szCs w:val="24"/>
          <w:color w:val="auto"/>
        </w:r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62" w:lineRule="exact"/>
        <w:rPr>
          <w:sz w:val="24"/>
          <w:szCs w:val="24"/>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On May 14, 2025, New Fortress Energy Inc. (“NFE” or the “Company”) issued a press release announcing the Company’s financial and operating results for its fiscal quarter ended March 31, 2025. A copy of the Company’s press release is attached to this Current Report on Form 8-K (the “Current Report”) as Exhibit 99.1 and is incorporated herein solely for purposes of this Item 2.02 disclosure.</w:t>
      </w:r>
    </w:p>
    <w:p>
      <w:pPr>
        <w:spacing w:after="0" w:line="19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tcPr>
          <w:p>
            <w:pPr>
              <w:spacing w:after="0"/>
              <w:rPr>
                <w:sz w:val="18"/>
                <w:szCs w:val="18"/>
                <w:color w:val="auto"/>
              </w:rPr>
            </w:pPr>
          </w:p>
        </w:tc>
      </w:tr>
      <w:tr>
        <w:trPr>
          <w:trHeight w:val="259"/>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2"/>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Press Release, dated May 14, 2025, issued by New Fortress Energy Inc.</w:t>
            </w:r>
          </w:p>
        </w:tc>
      </w:tr>
      <w:tr>
        <w:trPr>
          <w:trHeight w:val="277"/>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08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53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May 14, 2025</w:t>
            </w: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3120" w:type="dxa"/>
            <w:vAlign w:val="bottom"/>
          </w:tcPr>
          <w:p>
            <w:pPr>
              <w:spacing w:after="0"/>
              <w:rPr>
                <w:sz w:val="21"/>
                <w:szCs w:val="21"/>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3120" w:type="dxa"/>
            <w:vAlign w:val="bottom"/>
          </w:tcPr>
          <w:p>
            <w:pPr>
              <w:spacing w:after="0"/>
              <w:rPr>
                <w:sz w:val="22"/>
                <w:szCs w:val="22"/>
                <w:color w:val="auto"/>
              </w:rPr>
            </w:pPr>
          </w:p>
        </w:tc>
        <w:tc>
          <w:tcPr>
            <w:tcW w:w="28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jc w:val="right"/>
        <w:ind w:right="20"/>
        <w:spacing w:after="0" w:line="215" w:lineRule="auto"/>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Times New Roman" w:cs="Times New Roman" w:eastAsia="Times New Roman" w:hAnsi="Times New Roman"/>
          <w:sz w:val="18"/>
          <w:szCs w:val="18"/>
          <w:color w:val="auto"/>
        </w:rPr>
        <w:t>New York, NY 10011</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Fortress Energy Completes Sale of Jamaica Assets &amp; Operations to Excelerate Energy and Announces First Quarter 2025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2025</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NEW YORK -- New Fortress Energy Inc. (Nasdaq: NFE) (“NFE” or the “Company”) today announced the completion of the sale of its assets and operations in Jamaica to Excelerate Energy, Inc. (NYSE: EE) (“Excelerate”) for $1.055 billion. The transaction was initially announced by NFE on March 27, 2025. Proceeds from the transaction will be used to reduce NFE’s corporate debt and for general corporate purposes.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transaction, Excelerate Energy, Inc. has acquired full ownership of NFE’s LNG import terminal in Montego Bay, offshore floating storage and regasification terminal in Old Harbour, and 150 MW Combined Heat and Power Plant in Clarendon, along with the associated infrastructure.</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closing of the sale of our Jamaican assets to Excelerate is a significant milestone for the Company as we streamline our operations and paydown corporate debt through asset sales,” said Wes Edens, Chairman and CEO of New Fortress Energy. “NFE has made a positive impact on Jamaica’s energy transition, and we are proud of the contributions our world class employees and assets have made in improving energy costs and reliability on the island. We are confident that Excelerate will continue NFE’s vision of providing reliable and cost-effective energy to Jamaica and continue to drive substantial progress towards improving Jamaica’s energy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today also reported its financial results for the first quarter of 2025.</w:t>
      </w:r>
    </w:p>
    <w:p>
      <w:pPr>
        <w:spacing w:after="0" w:line="114" w:lineRule="exact"/>
        <w:rPr>
          <w:sz w:val="20"/>
          <w:szCs w:val="20"/>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$82 million in the first quarter of 2025</w:t>
      </w:r>
    </w:p>
    <w:p>
      <w:pPr>
        <w:spacing w:after="0" w:line="62"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$197 million in the first quarter of 2025</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EPS of $(0.73) on a fully diluted basis in the first quarter of 2025</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balance of $827 million, of which $448 million is unrestricted as of March 31, 2025</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quarter 2025 Adjusted EBITDA of $82 million is entirely comprised of what we consider to be core earnings, which consist of earnings from our terminal and vessel operations without regard to any one-time gains that have benefited our results in prior periods. Other than the novation income that we earned last quarter, our revenue from terminal operations have been largely unchanged since the termination of our temporary power contract in the first quarter of 2024. As we have previously disclosed, we sold the emergency power plants to the Puerto Rico Electric Power Authority in March 2024 and no longer recognize revenue from the temporary power project. We are pursuing a request for equitable adjustment related to the early termination of the temporary power project.</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have a number of notable one time events such as the FEMA claim, FSRU sub charters, and the Genera incentive payment that we expect will boost remaining earnings through 2025. We expect our core earnings to increase as our developments in Brazil, Nicaragua and expansions in Puerto Rico, come online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Brazil, we have continued to make great progress on our power plant developments, with our 624 MW CELBA plant ~95% complete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and the adjacent PortoCem power plant that is over 50% complete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Both projects are on-time and on-budget and we expect to start generating earnings from the CELBA power plant in the third quarter of this year. These developments are fully funded with asset-level debt already in place.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Fast LNG asset has been fully commissioned, and we are in the process of increasing available liquefaction capacity through optimization projects.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just announced the closing of the sale of our Jamaican assets and operations to Excelerate Energy, Inc. for $1.055 billion, highlighting our near term focus on asset sales and corporate debt reduction. We’ve committed to use the proceeds</w:t>
      </w:r>
    </w:p>
    <w:p>
      <w:pPr>
        <w:sectPr>
          <w:pgSz w:w="11900" w:h="16838" w:orient="portrait"/>
          <w:cols w:equalWidth="0" w:num="1">
            <w:col w:w="11240"/>
          </w:cols>
          <w:pgMar w:left="320" w:top="927"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of this transaction to pay down $270 million of our Revolving Credit Facility, and pay down $55 million of our Term Loan A facility, with remaining proceeds going to cash on our balance sheet.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the sale of our Jamaica business, our plan is to simplify our balance sheet with a potential asset based financing with a similar structure to other liquefier financings and using our robust portfolio of LNG terminals and long term LNG supply and downstream demand contracts.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Detail</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98"/>
        </w:trPr>
        <w:tc>
          <w:tcPr>
            <w:tcW w:w="124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w:t>
            </w:r>
          </w:p>
        </w:tc>
      </w:tr>
      <w:tr>
        <w:trPr>
          <w:trHeight w:val="263"/>
        </w:trPr>
        <w:tc>
          <w:tcPr>
            <w:tcW w:w="5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562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18"/>
                <w:szCs w:val="18"/>
                <w:color w:val="auto"/>
              </w:rPr>
              <w:t>Terminals and Infrastructure Segment Operating Margin</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57"/>
        </w:trPr>
        <w:tc>
          <w:tcPr>
            <w:tcW w:w="5620" w:type="dxa"/>
            <w:vAlign w:val="bottom"/>
            <w:gridSpan w:val="2"/>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Ships Segment Operating Margin</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57"/>
        </w:trPr>
        <w:tc>
          <w:tcPr>
            <w:tcW w:w="562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Total Segment Operating Margin</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r>
      <w:tr>
        <w:trPr>
          <w:trHeight w:val="257"/>
        </w:trPr>
        <w:tc>
          <w:tcPr>
            <w:tcW w:w="5620" w:type="dxa"/>
            <w:vAlign w:val="bottom"/>
            <w:gridSpan w:val="2"/>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refer to our Q1 2025 Investor Presentation (the “Presentation”) for further information about the following terms:</w:t>
      </w:r>
    </w:p>
    <w:p>
      <w:pPr>
        <w:spacing w:after="0"/>
        <w:rPr>
          <w:sz w:val="20"/>
          <w:szCs w:val="20"/>
          <w:color w:val="auto"/>
        </w:rPr>
      </w:pPr>
      <w:r>
        <w:rPr>
          <w:rFonts w:ascii="Times New Roman" w:cs="Times New Roman" w:eastAsia="Times New Roman" w:hAnsi="Times New Roman"/>
          <w:sz w:val="18"/>
          <w:szCs w:val="18"/>
          <w:i w:val="1"/>
          <w:iCs w:val="1"/>
          <w:color w:val="auto"/>
        </w:rPr>
        <w:t>1)“Adjusted EBITDA,” see definition and reconciliation of this non-GAAP measure in the exhibits to this press release.</w:t>
      </w:r>
    </w:p>
    <w:p>
      <w:pPr>
        <w:ind w:right="220" w:firstLine="8"/>
        <w:spacing w:after="0" w:line="224"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Segment Operating Margin” is the total of our Terminals and Infrastructure Segment Operating Margin and Ships Segment Operating Margin, each as reported in our financial statements. Our segment measure also excludes unrealized mark-to-market gains or losses on derivative instruments, certain contract acquisition costs and deferred earnings from contracted sales for which a prepayment has been received.</w:t>
      </w:r>
    </w:p>
    <w:p>
      <w:pPr>
        <w:ind w:right="100" w:firstLine="8"/>
        <w:spacing w:after="0" w:line="225" w:lineRule="auto"/>
        <w:tabs>
          <w:tab w:leader="none" w:pos="1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"Completed", “Placed into service” "Online" or similar statuses (either capitalized or lower case) with respect to a particular project means we expect gas to be made available in the near future, gas has been made available to the relevant project, or that the relevant project is in full commercial operations. Where gas is going to be made available or has been made available but full commercial operations have not yet begun, full commercial operations will occur later than, and may occur substantially later than, our reported Operational, Completion or Deployment date, and we may not generate any revenue until full commercial operations have begun. We cannot assure you if or when such projects will reach full commercial operation. Our ability to export liquefied natural gas depends on our ability to obtain export and other permits from governmental and regulatory agencies. No assurance can be given that we will receive required permits, approvals and authorizations from governmental and regulatory agencies in connection with the exportation of liquefied natural gas on a timely basis or at all or that, once received, we will be able to maintain in full force and effect, renew or replace such permits, approvals and authorizations.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Results</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company’s actual operating results remain subject to the completion of its quarter-end closing process, which includes review by management and the Audit Committee of the company’s Board of Directors. While carrying out such procedures, the company may identify items that would require it to make adjustments to the preliminary estimates of the results set forth herein. As a result, the company’s actual results could differ from the preliminary results set forth herein and such differences could be material. The information presented herein should not be considered a substitute for the financial information the company files with the Securities and Exchange Commission in its Quarterly Report on Form 10-Q for the three months ended March 31, 2025. The company has no intention or obligation to update the preliminary estimates of operating results set forth above prior to the release of its consolidated financial statements as of and for the three months ended March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ectPr>
          <w:pgSz w:w="11900" w:h="16838" w:orient="portrait"/>
          <w:cols w:equalWidth="0" w:num="1">
            <w:col w:w="11240"/>
          </w:cols>
          <w:pgMar w:left="320" w:top="1147"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on Wednesday, May 14, 2025 at 4:30 P.M. Eastern Time. The conference call may be accessed by dialing (888) 256-1007 (toll free from within the U.S.) or +1-323-701-0225 (from outside of the U.S.) fifteen minutes prior to the scheduled start of the call; please reference “NFE First-Quarter 2025 Earnings Call” or conference code 8378656.</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simultaneous webcast of the conference call will be available to the public on a listen-only basis at www.newfortressenergy.com under the Investors section within “Events &amp; Presentations.” Please allow time prior to the call to visit the site and download any necessary software required to listen to the internet broadcast. A replay of the conference call will be available at the same website location shortly after the conclusion of the live call.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New Fortress Energy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New Fortress Energy Inc. (NASDAQ: NFE) is a global energy infrastructure company founded to address energy poverty and accelerate the world’s transition to reliable, affordable, and clean energy. The Company owns and operates natural gas and liquefied natural gas (LNG) infrastructure and an integrated fleet of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Concerning Forward-Looking Statements</w:t>
      </w:r>
    </w:p>
    <w:p>
      <w:pPr>
        <w:spacing w:after="0" w:line="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This press release contains certain statements and information that may constitute “forward-looking statements” within the meaning of the Private Securities Litigation Reform Act of 1995. All statements contained in this press release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statements regarding the transaction, including deleveraging following the closing of the transaction and other anticipated benefits from the transaction. These forward-looking statements are based upon current information and involve a number of risks, uncertainties and other factors, many of which are outside of the Company’s control. Actual results or events may differ materially from the results anticipated in these forward-looking statements. Specific factors that could cause actual results to differ from those in the forward-looking statements include, but are not limited to: our strategy and plans for the Company, including the structure, form, timing and nature of the Company’s business in the future and characteristics of the business going forward; risks related to the development, construction, completion or commissioning schedule for the facilities; risks related to the operation and maintenance of our facilities and assets; failure of our third-party contractors, equipment manufacturers, suppliers and operators to perform their obligations for the development, construction and operation of our projects, vessels and assets; our ability to implement our business strategy; our capital allocation plans, as such plans may change including with respect to de-leveraging actions; operational execution by our businesses; changes in law, economic and financial conditions, including the effect of enactment of U.S. tax reform or other tax law changes, trade policy and tariffs, interest and exchange rate volatility, commodity and equity prices and the value of financial assets; the other factors that are described in "Forward-Looking Statements" in the Company’s most recent earnings release or SEC filings; and the other factors that are described in "Risk Factors" in our Annual Report on Form 10-K for the year ended December 31, 2024, as updated in our Quarterly Reports on Form 10-Q. These factors are not necessarily all of the important factors that could cause actual results to differ materially from those expressed in any of the Company’s forward-looking statements. Other known or unpredictable factors could also have material adverse effects on future results.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ir@newfortressenergy.com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Media Relations: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Porritt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press@newfortressenergy.com</w:t>
      </w:r>
    </w:p>
    <w:p>
      <w:pPr>
        <w:spacing w:after="0"/>
        <w:rPr>
          <w:sz w:val="20"/>
          <w:szCs w:val="20"/>
          <w:color w:val="auto"/>
        </w:rPr>
      </w:pPr>
      <w:r>
        <w:rPr>
          <w:rFonts w:ascii="Times New Roman" w:cs="Times New Roman" w:eastAsia="Times New Roman" w:hAnsi="Times New Roman"/>
          <w:sz w:val="18"/>
          <w:szCs w:val="18"/>
          <w:u w:val="single" w:color="auto"/>
          <w:color w:val="auto"/>
        </w:rPr>
        <w:t>(516) 268-7403</w:t>
      </w:r>
    </w:p>
    <w:p>
      <w:pPr>
        <w:sectPr>
          <w:pgSz w:w="11900" w:h="16838" w:orient="portrait"/>
          <w:cols w:equalWidth="0" w:num="1">
            <w:col w:w="11240"/>
          </w:cols>
          <w:pgMar w:left="320" w:top="11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Source: New Fortress Energy Inc.</w:t>
      </w:r>
    </w:p>
    <w:p>
      <w:pPr>
        <w:sectPr>
          <w:pgSz w:w="11900" w:h="16838" w:orient="portrait"/>
          <w:cols w:equalWidth="0" w:num="1">
            <w:col w:w="10139"/>
          </w:cols>
          <w:pgMar w:left="320" w:top="92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Exhibits – Financial Statements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ind w:right="5260"/>
        <w:spacing w:after="0" w:line="273" w:lineRule="auto"/>
        <w:rPr>
          <w:sz w:val="20"/>
          <w:szCs w:val="20"/>
          <w:color w:val="auto"/>
        </w:rPr>
      </w:pPr>
      <w:r>
        <w:rPr>
          <w:rFonts w:ascii="Times New Roman" w:cs="Times New Roman" w:eastAsia="Times New Roman" w:hAnsi="Times New Roman"/>
          <w:sz w:val="17"/>
          <w:szCs w:val="17"/>
          <w:b w:val="1"/>
          <w:bCs w:val="1"/>
          <w:color w:val="auto"/>
        </w:rPr>
        <w:t>For the three months ended December 31, 2024 and March 31, 2025 (Unaudited, in thousands of U.S. dollars,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6"/>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spacing w:after="0"/>
              <w:rPr>
                <w:sz w:val="21"/>
                <w:szCs w:val="21"/>
                <w:color w:val="auto"/>
              </w:rPr>
            </w:pPr>
          </w:p>
        </w:tc>
      </w:tr>
      <w:tr>
        <w:trPr>
          <w:trHeight w:val="264"/>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470,536</w:t>
            </w:r>
          </w:p>
        </w:tc>
      </w:tr>
      <w:tr>
        <w:trPr>
          <w:trHeight w:val="243"/>
        </w:trPr>
        <w:tc>
          <w:tcPr>
            <w:tcW w:w="7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7"/>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302,377</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54,957</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 of assets, net</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489,015</w:t>
            </w:r>
          </w:p>
        </w:tc>
      </w:tr>
      <w:tr>
        <w:trPr>
          <w:trHeight w:val="25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(18,479)</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213,694</w:t>
            </w:r>
          </w:p>
        </w:tc>
      </w:tr>
      <w:tr>
        <w:trPr>
          <w:trHeight w:val="26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(63,937)</w:t>
            </w:r>
          </w:p>
        </w:tc>
      </w:tr>
      <w:tr>
        <w:trPr>
          <w:trHeight w:val="25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5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(168,703)</w:t>
            </w:r>
          </w:p>
        </w:tc>
      </w:tr>
      <w:tr>
        <w:trPr>
          <w:trHeight w:val="263"/>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28,670</w:t>
            </w:r>
          </w:p>
        </w:tc>
      </w:tr>
      <w:tr>
        <w:trPr>
          <w:trHeight w:val="257"/>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(197,373)</w:t>
            </w:r>
          </w:p>
        </w:tc>
      </w:tr>
      <w:tr>
        <w:trPr>
          <w:trHeight w:val="270"/>
        </w:trPr>
        <w:tc>
          <w:tcPr>
            <w:tcW w:w="73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r>
      <w:tr>
        <w:trPr>
          <w:trHeight w:val="275"/>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(200,129)</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 diluted</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(0.73)</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5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217,581,687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273,609,766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5"/>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217,581,687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273,609,766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not a measurement of financial performance under GAAP and should not be considered in isolation or as an alternative to income from operations, net income,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our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calculate Adjusted EBITDA as net income,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transaction and integration costs, contract termination charges and loss on mitigations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certain non-capitalizable contract acquisition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our pro rata share of Adjusted EBITDA from certain unconsolidated entities,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impact of equity in earnings (losses) of certain unconsolidated entities.</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is mathematically equivalent to our Total Segment Operating Margin, as reported in the segment disclosures within our financial statements, minus Core SG&amp;A, including our pro rata share of such expenses of certain unconsolidated entities, minus deferred earnings for which a prepayment was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and diluted earnings per share attributable to New Fortress Energy, which are determined in accordance with GAAP.</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for the three months ended March 31, 2024, December 31, 2024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7"/>
                <w:szCs w:val="17"/>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03"/>
        </w:trPr>
        <w:tc>
          <w:tcPr>
            <w:tcW w:w="6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72"/>
        </w:trPr>
        <w:tc>
          <w:tcPr>
            <w:tcW w:w="63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3"/>
                <w:szCs w:val="2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Pr>
          <w:p>
            <w:pPr>
              <w:spacing w:after="0"/>
              <w:rPr>
                <w:sz w:val="23"/>
                <w:szCs w:val="23"/>
                <w:color w:val="auto"/>
              </w:rPr>
            </w:pPr>
          </w:p>
        </w:tc>
        <w:tc>
          <w:tcPr>
            <w:tcW w:w="1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57"/>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Margin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240,243</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106,026</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Core SG&amp;A (see definition above)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34,086</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Revenue recognized from deferred earnings from cargo sales</w:t>
            </w:r>
          </w:p>
        </w:tc>
        <w:tc>
          <w:tcPr>
            <w:tcW w:w="16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Depreciation in Cost of Sales</w:t>
            </w:r>
          </w:p>
        </w:tc>
        <w:tc>
          <w:tcPr>
            <w:tcW w:w="160" w:type="dxa"/>
            <w:vAlign w:val="bottom"/>
          </w:tcPr>
          <w:p>
            <w:pPr>
              <w:spacing w:after="0"/>
              <w:rPr>
                <w:sz w:val="22"/>
                <w:szCs w:val="22"/>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w:t>
            </w:r>
          </w:p>
        </w:tc>
      </w:tr>
      <w:tr>
        <w:trPr>
          <w:trHeight w:val="257"/>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313,486</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82,341</w:t>
            </w:r>
          </w:p>
        </w:tc>
      </w:tr>
      <w:tr>
        <w:trPr>
          <w:trHeight w:val="256"/>
        </w:trPr>
        <w:tc>
          <w:tcPr>
            <w:tcW w:w="6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(223,510)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(197,373)</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Interest expense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Tax provision</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28,670</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63,458</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Asset impairment expense</w:t>
            </w:r>
          </w:p>
        </w:tc>
        <w:tc>
          <w:tcPr>
            <w:tcW w:w="16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SG&amp;A items excluded from Core SG&amp;A (see definition above)</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Transaction and integration costs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r>
      <w:tr>
        <w:trPr>
          <w:trHeight w:val="26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(63,937)</w:t>
            </w: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Loss on extinguishment of debt, net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8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Loss on sale of assets, net</w:t>
            </w: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340,148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313,486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82,341</w:t>
            </w:r>
          </w:p>
        </w:tc>
      </w:tr>
    </w:tbl>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Segment Operating Margin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w:t>
      </w:r>
    </w:p>
    <w:p>
      <w:pPr>
        <w:spacing w:after="0" w:line="232"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adjusted for selling, general and administrative expense, transaction and integration costs, contract termination charges and loss on mitigation sales, depreciation and amortization, asset impairment expense, loss on asset sales, interest expense, other (income) expense, loss on extinguishment of debt, net, (income) loss from equity method investments and tax (benefit) provision. Consolidated Segment Operating Margin is mathematically equivalent to Revenue minus Cost of sales minus Operations and maintenance minus Vessel operating expenses, each as reported in our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6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74,593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31,433</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106,026</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106,026</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59,271</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2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206,099</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34,144</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240,243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107,727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347,970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99,527</w:t>
            </w:r>
          </w:p>
        </w:tc>
        <w:tc>
          <w:tcPr>
            <w:tcW w:w="0" w:type="dxa"/>
            <w:vAlign w:val="bottom"/>
          </w:tcPr>
          <w:p>
            <w:pPr>
              <w:spacing w:after="0"/>
              <w:rPr>
                <w:sz w:val="1"/>
                <w:szCs w:val="1"/>
                <w:color w:val="auto"/>
              </w:rPr>
            </w:pPr>
          </w:p>
        </w:tc>
      </w:tr>
      <w:tr>
        <w:trPr>
          <w:trHeight w:val="25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260,309</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5779770</wp:posOffset>
            </wp:positionH>
            <wp:positionV relativeFrom="paragraph">
              <wp:posOffset>-2125980</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299" w:lineRule="exact"/>
        <w:rPr>
          <w:sz w:val="20"/>
          <w:szCs w:val="20"/>
          <w:color w:val="auto"/>
        </w:rPr>
      </w:pPr>
    </w:p>
    <w:p>
      <w:pPr>
        <w:ind w:left="340" w:right="20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Consolidation and Other adjusts for deferred earnings that were included in Terminals and Infrastructure in the prior quarters, but were recognized as revenue during the fourth quarter of 2024.</w:t>
      </w:r>
    </w:p>
    <w:p>
      <w:pPr>
        <w:sectPr>
          <w:pgSz w:w="11900" w:h="16838" w:orient="portrait"/>
          <w:cols w:equalWidth="0" w:num="1">
            <w:col w:w="11240"/>
          </w:cols>
          <w:pgMar w:left="320" w:top="92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w:t>
            </w:r>
          </w:p>
        </w:tc>
        <w:tc>
          <w:tcPr>
            <w:tcW w:w="84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Terminals and</w:t>
            </w:r>
          </w:p>
        </w:tc>
        <w:tc>
          <w:tcPr>
            <w:tcW w:w="320" w:type="dxa"/>
            <w:vAlign w:val="bottom"/>
          </w:tcPr>
          <w:p>
            <w:pPr>
              <w:spacing w:after="0"/>
              <w:rPr>
                <w:sz w:val="24"/>
                <w:szCs w:val="24"/>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Ships</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Segment</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Consolidation and</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0"/>
              <w:spacing w:after="0" w:line="176" w:lineRule="exact"/>
              <w:rPr>
                <w:sz w:val="20"/>
                <w:szCs w:val="20"/>
                <w:color w:val="auto"/>
              </w:rPr>
            </w:pPr>
            <w:r>
              <w:rPr>
                <w:rFonts w:ascii="Times New Roman" w:cs="Times New Roman" w:eastAsia="Times New Roman" w:hAnsi="Times New Roman"/>
                <w:sz w:val="18"/>
                <w:szCs w:val="18"/>
                <w:b w:val="1"/>
                <w:bCs w:val="1"/>
                <w:color w:val="auto"/>
              </w:rPr>
              <w:t>Other</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Margin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350,072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34,188</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384,260</w:t>
            </w:r>
          </w:p>
        </w:tc>
        <w:tc>
          <w:tcPr>
            <w:tcW w:w="0" w:type="dxa"/>
            <w:vAlign w:val="bottom"/>
          </w:tcPr>
          <w:p>
            <w:pPr>
              <w:spacing w:after="0"/>
              <w:rPr>
                <w:sz w:val="1"/>
                <w:szCs w:val="1"/>
                <w:color w:val="auto"/>
              </w:rPr>
            </w:pPr>
          </w:p>
        </w:tc>
      </w:tr>
      <w:tr>
        <w:trPr>
          <w:trHeight w:val="25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5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8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8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492,881</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472,696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net of allowances of $13,322 and $13,629, respectively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335,813</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103,224</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 held for sale - current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 net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201,925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205,496</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1,473,708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1,610,110</w:t>
            </w: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3,901,113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3,574,389</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5,545,980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5,842,807</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618,733</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179,510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766,350</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assets, net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 held for sale - non-current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non-current assets, net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218,464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272,899</w:t>
            </w:r>
          </w:p>
        </w:tc>
        <w:tc>
          <w:tcPr>
            <w:tcW w:w="0" w:type="dxa"/>
            <w:vAlign w:val="bottom"/>
          </w:tcPr>
          <w:p>
            <w:pPr>
              <w:spacing w:after="0"/>
              <w:rPr>
                <w:sz w:val="1"/>
                <w:szCs w:val="1"/>
                <w:color w:val="auto"/>
              </w:rPr>
            </w:pPr>
          </w:p>
        </w:tc>
      </w:tr>
      <w:tr>
        <w:trPr>
          <w:trHeight w:val="22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13,028,080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12,867,496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 and short-term borrowings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539,132</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473,736</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391,359</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Liabilities held for sale - current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174,829</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1,473,682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1,707,418</w:t>
            </w: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8,931,506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8,355,703</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355,050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475,161</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73,198</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 held for sale - non-current</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168,851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166,358</w:t>
            </w: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11,115,846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10,777,838</w:t>
            </w:r>
          </w:p>
        </w:tc>
        <w:tc>
          <w:tcPr>
            <w:tcW w:w="0" w:type="dxa"/>
            <w:vAlign w:val="bottom"/>
          </w:tcPr>
          <w:p>
            <w:pPr>
              <w:spacing w:after="0"/>
              <w:rPr>
                <w:sz w:val="1"/>
                <w:szCs w:val="1"/>
                <w:color w:val="auto"/>
              </w:rPr>
            </w:pPr>
          </w:p>
        </w:tc>
      </w:tr>
      <w:tr>
        <w:trPr>
          <w:trHeight w:val="95"/>
        </w:trPr>
        <w:tc>
          <w:tcPr>
            <w:tcW w:w="76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20)</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6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Series B convertible preferred stock, $0.01 par value, 36,746 shares authorized, issued and outstanding as of March 31, 2025</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(96,746 as of December 31, 2024); aggregate liquidation preference of $36,746 and $96,746 at March 31, 2025 and December 31,</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0" w:type="dxa"/>
            <w:vAlign w:val="bottom"/>
          </w:tcPr>
          <w:p>
            <w:pPr>
              <w:spacing w:after="0"/>
              <w:rPr>
                <w:sz w:val="1"/>
                <w:szCs w:val="1"/>
                <w:color w:val="auto"/>
              </w:rPr>
            </w:pPr>
          </w:p>
        </w:tc>
      </w:tr>
      <w:tr>
        <w:trPr>
          <w:trHeight w:val="58"/>
        </w:trPr>
        <w:tc>
          <w:tcPr>
            <w:tcW w:w="76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$0.01 par value, 750 million shares authorized, 273.8 million issued and outstanding as of March 31,</w:t>
            </w:r>
          </w:p>
        </w:tc>
        <w:tc>
          <w:tcPr>
            <w:tcW w:w="2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 266.5 million issued and outstanding as of December 31, 2024</w:t>
            </w:r>
          </w:p>
        </w:tc>
        <w:tc>
          <w:tcPr>
            <w:tcW w:w="2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95"/>
        </w:trPr>
        <w:tc>
          <w:tcPr>
            <w:tcW w:w="7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1,722,829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1,674,312</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196,363</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3,089</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 attributable to NFE</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1,748,472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1,876,428</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122,660</w:t>
            </w: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1,871,526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1,999,088</w:t>
            </w: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13,028,080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12,867,496</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 thousands of U.S. dollars, except share and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609,504</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charter revenue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34,162</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470,536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690,321</w:t>
            </w: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70,754</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assets, net</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0" w:type="dxa"/>
            <w:vAlign w:val="bottom"/>
          </w:tcPr>
          <w:p>
            <w:pPr>
              <w:spacing w:after="0"/>
              <w:rPr>
                <w:sz w:val="1"/>
                <w:szCs w:val="1"/>
                <w:color w:val="auto"/>
              </w:rPr>
            </w:pPr>
          </w:p>
        </w:tc>
      </w:tr>
      <w:tr>
        <w:trPr>
          <w:trHeight w:val="223"/>
        </w:trPr>
        <w:tc>
          <w:tcPr>
            <w:tcW w:w="7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489,015</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w:t>
            </w:r>
          </w:p>
        </w:tc>
        <w:tc>
          <w:tcPr>
            <w:tcW w:w="0" w:type="dxa"/>
            <w:vAlign w:val="bottom"/>
          </w:tcPr>
          <w:p>
            <w:pPr>
              <w:spacing w:after="0"/>
              <w:rPr>
                <w:sz w:val="1"/>
                <w:szCs w:val="1"/>
                <w:color w:val="auto"/>
              </w:rPr>
            </w:pPr>
          </w:p>
        </w:tc>
      </w:tr>
      <w:tr>
        <w:trPr>
          <w:trHeight w:val="22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184,504</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77,344</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0" w:type="dxa"/>
            <w:vAlign w:val="bottom"/>
          </w:tcPr>
          <w:p>
            <w:pPr>
              <w:spacing w:after="0"/>
              <w:rPr>
                <w:sz w:val="1"/>
                <w:szCs w:val="1"/>
                <w:color w:val="auto"/>
              </w:rPr>
            </w:pPr>
          </w:p>
        </w:tc>
      </w:tr>
      <w:tr>
        <w:trPr>
          <w:trHeight w:val="22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78,294</w:t>
            </w: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2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w:t>
            </w:r>
          </w:p>
        </w:tc>
        <w:tc>
          <w:tcPr>
            <w:tcW w:w="0" w:type="dxa"/>
            <w:vAlign w:val="bottom"/>
          </w:tcPr>
          <w:p>
            <w:pPr>
              <w:spacing w:after="0"/>
              <w:rPr>
                <w:sz w:val="1"/>
                <w:szCs w:val="1"/>
                <w:color w:val="auto"/>
              </w:rPr>
            </w:pPr>
          </w:p>
        </w:tc>
      </w:tr>
      <w:tr>
        <w:trPr>
          <w:trHeight w:val="270"/>
        </w:trPr>
        <w:tc>
          <w:tcPr>
            <w:tcW w:w="79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273,609,766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205,061,967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273,609,766</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205,977,720</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2025-05-14T15:18:34Z</dcterms:created>
  <dcterms:modified xsi:type="dcterms:W3CDTF">2025-05-14T15:18:34Z</dcterms:modified>
</cp:coreProperties>
</file>