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4"/>
          <w:szCs w:val="24"/>
          <w:color w:val="auto"/>
        </w:rPr>
      </w:pPr>
    </w:p>
    <w:p>
      <w:pPr>
        <w:ind w:left="7527" w:right="400" w:hanging="6248"/>
        <w:spacing w:after="0" w:line="347" w:lineRule="auto"/>
        <w:rPr>
          <w:sz w:val="20"/>
          <w:szCs w:val="20"/>
          <w:color w:val="auto"/>
        </w:rPr>
      </w:pPr>
      <w:r>
        <w:rPr>
          <w:rFonts w:ascii="Arial" w:cs="Arial" w:eastAsia="Arial" w:hAnsi="Arial"/>
          <w:sz w:val="16"/>
          <w:szCs w:val="16"/>
          <w:b w:val="1"/>
          <w:bCs w:val="1"/>
          <w:color w:val="auto"/>
        </w:rPr>
        <w:t>As confidentially submitted to the Securities and Exchange Commission on August 16, 2018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071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69" w:lineRule="exact"/>
        <w:rPr>
          <w:sz w:val="24"/>
          <w:szCs w:val="24"/>
          <w:color w:val="auto"/>
        </w:rPr>
      </w:pPr>
    </w:p>
    <w:p>
      <w:pPr>
        <w:jc w:val="center"/>
        <w:ind w:right="-6"/>
        <w:spacing w:after="0"/>
        <w:rPr>
          <w:sz w:val="20"/>
          <w:szCs w:val="20"/>
          <w:color w:val="auto"/>
        </w:rPr>
      </w:pPr>
      <w:r>
        <w:rPr>
          <w:rFonts w:ascii="Arial" w:cs="Arial" w:eastAsia="Arial" w:hAnsi="Arial"/>
          <w:sz w:val="22"/>
          <w:szCs w:val="22"/>
          <w:b w:val="1"/>
          <w:bCs w:val="1"/>
          <w:color w:val="auto"/>
        </w:rPr>
        <w:t>UNITED STATES</w:t>
      </w:r>
    </w:p>
    <w:p>
      <w:pPr>
        <w:jc w:val="center"/>
        <w:ind w:right="-6"/>
        <w:spacing w:after="0" w:line="222"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133350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47"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Confidential Draft Submission No. 1</w:t>
      </w:r>
    </w:p>
    <w:p>
      <w:pPr>
        <w:jc w:val="center"/>
        <w:ind w:right="-6"/>
        <w:spacing w:after="0" w:line="232" w:lineRule="auto"/>
        <w:rPr>
          <w:sz w:val="20"/>
          <w:szCs w:val="20"/>
          <w:color w:val="auto"/>
        </w:rPr>
      </w:pPr>
      <w:r>
        <w:rPr>
          <w:rFonts w:ascii="Arial" w:cs="Arial" w:eastAsia="Arial" w:hAnsi="Arial"/>
          <w:sz w:val="22"/>
          <w:szCs w:val="22"/>
          <w:b w:val="1"/>
          <w:bCs w:val="1"/>
          <w:color w:val="auto"/>
        </w:rPr>
        <w:t>FORM S-1</w:t>
      </w:r>
    </w:p>
    <w:p>
      <w:pPr>
        <w:jc w:val="center"/>
        <w:ind w:right="-6"/>
        <w:spacing w:after="0" w:line="219" w:lineRule="auto"/>
        <w:rPr>
          <w:sz w:val="20"/>
          <w:szCs w:val="20"/>
          <w:color w:val="auto"/>
        </w:rPr>
      </w:pPr>
      <w:r>
        <w:rPr>
          <w:rFonts w:ascii="Arial" w:cs="Arial" w:eastAsia="Arial" w:hAnsi="Arial"/>
          <w:sz w:val="18"/>
          <w:szCs w:val="18"/>
          <w:b w:val="1"/>
          <w:bCs w:val="1"/>
          <w:color w:val="auto"/>
        </w:rPr>
        <w:t>REGISTRATION STATEMENT UNDER</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125095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47"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NFE Financial Holdings LLC</w:t>
      </w:r>
    </w:p>
    <w:p>
      <w:pPr>
        <w:jc w:val="center"/>
        <w:ind w:right="-6"/>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9567"/>
          </w:cols>
          <w:pgMar w:left="1173" w:top="238" w:right="1159" w:bottom="1440" w:gutter="0" w:footer="0" w:header="0"/>
        </w:sectPr>
      </w:pPr>
    </w:p>
    <w:p>
      <w:pPr>
        <w:spacing w:after="0" w:line="66" w:lineRule="exact"/>
        <w:rPr>
          <w:sz w:val="24"/>
          <w:szCs w:val="24"/>
          <w:color w:val="auto"/>
        </w:rPr>
      </w:pPr>
    </w:p>
    <w:p>
      <w:pPr>
        <w:ind w:left="1187"/>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jc w:val="center"/>
        <w:ind w:right="2080"/>
        <w:spacing w:after="0"/>
        <w:rPr>
          <w:sz w:val="20"/>
          <w:szCs w:val="20"/>
          <w:color w:val="auto"/>
        </w:rPr>
      </w:pPr>
      <w:r>
        <w:rPr>
          <w:rFonts w:ascii="Arial" w:cs="Arial" w:eastAsia="Arial" w:hAnsi="Arial"/>
          <w:sz w:val="13"/>
          <w:szCs w:val="13"/>
          <w:b w:val="1"/>
          <w:bCs w:val="1"/>
          <w:color w:val="auto"/>
        </w:rPr>
        <w:t>4924</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83-1482060</w:t>
      </w:r>
    </w:p>
    <w:p>
      <w:pPr>
        <w:spacing w:after="0" w:line="44" w:lineRule="exact"/>
        <w:rPr>
          <w:sz w:val="24"/>
          <w:szCs w:val="24"/>
          <w:color w:val="auto"/>
        </w:rPr>
      </w:pPr>
    </w:p>
    <w:p>
      <w:pPr>
        <w:sectPr>
          <w:pgSz w:w="11900" w:h="16838" w:orient="portrait"/>
          <w:cols w:equalWidth="0" w:num="3">
            <w:col w:w="3827" w:space="720"/>
            <w:col w:w="2380" w:space="720"/>
            <w:col w:w="1920"/>
          </w:cols>
          <w:pgMar w:left="1173" w:top="238" w:right="1159" w:bottom="1440" w:gutter="0" w:footer="0" w:header="0"/>
          <w:type w:val="continuous"/>
        </w:sectPr>
      </w:pPr>
    </w:p>
    <w:p>
      <w:pPr>
        <w:ind w:left="627"/>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(Primary Standard Industrial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33" w:lineRule="exact"/>
        <w:rPr>
          <w:sz w:val="24"/>
          <w:szCs w:val="24"/>
          <w:color w:val="auto"/>
        </w:rPr>
      </w:pPr>
    </w:p>
    <w:p>
      <w:pPr>
        <w:sectPr>
          <w:pgSz w:w="11900" w:h="16838" w:orient="portrait"/>
          <w:cols w:equalWidth="0" w:num="3">
            <w:col w:w="3147" w:space="720"/>
            <w:col w:w="2980" w:space="720"/>
            <w:col w:w="2000"/>
          </w:cols>
          <w:pgMar w:left="1173" w:top="238" w:right="1159" w:bottom="1440" w:gutter="0" w:footer="0" w:header="0"/>
          <w:type w:val="continuous"/>
        </w:sectPr>
      </w:pPr>
    </w:p>
    <w:p>
      <w:pPr>
        <w:ind w:left="667"/>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Number)</w:t>
      </w:r>
    </w:p>
    <w:p>
      <w:pPr>
        <w:spacing w:after="0" w:line="39" w:lineRule="exact"/>
        <w:rPr>
          <w:sz w:val="24"/>
          <w:szCs w:val="24"/>
          <w:color w:val="auto"/>
        </w:rPr>
      </w:pPr>
    </w:p>
    <w:p>
      <w:pPr>
        <w:sectPr>
          <w:pgSz w:w="11900" w:h="16838" w:orient="portrait"/>
          <w:cols w:equalWidth="0" w:num="3">
            <w:col w:w="3127" w:space="720"/>
            <w:col w:w="2760" w:space="720"/>
            <w:col w:w="2240"/>
          </w:cols>
          <w:pgMar w:left="1173" w:top="238" w:right="1159" w:bottom="1440" w:gutter="0" w:footer="0" w:header="0"/>
          <w:type w:val="continuous"/>
        </w:sectPr>
      </w:pPr>
    </w:p>
    <w:p>
      <w:pPr>
        <w:jc w:val="center"/>
        <w:ind w:right="-6"/>
        <w:spacing w:after="0"/>
        <w:rPr>
          <w:sz w:val="20"/>
          <w:szCs w:val="20"/>
          <w:color w:val="auto"/>
        </w:rPr>
      </w:pPr>
      <w:r>
        <w:rPr>
          <w:rFonts w:ascii="Arial" w:cs="Arial" w:eastAsia="Arial" w:hAnsi="Arial"/>
          <w:sz w:val="14"/>
          <w:szCs w:val="14"/>
          <w:b w:val="1"/>
          <w:bCs w:val="1"/>
          <w:color w:val="auto"/>
        </w:rPr>
        <w:t>111 W. 19</w:t>
      </w:r>
      <w:r>
        <w:rPr>
          <w:rFonts w:ascii="Arial" w:cs="Arial" w:eastAsia="Arial" w:hAnsi="Arial"/>
          <w:sz w:val="13"/>
          <w:szCs w:val="13"/>
          <w:b w:val="1"/>
          <w:bCs w:val="1"/>
          <w:color w:val="auto"/>
        </w:rPr>
        <w:t>th</w:t>
      </w:r>
      <w:r>
        <w:rPr>
          <w:rFonts w:ascii="Arial" w:cs="Arial" w:eastAsia="Arial" w:hAnsi="Arial"/>
          <w:sz w:val="14"/>
          <w:szCs w:val="14"/>
          <w:b w:val="1"/>
          <w:bCs w:val="1"/>
          <w:color w:val="auto"/>
        </w:rPr>
        <w:t xml:space="preserve"> Street, 8</w:t>
      </w:r>
      <w:r>
        <w:rPr>
          <w:rFonts w:ascii="Arial" w:cs="Arial" w:eastAsia="Arial" w:hAnsi="Arial"/>
          <w:sz w:val="13"/>
          <w:szCs w:val="13"/>
          <w:b w:val="1"/>
          <w:bCs w:val="1"/>
          <w:color w:val="auto"/>
        </w:rPr>
        <w:t>th</w:t>
      </w:r>
      <w:r>
        <w:rPr>
          <w:rFonts w:ascii="Arial" w:cs="Arial" w:eastAsia="Arial" w:hAnsi="Arial"/>
          <w:sz w:val="14"/>
          <w:szCs w:val="14"/>
          <w:b w:val="1"/>
          <w:bCs w:val="1"/>
          <w:color w:val="auto"/>
        </w:rPr>
        <w:t xml:space="preserve"> Floor</w:t>
      </w:r>
    </w:p>
    <w:p>
      <w:pPr>
        <w:jc w:val="center"/>
        <w:ind w:right="-6"/>
        <w:spacing w:after="0" w:line="211" w:lineRule="auto"/>
        <w:rPr>
          <w:sz w:val="20"/>
          <w:szCs w:val="20"/>
          <w:color w:val="auto"/>
        </w:rPr>
      </w:pPr>
      <w:r>
        <w:rPr>
          <w:rFonts w:ascii="Arial" w:cs="Arial" w:eastAsia="Arial" w:hAnsi="Arial"/>
          <w:sz w:val="14"/>
          <w:szCs w:val="14"/>
          <w:b w:val="1"/>
          <w:bCs w:val="1"/>
          <w:color w:val="auto"/>
        </w:rPr>
        <w:t>New York, NY 10011</w:t>
      </w:r>
    </w:p>
    <w:p>
      <w:pPr>
        <w:jc w:val="center"/>
        <w:ind w:right="-6"/>
        <w:spacing w:after="0" w:line="202" w:lineRule="auto"/>
        <w:rPr>
          <w:sz w:val="20"/>
          <w:szCs w:val="20"/>
          <w:color w:val="auto"/>
        </w:rPr>
      </w:pPr>
      <w:r>
        <w:rPr>
          <w:rFonts w:ascii="Arial" w:cs="Arial" w:eastAsia="Arial" w:hAnsi="Arial"/>
          <w:sz w:val="14"/>
          <w:szCs w:val="14"/>
          <w:b w:val="1"/>
          <w:bCs w:val="1"/>
          <w:color w:val="auto"/>
        </w:rPr>
        <w:t>(516) 268-7400</w:t>
      </w:r>
    </w:p>
    <w:p>
      <w:pPr>
        <w:jc w:val="center"/>
        <w:ind w:right="-6"/>
        <w:spacing w:after="0" w:line="201" w:lineRule="auto"/>
        <w:rPr>
          <w:sz w:val="20"/>
          <w:szCs w:val="20"/>
          <w:color w:val="auto"/>
        </w:rPr>
      </w:pPr>
      <w:r>
        <w:rPr>
          <w:rFonts w:ascii="Arial" w:cs="Arial" w:eastAsia="Arial" w:hAnsi="Arial"/>
          <w:sz w:val="14"/>
          <w:szCs w:val="14"/>
          <w:color w:val="auto"/>
        </w:rPr>
        <w:t>(Address, Including Zip Code, and Telephone Number,</w:t>
      </w:r>
    </w:p>
    <w:p>
      <w:pPr>
        <w:jc w:val="center"/>
        <w:ind w:right="-6"/>
        <w:spacing w:after="0"/>
        <w:rPr>
          <w:sz w:val="20"/>
          <w:szCs w:val="20"/>
          <w:color w:val="auto"/>
        </w:rPr>
      </w:pPr>
      <w:r>
        <w:rPr>
          <w:rFonts w:ascii="Arial" w:cs="Arial" w:eastAsia="Arial" w:hAnsi="Arial"/>
          <w:sz w:val="13"/>
          <w:szCs w:val="13"/>
          <w:color w:val="auto"/>
        </w:rPr>
        <w:t>Including Area Code, of Registrant’s Principal Executive Offices)</w:t>
      </w:r>
    </w:p>
    <w:p>
      <w:pPr>
        <w:spacing w:after="0" w:line="24"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Cameron D. MacDougall, Esq.</w:t>
      </w:r>
    </w:p>
    <w:p>
      <w:pPr>
        <w:sectPr>
          <w:pgSz w:w="11900" w:h="16838" w:orient="portrait"/>
          <w:cols w:equalWidth="0" w:num="1">
            <w:col w:w="9567"/>
          </w:cols>
          <w:pgMar w:left="1173" w:top="238" w:right="1159" w:bottom="1440" w:gutter="0" w:footer="0" w:header="0"/>
          <w:type w:val="continuous"/>
        </w:sectPr>
      </w:pPr>
    </w:p>
    <w:p>
      <w:pPr>
        <w:jc w:val="center"/>
        <w:ind w:right="-6"/>
        <w:spacing w:after="0" w:line="180" w:lineRule="auto"/>
        <w:rPr>
          <w:sz w:val="20"/>
          <w:szCs w:val="20"/>
          <w:color w:val="auto"/>
        </w:rPr>
      </w:pPr>
      <w:r>
        <w:rPr>
          <w:rFonts w:ascii="Arial" w:cs="Arial" w:eastAsia="Arial" w:hAnsi="Arial"/>
          <w:sz w:val="10"/>
          <w:szCs w:val="10"/>
          <w:b w:val="1"/>
          <w:bCs w:val="1"/>
          <w:color w:val="auto"/>
        </w:rPr>
        <w:t>111 W. 19</w:t>
      </w:r>
      <w:r>
        <w:rPr>
          <w:rFonts w:ascii="Arial" w:cs="Arial" w:eastAsia="Arial" w:hAnsi="Arial"/>
          <w:sz w:val="16"/>
          <w:szCs w:val="16"/>
          <w:b w:val="1"/>
          <w:bCs w:val="1"/>
          <w:color w:val="auto"/>
          <w:vertAlign w:val="superscript"/>
        </w:rPr>
        <w:t>th</w:t>
      </w:r>
      <w:r>
        <w:rPr>
          <w:rFonts w:ascii="Arial" w:cs="Arial" w:eastAsia="Arial" w:hAnsi="Arial"/>
          <w:sz w:val="10"/>
          <w:szCs w:val="10"/>
          <w:b w:val="1"/>
          <w:bCs w:val="1"/>
          <w:color w:val="auto"/>
        </w:rPr>
        <w:t xml:space="preserve"> Street, 8</w:t>
      </w:r>
      <w:r>
        <w:rPr>
          <w:rFonts w:ascii="Arial" w:cs="Arial" w:eastAsia="Arial" w:hAnsi="Arial"/>
          <w:sz w:val="16"/>
          <w:szCs w:val="16"/>
          <w:b w:val="1"/>
          <w:bCs w:val="1"/>
          <w:color w:val="auto"/>
          <w:vertAlign w:val="superscript"/>
        </w:rPr>
        <w:t>th</w:t>
      </w:r>
      <w:r>
        <w:rPr>
          <w:rFonts w:ascii="Arial" w:cs="Arial" w:eastAsia="Arial" w:hAnsi="Arial"/>
          <w:sz w:val="10"/>
          <w:szCs w:val="10"/>
          <w:b w:val="1"/>
          <w:bCs w:val="1"/>
          <w:color w:val="auto"/>
        </w:rPr>
        <w:t xml:space="preserve"> Floor</w:t>
      </w:r>
    </w:p>
    <w:p>
      <w:pPr>
        <w:jc w:val="center"/>
        <w:ind w:right="-6"/>
        <w:spacing w:after="0" w:line="202" w:lineRule="auto"/>
        <w:rPr>
          <w:sz w:val="20"/>
          <w:szCs w:val="20"/>
          <w:color w:val="auto"/>
        </w:rPr>
      </w:pPr>
      <w:r>
        <w:rPr>
          <w:rFonts w:ascii="Arial" w:cs="Arial" w:eastAsia="Arial" w:hAnsi="Arial"/>
          <w:sz w:val="14"/>
          <w:szCs w:val="14"/>
          <w:b w:val="1"/>
          <w:bCs w:val="1"/>
          <w:color w:val="auto"/>
        </w:rPr>
        <w:t>New York, NY 10011</w:t>
      </w:r>
    </w:p>
    <w:p>
      <w:pPr>
        <w:jc w:val="center"/>
        <w:ind w:right="-6"/>
        <w:spacing w:after="0" w:line="201" w:lineRule="auto"/>
        <w:rPr>
          <w:sz w:val="20"/>
          <w:szCs w:val="20"/>
          <w:color w:val="auto"/>
        </w:rPr>
      </w:pPr>
      <w:r>
        <w:rPr>
          <w:rFonts w:ascii="Arial" w:cs="Arial" w:eastAsia="Arial" w:hAnsi="Arial"/>
          <w:sz w:val="14"/>
          <w:szCs w:val="14"/>
          <w:b w:val="1"/>
          <w:bCs w:val="1"/>
          <w:color w:val="auto"/>
        </w:rPr>
        <w:t>(516) 268-7400</w:t>
      </w:r>
    </w:p>
    <w:p>
      <w:pPr>
        <w:jc w:val="center"/>
        <w:ind w:right="-6"/>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116205</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30"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Copies to:</w:t>
      </w:r>
    </w:p>
    <w:p>
      <w:pPr>
        <w:spacing w:after="0" w:line="32" w:lineRule="exact"/>
        <w:rPr>
          <w:sz w:val="24"/>
          <w:szCs w:val="24"/>
          <w:color w:val="auto"/>
        </w:rPr>
      </w:pPr>
    </w:p>
    <w:p>
      <w:pPr>
        <w:ind w:left="4267"/>
        <w:spacing w:after="0"/>
        <w:rPr>
          <w:sz w:val="20"/>
          <w:szCs w:val="20"/>
          <w:color w:val="auto"/>
        </w:rPr>
      </w:pPr>
      <w:r>
        <w:rPr>
          <w:rFonts w:ascii="Arial" w:cs="Arial" w:eastAsia="Arial" w:hAnsi="Arial"/>
          <w:sz w:val="14"/>
          <w:szCs w:val="14"/>
          <w:b w:val="1"/>
          <w:bCs w:val="1"/>
          <w:color w:val="auto"/>
        </w:rPr>
        <w:t>David P. Oelman</w:t>
      </w:r>
    </w:p>
    <w:p>
      <w:pPr>
        <w:ind w:left="4267"/>
        <w:spacing w:after="0" w:line="201" w:lineRule="auto"/>
        <w:rPr>
          <w:sz w:val="20"/>
          <w:szCs w:val="20"/>
          <w:color w:val="auto"/>
        </w:rPr>
      </w:pPr>
      <w:r>
        <w:rPr>
          <w:rFonts w:ascii="Arial" w:cs="Arial" w:eastAsia="Arial" w:hAnsi="Arial"/>
          <w:sz w:val="14"/>
          <w:szCs w:val="14"/>
          <w:b w:val="1"/>
          <w:bCs w:val="1"/>
          <w:color w:val="auto"/>
        </w:rPr>
        <w:t>E. Ramey Layne</w:t>
      </w:r>
    </w:p>
    <w:p>
      <w:pPr>
        <w:ind w:left="4267"/>
        <w:spacing w:after="0" w:line="201" w:lineRule="auto"/>
        <w:rPr>
          <w:sz w:val="20"/>
          <w:szCs w:val="20"/>
          <w:color w:val="auto"/>
        </w:rPr>
      </w:pPr>
      <w:r>
        <w:rPr>
          <w:rFonts w:ascii="Arial" w:cs="Arial" w:eastAsia="Arial" w:hAnsi="Arial"/>
          <w:sz w:val="14"/>
          <w:szCs w:val="14"/>
          <w:b w:val="1"/>
          <w:bCs w:val="1"/>
          <w:color w:val="auto"/>
        </w:rPr>
        <w:t>James R. Brown</w:t>
      </w:r>
    </w:p>
    <w:p>
      <w:pPr>
        <w:jc w:val="center"/>
        <w:ind w:right="-6"/>
        <w:spacing w:after="0" w:line="201" w:lineRule="auto"/>
        <w:rPr>
          <w:sz w:val="20"/>
          <w:szCs w:val="20"/>
          <w:color w:val="auto"/>
        </w:rPr>
      </w:pPr>
      <w:r>
        <w:rPr>
          <w:rFonts w:ascii="Arial" w:cs="Arial" w:eastAsia="Arial" w:hAnsi="Arial"/>
          <w:sz w:val="14"/>
          <w:szCs w:val="14"/>
          <w:b w:val="1"/>
          <w:bCs w:val="1"/>
          <w:color w:val="auto"/>
        </w:rPr>
        <w:t>Vinson &amp; Elkins L.L.P.</w:t>
      </w:r>
    </w:p>
    <w:p>
      <w:pPr>
        <w:jc w:val="center"/>
        <w:ind w:right="-6"/>
        <w:spacing w:after="0" w:line="202" w:lineRule="auto"/>
        <w:rPr>
          <w:sz w:val="20"/>
          <w:szCs w:val="20"/>
          <w:color w:val="auto"/>
        </w:rPr>
      </w:pPr>
      <w:r>
        <w:rPr>
          <w:rFonts w:ascii="Arial" w:cs="Arial" w:eastAsia="Arial" w:hAnsi="Arial"/>
          <w:sz w:val="14"/>
          <w:szCs w:val="14"/>
          <w:b w:val="1"/>
          <w:bCs w:val="1"/>
          <w:color w:val="auto"/>
        </w:rPr>
        <w:t>1001 Fannin, Suite 2500</w:t>
      </w:r>
    </w:p>
    <w:p>
      <w:pPr>
        <w:jc w:val="center"/>
        <w:ind w:right="-6"/>
        <w:spacing w:after="0" w:line="201" w:lineRule="auto"/>
        <w:rPr>
          <w:sz w:val="20"/>
          <w:szCs w:val="20"/>
          <w:color w:val="auto"/>
        </w:rPr>
      </w:pPr>
      <w:r>
        <w:rPr>
          <w:rFonts w:ascii="Arial" w:cs="Arial" w:eastAsia="Arial" w:hAnsi="Arial"/>
          <w:sz w:val="14"/>
          <w:szCs w:val="14"/>
          <w:b w:val="1"/>
          <w:bCs w:val="1"/>
          <w:color w:val="auto"/>
        </w:rPr>
        <w:t>Houston, Texas 77002</w:t>
      </w:r>
    </w:p>
    <w:p>
      <w:pPr>
        <w:jc w:val="center"/>
        <w:ind w:right="-6"/>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90805</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66"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w:t>
      </w:r>
    </w:p>
    <w:p>
      <w:pPr>
        <w:jc w:val="center"/>
        <w:ind w:right="-6"/>
        <w:spacing w:after="0"/>
        <w:rPr>
          <w:sz w:val="20"/>
          <w:szCs w:val="20"/>
          <w:color w:val="auto"/>
        </w:rPr>
      </w:pPr>
      <w:r>
        <w:rPr>
          <w:rFonts w:ascii="Arial" w:cs="Arial" w:eastAsia="Arial" w:hAnsi="Arial"/>
          <w:sz w:val="14"/>
          <w:szCs w:val="14"/>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116205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20" w:lineRule="exact"/>
        <w:rPr>
          <w:sz w:val="24"/>
          <w:szCs w:val="24"/>
          <w:color w:val="auto"/>
        </w:rPr>
      </w:pPr>
    </w:p>
    <w:p>
      <w:pPr>
        <w:ind w:left="7" w:right="120" w:firstLine="360"/>
        <w:spacing w:after="0" w:line="236"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48" w:lineRule="exact"/>
        <w:rPr>
          <w:sz w:val="24"/>
          <w:szCs w:val="24"/>
          <w:color w:val="auto"/>
        </w:rPr>
      </w:pPr>
    </w:p>
    <w:p>
      <w:pPr>
        <w:ind w:left="7" w:right="440" w:firstLine="360"/>
        <w:spacing w:after="0" w:line="236"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35" w:lineRule="exact"/>
        <w:rPr>
          <w:sz w:val="24"/>
          <w:szCs w:val="24"/>
          <w:color w:val="auto"/>
        </w:rPr>
      </w:pPr>
    </w:p>
    <w:p>
      <w:pPr>
        <w:ind w:left="7" w:right="260" w:firstLine="360"/>
        <w:spacing w:after="0" w:line="236" w:lineRule="auto"/>
        <w:rPr>
          <w:sz w:val="20"/>
          <w:szCs w:val="20"/>
          <w:color w:val="auto"/>
        </w:rPr>
      </w:pPr>
      <w:r>
        <w:rPr>
          <w:rFonts w:ascii="Arial" w:cs="Arial" w:eastAsia="Arial" w:hAnsi="Arial"/>
          <w:sz w:val="14"/>
          <w:szCs w:val="14"/>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48" w:lineRule="exact"/>
        <w:rPr>
          <w:sz w:val="24"/>
          <w:szCs w:val="24"/>
          <w:color w:val="auto"/>
        </w:rPr>
      </w:pPr>
    </w:p>
    <w:p>
      <w:pPr>
        <w:ind w:left="7" w:right="640" w:firstLine="360"/>
        <w:spacing w:after="0" w:line="236"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48" w:lineRule="exact"/>
        <w:rPr>
          <w:sz w:val="24"/>
          <w:szCs w:val="24"/>
          <w:color w:val="auto"/>
        </w:rPr>
      </w:pPr>
    </w:p>
    <w:p>
      <w:pPr>
        <w:ind w:left="7" w:right="20" w:firstLine="360"/>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p>
      <w:pPr>
        <w:jc w:val="center"/>
        <w:ind w:right="113"/>
        <w:spacing w:after="0" w:line="206" w:lineRule="exact"/>
        <w:rPr>
          <w:sz w:val="20"/>
          <w:szCs w:val="20"/>
          <w:color w:val="auto"/>
        </w:rPr>
      </w:pPr>
      <w:r>
        <w:rPr>
          <w:rFonts w:ascii="Arial" w:cs="Arial" w:eastAsia="Arial" w:hAnsi="Arial"/>
          <w:sz w:val="14"/>
          <w:szCs w:val="14"/>
          <w:color w:val="auto"/>
        </w:rPr>
        <w:t xml:space="preserve">Large accelerated filer o       Accelerated filer o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o        Emerging growth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p>
      <w:pPr>
        <w:spacing w:after="0" w:line="7" w:lineRule="exact"/>
        <w:rPr>
          <w:sz w:val="24"/>
          <w:szCs w:val="24"/>
          <w:color w:val="auto"/>
        </w:rPr>
      </w:pPr>
    </w:p>
    <w:p>
      <w:pPr>
        <w:ind w:left="7" w:right="120" w:firstLine="360"/>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transaction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162560</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CALCULATION OF REGISTRATION FEE</w:t>
      </w:r>
    </w:p>
    <w:p>
      <w:pPr>
        <w:spacing w:after="0" w:line="26" w:lineRule="exact"/>
        <w:rPr>
          <w:sz w:val="24"/>
          <w:szCs w:val="24"/>
          <w:color w:val="auto"/>
        </w:rPr>
      </w:pPr>
    </w:p>
    <w:tbl>
      <w:tblPr>
        <w:tblLayout w:type="fixed"/>
        <w:tblInd w:w="7" w:type="dxa"/>
        <w:tblCellMar>
          <w:top w:w="0" w:type="dxa"/>
          <w:left w:w="0" w:type="dxa"/>
          <w:bottom w:w="0" w:type="dxa"/>
          <w:right w:w="0" w:type="dxa"/>
        </w:tblCellMar>
      </w:tblPr>
      <w:tr>
        <w:trPr>
          <w:trHeight w:val="166"/>
        </w:trPr>
        <w:tc>
          <w:tcPr>
            <w:tcW w:w="960" w:type="dxa"/>
            <w:vAlign w:val="bottom"/>
            <w:tcBorders>
              <w:top w:val="single" w:sz="8" w:color="auto"/>
            </w:tcBorders>
          </w:tcPr>
          <w:p>
            <w:pPr>
              <w:spacing w:after="0"/>
              <w:rPr>
                <w:sz w:val="14"/>
                <w:szCs w:val="14"/>
                <w:color w:val="auto"/>
              </w:rPr>
            </w:pPr>
          </w:p>
        </w:tc>
        <w:tc>
          <w:tcPr>
            <w:tcW w:w="4980" w:type="dxa"/>
            <w:vAlign w:val="bottom"/>
            <w:tcBorders>
              <w:top w:val="single" w:sz="8" w:color="auto"/>
              <w:right w:val="single" w:sz="8" w:color="auto"/>
            </w:tcBorders>
          </w:tcPr>
          <w:p>
            <w:pPr>
              <w:spacing w:after="0"/>
              <w:rPr>
                <w:sz w:val="14"/>
                <w:szCs w:val="14"/>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1780" w:type="dxa"/>
            <w:vAlign w:val="bottom"/>
            <w:tcBorders>
              <w:top w:val="single" w:sz="8" w:color="auto"/>
            </w:tcBorders>
          </w:tcPr>
          <w:p>
            <w:pPr>
              <w:spacing w:after="0"/>
              <w:rPr>
                <w:sz w:val="14"/>
                <w:szCs w:val="14"/>
                <w:color w:val="auto"/>
              </w:rPr>
            </w:pPr>
          </w:p>
        </w:tc>
      </w:tr>
      <w:tr>
        <w:trPr>
          <w:trHeight w:val="145"/>
        </w:trPr>
        <w:tc>
          <w:tcPr>
            <w:tcW w:w="960" w:type="dxa"/>
            <w:vAlign w:val="bottom"/>
          </w:tcPr>
          <w:p>
            <w:pPr>
              <w:spacing w:after="0"/>
              <w:rPr>
                <w:sz w:val="12"/>
                <w:szCs w:val="12"/>
                <w:color w:val="auto"/>
              </w:rPr>
            </w:pPr>
          </w:p>
        </w:tc>
        <w:tc>
          <w:tcPr>
            <w:tcW w:w="498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Aggregate Offering</w:t>
            </w:r>
          </w:p>
        </w:tc>
        <w:tc>
          <w:tcPr>
            <w:tcW w:w="1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Amount of</w:t>
            </w:r>
          </w:p>
        </w:tc>
      </w:tr>
      <w:tr>
        <w:trPr>
          <w:trHeight w:val="202"/>
        </w:trPr>
        <w:tc>
          <w:tcPr>
            <w:tcW w:w="960" w:type="dxa"/>
            <w:vAlign w:val="bottom"/>
            <w:tcBorders>
              <w:bottom w:val="single" w:sz="8" w:color="auto"/>
            </w:tcBorders>
          </w:tcPr>
          <w:p>
            <w:pPr>
              <w:spacing w:after="0"/>
              <w:rPr>
                <w:sz w:val="17"/>
                <w:szCs w:val="17"/>
                <w:color w:val="auto"/>
              </w:rPr>
            </w:pPr>
          </w:p>
        </w:tc>
        <w:tc>
          <w:tcPr>
            <w:tcW w:w="49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4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3"/>
                <w:vertAlign w:val="subscript"/>
              </w:rPr>
              <w:t>Price</w:t>
            </w:r>
            <w:r>
              <w:rPr>
                <w:rFonts w:ascii="Arial" w:cs="Arial" w:eastAsia="Arial" w:hAnsi="Arial"/>
                <w:sz w:val="11"/>
                <w:szCs w:val="11"/>
                <w:b w:val="1"/>
                <w:bCs w:val="1"/>
                <w:color w:val="auto"/>
                <w:w w:val="93"/>
              </w:rPr>
              <w:t>(1)(2)</w:t>
            </w:r>
          </w:p>
        </w:tc>
        <w:tc>
          <w:tcPr>
            <w:tcW w:w="17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Registration Fee</w:t>
            </w:r>
            <w:r>
              <w:rPr>
                <w:rFonts w:ascii="Arial" w:cs="Arial" w:eastAsia="Arial" w:hAnsi="Arial"/>
                <w:sz w:val="23"/>
                <w:szCs w:val="23"/>
                <w:b w:val="1"/>
                <w:bCs w:val="1"/>
                <w:color w:val="auto"/>
                <w:w w:val="90"/>
                <w:vertAlign w:val="superscript"/>
              </w:rPr>
              <w:t>(3)</w:t>
            </w:r>
          </w:p>
        </w:tc>
      </w:tr>
      <w:tr>
        <w:trPr>
          <w:trHeight w:val="183"/>
        </w:trPr>
        <w:tc>
          <w:tcPr>
            <w:tcW w:w="5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Class A shares representing limited liability company interests</w:t>
            </w:r>
          </w:p>
        </w:tc>
        <w:tc>
          <w:tcPr>
            <w:tcW w:w="1840" w:type="dxa"/>
            <w:vAlign w:val="bottom"/>
            <w:tcBorders>
              <w:bottom w:val="single" w:sz="8" w:color="auto"/>
              <w:right w:val="single" w:sz="8" w:color="auto"/>
            </w:tcBorders>
          </w:tcPr>
          <w:p>
            <w:pPr>
              <w:jc w:val="right"/>
              <w:ind w:right="1593"/>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1549"/>
              <w:spacing w:after="0"/>
              <w:rPr>
                <w:sz w:val="20"/>
                <w:szCs w:val="20"/>
                <w:color w:val="auto"/>
              </w:rPr>
            </w:pPr>
            <w:r>
              <w:rPr>
                <w:rFonts w:ascii="Arial" w:cs="Arial" w:eastAsia="Arial" w:hAnsi="Arial"/>
                <w:sz w:val="14"/>
                <w:szCs w:val="14"/>
                <w:color w:val="auto"/>
              </w:rPr>
              <w:t>$</w:t>
            </w:r>
          </w:p>
        </w:tc>
      </w:tr>
      <w:tr>
        <w:trPr>
          <w:trHeight w:val="48"/>
        </w:trPr>
        <w:tc>
          <w:tcPr>
            <w:tcW w:w="960" w:type="dxa"/>
            <w:vAlign w:val="bottom"/>
            <w:tcBorders>
              <w:bottom w:val="single" w:sz="8" w:color="auto"/>
            </w:tcBorders>
          </w:tcPr>
          <w:p>
            <w:pPr>
              <w:spacing w:after="0"/>
              <w:rPr>
                <w:sz w:val="4"/>
                <w:szCs w:val="4"/>
                <w:color w:val="auto"/>
              </w:rPr>
            </w:pPr>
          </w:p>
        </w:tc>
        <w:tc>
          <w:tcPr>
            <w:tcW w:w="6820" w:type="dxa"/>
            <w:vAlign w:val="bottom"/>
            <w:tcBorders>
              <w:bottom w:val="single" w:sz="8" w:color="auto"/>
            </w:tcBorders>
            <w:gridSpan w:val="2"/>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333"/>
        </w:trPr>
        <w:tc>
          <w:tcPr>
            <w:tcW w:w="960" w:type="dxa"/>
            <w:vAlign w:val="bottom"/>
          </w:tcPr>
          <w:p>
            <w:pPr>
              <w:spacing w:after="0"/>
              <w:rPr>
                <w:sz w:val="20"/>
                <w:szCs w:val="20"/>
                <w:color w:val="auto"/>
              </w:rPr>
            </w:pPr>
            <w:r>
              <w:rPr>
                <w:rFonts w:ascii="Arial" w:cs="Arial" w:eastAsia="Arial" w:hAnsi="Arial"/>
                <w:sz w:val="14"/>
                <w:szCs w:val="14"/>
                <w:color w:val="auto"/>
              </w:rPr>
              <w:t>(1)   Includes</w:t>
            </w:r>
          </w:p>
        </w:tc>
        <w:tc>
          <w:tcPr>
            <w:tcW w:w="6820" w:type="dxa"/>
            <w:vAlign w:val="bottom"/>
            <w:gridSpan w:val="2"/>
          </w:tcPr>
          <w:p>
            <w:pPr>
              <w:jc w:val="right"/>
              <w:ind w:right="633"/>
              <w:spacing w:after="0"/>
              <w:rPr>
                <w:sz w:val="20"/>
                <w:szCs w:val="20"/>
                <w:color w:val="auto"/>
              </w:rPr>
            </w:pPr>
            <w:r>
              <w:rPr>
                <w:rFonts w:ascii="Arial" w:cs="Arial" w:eastAsia="Arial" w:hAnsi="Arial"/>
                <w:sz w:val="14"/>
                <w:szCs w:val="14"/>
                <w:color w:val="auto"/>
                <w:w w:val="94"/>
              </w:rPr>
              <w:t>Class A shares issuable upon exercise of the underwriters’ option to purchase additional Class A shares.</w:t>
            </w:r>
          </w:p>
        </w:tc>
        <w:tc>
          <w:tcPr>
            <w:tcW w:w="1780" w:type="dxa"/>
            <w:vAlign w:val="bottom"/>
          </w:tcPr>
          <w:p>
            <w:pPr>
              <w:spacing w:after="0"/>
              <w:rPr>
                <w:sz w:val="24"/>
                <w:szCs w:val="24"/>
                <w:color w:val="auto"/>
              </w:rPr>
            </w:pPr>
          </w:p>
        </w:tc>
      </w:tr>
    </w:tbl>
    <w:p>
      <w:pPr>
        <w:spacing w:after="0" w:line="88"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To be paid in connection with the initial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106680</wp:posOffset>
            </wp:positionV>
            <wp:extent cx="1037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01" w:lineRule="exact"/>
        <w:rPr>
          <w:sz w:val="24"/>
          <w:szCs w:val="24"/>
          <w:color w:val="auto"/>
        </w:rPr>
      </w:pPr>
    </w:p>
    <w:p>
      <w:pPr>
        <w:ind w:left="7" w:right="60"/>
        <w:spacing w:after="0" w:line="22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6071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171450</wp:posOffset>
            </wp:positionV>
            <wp:extent cx="6071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480060</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We may not sell these securities until the registration statement filed with the Securities and Exchange Commission becomes effective. This preliminary prospectus is not an offer to sell these securities and we are not soliciting an offer to buy these securities in any jurisdiction where the offer or sale is not permitted.</w:t>
      </w:r>
    </w:p>
    <w:p>
      <w:pPr>
        <w:spacing w:after="0" w:line="174" w:lineRule="exact"/>
        <w:rPr>
          <w:sz w:val="20"/>
          <w:szCs w:val="20"/>
          <w:color w:val="auto"/>
        </w:rPr>
      </w:pPr>
    </w:p>
    <w:tbl>
      <w:tblPr>
        <w:tblLayout w:type="fixed"/>
        <w:tblInd w:w="320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FC0014"/>
                <w:w w:val="97"/>
              </w:rPr>
              <w:t>Subject to Completion, dated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FC0014"/>
              </w:rPr>
              <w:t>, 2018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NFE Financial Holdings LLC</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Class A shares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Representing Limited Liability Company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365760</wp:posOffset>
            </wp:positionV>
            <wp:extent cx="1157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This is the initial public offering of Class A shares representing limited liability company interests of NFE Financial Holdings LLC.</w:t>
      </w:r>
    </w:p>
    <w:p>
      <w:pPr>
        <w:spacing w:after="0" w:line="46"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We are offering Class A shares. We were recently formed by New Fortress Energy Holdings LLC and have elected to be treated as a corporation for U.S. federal income tax purposes. We expect that the initial public offering price will be between $ and $ per Class A share.</w:t>
      </w:r>
    </w:p>
    <w:p>
      <w:pPr>
        <w:spacing w:after="0" w:line="2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Prior to this offering, there has been no public market for our Class A shares. We intend to apply to list our Class A shares on the New York Stock Exchange under the symbol “NFE.”</w:t>
      </w:r>
    </w:p>
    <w:p>
      <w:pPr>
        <w:spacing w:after="0" w:line="2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an “emerging growth company” and are eligible for reduced reporting requirements for this prospectus and future filings. Please read “Summary—Our Emerging Growth Company Status.”</w:t>
      </w:r>
    </w:p>
    <w:p>
      <w:pPr>
        <w:spacing w:after="0" w:line="24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Class A shares involves risks. Please read “Risk Factors” beginning on page </w:t>
      </w:r>
      <w:hyperlink w:anchor="page20">
        <w:r>
          <w:rPr>
            <w:rFonts w:ascii="Arial" w:cs="Arial" w:eastAsia="Arial" w:hAnsi="Arial"/>
            <w:sz w:val="18"/>
            <w:szCs w:val="18"/>
            <w:b w:val="1"/>
            <w:bCs w:val="1"/>
            <w:u w:val="single" w:color="auto"/>
            <w:color w:val="0000EE"/>
          </w:rPr>
          <w:t>15</w:t>
        </w:r>
      </w:hyperlink>
      <w:r>
        <w:rPr>
          <w:rFonts w:ascii="Arial" w:cs="Arial" w:eastAsia="Arial" w:hAnsi="Arial"/>
          <w:sz w:val="18"/>
          <w:szCs w:val="18"/>
          <w:b w:val="1"/>
          <w:bCs w:val="1"/>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4"/>
                <w:szCs w:val="14"/>
                <w:b w:val="1"/>
                <w:bCs w:val="1"/>
                <w:color w:val="auto"/>
              </w:rPr>
              <w:t>Per Class A</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8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Underwriting Discount</w:t>
            </w:r>
          </w:p>
        </w:tc>
        <w:tc>
          <w:tcPr>
            <w:tcW w:w="3280" w:type="dxa"/>
            <w:vAlign w:val="bottom"/>
          </w:tcPr>
          <w:p>
            <w:pPr>
              <w:spacing w:after="0"/>
              <w:rPr>
                <w:sz w:val="20"/>
                <w:szCs w:val="20"/>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NFE Financial Holdings LLC (before expenses)</w:t>
            </w:r>
          </w:p>
        </w:tc>
        <w:tc>
          <w:tcPr>
            <w:tcW w:w="10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527"/>
        </w:trPr>
        <w:tc>
          <w:tcPr>
            <w:tcW w:w="3880" w:type="dxa"/>
            <w:vAlign w:val="bottom"/>
          </w:tcPr>
          <w:p>
            <w:pPr>
              <w:spacing w:after="0"/>
              <w:rPr>
                <w:sz w:val="20"/>
                <w:szCs w:val="20"/>
                <w:color w:val="auto"/>
              </w:rPr>
            </w:pPr>
            <w:r>
              <w:rPr>
                <w:rFonts w:ascii="Arial" w:cs="Arial" w:eastAsia="Arial" w:hAnsi="Arial"/>
                <w:sz w:val="18"/>
                <w:szCs w:val="18"/>
                <w:color w:val="auto"/>
                <w:w w:val="95"/>
              </w:rPr>
              <w:t>The underwriters may purchase up to an additional</w:t>
            </w:r>
          </w:p>
        </w:tc>
        <w:tc>
          <w:tcPr>
            <w:tcW w:w="5680" w:type="dxa"/>
            <w:vAlign w:val="bottom"/>
            <w:gridSpan w:val="5"/>
          </w:tcPr>
          <w:p>
            <w:pPr>
              <w:ind w:left="220"/>
              <w:spacing w:after="0"/>
              <w:rPr>
                <w:sz w:val="20"/>
                <w:szCs w:val="20"/>
                <w:color w:val="auto"/>
              </w:rPr>
            </w:pPr>
            <w:r>
              <w:rPr>
                <w:rFonts w:ascii="Arial" w:cs="Arial" w:eastAsia="Arial" w:hAnsi="Arial"/>
                <w:sz w:val="18"/>
                <w:szCs w:val="18"/>
                <w:color w:val="auto"/>
                <w:w w:val="95"/>
              </w:rPr>
              <w:t>Class A shares from us at the public offering price, less the underwriting</w:t>
            </w:r>
          </w:p>
        </w:tc>
      </w:tr>
    </w:tbl>
    <w:p>
      <w:pPr>
        <w:spacing w:after="0"/>
        <w:rPr>
          <w:sz w:val="20"/>
          <w:szCs w:val="20"/>
          <w:color w:val="auto"/>
        </w:rPr>
      </w:pPr>
      <w:r>
        <w:rPr>
          <w:rFonts w:ascii="Arial" w:cs="Arial" w:eastAsia="Arial" w:hAnsi="Arial"/>
          <w:sz w:val="18"/>
          <w:szCs w:val="18"/>
          <w:color w:val="auto"/>
        </w:rPr>
        <w:t>discount, within 30 days from the date of this prospectus.</w:t>
      </w:r>
    </w:p>
    <w:p>
      <w:pPr>
        <w:spacing w:after="0" w:line="301" w:lineRule="exact"/>
        <w:rPr>
          <w:sz w:val="20"/>
          <w:szCs w:val="20"/>
          <w:color w:val="auto"/>
        </w:rPr>
      </w:pPr>
    </w:p>
    <w:p>
      <w:pPr>
        <w:ind w:right="120"/>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w w:val="96"/>
              </w:rPr>
              <w:t>The underwriters expect to deliver the Class A shares to purchasers on or about</w:t>
            </w:r>
          </w:p>
        </w:tc>
        <w:tc>
          <w:tcPr>
            <w:tcW w:w="3240" w:type="dxa"/>
            <w:vAlign w:val="bottom"/>
          </w:tcPr>
          <w:p>
            <w:pPr>
              <w:ind w:left="420"/>
              <w:spacing w:after="0"/>
              <w:rPr>
                <w:sz w:val="20"/>
                <w:szCs w:val="20"/>
                <w:color w:val="auto"/>
              </w:rPr>
            </w:pPr>
            <w:r>
              <w:rPr>
                <w:rFonts w:ascii="Arial" w:cs="Arial" w:eastAsia="Arial" w:hAnsi="Arial"/>
                <w:sz w:val="18"/>
                <w:szCs w:val="18"/>
                <w:color w:val="auto"/>
                <w:w w:val="91"/>
              </w:rPr>
              <w:t>, 2018 through the book-entry facilities</w:t>
            </w:r>
          </w:p>
        </w:tc>
      </w:tr>
      <w:tr>
        <w:trPr>
          <w:trHeight w:val="230"/>
        </w:trPr>
        <w:tc>
          <w:tcPr>
            <w:tcW w:w="6140" w:type="dxa"/>
            <w:vAlign w:val="bottom"/>
            <w:gridSpan w:val="3"/>
          </w:tcPr>
          <w:p>
            <w:pPr>
              <w:spacing w:after="0"/>
              <w:rPr>
                <w:sz w:val="20"/>
                <w:szCs w:val="20"/>
                <w:color w:val="auto"/>
              </w:rPr>
            </w:pPr>
            <w:r>
              <w:rPr>
                <w:rFonts w:ascii="Arial" w:cs="Arial" w:eastAsia="Arial" w:hAnsi="Arial"/>
                <w:sz w:val="18"/>
                <w:szCs w:val="18"/>
                <w:color w:val="auto"/>
              </w:rPr>
              <w:t>of The Depository Trust Company.</w:t>
            </w:r>
          </w:p>
        </w:tc>
        <w:tc>
          <w:tcPr>
            <w:tcW w:w="3240" w:type="dxa"/>
            <w:vAlign w:val="bottom"/>
          </w:tcPr>
          <w:p>
            <w:pPr>
              <w:spacing w:after="0"/>
              <w:rPr>
                <w:sz w:val="20"/>
                <w:szCs w:val="20"/>
                <w:color w:val="auto"/>
              </w:rPr>
            </w:pPr>
          </w:p>
        </w:tc>
      </w:tr>
      <w:tr>
        <w:trPr>
          <w:trHeight w:val="473"/>
        </w:trPr>
        <w:tc>
          <w:tcPr>
            <w:tcW w:w="386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3780"/>
              <w:spacing w:after="0"/>
              <w:rPr>
                <w:sz w:val="20"/>
                <w:szCs w:val="20"/>
                <w:color w:val="auto"/>
              </w:rPr>
            </w:pPr>
            <w:r>
              <w:rPr>
                <w:rFonts w:ascii="Arial" w:cs="Arial" w:eastAsia="Arial" w:hAnsi="Arial"/>
                <w:sz w:val="18"/>
                <w:szCs w:val="18"/>
                <w:color w:val="auto"/>
                <w:w w:val="97"/>
              </w:rPr>
              <w:t>Prospectus dated</w:t>
            </w:r>
          </w:p>
        </w:tc>
        <w:tc>
          <w:tcPr>
            <w:tcW w:w="4400" w:type="dxa"/>
            <w:vAlign w:val="bottom"/>
          </w:tcPr>
          <w:p>
            <w:pPr>
              <w:jc w:val="right"/>
              <w:ind w:right="3710"/>
              <w:spacing w:after="0"/>
              <w:rPr>
                <w:sz w:val="20"/>
                <w:szCs w:val="20"/>
                <w:color w:val="auto"/>
              </w:rPr>
            </w:pPr>
            <w:r>
              <w:rPr>
                <w:rFonts w:ascii="Arial" w:cs="Arial" w:eastAsia="Arial" w:hAnsi="Arial"/>
                <w:sz w:val="18"/>
                <w:szCs w:val="18"/>
                <w:color w:val="auto"/>
              </w:rPr>
              <w:t>, 2018</w:t>
            </w:r>
          </w:p>
        </w:tc>
      </w:tr>
      <w:tr>
        <w:trPr>
          <w:trHeight w:val="459"/>
        </w:trPr>
        <w:tc>
          <w:tcPr>
            <w:tcW w:w="51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68"/>
        </w:trPr>
        <w:tc>
          <w:tcPr>
            <w:tcW w:w="5160" w:type="dxa"/>
            <w:vAlign w:val="bottom"/>
            <w:shd w:val="clear" w:color="auto" w:fill="000000"/>
          </w:tcPr>
          <w:p>
            <w:pPr>
              <w:spacing w:after="0"/>
              <w:rPr>
                <w:sz w:val="5"/>
                <w:szCs w:val="5"/>
                <w:color w:val="auto"/>
              </w:rPr>
            </w:pPr>
          </w:p>
        </w:tc>
        <w:tc>
          <w:tcPr>
            <w:tcW w:w="44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30"/>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00" w:type="dxa"/>
            <w:vAlign w:val="bottom"/>
            <w:gridSpan w:val="6"/>
            <w:shd w:val="clear" w:color="auto" w:fill="CCEEFF"/>
          </w:tcPr>
          <w:p>
            <w:pPr>
              <w:spacing w:after="0" w:line="189"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SUMMARY</w:t>
              </w:r>
            </w:hyperlink>
          </w:p>
        </w:tc>
        <w:tc>
          <w:tcPr>
            <w:tcW w:w="7560" w:type="dxa"/>
            <w:vAlign w:val="bottom"/>
            <w:gridSpan w:val="23"/>
            <w:shd w:val="clear" w:color="auto" w:fill="CCEEFF"/>
          </w:tcPr>
          <w:p>
            <w:pPr>
              <w:spacing w:after="0"/>
              <w:rPr>
                <w:sz w:val="16"/>
                <w:szCs w:val="16"/>
                <w:color w:val="auto"/>
              </w:rPr>
            </w:pPr>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60" w:type="dxa"/>
            <w:vAlign w:val="bottom"/>
            <w:gridSpan w:val="14"/>
            <w:shd w:val="clear" w:color="auto" w:fill="CCEEFF"/>
          </w:tcPr>
          <w:p>
            <w:pPr>
              <w:spacing w:after="0" w:line="189"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USE OF PROCEEDS</w:t>
              </w:r>
            </w:hyperlink>
          </w:p>
        </w:tc>
        <w:tc>
          <w:tcPr>
            <w:tcW w:w="6900" w:type="dxa"/>
            <w:vAlign w:val="bottom"/>
            <w:gridSpan w:val="15"/>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60" w:type="dxa"/>
            <w:vAlign w:val="bottom"/>
            <w:gridSpan w:val="14"/>
          </w:tcPr>
          <w:p>
            <w:pPr>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CAPITALIZATION</w:t>
              </w:r>
            </w:hyperlink>
          </w:p>
        </w:tc>
        <w:tc>
          <w:tcPr>
            <w:tcW w:w="6900" w:type="dxa"/>
            <w:vAlign w:val="bottom"/>
            <w:gridSpan w:val="15"/>
          </w:tcPr>
          <w:p>
            <w:pPr>
              <w:spacing w:after="0"/>
              <w:rPr>
                <w:sz w:val="16"/>
                <w:szCs w:val="16"/>
                <w:color w:val="auto"/>
              </w:rPr>
            </w:pPr>
          </w:p>
        </w:tc>
        <w:tc>
          <w:tcPr>
            <w:tcW w:w="800" w:type="dxa"/>
            <w:vAlign w:val="bottom"/>
            <w:gridSpan w:val="3"/>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0" w:type="dxa"/>
            <w:vAlign w:val="bottom"/>
            <w:gridSpan w:val="5"/>
            <w:shd w:val="clear" w:color="auto" w:fill="CCEEFF"/>
          </w:tcPr>
          <w:p>
            <w:pPr>
              <w:spacing w:after="0" w:line="189" w:lineRule="exact"/>
              <w:rPr>
                <w:rFonts w:ascii="Arial" w:cs="Arial" w:eastAsia="Arial" w:hAnsi="Arial"/>
                <w:sz w:val="18"/>
                <w:szCs w:val="18"/>
                <w:color w:val="0000EE"/>
                <w:w w:val="97"/>
              </w:rPr>
            </w:pPr>
            <w:hyperlink w:anchor="page49">
              <w:r>
                <w:rPr>
                  <w:rFonts w:ascii="Arial" w:cs="Arial" w:eastAsia="Arial" w:hAnsi="Arial"/>
                  <w:sz w:val="18"/>
                  <w:szCs w:val="18"/>
                  <w:color w:val="0000EE"/>
                  <w:w w:val="97"/>
                </w:rPr>
                <w:t>DILUTION</w:t>
              </w:r>
            </w:hyperlink>
          </w:p>
        </w:tc>
        <w:tc>
          <w:tcPr>
            <w:tcW w:w="7620" w:type="dxa"/>
            <w:vAlign w:val="bottom"/>
            <w:gridSpan w:val="24"/>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DIVIDEND POLICY</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20" w:type="dxa"/>
            <w:vAlign w:val="bottom"/>
            <w:gridSpan w:val="21"/>
            <w:shd w:val="clear" w:color="auto" w:fill="CCEEFF"/>
          </w:tcPr>
          <w:p>
            <w:pPr>
              <w:spacing w:after="0" w:line="189"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SELECTED HISTORICAL FINANCIAL DATA</w:t>
              </w:r>
            </w:hyperlink>
          </w:p>
        </w:tc>
        <w:tc>
          <w:tcPr>
            <w:tcW w:w="4940" w:type="dxa"/>
            <w:vAlign w:val="bottom"/>
            <w:gridSpan w:val="8"/>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w:t>
              </w:r>
            </w:hyperlink>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OPERATIONS</w:t>
              </w:r>
            </w:hyperlink>
          </w:p>
        </w:tc>
        <w:tc>
          <w:tcPr>
            <w:tcW w:w="720" w:type="dxa"/>
            <w:vAlign w:val="bottom"/>
          </w:tcPr>
          <w:p>
            <w:pPr>
              <w:spacing w:after="0"/>
              <w:rPr>
                <w:sz w:val="17"/>
                <w:szCs w:val="17"/>
                <w:color w:val="auto"/>
              </w:rPr>
            </w:pPr>
          </w:p>
        </w:tc>
        <w:tc>
          <w:tcPr>
            <w:tcW w:w="1080" w:type="dxa"/>
            <w:vAlign w:val="bottom"/>
            <w:gridSpan w:val="6"/>
          </w:tcPr>
          <w:p>
            <w:pPr>
              <w:jc w:val="right"/>
              <w:ind w:right="100"/>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61">
              <w:r>
                <w:rPr>
                  <w:rFonts w:ascii="Arial" w:cs="Arial" w:eastAsia="Arial" w:hAnsi="Arial"/>
                  <w:sz w:val="18"/>
                  <w:szCs w:val="18"/>
                  <w:color w:val="0000EE"/>
                </w:rPr>
                <w:t>BUSINESS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61">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MANAGEMENT</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gridSpan w:val="16"/>
            <w:shd w:val="clear" w:color="auto" w:fill="CCEEFF"/>
          </w:tcPr>
          <w:p>
            <w:pPr>
              <w:spacing w:after="0" w:line="189" w:lineRule="exact"/>
              <w:rPr>
                <w:rFonts w:ascii="Arial" w:cs="Arial" w:eastAsia="Arial" w:hAnsi="Arial"/>
                <w:sz w:val="18"/>
                <w:szCs w:val="18"/>
                <w:color w:val="0000EE"/>
                <w:w w:val="94"/>
              </w:rPr>
            </w:pPr>
            <w:hyperlink w:anchor="page78">
              <w:r>
                <w:rPr>
                  <w:rFonts w:ascii="Arial" w:cs="Arial" w:eastAsia="Arial" w:hAnsi="Arial"/>
                  <w:sz w:val="18"/>
                  <w:szCs w:val="18"/>
                  <w:color w:val="0000EE"/>
                  <w:w w:val="94"/>
                </w:rPr>
                <w:t>EXECUTIVE COMPENSATION</w:t>
              </w:r>
            </w:hyperlink>
          </w:p>
        </w:tc>
        <w:tc>
          <w:tcPr>
            <w:tcW w:w="6040" w:type="dxa"/>
            <w:vAlign w:val="bottom"/>
            <w:gridSpan w:val="13"/>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79">
              <w:r>
                <w:rPr>
                  <w:rFonts w:ascii="Arial" w:cs="Arial" w:eastAsia="Arial" w:hAnsi="Arial"/>
                  <w:sz w:val="18"/>
                  <w:szCs w:val="18"/>
                  <w:color w:val="0000EE"/>
                </w:rPr>
                <w:t>SECURITY OWNERSHIP OF CERTAIN BENEFICIAL OWNERS AND MANAGEMENT</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79">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gridSpan w:val="24"/>
            <w:shd w:val="clear" w:color="auto" w:fill="CCEEFF"/>
          </w:tcPr>
          <w:p>
            <w:pPr>
              <w:spacing w:after="0" w:line="189"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CERTAIN RELATIONSHIPS AND RELATED TRANSACTIONS</w:t>
              </w:r>
            </w:hyperlink>
          </w:p>
        </w:tc>
        <w:tc>
          <w:tcPr>
            <w:tcW w:w="3620" w:type="dxa"/>
            <w:vAlign w:val="bottom"/>
            <w:gridSpan w:val="5"/>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40" w:type="dxa"/>
            <w:vAlign w:val="bottom"/>
            <w:gridSpan w:val="24"/>
          </w:tcPr>
          <w:p>
            <w:pPr>
              <w:spacing w:after="0" w:line="189" w:lineRule="exact"/>
              <w:rPr>
                <w:rFonts w:ascii="Arial" w:cs="Arial" w:eastAsia="Arial" w:hAnsi="Arial"/>
                <w:sz w:val="18"/>
                <w:szCs w:val="18"/>
                <w:color w:val="0000EE"/>
              </w:rPr>
            </w:pPr>
            <w:hyperlink w:anchor="page83">
              <w:r>
                <w:rPr>
                  <w:rFonts w:ascii="Arial" w:cs="Arial" w:eastAsia="Arial" w:hAnsi="Arial"/>
                  <w:sz w:val="18"/>
                  <w:szCs w:val="18"/>
                  <w:color w:val="0000EE"/>
                </w:rPr>
                <w:t>DESCRIPTION OF SHARES</w:t>
              </w:r>
            </w:hyperlink>
          </w:p>
        </w:tc>
        <w:tc>
          <w:tcPr>
            <w:tcW w:w="3620" w:type="dxa"/>
            <w:vAlign w:val="bottom"/>
            <w:gridSpan w:val="5"/>
          </w:tcPr>
          <w:p>
            <w:pPr>
              <w:spacing w:after="0"/>
              <w:rPr>
                <w:sz w:val="16"/>
                <w:szCs w:val="16"/>
                <w:color w:val="auto"/>
              </w:rPr>
            </w:pPr>
          </w:p>
        </w:tc>
        <w:tc>
          <w:tcPr>
            <w:tcW w:w="800" w:type="dxa"/>
            <w:vAlign w:val="bottom"/>
            <w:gridSpan w:val="3"/>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78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60" w:type="dxa"/>
            <w:vAlign w:val="bottom"/>
            <w:gridSpan w:val="17"/>
            <w:shd w:val="clear" w:color="auto" w:fill="CCEEFF"/>
          </w:tcPr>
          <w:p>
            <w:pPr>
              <w:spacing w:after="0" w:line="189"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OUR OPERATING AGREEMENT</w:t>
              </w:r>
            </w:hyperlink>
          </w:p>
        </w:tc>
        <w:tc>
          <w:tcPr>
            <w:tcW w:w="5900" w:type="dxa"/>
            <w:vAlign w:val="bottom"/>
            <w:gridSpan w:val="12"/>
            <w:shd w:val="clear" w:color="auto" w:fill="CCEEFF"/>
          </w:tcPr>
          <w:p>
            <w:pPr>
              <w:spacing w:after="0"/>
              <w:rPr>
                <w:sz w:val="16"/>
                <w:szCs w:val="16"/>
                <w:color w:val="auto"/>
              </w:rPr>
            </w:pPr>
          </w:p>
        </w:tc>
        <w:tc>
          <w:tcPr>
            <w:tcW w:w="800" w:type="dxa"/>
            <w:vAlign w:val="bottom"/>
            <w:gridSpan w:val="3"/>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80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91">
              <w:r>
                <w:rPr>
                  <w:rFonts w:ascii="Arial" w:cs="Arial" w:eastAsia="Arial" w:hAnsi="Arial"/>
                  <w:sz w:val="18"/>
                  <w:szCs w:val="18"/>
                  <w:color w:val="0000EE"/>
                </w:rPr>
                <w:t>SHARES ELIGIBLE FOR FUTURE SALE</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91">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92">
              <w:r>
                <w:rPr>
                  <w:rFonts w:ascii="Arial" w:cs="Arial" w:eastAsia="Arial" w:hAnsi="Arial"/>
                  <w:sz w:val="18"/>
                  <w:szCs w:val="18"/>
                  <w:color w:val="0000EE"/>
                </w:rPr>
                <w:t>MATERIAL U.S. FEDERAL INCOME TAX CONSIDERATIONS FOR NON-U.S. HOLDERS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92">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920" w:type="dxa"/>
            <w:vAlign w:val="bottom"/>
            <w:gridSpan w:val="27"/>
          </w:tcPr>
          <w:p>
            <w:pPr>
              <w:spacing w:after="0" w:line="189" w:lineRule="exact"/>
              <w:rPr>
                <w:rFonts w:ascii="Arial" w:cs="Arial" w:eastAsia="Arial" w:hAnsi="Arial"/>
                <w:sz w:val="18"/>
                <w:szCs w:val="18"/>
                <w:color w:val="0000EE"/>
              </w:rPr>
            </w:pPr>
            <w:hyperlink w:anchor="page96">
              <w:r>
                <w:rPr>
                  <w:rFonts w:ascii="Arial" w:cs="Arial" w:eastAsia="Arial" w:hAnsi="Arial"/>
                  <w:sz w:val="18"/>
                  <w:szCs w:val="18"/>
                  <w:color w:val="0000EE"/>
                </w:rPr>
                <w:t>CERTAIN ERISA CONSIDERATIONS</w:t>
              </w:r>
            </w:hyperlink>
          </w:p>
        </w:tc>
        <w:tc>
          <w:tcPr>
            <w:tcW w:w="1540" w:type="dxa"/>
            <w:vAlign w:val="bottom"/>
            <w:gridSpan w:val="2"/>
          </w:tcPr>
          <w:p>
            <w:pPr>
              <w:spacing w:after="0"/>
              <w:rPr>
                <w:sz w:val="16"/>
                <w:szCs w:val="16"/>
                <w:color w:val="auto"/>
              </w:rPr>
            </w:pPr>
          </w:p>
        </w:tc>
        <w:tc>
          <w:tcPr>
            <w:tcW w:w="800" w:type="dxa"/>
            <w:vAlign w:val="bottom"/>
            <w:gridSpan w:val="3"/>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96">
              <w:r>
                <w:rPr>
                  <w:rFonts w:ascii="Arial" w:cs="Arial" w:eastAsia="Arial" w:hAnsi="Arial"/>
                  <w:sz w:val="18"/>
                  <w:szCs w:val="18"/>
                  <w:color w:val="0000EE"/>
                  <w:w w:val="79"/>
                </w:rPr>
                <w:t>91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98">
              <w:r>
                <w:rPr>
                  <w:rFonts w:ascii="Arial" w:cs="Arial" w:eastAsia="Arial" w:hAnsi="Arial"/>
                  <w:sz w:val="18"/>
                  <w:szCs w:val="18"/>
                  <w:color w:val="0000EE"/>
                </w:rPr>
                <w:t>UNDERWRITING</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98">
              <w:r>
                <w:rPr>
                  <w:rFonts w:ascii="Arial" w:cs="Arial" w:eastAsia="Arial" w:hAnsi="Arial"/>
                  <w:sz w:val="18"/>
                  <w:szCs w:val="18"/>
                  <w:color w:val="0000EE"/>
                </w:rPr>
                <w:t>93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103">
              <w:r>
                <w:rPr>
                  <w:rFonts w:ascii="Arial" w:cs="Arial" w:eastAsia="Arial" w:hAnsi="Arial"/>
                  <w:sz w:val="18"/>
                  <w:szCs w:val="18"/>
                  <w:color w:val="0000EE"/>
                </w:rPr>
                <w:t>LEGAL MATTERS</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103">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103">
              <w:r>
                <w:rPr>
                  <w:rFonts w:ascii="Arial" w:cs="Arial" w:eastAsia="Arial" w:hAnsi="Arial"/>
                  <w:sz w:val="18"/>
                  <w:szCs w:val="18"/>
                  <w:color w:val="0000EE"/>
                </w:rPr>
                <w:t>EXPERTS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103">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103">
              <w:r>
                <w:rPr>
                  <w:rFonts w:ascii="Arial" w:cs="Arial" w:eastAsia="Arial" w:hAnsi="Arial"/>
                  <w:sz w:val="18"/>
                  <w:szCs w:val="18"/>
                  <w:color w:val="0000EE"/>
                </w:rPr>
                <w:t>WHERE YOU CAN FIND MORE INFORMATION</w:t>
              </w:r>
            </w:hyperlink>
          </w:p>
        </w:tc>
        <w:tc>
          <w:tcPr>
            <w:tcW w:w="1080" w:type="dxa"/>
            <w:vAlign w:val="bottom"/>
            <w:gridSpan w:val="6"/>
          </w:tcPr>
          <w:p>
            <w:pPr>
              <w:jc w:val="right"/>
              <w:ind w:right="100"/>
              <w:spacing w:after="0" w:line="189" w:lineRule="exact"/>
              <w:rPr>
                <w:rFonts w:ascii="Arial" w:cs="Arial" w:eastAsia="Arial" w:hAnsi="Arial"/>
                <w:sz w:val="18"/>
                <w:szCs w:val="18"/>
                <w:color w:val="0000EE"/>
              </w:rPr>
            </w:pPr>
            <w:hyperlink w:anchor="page103">
              <w:r>
                <w:rPr>
                  <w:rFonts w:ascii="Arial" w:cs="Arial" w:eastAsia="Arial" w:hAnsi="Arial"/>
                  <w:sz w:val="18"/>
                  <w:szCs w:val="18"/>
                  <w:color w:val="0000EE"/>
                </w:rPr>
                <w:t>98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104">
              <w:r>
                <w:rPr>
                  <w:rFonts w:ascii="Arial" w:cs="Arial" w:eastAsia="Arial" w:hAnsi="Arial"/>
                  <w:sz w:val="18"/>
                  <w:szCs w:val="18"/>
                  <w:color w:val="0000EE"/>
                </w:rPr>
                <w:t>FORWARD LOOKING STATEMENTS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104">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460" w:type="dxa"/>
            <w:vAlign w:val="bottom"/>
            <w:gridSpan w:val="29"/>
          </w:tcPr>
          <w:p>
            <w:pPr>
              <w:spacing w:after="0" w:line="189" w:lineRule="exact"/>
              <w:rPr>
                <w:rFonts w:ascii="Arial" w:cs="Arial" w:eastAsia="Arial" w:hAnsi="Arial"/>
                <w:sz w:val="18"/>
                <w:szCs w:val="18"/>
                <w:color w:val="0000EE"/>
              </w:rPr>
            </w:pPr>
            <w:hyperlink w:anchor="page105">
              <w:r>
                <w:rPr>
                  <w:rFonts w:ascii="Arial" w:cs="Arial" w:eastAsia="Arial" w:hAnsi="Arial"/>
                  <w:sz w:val="18"/>
                  <w:szCs w:val="18"/>
                  <w:color w:val="0000EE"/>
                </w:rPr>
                <w:t>INDEX TO FINANCIAL STATEMENTS</w:t>
              </w:r>
            </w:hyperlink>
          </w:p>
        </w:tc>
        <w:tc>
          <w:tcPr>
            <w:tcW w:w="720" w:type="dxa"/>
            <w:vAlign w:val="bottom"/>
          </w:tcPr>
          <w:p>
            <w:pPr>
              <w:spacing w:after="0"/>
              <w:rPr>
                <w:sz w:val="16"/>
                <w:szCs w:val="16"/>
                <w:color w:val="auto"/>
              </w:rPr>
            </w:pPr>
          </w:p>
        </w:tc>
        <w:tc>
          <w:tcPr>
            <w:tcW w:w="360" w:type="dxa"/>
            <w:vAlign w:val="bottom"/>
            <w:gridSpan w:val="5"/>
          </w:tcPr>
          <w:p>
            <w:pPr>
              <w:jc w:val="right"/>
              <w:ind w:right="100"/>
              <w:spacing w:after="0" w:line="189"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F-1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60" w:type="dxa"/>
            <w:vAlign w:val="bottom"/>
            <w:gridSpan w:val="29"/>
            <w:shd w:val="clear" w:color="auto" w:fill="CCEEFF"/>
          </w:tcPr>
          <w:p>
            <w:pPr>
              <w:spacing w:after="0" w:line="189" w:lineRule="exact"/>
              <w:rPr>
                <w:rFonts w:ascii="Arial" w:cs="Arial" w:eastAsia="Arial" w:hAnsi="Arial"/>
                <w:sz w:val="18"/>
                <w:szCs w:val="18"/>
                <w:color w:val="0000EE"/>
              </w:rPr>
            </w:pPr>
            <w:hyperlink w:anchor="page130">
              <w:r>
                <w:rPr>
                  <w:rFonts w:ascii="Arial" w:cs="Arial" w:eastAsia="Arial" w:hAnsi="Arial"/>
                  <w:sz w:val="18"/>
                  <w:szCs w:val="18"/>
                  <w:color w:val="0000EE"/>
                </w:rPr>
                <w:t>EXHIBITS</w:t>
              </w:r>
            </w:hyperlink>
          </w:p>
        </w:tc>
        <w:tc>
          <w:tcPr>
            <w:tcW w:w="1080" w:type="dxa"/>
            <w:vAlign w:val="bottom"/>
            <w:gridSpan w:val="6"/>
            <w:shd w:val="clear" w:color="auto" w:fill="CCEEFF"/>
          </w:tcPr>
          <w:p>
            <w:pPr>
              <w:jc w:val="right"/>
              <w:ind w:right="100"/>
              <w:spacing w:after="0" w:line="189" w:lineRule="exact"/>
              <w:rPr>
                <w:rFonts w:ascii="Arial" w:cs="Arial" w:eastAsia="Arial" w:hAnsi="Arial"/>
                <w:sz w:val="18"/>
                <w:szCs w:val="18"/>
                <w:color w:val="0000EE"/>
              </w:rPr>
            </w:pPr>
            <w:hyperlink w:anchor="page130">
              <w:r>
                <w:rPr>
                  <w:rFonts w:ascii="Arial" w:cs="Arial" w:eastAsia="Arial" w:hAnsi="Arial"/>
                  <w:sz w:val="18"/>
                  <w:szCs w:val="18"/>
                  <w:color w:val="0000EE"/>
                </w:rPr>
                <w:t>II-2</w:t>
              </w:r>
            </w:hyperlink>
          </w:p>
        </w:tc>
        <w:tc>
          <w:tcPr>
            <w:tcW w:w="0" w:type="dxa"/>
            <w:vAlign w:val="bottom"/>
          </w:tcPr>
          <w:p>
            <w:pPr>
              <w:spacing w:after="0"/>
              <w:rPr>
                <w:sz w:val="1"/>
                <w:szCs w:val="1"/>
                <w:color w:val="auto"/>
              </w:rPr>
            </w:pPr>
          </w:p>
        </w:tc>
      </w:tr>
      <w:tr>
        <w:trPr>
          <w:trHeight w:val="203"/>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bottom w:val="single" w:sz="8" w:color="auto"/>
            </w:tcBorders>
          </w:tcPr>
          <w:p>
            <w:pPr>
              <w:spacing w:after="0"/>
              <w:rPr>
                <w:sz w:val="17"/>
                <w:szCs w:val="17"/>
                <w:color w:val="auto"/>
              </w:rPr>
            </w:pPr>
          </w:p>
        </w:tc>
        <w:tc>
          <w:tcPr>
            <w:tcW w:w="820" w:type="dxa"/>
            <w:vAlign w:val="bottom"/>
            <w:tcBorders>
              <w:top w:val="single" w:sz="8" w:color="CCEEFF"/>
              <w:bottom w:val="single" w:sz="8" w:color="auto"/>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You should rely only on the information contained in this prospectus or in any free writing prospectus we may authorize to be delivered to you. We have not, and the underwriters have not, authorized any other person to provide you with information different from that contained in this prospectus and any free writing prospectus. If anyone provides you with different or inconsistent information, you should not rely on it. You should not assume that the information contained in this registration statement is accurate as of any date other than the date on the front cover of this registration statement. Our business, financial condition, results of operations and prospects may have changed since such dates. We are not, and the underwriters are not, making an offer to sell these securities in any jurisdiction where an offer or sale is not permitted.</w:t>
      </w:r>
    </w:p>
    <w:p>
      <w:pPr>
        <w:spacing w:after="0" w:line="7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This prospectus contains forward-looking statements that are subject to a number of risks and uncertainties, many of which are beyond our control. Please read “Risk Factors” and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108585</wp:posOffset>
            </wp:positionV>
            <wp:extent cx="1157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The data included in this prospectus regarding the industries in which we operate, including trends in the market and our position and the position of our competitors, is based on a variety of sources, including independent industry publications, government publications and other published independent sources, information obtained from customers, distributors, suppliers, trade and business organizations and publicly available information (including the reports and other information our competitors file with the Securities and Exchange Commission (the “SEC”), which we did not participate in preparing and as to which we make no representation), as well as our good-faith estimates, which have been derived from management’s knowledge and experience in the industries in which we operate. Estimates of market size and relative positions in a market are difficult to develop and inherently uncertain. Accordingly, investors should not place undue weight on the industry and market share data presented in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2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As commonly used in the liquefied natural gas industry, to the extent applicable and as used in this Prospectus, the terms listed below have the following meanings: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ADO</w:t>
            </w:r>
          </w:p>
        </w:tc>
        <w:tc>
          <w:tcPr>
            <w:tcW w:w="6800" w:type="dxa"/>
            <w:vAlign w:val="bottom"/>
          </w:tcPr>
          <w:p>
            <w:pPr>
              <w:ind w:left="1740"/>
              <w:spacing w:after="0"/>
              <w:rPr>
                <w:sz w:val="20"/>
                <w:szCs w:val="20"/>
                <w:color w:val="auto"/>
              </w:rPr>
            </w:pPr>
            <w:r>
              <w:rPr>
                <w:rFonts w:ascii="Arial" w:cs="Arial" w:eastAsia="Arial" w:hAnsi="Arial"/>
                <w:sz w:val="18"/>
                <w:szCs w:val="18"/>
                <w:color w:val="auto"/>
              </w:rPr>
              <w:t>automotive diesel oil</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BBL</w:t>
            </w:r>
          </w:p>
        </w:tc>
        <w:tc>
          <w:tcPr>
            <w:tcW w:w="6800" w:type="dxa"/>
            <w:vAlign w:val="bottom"/>
          </w:tcPr>
          <w:p>
            <w:pPr>
              <w:ind w:left="1740"/>
              <w:spacing w:after="0"/>
              <w:rPr>
                <w:sz w:val="20"/>
                <w:szCs w:val="20"/>
                <w:color w:val="auto"/>
              </w:rPr>
            </w:pPr>
            <w:r>
              <w:rPr>
                <w:rFonts w:ascii="Arial" w:cs="Arial" w:eastAsia="Arial" w:hAnsi="Arial"/>
                <w:sz w:val="18"/>
                <w:szCs w:val="18"/>
                <w:color w:val="auto"/>
              </w:rPr>
              <w:t>barrel</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Bcf/yr</w:t>
            </w:r>
          </w:p>
        </w:tc>
        <w:tc>
          <w:tcPr>
            <w:tcW w:w="6800" w:type="dxa"/>
            <w:vAlign w:val="bottom"/>
          </w:tcPr>
          <w:p>
            <w:pPr>
              <w:ind w:left="1740"/>
              <w:spacing w:after="0"/>
              <w:rPr>
                <w:sz w:val="20"/>
                <w:szCs w:val="20"/>
                <w:color w:val="auto"/>
              </w:rPr>
            </w:pPr>
            <w:r>
              <w:rPr>
                <w:rFonts w:ascii="Arial" w:cs="Arial" w:eastAsia="Arial" w:hAnsi="Arial"/>
                <w:sz w:val="18"/>
                <w:szCs w:val="18"/>
                <w:color w:val="auto"/>
              </w:rPr>
              <w:t>billion cubic feet per year</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Btu</w:t>
            </w:r>
          </w:p>
        </w:tc>
        <w:tc>
          <w:tcPr>
            <w:tcW w:w="6800" w:type="dxa"/>
            <w:vAlign w:val="bottom"/>
          </w:tcPr>
          <w:p>
            <w:pPr>
              <w:ind w:left="1740"/>
              <w:spacing w:after="0"/>
              <w:rPr>
                <w:sz w:val="20"/>
                <w:szCs w:val="20"/>
                <w:color w:val="auto"/>
              </w:rPr>
            </w:pPr>
            <w:r>
              <w:rPr>
                <w:rFonts w:ascii="Arial" w:cs="Arial" w:eastAsia="Arial" w:hAnsi="Arial"/>
                <w:sz w:val="18"/>
                <w:szCs w:val="18"/>
                <w:color w:val="auto"/>
                <w:w w:val="90"/>
              </w:rPr>
              <w:t>the amount of heat require to raise the temperature of one avoirdupois</w:t>
            </w:r>
          </w:p>
        </w:tc>
      </w:tr>
      <w:tr>
        <w:trPr>
          <w:trHeight w:val="216"/>
        </w:trPr>
        <w:tc>
          <w:tcPr>
            <w:tcW w:w="2760" w:type="dxa"/>
            <w:vAlign w:val="bottom"/>
          </w:tcPr>
          <w:p>
            <w:pPr>
              <w:spacing w:after="0"/>
              <w:rPr>
                <w:sz w:val="18"/>
                <w:szCs w:val="18"/>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pound of pure water from 59 degrees Fahrenheit to 60 degrees</w:t>
            </w:r>
          </w:p>
        </w:tc>
      </w:tr>
      <w:tr>
        <w:trPr>
          <w:trHeight w:val="216"/>
        </w:trPr>
        <w:tc>
          <w:tcPr>
            <w:tcW w:w="2760" w:type="dxa"/>
            <w:vAlign w:val="bottom"/>
          </w:tcPr>
          <w:p>
            <w:pPr>
              <w:spacing w:after="0"/>
              <w:rPr>
                <w:sz w:val="18"/>
                <w:szCs w:val="18"/>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w w:val="91"/>
              </w:rPr>
              <w:t>Fahrenheit at an absolute pressure of 14.696 pounds per square inch</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gage (psig)</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CAA</w:t>
            </w:r>
          </w:p>
        </w:tc>
        <w:tc>
          <w:tcPr>
            <w:tcW w:w="6800" w:type="dxa"/>
            <w:vAlign w:val="bottom"/>
          </w:tcPr>
          <w:p>
            <w:pPr>
              <w:ind w:left="1740"/>
              <w:spacing w:after="0"/>
              <w:rPr>
                <w:sz w:val="20"/>
                <w:szCs w:val="20"/>
                <w:color w:val="auto"/>
              </w:rPr>
            </w:pPr>
            <w:r>
              <w:rPr>
                <w:rFonts w:ascii="Arial" w:cs="Arial" w:eastAsia="Arial" w:hAnsi="Arial"/>
                <w:sz w:val="18"/>
                <w:szCs w:val="18"/>
                <w:color w:val="auto"/>
              </w:rPr>
              <w:t>Clean Air Act</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CERCLA</w:t>
            </w:r>
          </w:p>
        </w:tc>
        <w:tc>
          <w:tcPr>
            <w:tcW w:w="6800" w:type="dxa"/>
            <w:vAlign w:val="bottom"/>
          </w:tcPr>
          <w:p>
            <w:pPr>
              <w:ind w:left="1740"/>
              <w:spacing w:after="0"/>
              <w:rPr>
                <w:sz w:val="20"/>
                <w:szCs w:val="20"/>
                <w:color w:val="auto"/>
              </w:rPr>
            </w:pPr>
            <w:r>
              <w:rPr>
                <w:rFonts w:ascii="Arial" w:cs="Arial" w:eastAsia="Arial" w:hAnsi="Arial"/>
                <w:sz w:val="18"/>
                <w:szCs w:val="18"/>
                <w:color w:val="auto"/>
              </w:rPr>
              <w:t>Comprehensive Environmental Response, Compensation and</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Liability Act</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CWA</w:t>
            </w:r>
          </w:p>
        </w:tc>
        <w:tc>
          <w:tcPr>
            <w:tcW w:w="6800" w:type="dxa"/>
            <w:vAlign w:val="bottom"/>
          </w:tcPr>
          <w:p>
            <w:pPr>
              <w:ind w:left="1740"/>
              <w:spacing w:after="0"/>
              <w:rPr>
                <w:sz w:val="20"/>
                <w:szCs w:val="20"/>
                <w:color w:val="auto"/>
              </w:rPr>
            </w:pPr>
            <w:r>
              <w:rPr>
                <w:rFonts w:ascii="Arial" w:cs="Arial" w:eastAsia="Arial" w:hAnsi="Arial"/>
                <w:sz w:val="18"/>
                <w:szCs w:val="18"/>
                <w:color w:val="auto"/>
              </w:rPr>
              <w:t>Clean Water Act</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DOE</w:t>
            </w:r>
          </w:p>
        </w:tc>
        <w:tc>
          <w:tcPr>
            <w:tcW w:w="6800" w:type="dxa"/>
            <w:vAlign w:val="bottom"/>
          </w:tcPr>
          <w:p>
            <w:pPr>
              <w:ind w:left="1740"/>
              <w:spacing w:after="0"/>
              <w:rPr>
                <w:sz w:val="20"/>
                <w:szCs w:val="20"/>
                <w:color w:val="auto"/>
              </w:rPr>
            </w:pPr>
            <w:r>
              <w:rPr>
                <w:rFonts w:ascii="Arial" w:cs="Arial" w:eastAsia="Arial" w:hAnsi="Arial"/>
                <w:sz w:val="18"/>
                <w:szCs w:val="18"/>
                <w:color w:val="auto"/>
              </w:rPr>
              <w:t>U.S. Department of Energy</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DOT</w:t>
            </w:r>
          </w:p>
        </w:tc>
        <w:tc>
          <w:tcPr>
            <w:tcW w:w="6800" w:type="dxa"/>
            <w:vAlign w:val="bottom"/>
          </w:tcPr>
          <w:p>
            <w:pPr>
              <w:ind w:left="1740"/>
              <w:spacing w:after="0"/>
              <w:rPr>
                <w:sz w:val="20"/>
                <w:szCs w:val="20"/>
                <w:color w:val="auto"/>
              </w:rPr>
            </w:pPr>
            <w:r>
              <w:rPr>
                <w:rFonts w:ascii="Arial" w:cs="Arial" w:eastAsia="Arial" w:hAnsi="Arial"/>
                <w:sz w:val="18"/>
                <w:szCs w:val="18"/>
                <w:color w:val="auto"/>
              </w:rPr>
              <w:t>U.S. Department of Transportation</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EPA</w:t>
            </w:r>
          </w:p>
        </w:tc>
        <w:tc>
          <w:tcPr>
            <w:tcW w:w="6800" w:type="dxa"/>
            <w:vAlign w:val="bottom"/>
          </w:tcPr>
          <w:p>
            <w:pPr>
              <w:ind w:left="1740"/>
              <w:spacing w:after="0"/>
              <w:rPr>
                <w:sz w:val="20"/>
                <w:szCs w:val="20"/>
                <w:color w:val="auto"/>
              </w:rPr>
            </w:pPr>
            <w:r>
              <w:rPr>
                <w:rFonts w:ascii="Arial" w:cs="Arial" w:eastAsia="Arial" w:hAnsi="Arial"/>
                <w:sz w:val="18"/>
                <w:szCs w:val="18"/>
                <w:color w:val="auto"/>
              </w:rPr>
              <w:t>U.S. Environmental Protection Agency</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FERC</w:t>
            </w:r>
          </w:p>
        </w:tc>
        <w:tc>
          <w:tcPr>
            <w:tcW w:w="6800" w:type="dxa"/>
            <w:vAlign w:val="bottom"/>
          </w:tcPr>
          <w:p>
            <w:pPr>
              <w:ind w:left="1740"/>
              <w:spacing w:after="0"/>
              <w:rPr>
                <w:sz w:val="20"/>
                <w:szCs w:val="20"/>
                <w:color w:val="auto"/>
              </w:rPr>
            </w:pPr>
            <w:r>
              <w:rPr>
                <w:rFonts w:ascii="Arial" w:cs="Arial" w:eastAsia="Arial" w:hAnsi="Arial"/>
                <w:sz w:val="18"/>
                <w:szCs w:val="18"/>
                <w:color w:val="auto"/>
              </w:rPr>
              <w:t>Federal Energy Regulatory Commission</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FTA countries</w:t>
            </w:r>
          </w:p>
        </w:tc>
        <w:tc>
          <w:tcPr>
            <w:tcW w:w="6800" w:type="dxa"/>
            <w:vAlign w:val="bottom"/>
          </w:tcPr>
          <w:p>
            <w:pPr>
              <w:ind w:left="1740"/>
              <w:spacing w:after="0"/>
              <w:rPr>
                <w:sz w:val="20"/>
                <w:szCs w:val="20"/>
                <w:color w:val="auto"/>
              </w:rPr>
            </w:pPr>
            <w:r>
              <w:rPr>
                <w:rFonts w:ascii="Arial" w:cs="Arial" w:eastAsia="Arial" w:hAnsi="Arial"/>
                <w:sz w:val="18"/>
                <w:szCs w:val="18"/>
                <w:color w:val="auto"/>
                <w:w w:val="95"/>
              </w:rPr>
              <w:t>countries with which the United States has a free trade agreement</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providing for national treatment for trade in natural gas</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GAAP</w:t>
            </w:r>
          </w:p>
        </w:tc>
        <w:tc>
          <w:tcPr>
            <w:tcW w:w="6800" w:type="dxa"/>
            <w:vAlign w:val="bottom"/>
          </w:tcPr>
          <w:p>
            <w:pPr>
              <w:ind w:left="174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GHG</w:t>
            </w:r>
          </w:p>
        </w:tc>
        <w:tc>
          <w:tcPr>
            <w:tcW w:w="6800" w:type="dxa"/>
            <w:vAlign w:val="bottom"/>
          </w:tcPr>
          <w:p>
            <w:pPr>
              <w:ind w:left="1740"/>
              <w:spacing w:after="0"/>
              <w:rPr>
                <w:sz w:val="20"/>
                <w:szCs w:val="20"/>
                <w:color w:val="auto"/>
              </w:rPr>
            </w:pPr>
            <w:r>
              <w:rPr>
                <w:rFonts w:ascii="Arial" w:cs="Arial" w:eastAsia="Arial" w:hAnsi="Arial"/>
                <w:sz w:val="18"/>
                <w:szCs w:val="18"/>
                <w:color w:val="auto"/>
              </w:rPr>
              <w:t>greenhouse gases</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GSA</w:t>
            </w:r>
          </w:p>
        </w:tc>
        <w:tc>
          <w:tcPr>
            <w:tcW w:w="6800" w:type="dxa"/>
            <w:vAlign w:val="bottom"/>
          </w:tcPr>
          <w:p>
            <w:pPr>
              <w:ind w:left="1740"/>
              <w:spacing w:after="0"/>
              <w:rPr>
                <w:sz w:val="20"/>
                <w:szCs w:val="20"/>
                <w:color w:val="auto"/>
              </w:rPr>
            </w:pPr>
            <w:r>
              <w:rPr>
                <w:rFonts w:ascii="Arial" w:cs="Arial" w:eastAsia="Arial" w:hAnsi="Arial"/>
                <w:sz w:val="18"/>
                <w:szCs w:val="18"/>
                <w:color w:val="auto"/>
              </w:rPr>
              <w:t>gas sales agreement</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Henry Hub</w:t>
            </w:r>
          </w:p>
        </w:tc>
        <w:tc>
          <w:tcPr>
            <w:tcW w:w="6800" w:type="dxa"/>
            <w:vAlign w:val="bottom"/>
          </w:tcPr>
          <w:p>
            <w:pPr>
              <w:ind w:left="1740"/>
              <w:spacing w:after="0"/>
              <w:rPr>
                <w:sz w:val="20"/>
                <w:szCs w:val="20"/>
                <w:color w:val="auto"/>
              </w:rPr>
            </w:pPr>
            <w:r>
              <w:rPr>
                <w:rFonts w:ascii="Arial" w:cs="Arial" w:eastAsia="Arial" w:hAnsi="Arial"/>
                <w:sz w:val="18"/>
                <w:szCs w:val="18"/>
                <w:color w:val="auto"/>
                <w:w w:val="94"/>
              </w:rPr>
              <w:t>a natural gas pipeline located in Erath, Louisiana that serves as the</w:t>
            </w:r>
          </w:p>
        </w:tc>
      </w:tr>
      <w:tr>
        <w:trPr>
          <w:trHeight w:val="216"/>
        </w:trPr>
        <w:tc>
          <w:tcPr>
            <w:tcW w:w="2760" w:type="dxa"/>
            <w:vAlign w:val="bottom"/>
          </w:tcPr>
          <w:p>
            <w:pPr>
              <w:spacing w:after="0"/>
              <w:rPr>
                <w:sz w:val="18"/>
                <w:szCs w:val="18"/>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official delivery location for futures contracts on the New York</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Mercantile Exchange</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ISO container</w:t>
            </w:r>
          </w:p>
        </w:tc>
        <w:tc>
          <w:tcPr>
            <w:tcW w:w="6800" w:type="dxa"/>
            <w:vAlign w:val="bottom"/>
          </w:tcPr>
          <w:p>
            <w:pPr>
              <w:ind w:left="1740"/>
              <w:spacing w:after="0"/>
              <w:rPr>
                <w:sz w:val="20"/>
                <w:szCs w:val="20"/>
                <w:color w:val="auto"/>
              </w:rPr>
            </w:pPr>
            <w:r>
              <w:rPr>
                <w:rFonts w:ascii="Arial" w:cs="Arial" w:eastAsia="Arial" w:hAnsi="Arial"/>
                <w:sz w:val="18"/>
                <w:szCs w:val="18"/>
                <w:color w:val="auto"/>
              </w:rPr>
              <w:t>International Organization of Standardization, an intermodal</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container</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LNG</w:t>
            </w:r>
          </w:p>
        </w:tc>
        <w:tc>
          <w:tcPr>
            <w:tcW w:w="6800" w:type="dxa"/>
            <w:vAlign w:val="bottom"/>
          </w:tcPr>
          <w:p>
            <w:pPr>
              <w:ind w:left="1740"/>
              <w:spacing w:after="0"/>
              <w:rPr>
                <w:sz w:val="20"/>
                <w:szCs w:val="20"/>
                <w:color w:val="auto"/>
              </w:rPr>
            </w:pPr>
            <w:r>
              <w:rPr>
                <w:rFonts w:ascii="Arial" w:cs="Arial" w:eastAsia="Arial" w:hAnsi="Arial"/>
                <w:sz w:val="18"/>
                <w:szCs w:val="18"/>
                <w:color w:val="auto"/>
                <w:w w:val="96"/>
              </w:rPr>
              <w:t>natural gas in its liquid state at or below its boiling point at or near</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atmospheric pressure</w:t>
            </w:r>
          </w:p>
        </w:tc>
      </w:tr>
      <w:tr>
        <w:trPr>
          <w:trHeight w:val="472"/>
        </w:trPr>
        <w:tc>
          <w:tcPr>
            <w:tcW w:w="2760" w:type="dxa"/>
            <w:vAlign w:val="bottom"/>
          </w:tcPr>
          <w:p>
            <w:pPr>
              <w:spacing w:after="0"/>
              <w:rPr>
                <w:sz w:val="20"/>
                <w:szCs w:val="20"/>
                <w:color w:val="auto"/>
              </w:rPr>
            </w:pPr>
            <w:r>
              <w:rPr>
                <w:rFonts w:ascii="Arial" w:cs="Arial" w:eastAsia="Arial" w:hAnsi="Arial"/>
                <w:sz w:val="18"/>
                <w:szCs w:val="18"/>
                <w:color w:val="auto"/>
              </w:rPr>
              <w:t>LPG</w:t>
            </w:r>
          </w:p>
        </w:tc>
        <w:tc>
          <w:tcPr>
            <w:tcW w:w="6800" w:type="dxa"/>
            <w:vAlign w:val="bottom"/>
          </w:tcPr>
          <w:p>
            <w:pPr>
              <w:ind w:left="1740"/>
              <w:spacing w:after="0"/>
              <w:rPr>
                <w:sz w:val="20"/>
                <w:szCs w:val="20"/>
                <w:color w:val="auto"/>
              </w:rPr>
            </w:pPr>
            <w:r>
              <w:rPr>
                <w:rFonts w:ascii="Arial" w:cs="Arial" w:eastAsia="Arial" w:hAnsi="Arial"/>
                <w:sz w:val="18"/>
                <w:szCs w:val="18"/>
                <w:color w:val="auto"/>
                <w:w w:val="92"/>
              </w:rPr>
              <w:t>hydrocarbon gases including propane, butane and mixtures of these</w:t>
            </w:r>
          </w:p>
        </w:tc>
      </w:tr>
      <w:tr>
        <w:trPr>
          <w:trHeight w:val="230"/>
        </w:trPr>
        <w:tc>
          <w:tcPr>
            <w:tcW w:w="2760" w:type="dxa"/>
            <w:vAlign w:val="bottom"/>
          </w:tcPr>
          <w:p>
            <w:pPr>
              <w:spacing w:after="0"/>
              <w:rPr>
                <w:sz w:val="20"/>
                <w:szCs w:val="20"/>
                <w:color w:val="auto"/>
              </w:rPr>
            </w:pPr>
          </w:p>
        </w:tc>
        <w:tc>
          <w:tcPr>
            <w:tcW w:w="6800" w:type="dxa"/>
            <w:vAlign w:val="bottom"/>
          </w:tcPr>
          <w:p>
            <w:pPr>
              <w:ind w:left="1740"/>
              <w:spacing w:after="0"/>
              <w:rPr>
                <w:sz w:val="20"/>
                <w:szCs w:val="20"/>
                <w:color w:val="auto"/>
              </w:rPr>
            </w:pPr>
            <w:r>
              <w:rPr>
                <w:rFonts w:ascii="Arial" w:cs="Arial" w:eastAsia="Arial" w:hAnsi="Arial"/>
                <w:sz w:val="18"/>
                <w:szCs w:val="18"/>
                <w:color w:val="auto"/>
              </w:rPr>
              <w:t>gases that have been liquefied through pressurization</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MMBtu</w:t>
            </w:r>
          </w:p>
        </w:tc>
        <w:tc>
          <w:tcPr>
            <w:tcW w:w="6800" w:type="dxa"/>
            <w:vAlign w:val="bottom"/>
          </w:tcPr>
          <w:p>
            <w:pPr>
              <w:ind w:left="1740"/>
              <w:spacing w:after="0"/>
              <w:rPr>
                <w:sz w:val="20"/>
                <w:szCs w:val="20"/>
                <w:color w:val="auto"/>
              </w:rPr>
            </w:pPr>
            <w:r>
              <w:rPr>
                <w:rFonts w:ascii="Arial" w:cs="Arial" w:eastAsia="Arial" w:hAnsi="Arial"/>
                <w:sz w:val="18"/>
                <w:szCs w:val="18"/>
                <w:color w:val="auto"/>
              </w:rPr>
              <w:t>one million Btus</w:t>
            </w:r>
          </w:p>
        </w:tc>
      </w:tr>
      <w:tr>
        <w:trPr>
          <w:trHeight w:val="446"/>
        </w:trPr>
        <w:tc>
          <w:tcPr>
            <w:tcW w:w="2760" w:type="dxa"/>
            <w:vAlign w:val="bottom"/>
          </w:tcPr>
          <w:p>
            <w:pPr>
              <w:spacing w:after="0"/>
              <w:rPr>
                <w:sz w:val="24"/>
                <w:szCs w:val="24"/>
                <w:color w:val="auto"/>
              </w:rPr>
            </w:pPr>
          </w:p>
        </w:tc>
        <w:tc>
          <w:tcPr>
            <w:tcW w:w="6800" w:type="dxa"/>
            <w:vAlign w:val="bottom"/>
          </w:tcPr>
          <w:p>
            <w:pPr>
              <w:ind w:left="1960"/>
              <w:spacing w:after="0"/>
              <w:rPr>
                <w:sz w:val="20"/>
                <w:szCs w:val="20"/>
                <w:color w:val="auto"/>
              </w:rPr>
            </w:pPr>
            <w:r>
              <w:rPr>
                <w:rFonts w:ascii="Arial" w:cs="Arial" w:eastAsia="Arial" w:hAnsi="Arial"/>
                <w:sz w:val="18"/>
                <w:szCs w:val="18"/>
                <w:color w:val="auto"/>
              </w:rPr>
              <w:t>ii</w:t>
            </w:r>
          </w:p>
        </w:tc>
      </w:tr>
      <w:tr>
        <w:trPr>
          <w:trHeight w:val="446"/>
        </w:trPr>
        <w:tc>
          <w:tcPr>
            <w:tcW w:w="276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68"/>
        </w:trPr>
        <w:tc>
          <w:tcPr>
            <w:tcW w:w="2760" w:type="dxa"/>
            <w:vAlign w:val="bottom"/>
            <w:shd w:val="clear" w:color="auto" w:fill="000000"/>
          </w:tcPr>
          <w:p>
            <w:pPr>
              <w:spacing w:after="0"/>
              <w:rPr>
                <w:sz w:val="5"/>
                <w:szCs w:val="5"/>
                <w:color w:val="auto"/>
              </w:rPr>
            </w:pPr>
          </w:p>
        </w:tc>
        <w:tc>
          <w:tcPr>
            <w:tcW w:w="68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480" w:type="dxa"/>
            <w:vAlign w:val="bottom"/>
          </w:tcPr>
          <w:p>
            <w:pPr>
              <w:spacing w:after="0"/>
              <w:rPr>
                <w:sz w:val="14"/>
                <w:szCs w:val="14"/>
                <w:color w:val="auto"/>
              </w:rPr>
            </w:pPr>
          </w:p>
        </w:tc>
        <w:tc>
          <w:tcPr>
            <w:tcW w:w="6540" w:type="dxa"/>
            <w:vAlign w:val="bottom"/>
          </w:tcPr>
          <w:p>
            <w:pPr>
              <w:spacing w:after="0"/>
              <w:rPr>
                <w:sz w:val="14"/>
                <w:szCs w:val="14"/>
                <w:color w:val="auto"/>
              </w:rPr>
            </w:pPr>
          </w:p>
        </w:tc>
      </w:tr>
      <w:tr>
        <w:trPr>
          <w:trHeight w:val="358"/>
        </w:trPr>
        <w:tc>
          <w:tcPr>
            <w:tcW w:w="3020" w:type="dxa"/>
            <w:vAlign w:val="bottom"/>
            <w:gridSpan w:val="2"/>
          </w:tcPr>
          <w:p>
            <w:pPr>
              <w:spacing w:after="0"/>
              <w:rPr>
                <w:sz w:val="20"/>
                <w:szCs w:val="20"/>
                <w:color w:val="auto"/>
              </w:rPr>
            </w:pPr>
            <w:r>
              <w:rPr>
                <w:rFonts w:ascii="Arial" w:cs="Arial" w:eastAsia="Arial" w:hAnsi="Arial"/>
                <w:sz w:val="18"/>
                <w:szCs w:val="18"/>
                <w:color w:val="auto"/>
              </w:rPr>
              <w:t>mtpa</w:t>
            </w:r>
          </w:p>
        </w:tc>
        <w:tc>
          <w:tcPr>
            <w:tcW w:w="6540" w:type="dxa"/>
            <w:vAlign w:val="bottom"/>
          </w:tcPr>
          <w:p>
            <w:pPr>
              <w:ind w:left="1480"/>
              <w:spacing w:after="0"/>
              <w:rPr>
                <w:sz w:val="20"/>
                <w:szCs w:val="20"/>
                <w:color w:val="auto"/>
              </w:rPr>
            </w:pPr>
            <w:r>
              <w:rPr>
                <w:rFonts w:ascii="Arial" w:cs="Arial" w:eastAsia="Arial" w:hAnsi="Arial"/>
                <w:sz w:val="18"/>
                <w:szCs w:val="18"/>
                <w:color w:val="auto"/>
              </w:rPr>
              <w:t>million tons per year</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MW</w:t>
            </w:r>
          </w:p>
        </w:tc>
        <w:tc>
          <w:tcPr>
            <w:tcW w:w="6540" w:type="dxa"/>
            <w:vAlign w:val="bottom"/>
          </w:tcPr>
          <w:p>
            <w:pPr>
              <w:ind w:left="1480"/>
              <w:spacing w:after="0"/>
              <w:rPr>
                <w:sz w:val="20"/>
                <w:szCs w:val="20"/>
                <w:color w:val="auto"/>
              </w:rPr>
            </w:pPr>
            <w:r>
              <w:rPr>
                <w:rFonts w:ascii="Arial" w:cs="Arial" w:eastAsia="Arial" w:hAnsi="Arial"/>
                <w:sz w:val="18"/>
                <w:szCs w:val="18"/>
                <w:color w:val="auto"/>
              </w:rPr>
              <w:t>megawatt</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NGA</w:t>
            </w:r>
          </w:p>
        </w:tc>
        <w:tc>
          <w:tcPr>
            <w:tcW w:w="6540" w:type="dxa"/>
            <w:vAlign w:val="bottom"/>
          </w:tcPr>
          <w:p>
            <w:pPr>
              <w:ind w:left="1480"/>
              <w:spacing w:after="0"/>
              <w:rPr>
                <w:sz w:val="20"/>
                <w:szCs w:val="20"/>
                <w:color w:val="auto"/>
              </w:rPr>
            </w:pPr>
            <w:r>
              <w:rPr>
                <w:rFonts w:ascii="Arial" w:cs="Arial" w:eastAsia="Arial" w:hAnsi="Arial"/>
                <w:sz w:val="18"/>
                <w:szCs w:val="18"/>
                <w:color w:val="auto"/>
              </w:rPr>
              <w:t>Natural Gas Act of 1938, as amended</w:t>
            </w:r>
          </w:p>
        </w:tc>
      </w:tr>
      <w:tr>
        <w:trPr>
          <w:trHeight w:val="472"/>
        </w:trPr>
        <w:tc>
          <w:tcPr>
            <w:tcW w:w="3020" w:type="dxa"/>
            <w:vAlign w:val="bottom"/>
            <w:gridSpan w:val="2"/>
          </w:tcPr>
          <w:p>
            <w:pPr>
              <w:spacing w:after="0"/>
              <w:rPr>
                <w:sz w:val="20"/>
                <w:szCs w:val="20"/>
                <w:color w:val="auto"/>
              </w:rPr>
            </w:pPr>
            <w:r>
              <w:rPr>
                <w:rFonts w:ascii="Arial" w:cs="Arial" w:eastAsia="Arial" w:hAnsi="Arial"/>
                <w:sz w:val="18"/>
                <w:szCs w:val="18"/>
                <w:color w:val="auto"/>
              </w:rPr>
              <w:t>non-FTA countries</w:t>
            </w:r>
          </w:p>
        </w:tc>
        <w:tc>
          <w:tcPr>
            <w:tcW w:w="6540" w:type="dxa"/>
            <w:vAlign w:val="bottom"/>
          </w:tcPr>
          <w:p>
            <w:pPr>
              <w:ind w:left="1480"/>
              <w:spacing w:after="0"/>
              <w:rPr>
                <w:sz w:val="20"/>
                <w:szCs w:val="20"/>
                <w:color w:val="auto"/>
              </w:rPr>
            </w:pPr>
            <w:r>
              <w:rPr>
                <w:rFonts w:ascii="Arial" w:cs="Arial" w:eastAsia="Arial" w:hAnsi="Arial"/>
                <w:sz w:val="18"/>
                <w:szCs w:val="18"/>
                <w:color w:val="auto"/>
              </w:rPr>
              <w:t>countries without a free trade agreement providing for national</w:t>
            </w:r>
          </w:p>
        </w:tc>
      </w:tr>
      <w:tr>
        <w:trPr>
          <w:trHeight w:val="230"/>
        </w:trPr>
        <w:tc>
          <w:tcPr>
            <w:tcW w:w="1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540" w:type="dxa"/>
            <w:vAlign w:val="bottom"/>
          </w:tcPr>
          <w:p>
            <w:pPr>
              <w:ind w:left="1480"/>
              <w:spacing w:after="0"/>
              <w:rPr>
                <w:sz w:val="20"/>
                <w:szCs w:val="20"/>
                <w:color w:val="auto"/>
              </w:rPr>
            </w:pPr>
            <w:r>
              <w:rPr>
                <w:rFonts w:ascii="Arial" w:cs="Arial" w:eastAsia="Arial" w:hAnsi="Arial"/>
                <w:sz w:val="18"/>
                <w:szCs w:val="18"/>
                <w:color w:val="auto"/>
                <w:w w:val="95"/>
              </w:rPr>
              <w:t>treatment for trade in natural gas and with which trade is permitted</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OPA</w:t>
            </w:r>
          </w:p>
        </w:tc>
        <w:tc>
          <w:tcPr>
            <w:tcW w:w="6540" w:type="dxa"/>
            <w:vAlign w:val="bottom"/>
          </w:tcPr>
          <w:p>
            <w:pPr>
              <w:ind w:left="1480"/>
              <w:spacing w:after="0"/>
              <w:rPr>
                <w:sz w:val="20"/>
                <w:szCs w:val="20"/>
                <w:color w:val="auto"/>
              </w:rPr>
            </w:pPr>
            <w:r>
              <w:rPr>
                <w:rFonts w:ascii="Arial" w:cs="Arial" w:eastAsia="Arial" w:hAnsi="Arial"/>
                <w:sz w:val="18"/>
                <w:szCs w:val="18"/>
                <w:color w:val="auto"/>
              </w:rPr>
              <w:t>Oil Pollution Act</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OUR</w:t>
            </w:r>
          </w:p>
        </w:tc>
        <w:tc>
          <w:tcPr>
            <w:tcW w:w="6540" w:type="dxa"/>
            <w:vAlign w:val="bottom"/>
          </w:tcPr>
          <w:p>
            <w:pPr>
              <w:ind w:left="1480"/>
              <w:spacing w:after="0"/>
              <w:rPr>
                <w:sz w:val="20"/>
                <w:szCs w:val="20"/>
                <w:color w:val="auto"/>
              </w:rPr>
            </w:pPr>
            <w:r>
              <w:rPr>
                <w:rFonts w:ascii="Arial" w:cs="Arial" w:eastAsia="Arial" w:hAnsi="Arial"/>
                <w:sz w:val="18"/>
                <w:szCs w:val="18"/>
                <w:color w:val="auto"/>
              </w:rPr>
              <w:t>Office of Utilities Regulation (Jamaica)</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PHMSA</w:t>
            </w:r>
          </w:p>
        </w:tc>
        <w:tc>
          <w:tcPr>
            <w:tcW w:w="6540" w:type="dxa"/>
            <w:vAlign w:val="bottom"/>
          </w:tcPr>
          <w:p>
            <w:pPr>
              <w:ind w:left="148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PPA</w:t>
            </w:r>
          </w:p>
        </w:tc>
        <w:tc>
          <w:tcPr>
            <w:tcW w:w="6540" w:type="dxa"/>
            <w:vAlign w:val="bottom"/>
          </w:tcPr>
          <w:p>
            <w:pPr>
              <w:ind w:left="1480"/>
              <w:spacing w:after="0"/>
              <w:rPr>
                <w:sz w:val="20"/>
                <w:szCs w:val="20"/>
                <w:color w:val="auto"/>
              </w:rPr>
            </w:pPr>
            <w:r>
              <w:rPr>
                <w:rFonts w:ascii="Arial" w:cs="Arial" w:eastAsia="Arial" w:hAnsi="Arial"/>
                <w:sz w:val="18"/>
                <w:szCs w:val="18"/>
                <w:color w:val="auto"/>
              </w:rPr>
              <w:t>power purchase agreement</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RoRo</w:t>
            </w:r>
          </w:p>
        </w:tc>
        <w:tc>
          <w:tcPr>
            <w:tcW w:w="6540" w:type="dxa"/>
            <w:vAlign w:val="bottom"/>
          </w:tcPr>
          <w:p>
            <w:pPr>
              <w:ind w:left="1480"/>
              <w:spacing w:after="0"/>
              <w:rPr>
                <w:sz w:val="20"/>
                <w:szCs w:val="20"/>
                <w:color w:val="auto"/>
              </w:rPr>
            </w:pPr>
            <w:r>
              <w:rPr>
                <w:rFonts w:ascii="Arial" w:cs="Arial" w:eastAsia="Arial" w:hAnsi="Arial"/>
                <w:sz w:val="18"/>
                <w:szCs w:val="18"/>
                <w:color w:val="auto"/>
              </w:rPr>
              <w:t>Roll-on/Roll-off</w:t>
            </w:r>
          </w:p>
        </w:tc>
      </w:tr>
      <w:tr>
        <w:trPr>
          <w:trHeight w:val="486"/>
        </w:trPr>
        <w:tc>
          <w:tcPr>
            <w:tcW w:w="3020" w:type="dxa"/>
            <w:vAlign w:val="bottom"/>
            <w:gridSpan w:val="2"/>
          </w:tcPr>
          <w:p>
            <w:pPr>
              <w:spacing w:after="0"/>
              <w:rPr>
                <w:sz w:val="20"/>
                <w:szCs w:val="20"/>
                <w:color w:val="auto"/>
              </w:rPr>
            </w:pPr>
            <w:r>
              <w:rPr>
                <w:rFonts w:ascii="Arial" w:cs="Arial" w:eastAsia="Arial" w:hAnsi="Arial"/>
                <w:sz w:val="18"/>
                <w:szCs w:val="18"/>
                <w:color w:val="auto"/>
              </w:rPr>
              <w:t>SSA</w:t>
            </w:r>
          </w:p>
        </w:tc>
        <w:tc>
          <w:tcPr>
            <w:tcW w:w="6540" w:type="dxa"/>
            <w:vAlign w:val="bottom"/>
          </w:tcPr>
          <w:p>
            <w:pPr>
              <w:ind w:left="1480"/>
              <w:spacing w:after="0"/>
              <w:rPr>
                <w:sz w:val="20"/>
                <w:szCs w:val="20"/>
                <w:color w:val="auto"/>
              </w:rPr>
            </w:pPr>
            <w:r>
              <w:rPr>
                <w:rFonts w:ascii="Arial" w:cs="Arial" w:eastAsia="Arial" w:hAnsi="Arial"/>
                <w:sz w:val="18"/>
                <w:szCs w:val="18"/>
                <w:color w:val="auto"/>
              </w:rPr>
              <w:t>steam supply agreement</w:t>
            </w:r>
          </w:p>
        </w:tc>
      </w:tr>
      <w:tr>
        <w:trPr>
          <w:trHeight w:val="446"/>
        </w:trPr>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540" w:type="dxa"/>
            <w:vAlign w:val="bottom"/>
          </w:tcPr>
          <w:p>
            <w:pPr>
              <w:ind w:left="1680"/>
              <w:spacing w:after="0"/>
              <w:rPr>
                <w:sz w:val="20"/>
                <w:szCs w:val="20"/>
                <w:color w:val="auto"/>
              </w:rPr>
            </w:pPr>
            <w:r>
              <w:rPr>
                <w:rFonts w:ascii="Arial" w:cs="Arial" w:eastAsia="Arial" w:hAnsi="Arial"/>
                <w:sz w:val="18"/>
                <w:szCs w:val="18"/>
                <w:color w:val="auto"/>
              </w:rPr>
              <w:t>iii</w:t>
            </w:r>
          </w:p>
        </w:tc>
      </w:tr>
      <w:tr>
        <w:trPr>
          <w:trHeight w:val="459"/>
        </w:trPr>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68"/>
        </w:trPr>
        <w:tc>
          <w:tcPr>
            <w:tcW w:w="154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654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6" w:right="11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98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2825" cy="719899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100" w:right="180" w:firstLine="360"/>
        <w:spacing w:after="0" w:line="285" w:lineRule="auto"/>
        <w:rPr>
          <w:sz w:val="20"/>
          <w:szCs w:val="20"/>
          <w:color w:val="auto"/>
        </w:rPr>
      </w:pPr>
      <w:r>
        <w:rPr>
          <w:rFonts w:ascii="Arial" w:cs="Arial" w:eastAsia="Arial" w:hAnsi="Arial"/>
          <w:sz w:val="16"/>
          <w:szCs w:val="16"/>
          <w:i w:val="1"/>
          <w:iCs w:val="1"/>
          <w:color w:val="auto"/>
        </w:rPr>
        <w:t>This summary highlights selected information appearing elsewhere in this prospectus. Because it is abbreviated, this summary does not contain all of the information that you should consider before investing in our Class A shares. While this summary highlights what we consider to be the most important information about us, you should read this entire prospectus carefully including, in particular, “Risk Factors,” “Forward-Looking Statements,” “Management’s Discussion and Analysis of Financial Condition and Results of Operations” and the consolidated financial statements and notes included elsewhere in this</w:t>
      </w:r>
    </w:p>
    <w:p>
      <w:pPr>
        <w:spacing w:after="0" w:line="2" w:lineRule="exact"/>
        <w:rPr>
          <w:sz w:val="20"/>
          <w:szCs w:val="20"/>
          <w:color w:val="auto"/>
        </w:rPr>
      </w:pPr>
    </w:p>
    <w:p>
      <w:pPr>
        <w:ind w:left="100" w:right="80"/>
        <w:spacing w:after="0" w:line="253" w:lineRule="auto"/>
        <w:rPr>
          <w:sz w:val="20"/>
          <w:szCs w:val="20"/>
          <w:color w:val="auto"/>
        </w:rPr>
      </w:pPr>
      <w:r>
        <w:rPr>
          <w:rFonts w:ascii="Arial" w:cs="Arial" w:eastAsia="Arial" w:hAnsi="Arial"/>
          <w:sz w:val="18"/>
          <w:szCs w:val="18"/>
          <w:i w:val="1"/>
          <w:iCs w:val="1"/>
          <w:color w:val="auto"/>
        </w:rPr>
        <w:t>prospectus. The information presented in this prospectus assumes (i) an initial public offering price of $ per Class A share (the mid-point of the price range set forth on the cover page of this prospectus), (ii) unless otherwise indicated, that the underwriters’ option to purchase additional Class A shares is not exercised and (iii) excludes Class A shares reserved for issuance under our equity incentive plan. This summary is qualified in its entirety by the more detailed information and financial statements and notes thereto included elsewhere in this prospectus.</w:t>
      </w:r>
    </w:p>
    <w:p>
      <w:pPr>
        <w:spacing w:after="0" w:line="83" w:lineRule="exact"/>
        <w:rPr>
          <w:sz w:val="20"/>
          <w:szCs w:val="20"/>
          <w:color w:val="auto"/>
        </w:rPr>
      </w:pPr>
    </w:p>
    <w:p>
      <w:pPr>
        <w:ind w:left="100" w:firstLine="360"/>
        <w:spacing w:after="0" w:line="269" w:lineRule="auto"/>
        <w:rPr>
          <w:sz w:val="20"/>
          <w:szCs w:val="20"/>
          <w:color w:val="auto"/>
        </w:rPr>
      </w:pPr>
      <w:r>
        <w:rPr>
          <w:rFonts w:ascii="Arial" w:cs="Arial" w:eastAsia="Arial" w:hAnsi="Arial"/>
          <w:sz w:val="17"/>
          <w:szCs w:val="17"/>
          <w:i w:val="1"/>
          <w:iCs w:val="1"/>
          <w:color w:val="auto"/>
        </w:rPr>
        <w:t>Unless the context otherwise requires, references in this prospectus to “Company,” “NFE,” “we,” “our,” “us” or like terms refer to NFE Financial Holdings LLC and its subsidiaries. When used in a historical context, “our,” “us,” “we” or like terms refer to New Fortress Energy Holdings LLC, a Delaware limited liability company (“New Fortress Energy Holdings”), our predecessor for financial reporting purposes. References in this prospectus to “NFI” refer to New Fortress Intermediate LLC,</w:t>
      </w:r>
    </w:p>
    <w:p>
      <w:pPr>
        <w:spacing w:after="0" w:line="2" w:lineRule="exact"/>
        <w:rPr>
          <w:sz w:val="20"/>
          <w:szCs w:val="20"/>
          <w:color w:val="auto"/>
        </w:rPr>
      </w:pPr>
    </w:p>
    <w:p>
      <w:pPr>
        <w:ind w:left="100" w:right="180"/>
        <w:spacing w:after="0" w:line="265" w:lineRule="auto"/>
        <w:rPr>
          <w:sz w:val="20"/>
          <w:szCs w:val="20"/>
          <w:color w:val="auto"/>
        </w:rPr>
      </w:pPr>
      <w:r>
        <w:rPr>
          <w:rFonts w:ascii="Arial" w:cs="Arial" w:eastAsia="Arial" w:hAnsi="Arial"/>
          <w:sz w:val="17"/>
          <w:szCs w:val="17"/>
          <w:i w:val="1"/>
          <w:iCs w:val="1"/>
          <w:color w:val="auto"/>
        </w:rPr>
        <w:t>which following the transactions discussed in this prospectus, will own our operating subsidiaries, including NFE Atlantic Holdings LLC (“NFE Atlantic”) as well as limited assets or liabilities of New Fortress Energy Holdings held prior to the completion of this offering. Upon the completion of this offering, we will own a controlling % membership interest in NFI (through our role as the sole managing member of NFI), and New Fortress Energy Holdings will own a non-controlling %</w:t>
      </w:r>
    </w:p>
    <w:p>
      <w:pPr>
        <w:spacing w:after="0" w:line="1" w:lineRule="exact"/>
        <w:rPr>
          <w:sz w:val="20"/>
          <w:szCs w:val="20"/>
          <w:color w:val="auto"/>
        </w:rPr>
      </w:pPr>
    </w:p>
    <w:p>
      <w:pPr>
        <w:ind w:left="100" w:right="120"/>
        <w:spacing w:after="0" w:line="261" w:lineRule="auto"/>
        <w:rPr>
          <w:sz w:val="20"/>
          <w:szCs w:val="20"/>
          <w:color w:val="auto"/>
        </w:rPr>
      </w:pPr>
      <w:r>
        <w:rPr>
          <w:rFonts w:ascii="Arial" w:cs="Arial" w:eastAsia="Arial" w:hAnsi="Arial"/>
          <w:sz w:val="18"/>
          <w:szCs w:val="18"/>
          <w:i w:val="1"/>
          <w:iCs w:val="1"/>
          <w:color w:val="auto"/>
        </w:rPr>
        <w:t>membership interest in NFI. You should also see the “Glossary of Terms” for definitions of some of the terms we use to describe our business and industry and other terms used in this prospectus.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NFE Financial Holdings LLC</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00" w:firstLine="360"/>
        <w:spacing w:after="0" w:line="270" w:lineRule="auto"/>
        <w:rPr>
          <w:sz w:val="20"/>
          <w:szCs w:val="20"/>
          <w:color w:val="auto"/>
        </w:rPr>
      </w:pPr>
      <w:r>
        <w:rPr>
          <w:rFonts w:ascii="Arial" w:cs="Arial" w:eastAsia="Arial" w:hAnsi="Arial"/>
          <w:sz w:val="17"/>
          <w:szCs w:val="17"/>
          <w:color w:val="auto"/>
        </w:rPr>
        <w:t>We are an established and growing energy infrastructure company with significant current cash flows from contracted customers and robust plans for future growth. We aim to procure “stranded” natural gas and deliver liquefied natural gas (“LNG”) directly to our customers via our flexible, scalable and cost-effective logistics pipeline. We believe the world is “short” power, and “long” natural gas, and that this combination presents a unique opportunity to help fulfill the world’s large and growing power needs by delivering LNG to markets where electricity is expensive, inefficient or in short supply. In those markets we intend to identify key anchor customers to sign long-term, take-or-pay contracts for the supply of natural gas or gas-fired power. That is, we will deliver LNG to independent power producers, as well as other end-users, and we will also develop and own power producing assets fueled by our LNG. In fulfilling these anchor customer contracts, we use owned or chartered logistics assets to control the natural gas delivery chain.</w:t>
      </w:r>
    </w:p>
    <w:p>
      <w:pPr>
        <w:spacing w:after="0" w:line="74" w:lineRule="exact"/>
        <w:rPr>
          <w:sz w:val="20"/>
          <w:szCs w:val="20"/>
          <w:color w:val="auto"/>
        </w:rPr>
      </w:pPr>
    </w:p>
    <w:p>
      <w:pPr>
        <w:ind w:left="100" w:firstLine="360"/>
        <w:spacing w:after="0" w:line="253" w:lineRule="auto"/>
        <w:rPr>
          <w:sz w:val="20"/>
          <w:szCs w:val="20"/>
          <w:color w:val="auto"/>
        </w:rPr>
      </w:pPr>
      <w:r>
        <w:rPr>
          <w:rFonts w:ascii="Arial" w:cs="Arial" w:eastAsia="Arial" w:hAnsi="Arial"/>
          <w:sz w:val="18"/>
          <w:szCs w:val="18"/>
          <w:color w:val="auto"/>
        </w:rPr>
        <w:t>We currently source our LNG from a combination of our own liquefaction facility in Miami, Florida and purchases on the open market. We intend to supply all existing and future customers with LNG produced entirely at our own facilities. We will do this using an enhanced logistics chain, with flexible, efficient non-pipeline modes of transportation such as trucks and rail that will bring LNG to market and to our customers quickly and cost-effectively. Central to this logistics pipeline is a new-build, 3-3.5 million gallon per day liquefier expected to be completed and commissioned in mid-2020 (the “Pennsylvania Facility”). We expect that ownership and operation of the entire supply chain, from fixed-price gas procurement to liquefaction to delivery of LNG to regasification, will reduce the risk to us of future LNG price variations and enable us to supply our existing and future customers with LNG either produced entirely at our own facilities or reflecting that price point, reinforcing our competitive standing in the LNG market.</w:t>
      </w:r>
    </w:p>
    <w:p>
      <w:pPr>
        <w:spacing w:after="0" w:line="89" w:lineRule="exact"/>
        <w:rPr>
          <w:sz w:val="20"/>
          <w:szCs w:val="20"/>
          <w:color w:val="auto"/>
        </w:rPr>
      </w:pPr>
    </w:p>
    <w:p>
      <w:pPr>
        <w:ind w:left="100" w:right="100" w:firstLine="360"/>
        <w:spacing w:after="0" w:line="276" w:lineRule="auto"/>
        <w:rPr>
          <w:sz w:val="20"/>
          <w:szCs w:val="20"/>
          <w:color w:val="auto"/>
        </w:rPr>
      </w:pPr>
      <w:r>
        <w:rPr>
          <w:rFonts w:ascii="Arial" w:cs="Arial" w:eastAsia="Arial" w:hAnsi="Arial"/>
          <w:sz w:val="17"/>
          <w:szCs w:val="17"/>
          <w:color w:val="auto"/>
        </w:rPr>
        <w:t>Our highly scalable, integrated solution has already resulted in rapid, substantial growth, and we believe we are well positioned for additional future growth, particularly given the world’s increasing energy demands. We estimate that, today, over 70% of the world’s electricity is consumed by 10 countries while over a billion people, or 15% of the world’s population, lack access to electricity. We believe this imbalance represents a large addressable market for gas-fired electricity and that our proven approach positions us well to capture a meaningful portion of this market opportunity.</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061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92825" cy="7061835"/>
                    </a:xfrm>
                    <a:prstGeom prst="rect">
                      <a:avLst/>
                    </a:prstGeom>
                    <a:noFill/>
                  </pic:spPr>
                </pic:pic>
              </a:graphicData>
            </a:graphic>
          </wp:anchor>
        </w:drawing>
      </w:r>
    </w:p>
    <w:p>
      <w:pPr>
        <w:spacing w:after="0" w:line="246" w:lineRule="exact"/>
        <w:rPr>
          <w:sz w:val="20"/>
          <w:szCs w:val="20"/>
          <w:color w:val="auto"/>
        </w:rPr>
      </w:pPr>
    </w:p>
    <w:p>
      <w:pPr>
        <w:ind w:left="100" w:right="100" w:firstLine="360"/>
        <w:spacing w:after="0" w:line="259" w:lineRule="auto"/>
        <w:rPr>
          <w:sz w:val="20"/>
          <w:szCs w:val="20"/>
          <w:color w:val="auto"/>
        </w:rPr>
      </w:pPr>
      <w:r>
        <w:rPr>
          <w:rFonts w:ascii="Arial" w:cs="Arial" w:eastAsia="Arial" w:hAnsi="Arial"/>
          <w:sz w:val="18"/>
          <w:szCs w:val="18"/>
          <w:color w:val="auto"/>
        </w:rPr>
        <w:t>Importantly, we believe we have the expertise and the ability to design, develop, construct and commission our energy infrastructure assets as we grow our business. And we believe we have access to sufficient capital to fund our projects, which enables us to approach market opportunities at a time, and in a manner, of our choosing and with a view towards maximizing the likelihood of commercial success for our owners.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17" w:lineRule="exact"/>
        <w:rPr>
          <w:sz w:val="20"/>
          <w:szCs w:val="20"/>
          <w:color w:val="auto"/>
        </w:rPr>
      </w:pPr>
    </w:p>
    <w:p>
      <w:pPr>
        <w:ind w:left="100" w:right="40" w:firstLine="360"/>
        <w:spacing w:after="0" w:line="286" w:lineRule="auto"/>
        <w:rPr>
          <w:sz w:val="20"/>
          <w:szCs w:val="20"/>
          <w:color w:val="auto"/>
        </w:rPr>
      </w:pPr>
      <w:r>
        <w:rPr>
          <w:rFonts w:ascii="Arial" w:cs="Arial" w:eastAsia="Arial" w:hAnsi="Arial"/>
          <w:sz w:val="16"/>
          <w:szCs w:val="16"/>
          <w:color w:val="auto"/>
        </w:rPr>
        <w:t>Market developments around the world continue to generate increasing demand from a wide array of energy users for natural gas and gas-fired power as an alternative to traditional fuels such as coal, diesel, heavy fuel oil (“HFO”) or gasoline. Natural gas is a compelling energy source for several reasons. First, natural gas is often cheaper than oil for comparable energy output – often by as much as 25% on an energy-equivalent basis. Second, in many regions, the price of natural gas, including delivery costs, has historically been less volatile than the price of oil. Third, gas-fired “fast power” is critical in supporting renewable power integration. Solar or wind power works well when the sun is shining or the wind is blowing, but when those conditions are not present, an electricity grid must have an alternative power source at-the-ready. Gas-fired turbines are well suited for this purpose because their reaction times are much quicker than traditional diesel or HFO-fired electricity sources. The combination of renewable power plus fast-responding gas turbines has become a standard configuration for many nations looking to expand their renewable energy footprint. And finally, natural gas is an environmentally cleaner fuel source compared to oil. In a June 2015 study, the U.S. Energy Information Administration conducted an analysis to compare the amount of carbon dioxide emissions per unit of energy output among fossil fuels, including oil, and found that natural gas produces the lowest amount of carbon dioxide of all fossil fuels in the study by a significant margin.</w:t>
      </w:r>
    </w:p>
    <w:p>
      <w:pPr>
        <w:spacing w:after="0" w:line="67" w:lineRule="exact"/>
        <w:rPr>
          <w:sz w:val="20"/>
          <w:szCs w:val="20"/>
          <w:color w:val="auto"/>
        </w:rPr>
      </w:pPr>
    </w:p>
    <w:p>
      <w:pPr>
        <w:ind w:left="100" w:right="40" w:firstLine="360"/>
        <w:spacing w:after="0" w:line="273" w:lineRule="auto"/>
        <w:rPr>
          <w:sz w:val="20"/>
          <w:szCs w:val="20"/>
          <w:color w:val="auto"/>
        </w:rPr>
      </w:pPr>
      <w:r>
        <w:rPr>
          <w:rFonts w:ascii="Arial" w:cs="Arial" w:eastAsia="Arial" w:hAnsi="Arial"/>
          <w:sz w:val="17"/>
          <w:szCs w:val="17"/>
          <w:color w:val="auto"/>
        </w:rPr>
        <w:t>Given these dynamics and the development of more stringent environmental regulations, we believe a number of industries are well-positioned and motivated to convert to gas-fired electricity, and that an enormous amount of power generation capacity must be developed to meet the world’s projected electricity demands. We believe natural gas offers an ideal fuel source, either for conversion of existing diesel or HFO-powered units or as new-build facilities accompanying renewables-based grid planning. In addition, railroads, ships, mining and other industrial operations are examples of significant energy consumers looking for a better alternative to distillate fuels and may use natural gas in the future.</w:t>
      </w:r>
    </w:p>
    <w:p>
      <w:pPr>
        <w:spacing w:after="0" w:line="70" w:lineRule="exact"/>
        <w:rPr>
          <w:sz w:val="20"/>
          <w:szCs w:val="20"/>
          <w:color w:val="auto"/>
        </w:rPr>
      </w:pPr>
    </w:p>
    <w:p>
      <w:pPr>
        <w:ind w:left="100" w:right="40" w:firstLine="360"/>
        <w:spacing w:after="0" w:line="289" w:lineRule="auto"/>
        <w:rPr>
          <w:sz w:val="20"/>
          <w:szCs w:val="20"/>
          <w:color w:val="auto"/>
        </w:rPr>
      </w:pPr>
      <w:r>
        <w:rPr>
          <w:rFonts w:ascii="Arial" w:cs="Arial" w:eastAsia="Arial" w:hAnsi="Arial"/>
          <w:sz w:val="16"/>
          <w:szCs w:val="16"/>
          <w:color w:val="auto"/>
        </w:rPr>
        <w:t>Despite natural gas’s attractive attributes, many power producers and energy consumers that could use natural gas as an energy source have not done so, in part because of the logistical challenges of procuring natural gas in a reliable, useable form. In contrast to distillate fuels, which are easily shipped and delivered, the physical attributes of natural gas make it challenging to transport and deliver to customers. Natural gas has to be processed, liquefied, transported, regasified and then delivered to the consumer. We offer energy consumers a unique and compelling one-stop solution to these challenges. With a fully integrated business model and access to significant sources of capital, we bring natural gas to energy grids, end-user customers, and geographic locations where gas has never been introduced in distributable quantities. As our experience with our current customers has shown, once natural gas is provided as an alternative to distillate fuels it is adopted quickly by users across the demand spectrum, with cost-saving and environmental benefits that multiply with each new customer.</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Liquefaction Assets</w:t>
      </w:r>
    </w:p>
    <w:p>
      <w:pPr>
        <w:spacing w:after="0" w:line="121" w:lineRule="exact"/>
        <w:rPr>
          <w:sz w:val="20"/>
          <w:szCs w:val="20"/>
          <w:color w:val="auto"/>
        </w:rPr>
      </w:pPr>
    </w:p>
    <w:p>
      <w:pPr>
        <w:ind w:left="100" w:right="20" w:firstLine="360"/>
        <w:spacing w:after="0" w:line="257" w:lineRule="auto"/>
        <w:rPr>
          <w:sz w:val="20"/>
          <w:szCs w:val="20"/>
          <w:color w:val="auto"/>
        </w:rPr>
      </w:pPr>
      <w:r>
        <w:rPr>
          <w:rFonts w:ascii="Arial" w:cs="Arial" w:eastAsia="Arial" w:hAnsi="Arial"/>
          <w:sz w:val="18"/>
          <w:szCs w:val="18"/>
          <w:color w:val="auto"/>
        </w:rPr>
        <w:t>A key component of our business strategy is our development of a unique source of LNG production. In addition to our fully operational Miami-Dade Facility, we intend to develop our Pennsylvania Facility as the next of potentially many LNG production facilities. Unlike large, coastal LNG terminals with long development schedules and multi-billion dollar capital budgets, we believe that our liquefaction facilities can be developed quickly and efficiently, using small scale, logistics-enhanced delivery assets to enable inland LNG production to reach oceangoing vessels.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Miami-Dade Facility</w:t>
      </w:r>
    </w:p>
    <w:p>
      <w:pPr>
        <w:spacing w:after="0" w:line="117" w:lineRule="exact"/>
        <w:rPr>
          <w:sz w:val="20"/>
          <w:szCs w:val="20"/>
          <w:color w:val="auto"/>
        </w:rPr>
      </w:pPr>
    </w:p>
    <w:p>
      <w:pPr>
        <w:ind w:left="100" w:firstLine="360"/>
        <w:spacing w:after="0" w:line="259" w:lineRule="auto"/>
        <w:rPr>
          <w:sz w:val="20"/>
          <w:szCs w:val="20"/>
          <w:color w:val="auto"/>
        </w:rPr>
      </w:pPr>
      <w:r>
        <w:rPr>
          <w:rFonts w:ascii="Arial" w:cs="Arial" w:eastAsia="Arial" w:hAnsi="Arial"/>
          <w:sz w:val="18"/>
          <w:szCs w:val="18"/>
          <w:color w:val="auto"/>
        </w:rPr>
        <w:t>Our natural gas liquefaction, storage and production facility located in Miami-Dade County, Florida, which we refer to as the Miami-Dade Facility, enables us to produce LNG for our customers and reduces our dependence on other suppliers for LNG. The facility employs what we believe is one of the largest ISO container fleets in the world. The Miami-Dade Facility, located within an industrial area of Hialeah, Florida, has one</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24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92825" cy="6924675"/>
                    </a:xfrm>
                    <a:prstGeom prst="rect">
                      <a:avLst/>
                    </a:prstGeom>
                    <a:noFill/>
                  </pic:spPr>
                </pic:pic>
              </a:graphicData>
            </a:graphic>
          </wp:anchor>
        </w:drawing>
      </w:r>
    </w:p>
    <w:p>
      <w:pPr>
        <w:spacing w:after="0" w:line="138" w:lineRule="exact"/>
        <w:rPr>
          <w:sz w:val="20"/>
          <w:szCs w:val="20"/>
          <w:color w:val="auto"/>
        </w:rPr>
      </w:pPr>
    </w:p>
    <w:p>
      <w:pPr>
        <w:ind w:left="100" w:right="120"/>
        <w:spacing w:after="0" w:line="257" w:lineRule="auto"/>
        <w:rPr>
          <w:sz w:val="20"/>
          <w:szCs w:val="20"/>
          <w:color w:val="auto"/>
        </w:rPr>
      </w:pPr>
      <w:r>
        <w:rPr>
          <w:rFonts w:ascii="Arial" w:cs="Arial" w:eastAsia="Arial" w:hAnsi="Arial"/>
          <w:sz w:val="18"/>
          <w:szCs w:val="18"/>
          <w:color w:val="auto"/>
        </w:rPr>
        <w:t>liquefaction train with liquefaction production capacity of approximately 100,000 gallons of LNG per day. The facility also has three LNG storage tanks, with total capacity of approximately 270,000 gallons. The plant also includes two LNG transfer areas. The first transfer area has the capability to load LNG tank trucks, through two truck bays, at a rate of 200 gallons per minute per truck. The second transfer area is for loading LNG onto railroad tank cars for use as a locomotive fuel or rail-based ISO containers.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Pennsylvania Facility</w:t>
      </w:r>
    </w:p>
    <w:p>
      <w:pPr>
        <w:spacing w:after="0" w:line="117" w:lineRule="exact"/>
        <w:rPr>
          <w:sz w:val="20"/>
          <w:szCs w:val="20"/>
          <w:color w:val="auto"/>
        </w:rPr>
      </w:pPr>
    </w:p>
    <w:p>
      <w:pPr>
        <w:ind w:left="100" w:right="40" w:firstLine="360"/>
        <w:spacing w:after="0" w:line="272" w:lineRule="auto"/>
        <w:rPr>
          <w:sz w:val="20"/>
          <w:szCs w:val="20"/>
          <w:color w:val="auto"/>
        </w:rPr>
      </w:pPr>
      <w:r>
        <w:rPr>
          <w:rFonts w:ascii="Arial" w:cs="Arial" w:eastAsia="Arial" w:hAnsi="Arial"/>
          <w:sz w:val="17"/>
          <w:szCs w:val="17"/>
          <w:color w:val="auto"/>
        </w:rPr>
        <w:t>In Northern Pennsylvania, we are working to develop, own and operate an enhanced logistics chain, utilizing flexible, efficient non-pipeline modes of transportation such as trucks and rail to bring LNG to market and to our customers quickly and cost-effectively. Central to this logistics pipeline is a new-build, 3-3.5 million gallon per day liquefier, which we refer to as the Pennsylvania Facility. The Pennsylvania Facility is in advanced stages of design, development and permitting and we expect it to be completed and commissioned in mid-2020. We have already entered into a 15-year, take-or-pay contract for a substantial portion of our expected gas needs for our Pennsylvania Facility, which is effective upon fulfillment of certain conditions precedent, and we expect to upsize this arrangement in the near future.</w:t>
      </w:r>
    </w:p>
    <w:p>
      <w:pPr>
        <w:spacing w:after="0" w:line="70" w:lineRule="exact"/>
        <w:rPr>
          <w:sz w:val="20"/>
          <w:szCs w:val="20"/>
          <w:color w:val="auto"/>
        </w:rPr>
      </w:pPr>
    </w:p>
    <w:p>
      <w:pPr>
        <w:ind w:left="100" w:right="40" w:firstLine="360"/>
        <w:spacing w:after="0" w:line="276" w:lineRule="auto"/>
        <w:rPr>
          <w:sz w:val="20"/>
          <w:szCs w:val="20"/>
          <w:color w:val="auto"/>
        </w:rPr>
      </w:pPr>
      <w:r>
        <w:rPr>
          <w:rFonts w:ascii="Arial" w:cs="Arial" w:eastAsia="Arial" w:hAnsi="Arial"/>
          <w:sz w:val="17"/>
          <w:szCs w:val="17"/>
          <w:color w:val="auto"/>
        </w:rPr>
        <w:t>Once LNG is produced at our Pennsylvania Facility, a dedicated tanker fleet will transport the LNG to a nearby port. We are currently developing plans with a potential port partner at an Eastern Seaboard location, and we expect to finalize a long-term contract prior to the completion of this offering. Under these plans, we expect that LNG will be transferred directly from tanker truck to oceangoing vessel through multiple transloading bays, allowing for simultaneous and continuous operations. From there, our dedicated fleet of marine vessels will transport the LNG to our customers worldwide.</w:t>
      </w:r>
    </w:p>
    <w:p>
      <w:pPr>
        <w:spacing w:after="0" w:line="64" w:lineRule="exact"/>
        <w:rPr>
          <w:sz w:val="20"/>
          <w:szCs w:val="20"/>
          <w:color w:val="auto"/>
        </w:rPr>
      </w:pPr>
    </w:p>
    <w:p>
      <w:pPr>
        <w:ind w:left="100" w:right="20" w:firstLine="360"/>
        <w:spacing w:after="0" w:line="279" w:lineRule="auto"/>
        <w:rPr>
          <w:sz w:val="20"/>
          <w:szCs w:val="20"/>
          <w:color w:val="auto"/>
        </w:rPr>
      </w:pPr>
      <w:r>
        <w:rPr>
          <w:rFonts w:ascii="Arial" w:cs="Arial" w:eastAsia="Arial" w:hAnsi="Arial"/>
          <w:sz w:val="17"/>
          <w:szCs w:val="17"/>
          <w:color w:val="auto"/>
        </w:rPr>
        <w:t>We expect that ownership and operation of the entire supply chain, from fixed-price gas procurement to liquefaction of LNG at the Pennsylvania Facility to delivery and transloading at our Eastern Seaboard port partner, will reduce the risk to us of future LNG price variations and enable us to supply our existing and future customers with LNG either produced entirely at our own facilities or reflecting that price point, reinforcing our competitive standing in the LNG market.</w:t>
      </w:r>
    </w:p>
    <w:p>
      <w:pPr>
        <w:spacing w:after="0" w:line="63" w:lineRule="exact"/>
        <w:rPr>
          <w:sz w:val="20"/>
          <w:szCs w:val="20"/>
          <w:color w:val="auto"/>
        </w:rPr>
      </w:pPr>
    </w:p>
    <w:p>
      <w:pPr>
        <w:ind w:left="100" w:right="240" w:firstLine="360"/>
        <w:spacing w:after="0" w:line="277" w:lineRule="auto"/>
        <w:rPr>
          <w:sz w:val="20"/>
          <w:szCs w:val="20"/>
          <w:color w:val="auto"/>
        </w:rPr>
      </w:pPr>
      <w:r>
        <w:rPr>
          <w:rFonts w:ascii="Arial" w:cs="Arial" w:eastAsia="Arial" w:hAnsi="Arial"/>
          <w:sz w:val="18"/>
          <w:szCs w:val="18"/>
          <w:color w:val="auto"/>
        </w:rPr>
        <w:t>For additional information on our Pennsylvania Facility, please read “Business—Our Liquefaction Assets—Pennsylvania Facility.”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Current Downstream Customers</w:t>
      </w:r>
    </w:p>
    <w:p>
      <w:pPr>
        <w:spacing w:after="0" w:line="121" w:lineRule="exact"/>
        <w:rPr>
          <w:sz w:val="20"/>
          <w:szCs w:val="20"/>
          <w:color w:val="auto"/>
        </w:rPr>
      </w:pPr>
    </w:p>
    <w:p>
      <w:pPr>
        <w:ind w:left="100" w:firstLine="360"/>
        <w:spacing w:after="0" w:line="270" w:lineRule="auto"/>
        <w:rPr>
          <w:sz w:val="20"/>
          <w:szCs w:val="20"/>
          <w:color w:val="auto"/>
        </w:rPr>
      </w:pPr>
      <w:r>
        <w:rPr>
          <w:rFonts w:ascii="Arial" w:cs="Arial" w:eastAsia="Arial" w:hAnsi="Arial"/>
          <w:sz w:val="17"/>
          <w:szCs w:val="17"/>
          <w:color w:val="auto"/>
        </w:rPr>
        <w:t>Our management team has successfully employed our strategy to secure long-term, take-or-pay contracts with downstream customers such as Jamaica Public Service Company Limited (“JPS”), the sole public utility in Jamaica, South Jamaica Power Company Limited (“JPC”), an affiliate of JPS, and Jamalco, a joint venture between General Alumina Jamaica LLC (“GAJ”), a subsidiary of Noble Group, and Clarendon Alumina Production Limited (“CAP”), an entity owned by the Government of Jamaica, with a focus on bauxite mining and alumina production in Jamaica (“Jamalco”), each of which is described in more detail in “Business—Our Current Downstream Customers.” The assets built to service JPS have, and the assets built to service JPC and Jamalco will have, capacity to service other customers. We currently procure our LNG to fulfill these contracts either by purchasing it under a multi-cargo contract with Centrica LNG Company Limited (“Centrica”) or by manufacturing it in our Miami-Dade Facility. We are in the process of developing the infrastructure necessary to supply our existing and future customers with LNG produced entirely at our own facilities, including our Pennsylvania Facility.</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left="100" w:right="180" w:firstLine="360"/>
        <w:spacing w:after="0" w:line="255" w:lineRule="auto"/>
        <w:rPr>
          <w:sz w:val="20"/>
          <w:szCs w:val="20"/>
          <w:color w:val="auto"/>
        </w:rPr>
      </w:pPr>
      <w:r>
        <w:rPr>
          <w:rFonts w:ascii="Arial" w:cs="Arial" w:eastAsia="Arial" w:hAnsi="Arial"/>
          <w:sz w:val="18"/>
          <w:szCs w:val="18"/>
          <w:color w:val="auto"/>
        </w:rPr>
        <w:t>We believe our existing agreements with JPS, JPC and Jamalco validate our business strategy and position us to grow our business both in the Atlantic Basin and beyond. We are currently exploring opportunities to expand our business into new markets, including Puerto Rico, Baja, Mexico, the Bahamas and other areas in Mexico. Given the demand for natural gas-fired power, we believe there are significant opportunities to replicate our current projects in densely populated regions with existing marine infrastructure that are dependent on energy sources that are more expensive and environmentally “dirtier” than natural gas. This demand could increase if environmental regulations incentivize or require energy consumers to use fuels other than traditional oil-based alternatives.</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36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92825" cy="7336155"/>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left="100" w:right="820" w:firstLine="360"/>
        <w:spacing w:after="0" w:line="308" w:lineRule="auto"/>
        <w:rPr>
          <w:sz w:val="20"/>
          <w:szCs w:val="20"/>
          <w:color w:val="auto"/>
        </w:rPr>
      </w:pPr>
      <w:r>
        <w:rPr>
          <w:rFonts w:ascii="Arial" w:cs="Arial" w:eastAsia="Arial" w:hAnsi="Arial"/>
          <w:sz w:val="17"/>
          <w:szCs w:val="17"/>
          <w:color w:val="auto"/>
        </w:rPr>
        <w:t>Our primary business objective is to provide superior returns to our shareholders as a vertically integrated energy infrastructure company. We intend to accomplish this objective by implementing the following strategies:</w:t>
      </w:r>
    </w:p>
    <w:p>
      <w:pPr>
        <w:spacing w:after="0" w:line="38" w:lineRule="exact"/>
        <w:rPr>
          <w:sz w:val="20"/>
          <w:szCs w:val="20"/>
          <w:color w:val="auto"/>
        </w:rPr>
      </w:pPr>
    </w:p>
    <w:p>
      <w:pPr>
        <w:ind w:left="800" w:right="60" w:hanging="342"/>
        <w:spacing w:after="0" w:line="255"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develop LNG liquefaction and distribution facilities</w:t>
      </w:r>
      <w:r>
        <w:rPr>
          <w:rFonts w:ascii="Arial" w:cs="Arial" w:eastAsia="Arial" w:hAnsi="Arial"/>
          <w:sz w:val="18"/>
          <w:szCs w:val="18"/>
          <w:color w:val="auto"/>
        </w:rPr>
        <w:t>. We currently procure our LNG either by purchasing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on the open markets in amounts sufficient to service our customers’ needs or by manufacturing it in our Miami-Dade Facility. Following this offering, we intend to continue to develop the infrastructure necessary to supply our existing and future customers with LNG produced entirely at our facilities, including our Pennsylvania Facility. We expect that ownership of this vertical supply chain, from fixed-price gas procurement to liquefaction to delivery of LNG, will reduce our (and our customers’) future LNG price variations, thereby reinforcing our competitive standing in the LNG market.</w:t>
      </w:r>
    </w:p>
    <w:p>
      <w:pPr>
        <w:spacing w:after="0" w:line="81" w:lineRule="exact"/>
        <w:rPr>
          <w:rFonts w:ascii="Arial" w:cs="Arial" w:eastAsia="Arial" w:hAnsi="Arial"/>
          <w:sz w:val="18"/>
          <w:szCs w:val="18"/>
          <w:color w:val="auto"/>
        </w:rPr>
      </w:pPr>
    </w:p>
    <w:p>
      <w:pPr>
        <w:ind w:left="800" w:right="60" w:hanging="342"/>
        <w:spacing w:after="0" w:line="270" w:lineRule="auto"/>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LNG distribution business</w:t>
      </w:r>
      <w:r>
        <w:rPr>
          <w:rFonts w:ascii="Arial" w:cs="Arial" w:eastAsia="Arial" w:hAnsi="Arial"/>
          <w:sz w:val="17"/>
          <w:szCs w:val="17"/>
          <w:color w:val="auto"/>
        </w:rPr>
        <w:t>. Our sales and marketing team seeks to identify utilities, transportation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or industrial end-users who may view natural gas or LNG as a potentially compelling alternative to traditional distillate fuels and enter into long-term, take-or-pay contracts for our products and services. Following entry into these agreements, we intend to develop the necessary infrastructure to deliver natural gas or LNG directly to the consumer in readily usable form and, in the case of power generation or steam production, to produce and deliver the required quantities of power or steam. Our comprehensive infrastructure and management services and our experience as a first mover in the Atlantic Basin should allow us to expand our footprint in the Atlantic Basin and beyond to new customers as demand for alternatives to traditional energy sources continues to expand. Following this offering, we intend to expand our footprint and enhance our service offerings to our current customers while developing relationships with new customers.</w:t>
      </w:r>
    </w:p>
    <w:p>
      <w:pPr>
        <w:spacing w:after="0" w:line="69" w:lineRule="exact"/>
        <w:rPr>
          <w:rFonts w:ascii="Arial" w:cs="Arial" w:eastAsia="Arial" w:hAnsi="Arial"/>
          <w:sz w:val="17"/>
          <w:szCs w:val="17"/>
          <w:color w:val="auto"/>
        </w:rPr>
      </w:pPr>
    </w:p>
    <w:p>
      <w:pPr>
        <w:ind w:left="800" w:right="60" w:hanging="342"/>
        <w:spacing w:after="0" w:line="291"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Develop gas-fired power generation assets</w:t>
      </w:r>
      <w:r>
        <w:rPr>
          <w:rFonts w:ascii="Arial" w:cs="Arial" w:eastAsia="Arial" w:hAnsi="Arial"/>
          <w:sz w:val="16"/>
          <w:szCs w:val="16"/>
          <w:color w:val="auto"/>
        </w:rPr>
        <w:t>. We believe that developing and constructing our own gas-fired 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assets is a compelling growth strategy for our Company. We are currently developing a dual-fired combined heat and power facility in Clarendon, Jamaica (the “CHP Plant”), from which we expect to supply electricity to JPS under a long-term contract. Because we intend to control the entire “spark spread” from upstream production to delivery of electricity to a customer or grid, we are able to capture economic value in a way our competitors likely cannot. For example, the cost of fuel is a pass-through for most power producers. Because we would supply these power plants with our own LNG and natural gas, we capture fuel economics which can be significant.</w:t>
      </w:r>
    </w:p>
    <w:p>
      <w:pPr>
        <w:spacing w:after="0" w:line="59" w:lineRule="exact"/>
        <w:rPr>
          <w:rFonts w:ascii="Arial" w:cs="Arial" w:eastAsia="Arial" w:hAnsi="Arial"/>
          <w:sz w:val="16"/>
          <w:szCs w:val="16"/>
          <w:color w:val="auto"/>
        </w:rPr>
      </w:pPr>
    </w:p>
    <w:p>
      <w:pPr>
        <w:ind w:left="800" w:hanging="342"/>
        <w:spacing w:after="0" w:line="291"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build-out our Caribbean infrastructure</w:t>
      </w:r>
      <w:r>
        <w:rPr>
          <w:rFonts w:ascii="Arial" w:cs="Arial" w:eastAsia="Arial" w:hAnsi="Arial"/>
          <w:sz w:val="16"/>
          <w:szCs w:val="16"/>
          <w:color w:val="auto"/>
        </w:rPr>
        <w:t>. Our take-or-pay gas supply agreements and steam supply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with electric utilities and industrial end-users in Jamaica provide us with stable, long-term contracted cash flows. In order to service these contracts efficiently and cost effectively, we have begun to develop the necessary assets and infrastructure in Jamaica. Following this offering, we intend to continue to develop and optimize our Jamaica infrastructure to provide natural gas, LNG, steam or electricity in readily usable form directly to our customers. Beyond these prospects, we intend to selectively identify and market our services to energy customers who view natural gas or LNG as a compelling alternative to other fuel sources that will allow us to further expand our footprint.</w:t>
      </w:r>
    </w:p>
    <w:p>
      <w:pPr>
        <w:spacing w:after="0" w:line="59" w:lineRule="exact"/>
        <w:rPr>
          <w:rFonts w:ascii="Arial" w:cs="Arial" w:eastAsia="Arial" w:hAnsi="Arial"/>
          <w:sz w:val="16"/>
          <w:szCs w:val="16"/>
          <w:color w:val="auto"/>
        </w:rPr>
      </w:pPr>
    </w:p>
    <w:p>
      <w:pPr>
        <w:ind w:left="800" w:hanging="342"/>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Maintain financial strength and flexibility</w:t>
      </w:r>
      <w:r>
        <w:rPr>
          <w:rFonts w:ascii="Arial" w:cs="Arial" w:eastAsia="Arial" w:hAnsi="Arial"/>
          <w:sz w:val="16"/>
          <w:szCs w:val="16"/>
          <w:color w:val="auto"/>
        </w:rPr>
        <w:t>. We will seek to maintain a conservative balance sheet, which will allow us</w:t>
      </w:r>
    </w:p>
    <w:p>
      <w:pPr>
        <w:sectPr>
          <w:pgSz w:w="11900" w:h="16838" w:orient="portrait"/>
          <w:cols w:equalWidth="0" w:num="1">
            <w:col w:w="9440"/>
          </w:cols>
          <w:pgMar w:left="1180" w:top="279" w:right="1279" w:bottom="1440" w:gutter="0" w:footer="0" w:header="0"/>
        </w:sectPr>
      </w:pPr>
    </w:p>
    <w:p>
      <w:pPr>
        <w:spacing w:after="0" w:line="46" w:lineRule="exact"/>
        <w:rPr>
          <w:sz w:val="20"/>
          <w:szCs w:val="20"/>
          <w:color w:val="auto"/>
        </w:rPr>
      </w:pPr>
    </w:p>
    <w:p>
      <w:pPr>
        <w:jc w:val="both"/>
        <w:ind w:left="800" w:right="60"/>
        <w:spacing w:after="0" w:line="265" w:lineRule="auto"/>
        <w:rPr>
          <w:sz w:val="20"/>
          <w:szCs w:val="20"/>
          <w:color w:val="auto"/>
        </w:rPr>
      </w:pPr>
      <w:r>
        <w:rPr>
          <w:rFonts w:ascii="Arial" w:cs="Arial" w:eastAsia="Arial" w:hAnsi="Arial"/>
          <w:sz w:val="17"/>
          <w:szCs w:val="17"/>
          <w:color w:val="auto"/>
        </w:rPr>
        <w:t>to better react to our customers’ changing needs. As of the closing of this offering, we expect to have $ in total assets (including $ in cash and cash equivalents) and $ of total indebtedness outstanding. We believe this low</w:t>
      </w:r>
    </w:p>
    <w:p>
      <w:pPr>
        <w:sectPr>
          <w:pgSz w:w="11900" w:h="16838" w:orient="portrait"/>
          <w:cols w:equalWidth="0" w:num="1">
            <w:col w:w="9440"/>
          </w:cols>
          <w:pgMar w:left="1180" w:top="279" w:right="1279" w:bottom="1440" w:gutter="0" w:footer="0" w:header="0"/>
          <w:type w:val="continuous"/>
        </w:sectPr>
      </w:pPr>
    </w:p>
    <w:p>
      <w:pPr>
        <w:ind w:left="800" w:right="40"/>
        <w:spacing w:after="0" w:line="261" w:lineRule="auto"/>
        <w:rPr>
          <w:sz w:val="20"/>
          <w:szCs w:val="20"/>
          <w:color w:val="auto"/>
        </w:rPr>
      </w:pPr>
      <w:r>
        <w:rPr>
          <w:rFonts w:ascii="Arial" w:cs="Arial" w:eastAsia="Arial" w:hAnsi="Arial"/>
          <w:sz w:val="18"/>
          <w:szCs w:val="18"/>
          <w:color w:val="auto"/>
        </w:rPr>
        <w:t>leverage and robust cash position, along with our cash flows from operations will provide us with sufficient liquidity to execute on the business strategies discussed above.</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00" w:right="160" w:firstLine="360"/>
        <w:spacing w:after="0" w:line="277" w:lineRule="auto"/>
        <w:rPr>
          <w:sz w:val="20"/>
          <w:szCs w:val="20"/>
          <w:color w:val="auto"/>
        </w:rPr>
      </w:pPr>
      <w:r>
        <w:rPr>
          <w:rFonts w:ascii="Arial" w:cs="Arial" w:eastAsia="Arial" w:hAnsi="Arial"/>
          <w:sz w:val="18"/>
          <w:szCs w:val="18"/>
          <w:color w:val="auto"/>
        </w:rPr>
        <w:t>We believe we are well positioned to achieve our primary business objectives and execute our business strategies based on the following competitive strengths:</w:t>
      </w:r>
    </w:p>
    <w:p>
      <w:pPr>
        <w:spacing w:after="0" w:line="62" w:lineRule="exact"/>
        <w:rPr>
          <w:sz w:val="20"/>
          <w:szCs w:val="20"/>
          <w:color w:val="auto"/>
        </w:rPr>
      </w:pPr>
    </w:p>
    <w:p>
      <w:pPr>
        <w:ind w:left="800" w:right="40" w:hanging="342"/>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energy solution creates new customer base</w:t>
      </w:r>
      <w:r>
        <w:rPr>
          <w:rFonts w:ascii="Arial" w:cs="Arial" w:eastAsia="Arial" w:hAnsi="Arial"/>
          <w:sz w:val="18"/>
          <w:szCs w:val="18"/>
          <w:color w:val="auto"/>
        </w:rPr>
        <w:t>. We offer our customers a comprehensive energy solution.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the infrastructure and manage the logistics necessary to deliver natural gas or LNG directly to our customers in amounts tailored to their consumption needs. In addition, we offer to construct or convert power generation assets to burn natural gas, thereby producing cleaner and</w:t>
      </w: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78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2825" cy="6787515"/>
                    </a:xfrm>
                    <a:prstGeom prst="rect">
                      <a:avLst/>
                    </a:prstGeom>
                    <a:noFill/>
                  </pic:spPr>
                </pic:pic>
              </a:graphicData>
            </a:graphic>
          </wp:anchor>
        </w:drawing>
      </w:r>
    </w:p>
    <w:p>
      <w:pPr>
        <w:spacing w:after="0" w:line="138"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cheaper electricity. By offering a comprehensive solution, we believe we can prompt meaningful numbers of significant energy consumers—such as power utilities, railroads, ships, mining and other industrial operations looking for a better alternative to oil to convert to natural gas and enter into contracts with us.</w:t>
      </w:r>
    </w:p>
    <w:p>
      <w:pPr>
        <w:spacing w:after="0" w:line="73" w:lineRule="exact"/>
        <w:rPr>
          <w:sz w:val="20"/>
          <w:szCs w:val="20"/>
          <w:color w:val="auto"/>
        </w:rPr>
      </w:pPr>
    </w:p>
    <w:p>
      <w:pPr>
        <w:ind w:left="800" w:right="120" w:hanging="342"/>
        <w:spacing w:after="0" w:line="289"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Demonstrated ability to execute</w:t>
      </w:r>
      <w:r>
        <w:rPr>
          <w:rFonts w:ascii="Arial" w:cs="Arial" w:eastAsia="Arial" w:hAnsi="Arial"/>
          <w:sz w:val="16"/>
          <w:szCs w:val="16"/>
          <w:color w:val="auto"/>
        </w:rPr>
        <w:t>. The success of our business strategy and its benefit to our customers is demonstrated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our proven ability to secure long-term, take-or-pay contracts. Our LNG storage and regasification terminal at the Port of Montego Bay, Jamaica (the “Montego Bay Terminal”) and related infrastructure (operational since October 30, 2016) has enabled JPS to use natural gas at the Bogue Power Plant in Montego Bay, Jamaica (the “Bogue Power Plant”), rather than rely on automotive diesel oil (“ADO”), at prices that are competitive with ADO. We have also entered into a long-term, take-or-pay contract with JPC to supply JPC’s Old Harbour Power Plant in Old Harbour, Jamaica (the “Old Harbour Power Plant”) with LNG, a 20-year steam supply agreement (“SSA”) to supply Jamalco with steam for use in its alumina refinery operations, and a 20-year power purchase agreement (“PPA”) to supply electricity to the Jamaica power grid from our CHP Plant in Clarendon, Jamaica.</w:t>
      </w:r>
    </w:p>
    <w:p>
      <w:pPr>
        <w:spacing w:after="0" w:line="58" w:lineRule="exact"/>
        <w:rPr>
          <w:rFonts w:ascii="Arial" w:cs="Arial" w:eastAsia="Arial" w:hAnsi="Arial"/>
          <w:sz w:val="16"/>
          <w:szCs w:val="16"/>
          <w:color w:val="auto"/>
        </w:rPr>
      </w:pPr>
    </w:p>
    <w:p>
      <w:pPr>
        <w:ind w:left="800" w:right="100" w:hanging="342"/>
        <w:spacing w:after="0" w:line="290"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Economically and environmentally attractive product</w:t>
      </w:r>
      <w:r>
        <w:rPr>
          <w:rFonts w:ascii="Arial" w:cs="Arial" w:eastAsia="Arial" w:hAnsi="Arial"/>
          <w:sz w:val="16"/>
          <w:szCs w:val="16"/>
          <w:color w:val="auto"/>
        </w:rPr>
        <w:t>. We believe natural gas is a cheaper, cleaner and thus superior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alternative energy source to traditional oil-based fuels. According to our internal estimates, on an energy equivalent basis using recent pricing, natural gas provides meaningfully more energy per dollar spent compared to diesel. Importantly, natural gas is also an environmentally cleaner fuel source compared to oil. In a June 2015 study, the U.S. Energy Information Administration conducted an analysis to compare the amount of carbon dioxide emissions per unit of energy output among fossil fuels, including oil, and found that natural gas produces the lowest amount of carbon dioxide of all fossil fuels in the study. Natural gas’s attributes, coupled with the development of more stringent environmental regulations, make it a compelling energy source for many energy consumers.</w:t>
      </w:r>
    </w:p>
    <w:p>
      <w:pPr>
        <w:spacing w:after="0" w:line="58" w:lineRule="exact"/>
        <w:rPr>
          <w:rFonts w:ascii="Arial" w:cs="Arial" w:eastAsia="Arial" w:hAnsi="Arial"/>
          <w:sz w:val="16"/>
          <w:szCs w:val="16"/>
          <w:color w:val="auto"/>
        </w:rPr>
      </w:pPr>
    </w:p>
    <w:p>
      <w:pPr>
        <w:ind w:left="800" w:right="120" w:hanging="342"/>
        <w:spacing w:after="0" w:line="25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Scalable infrastructure can drive margin expansion</w:t>
      </w:r>
      <w:r>
        <w:rPr>
          <w:rFonts w:ascii="Arial" w:cs="Arial" w:eastAsia="Arial" w:hAnsi="Arial"/>
          <w:sz w:val="18"/>
          <w:szCs w:val="18"/>
          <w:color w:val="auto"/>
        </w:rPr>
        <w:t>. Our Jamaica Terminals, CHP Plant and other infrastructure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us to deliver natural gas to additional islands throughout the Atlantic Basin and beyond. We believe we can augment our existing infrastructure by investing limited amounts of additional capital to expand uses with our largest customers and to secure new customers at favorable margins. We expect that significant expansion of our liquefaction capabilities and our delivery logistics chain through the development, ownership and operation of the Pennsylvania Facility, together with the current operations at the Miami-Dade Facility, will enable us to supply our existing and future customers with LNG produced entirely at our own facilities and will help to reduce the risk of future LNG price variations.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Relationship with New Fortress Energy Holdings and its Affiliates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Following the completion of this offering, New Fortress Energy Holdings will retain a significant interest in us through its</w:t>
      </w:r>
    </w:p>
    <w:p>
      <w:pPr>
        <w:spacing w:after="0" w:line="35" w:lineRule="exact"/>
        <w:rPr>
          <w:sz w:val="20"/>
          <w:szCs w:val="20"/>
          <w:color w:val="auto"/>
        </w:rPr>
      </w:pPr>
    </w:p>
    <w:p>
      <w:pPr>
        <w:ind w:left="520" w:right="100" w:hanging="404"/>
        <w:spacing w:after="0" w:line="261" w:lineRule="auto"/>
        <w:rPr>
          <w:sz w:val="20"/>
          <w:szCs w:val="20"/>
          <w:color w:val="auto"/>
        </w:rPr>
      </w:pPr>
      <w:r>
        <w:rPr>
          <w:rFonts w:ascii="Arial" w:cs="Arial" w:eastAsia="Arial" w:hAnsi="Arial"/>
          <w:sz w:val="18"/>
          <w:szCs w:val="18"/>
          <w:color w:val="auto"/>
        </w:rPr>
        <w:t>ownership of</w:t>
      </w:r>
      <w:r>
        <w:rPr>
          <w:sz w:val="20"/>
          <w:szCs w:val="20"/>
          <w:color w:val="auto"/>
        </w:rPr>
        <w:t xml:space="preserve"> </w:t>
      </w:r>
      <w:r>
        <w:rPr>
          <w:rFonts w:ascii="Arial" w:cs="Arial" w:eastAsia="Arial" w:hAnsi="Arial"/>
          <w:sz w:val="18"/>
          <w:szCs w:val="18"/>
          <w:color w:val="auto"/>
        </w:rPr>
        <w:t>Class B shares, representing a % voting and non-economic limited liability company interest in us and a % economic interest in NFI.</w:t>
      </w:r>
    </w:p>
    <w:p>
      <w:pPr>
        <w:spacing w:after="0" w:line="76" w:lineRule="exact"/>
        <w:rPr>
          <w:sz w:val="20"/>
          <w:szCs w:val="20"/>
          <w:color w:val="auto"/>
        </w:rPr>
      </w:pPr>
    </w:p>
    <w:p>
      <w:pPr>
        <w:ind w:left="100" w:right="160" w:firstLine="360"/>
        <w:spacing w:after="0" w:line="286" w:lineRule="auto"/>
        <w:rPr>
          <w:sz w:val="20"/>
          <w:szCs w:val="20"/>
          <w:color w:val="auto"/>
        </w:rPr>
      </w:pPr>
      <w:r>
        <w:rPr>
          <w:rFonts w:ascii="Arial" w:cs="Arial" w:eastAsia="Arial" w:hAnsi="Arial"/>
          <w:sz w:val="17"/>
          <w:szCs w:val="17"/>
          <w:color w:val="auto"/>
        </w:rPr>
        <w:t>A substantial majority of the equity of New Fortress Energy Holdings is owned by Fortress Equity Partners (A) LP (the “Fortress Shareholder”), a Delaware limited partnership. The Fortress Shareholder is managed by FIG LLC, a Delaware limited liability company (“FIG LLC”), which is an affiliate of Fortress Investment Group LLC (“Fortress”).</w:t>
      </w:r>
    </w:p>
    <w:p>
      <w:pPr>
        <w:spacing w:after="0" w:line="57" w:lineRule="exact"/>
        <w:rPr>
          <w:sz w:val="20"/>
          <w:szCs w:val="20"/>
          <w:color w:val="auto"/>
        </w:rPr>
      </w:pPr>
    </w:p>
    <w:p>
      <w:pPr>
        <w:ind w:left="100" w:right="300" w:firstLine="360"/>
        <w:spacing w:after="0" w:line="277" w:lineRule="auto"/>
        <w:rPr>
          <w:sz w:val="20"/>
          <w:szCs w:val="20"/>
          <w:color w:val="auto"/>
        </w:rPr>
      </w:pPr>
      <w:r>
        <w:rPr>
          <w:rFonts w:ascii="Arial" w:cs="Arial" w:eastAsia="Arial" w:hAnsi="Arial"/>
          <w:sz w:val="18"/>
          <w:szCs w:val="18"/>
          <w:color w:val="auto"/>
        </w:rPr>
        <w:t>While our relationship with New Fortress Energy Holdings and its affiliates is a significant strength, it is also a source of potential conflicts. Please read “—Controlled Company Status” and “Risk Factors.”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Emerging Growth Company Status</w:t>
      </w:r>
    </w:p>
    <w:p>
      <w:pPr>
        <w:spacing w:after="0" w:line="121" w:lineRule="exact"/>
        <w:rPr>
          <w:sz w:val="20"/>
          <w:szCs w:val="20"/>
          <w:color w:val="auto"/>
        </w:rPr>
      </w:pPr>
    </w:p>
    <w:p>
      <w:pPr>
        <w:ind w:left="100" w:right="140" w:firstLine="36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For as long as we are an emerging growth company, unlike other public companies, we will not be required to:</w:t>
      </w:r>
    </w:p>
    <w:p>
      <w:pPr>
        <w:spacing w:after="0" w:line="62" w:lineRule="exact"/>
        <w:rPr>
          <w:sz w:val="20"/>
          <w:szCs w:val="20"/>
          <w:color w:val="auto"/>
        </w:rPr>
      </w:pPr>
    </w:p>
    <w:p>
      <w:pPr>
        <w:ind w:left="800" w:right="360" w:hanging="342"/>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an auditor’s attestation report on the effectiveness of our system of internal control over financial reporting pursuant to Section 404(b) of the Sarbanes-Oxley Act of 2002 (the “Sarbanes-Oxley Act”);</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718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2825" cy="6718935"/>
                    </a:xfrm>
                    <a:prstGeom prst="rect">
                      <a:avLst/>
                    </a:prstGeom>
                    <a:noFill/>
                  </pic:spPr>
                </pic:pic>
              </a:graphicData>
            </a:graphic>
          </wp:anchor>
        </w:drawing>
      </w:r>
    </w:p>
    <w:p>
      <w:pPr>
        <w:spacing w:after="0" w:line="246" w:lineRule="exact"/>
        <w:rPr>
          <w:sz w:val="20"/>
          <w:szCs w:val="20"/>
          <w:color w:val="auto"/>
        </w:rPr>
      </w:pPr>
    </w:p>
    <w:p>
      <w:pPr>
        <w:ind w:left="800" w:right="160" w:hanging="342"/>
        <w:spacing w:after="0" w:line="286"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comply with any new requirements adopted by the Public Company Accounting Oversight Board, or the “PCAOB,” requiring mandatory audit firm rotation or a supplement to the auditor’s report in which the auditor would be required to provide additional information about the audit and the financial statements of the issuer;</w:t>
      </w:r>
    </w:p>
    <w:p>
      <w:pPr>
        <w:spacing w:after="0" w:line="57" w:lineRule="exact"/>
        <w:rPr>
          <w:rFonts w:ascii="Arial" w:cs="Arial" w:eastAsia="Arial" w:hAnsi="Arial"/>
          <w:sz w:val="17"/>
          <w:szCs w:val="17"/>
          <w:color w:val="auto"/>
        </w:rPr>
      </w:pPr>
    </w:p>
    <w:p>
      <w:pPr>
        <w:ind w:left="800" w:hanging="34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comply with any new audit rules adopted by the PCAOB, unless the SEC determines otherwise;</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certain disclosure regarding executive compensation required of larger public companies; or</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shareholder approval of any golden parachute payments not previously approved.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cease to be an “emerging growth company” upon the earliest of:</w:t>
      </w:r>
    </w:p>
    <w:p>
      <w:pPr>
        <w:spacing w:after="0" w:line="117" w:lineRule="exact"/>
        <w:rPr>
          <w:sz w:val="20"/>
          <w:szCs w:val="20"/>
          <w:color w:val="auto"/>
        </w:rPr>
      </w:pPr>
    </w:p>
    <w:p>
      <w:pPr>
        <w:ind w:left="800" w:hanging="342"/>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when we have $1.07 billion or more in annual revenues;</w:t>
      </w:r>
    </w:p>
    <w:p>
      <w:pPr>
        <w:spacing w:after="0" w:line="117" w:lineRule="exact"/>
        <w:rPr>
          <w:rFonts w:ascii="Arial" w:cs="Arial" w:eastAsia="Arial" w:hAnsi="Arial"/>
          <w:sz w:val="18"/>
          <w:szCs w:val="18"/>
          <w:color w:val="auto"/>
        </w:rPr>
      </w:pPr>
    </w:p>
    <w:p>
      <w:pPr>
        <w:ind w:left="800" w:right="100" w:hanging="342"/>
        <w:spacing w:after="0" w:line="290"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date on which we become a “large-accelerated filer” (i.e., the end of the fiscal year on which the total market value of our common equity securities held by non-affiliates is $700.0 million or more as of the preceding June 30</w:t>
      </w:r>
      <w:r>
        <w:rPr>
          <w:rFonts w:ascii="Arial" w:cs="Arial" w:eastAsia="Arial" w:hAnsi="Arial"/>
          <w:sz w:val="24"/>
          <w:szCs w:val="24"/>
          <w:color w:val="auto"/>
          <w:vertAlign w:val="superscript"/>
        </w:rPr>
        <w:t>th</w:t>
      </w:r>
      <w:r>
        <w:rPr>
          <w:rFonts w:ascii="Arial" w:cs="Arial" w:eastAsia="Arial" w:hAnsi="Arial"/>
          <w:sz w:val="16"/>
          <w:szCs w:val="16"/>
          <w:color w:val="auto"/>
        </w:rPr>
        <w:t>);</w:t>
      </w:r>
    </w:p>
    <w:p>
      <w:pPr>
        <w:ind w:left="800" w:hanging="342"/>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when we issue more than $1.0 billion of non-convertible debt over a three-year period; or</w:t>
      </w:r>
    </w:p>
    <w:p>
      <w:pPr>
        <w:spacing w:after="0" w:line="101" w:lineRule="exact"/>
        <w:rPr>
          <w:rFonts w:ascii="Arial" w:cs="Arial" w:eastAsia="Arial" w:hAnsi="Arial"/>
          <w:sz w:val="18"/>
          <w:szCs w:val="18"/>
          <w:color w:val="auto"/>
        </w:rPr>
      </w:pPr>
    </w:p>
    <w:p>
      <w:pPr>
        <w:ind w:left="800" w:hanging="342"/>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initial public offering.</w:t>
      </w:r>
    </w:p>
    <w:p>
      <w:pPr>
        <w:spacing w:after="0" w:line="117" w:lineRule="exact"/>
        <w:rPr>
          <w:sz w:val="20"/>
          <w:szCs w:val="20"/>
          <w:color w:val="auto"/>
        </w:rPr>
      </w:pPr>
    </w:p>
    <w:p>
      <w:pPr>
        <w:ind w:left="100" w:firstLine="360"/>
        <w:spacing w:after="0" w:line="271"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of 1933 (the “Securities Act”) for complying with new or revised accounting standards. In other words, an emerging growth company can delay the adoption of certain accounting standards until those standards would otherwise apply to private companies. We have elected to use the extended transition period for complying with new or revised accounting standards under Section 102(b)(2) of the JOBS Act, that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public company effective dates.</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Controlled Company Status</w:t>
      </w:r>
    </w:p>
    <w:p>
      <w:pPr>
        <w:spacing w:after="0" w:line="121" w:lineRule="exact"/>
        <w:rPr>
          <w:sz w:val="20"/>
          <w:szCs w:val="20"/>
          <w:color w:val="auto"/>
        </w:rPr>
      </w:pPr>
    </w:p>
    <w:p>
      <w:pPr>
        <w:ind w:left="100" w:right="100" w:firstLine="360"/>
        <w:spacing w:after="0" w:line="274" w:lineRule="auto"/>
        <w:rPr>
          <w:sz w:val="20"/>
          <w:szCs w:val="20"/>
          <w:color w:val="auto"/>
        </w:rPr>
      </w:pPr>
      <w:r>
        <w:rPr>
          <w:rFonts w:ascii="Arial" w:cs="Arial" w:eastAsia="Arial" w:hAnsi="Arial"/>
          <w:sz w:val="17"/>
          <w:szCs w:val="17"/>
          <w:color w:val="auto"/>
        </w:rPr>
        <w:t>Because New Fortress Energy Holdings will initially hold approximately % of the voting power of our shares following the completion of this offering (or approximately % if the underwriters’ option to purchase additional Class A shares is</w:t>
      </w:r>
    </w:p>
    <w:p>
      <w:pPr>
        <w:ind w:left="100" w:right="40"/>
        <w:spacing w:after="0" w:line="287" w:lineRule="auto"/>
        <w:rPr>
          <w:sz w:val="20"/>
          <w:szCs w:val="20"/>
          <w:color w:val="auto"/>
        </w:rPr>
      </w:pPr>
      <w:r>
        <w:rPr>
          <w:rFonts w:ascii="Arial" w:cs="Arial" w:eastAsia="Arial" w:hAnsi="Arial"/>
          <w:sz w:val="16"/>
          <w:szCs w:val="16"/>
          <w:color w:val="auto"/>
        </w:rPr>
        <w:t>exercised in full), we expect to be a controlled company as of the completion of the offering under the Sarbanes-Oxley Act and the New York Stock Exchange (the “NYSE”) rules. A controlled company does not need its board of directors to have a majority of independent directors or to form an independent compensation or nominating and corporate governance committee. As a controlled company, we will remain subject to rules of the Sarbanes-Oxley Act and the NYSE that require us to have an audit committee composed entirely of independent directors. Under these rules, we must have at least one independent director on our audit committee by the date our Class A shares are listed on the NYSE, at least two independent directors on our audit committee within 90 days of the listing date, and at least three independent directors on our audit committee within one year of the listing date. We expect to have independent directors upon the closing of this offering.</w:t>
      </w:r>
    </w:p>
    <w:p>
      <w:pPr>
        <w:spacing w:after="0" w:line="62" w:lineRule="exact"/>
        <w:rPr>
          <w:sz w:val="20"/>
          <w:szCs w:val="20"/>
          <w:color w:val="auto"/>
        </w:rPr>
      </w:pPr>
    </w:p>
    <w:p>
      <w:pPr>
        <w:ind w:left="100" w:right="20" w:firstLine="360"/>
        <w:spacing w:after="0" w:line="259"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the Sarbanes-Oxley Act and NYSE rules, including by appointing a majority of independent directors to our board of directors and ensuring we have a compensation committee and a nominating and corporate governance committee, each composed entirely of independent directors, subject to a permitted “phase-in” period.</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00" w:right="20" w:firstLine="360"/>
        <w:spacing w:after="0" w:line="312" w:lineRule="auto"/>
        <w:rPr>
          <w:sz w:val="20"/>
          <w:szCs w:val="20"/>
          <w:color w:val="auto"/>
        </w:rPr>
      </w:pPr>
      <w:r>
        <w:rPr>
          <w:rFonts w:ascii="Arial" w:cs="Arial" w:eastAsia="Arial" w:hAnsi="Arial"/>
          <w:sz w:val="16"/>
          <w:szCs w:val="16"/>
          <w:color w:val="auto"/>
        </w:rPr>
        <w:t>An investment in our Class A shares involves risks associated with our business, regulatory and legal matters, our limited liability company structure and the tax characteristics of our Class A shares. You should carefully read the risks under the caption “Risk Factors” and the other information in this prospectus before deciding whether to invest in our Class A shares.</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98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92825" cy="7198995"/>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Formation Transactions and Structure</w:t>
      </w:r>
    </w:p>
    <w:p>
      <w:pPr>
        <w:spacing w:after="0" w:line="121" w:lineRule="exact"/>
        <w:rPr>
          <w:sz w:val="20"/>
          <w:szCs w:val="20"/>
          <w:color w:val="auto"/>
        </w:rPr>
      </w:pPr>
    </w:p>
    <w:p>
      <w:pPr>
        <w:ind w:left="100" w:right="300" w:firstLine="360"/>
        <w:spacing w:after="0" w:line="259" w:lineRule="auto"/>
        <w:rPr>
          <w:sz w:val="20"/>
          <w:szCs w:val="20"/>
          <w:color w:val="auto"/>
        </w:rPr>
      </w:pPr>
      <w:r>
        <w:rPr>
          <w:rFonts w:ascii="Arial" w:cs="Arial" w:eastAsia="Arial" w:hAnsi="Arial"/>
          <w:sz w:val="18"/>
          <w:szCs w:val="18"/>
          <w:color w:val="auto"/>
        </w:rPr>
        <w:t>NFE was formed as a Delaware limited liability company by New Fortress Energy Holdings on August 6, 2018. New Fortress Energy Holdings currently owns all of the outstanding membership interests of the subsidiaries through which we operate our business, including NFE Atlantic. New Fortress Energy Holdings’ only asset other than cash is its investments in consolidated subsidiaries.</w:t>
      </w:r>
    </w:p>
    <w:p>
      <w:pPr>
        <w:spacing w:after="0" w:line="79" w:lineRule="exact"/>
        <w:rPr>
          <w:sz w:val="20"/>
          <w:szCs w:val="20"/>
          <w:color w:val="auto"/>
        </w:rPr>
      </w:pPr>
    </w:p>
    <w:p>
      <w:pPr>
        <w:ind w:left="100" w:firstLine="360"/>
        <w:spacing w:after="0" w:line="279" w:lineRule="auto"/>
        <w:rPr>
          <w:sz w:val="20"/>
          <w:szCs w:val="20"/>
          <w:color w:val="auto"/>
        </w:rPr>
      </w:pPr>
      <w:r>
        <w:rPr>
          <w:rFonts w:ascii="Arial" w:cs="Arial" w:eastAsia="Arial" w:hAnsi="Arial"/>
          <w:sz w:val="17"/>
          <w:szCs w:val="17"/>
          <w:color w:val="auto"/>
        </w:rPr>
        <w:t>Following this offering and the related transactions described below, NFE will be a holding company whose only material asset will consist of membership interests in NFI, which will own all of the outstanding membership interests in NFE Atlantic. NFE will be the sole managing member of NFI, will be responsible for all operational, management and administrative decisions relating to NFI’s business and will consolidate financial results of NFI and its subsidiaries.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this offering, the following transactions have occurred or will occur:</w:t>
      </w:r>
    </w:p>
    <w:p>
      <w:pPr>
        <w:spacing w:after="0" w:line="117" w:lineRule="exact"/>
        <w:rPr>
          <w:sz w:val="20"/>
          <w:szCs w:val="20"/>
          <w:color w:val="auto"/>
        </w:rPr>
      </w:pPr>
    </w:p>
    <w:p>
      <w:pPr>
        <w:ind w:left="800" w:right="20" w:hanging="342"/>
        <w:spacing w:after="0" w:line="308"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New Fortress Energy Holdings will contribute all of its interests in NFE Atlantic and its limited assets and liabilities, if any, to NFI in exchange for common units of NFI (“NFI LLC Units”), which will be the only class of units of NFI;</w:t>
      </w:r>
    </w:p>
    <w:p>
      <w:pPr>
        <w:sectPr>
          <w:pgSz w:w="11900" w:h="16838" w:orient="portrait"/>
          <w:cols w:equalWidth="0" w:num="1">
            <w:col w:w="9400"/>
          </w:cols>
          <w:pgMar w:left="1180" w:top="279" w:right="1319" w:bottom="1440" w:gutter="0" w:footer="0" w:header="0"/>
        </w:sectPr>
      </w:pPr>
    </w:p>
    <w:p>
      <w:pPr>
        <w:spacing w:after="0" w:line="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NFE will issue Class A shares in this offering to the public, representing limited liability company interests with 100% of the economic rights in NFE, at an initial offering price of $ per Class A share;</w:t>
      </w:r>
    </w:p>
    <w:p>
      <w:pPr>
        <w:spacing w:after="0" w:line="62" w:lineRule="exact"/>
        <w:rPr>
          <w:sz w:val="20"/>
          <w:szCs w:val="20"/>
          <w:color w:val="auto"/>
        </w:rPr>
      </w:pPr>
    </w:p>
    <w:p>
      <w:pPr>
        <w:sectPr>
          <w:pgSz w:w="11900" w:h="16838" w:orient="portrait"/>
          <w:cols w:equalWidth="0" w:num="2">
            <w:col w:w="520" w:space="280"/>
            <w:col w:w="8600"/>
          </w:cols>
          <w:pgMar w:left="1180" w:top="279" w:right="1319" w:bottom="1440" w:gutter="0" w:footer="0" w:header="0"/>
          <w:type w:val="continuous"/>
        </w:sectPr>
      </w:pPr>
    </w:p>
    <w:p>
      <w:pPr>
        <w:ind w:left="800" w:hanging="342"/>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NFE will contribute the net proceeds from this offering (including any net proceeds from the exercise of the</w:t>
      </w:r>
    </w:p>
    <w:p>
      <w:pPr>
        <w:sectPr>
          <w:pgSz w:w="11900" w:h="16838" w:orient="portrait"/>
          <w:cols w:equalWidth="0" w:num="1">
            <w:col w:w="9400"/>
          </w:cols>
          <w:pgMar w:left="1180" w:top="279" w:right="1319" w:bottom="1440" w:gutter="0" w:footer="0" w:header="0"/>
          <w:type w:val="continuous"/>
        </w:sectPr>
      </w:pPr>
    </w:p>
    <w:p>
      <w:pPr>
        <w:spacing w:after="0" w:line="46" w:lineRule="exact"/>
        <w:rPr>
          <w:sz w:val="20"/>
          <w:szCs w:val="20"/>
          <w:color w:val="auto"/>
        </w:rPr>
      </w:pPr>
    </w:p>
    <w:p>
      <w:pPr>
        <w:ind w:left="800"/>
        <w:spacing w:after="0" w:line="261" w:lineRule="auto"/>
        <w:rPr>
          <w:sz w:val="20"/>
          <w:szCs w:val="20"/>
          <w:color w:val="auto"/>
        </w:rPr>
      </w:pPr>
      <w:r>
        <w:rPr>
          <w:rFonts w:ascii="Arial" w:cs="Arial" w:eastAsia="Arial" w:hAnsi="Arial"/>
          <w:sz w:val="18"/>
          <w:szCs w:val="18"/>
          <w:color w:val="auto"/>
        </w:rPr>
        <w:t>underwriters’ option to purchase additional Class A shares from us) to NFI in exchange for NFI LLC Units, equal to the number of Class A shares sold in this offering;</w:t>
      </w:r>
    </w:p>
    <w:p>
      <w:pPr>
        <w:sectPr>
          <w:pgSz w:w="11900" w:h="16838" w:orient="portrait"/>
          <w:cols w:equalWidth="0" w:num="1">
            <w:col w:w="9400"/>
          </w:cols>
          <w:pgMar w:left="1180" w:top="279" w:right="1319" w:bottom="1440" w:gutter="0" w:footer="0" w:header="0"/>
          <w:type w:val="continuous"/>
        </w:sectPr>
      </w:pPr>
    </w:p>
    <w:p>
      <w:pPr>
        <w:spacing w:after="0" w:line="76" w:lineRule="exact"/>
        <w:rPr>
          <w:sz w:val="20"/>
          <w:szCs w:val="20"/>
          <w:color w:val="auto"/>
        </w:rPr>
      </w:pPr>
    </w:p>
    <w:p>
      <w:pPr>
        <w:ind w:left="800" w:right="340" w:hanging="342"/>
        <w:spacing w:after="0" w:line="308"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NFI will use the net proceeds from this offering (including any net proceeds from the exercise of the underwriters’ option to purchase additional Class A shares from us) as described in “Use of Proceeds;” and</w:t>
      </w:r>
    </w:p>
    <w:p>
      <w:pPr>
        <w:spacing w:after="0" w:line="38" w:lineRule="exact"/>
        <w:rPr>
          <w:rFonts w:ascii="Arial" w:cs="Arial" w:eastAsia="Arial" w:hAnsi="Arial"/>
          <w:sz w:val="17"/>
          <w:szCs w:val="17"/>
          <w:color w:val="auto"/>
        </w:rPr>
      </w:pPr>
    </w:p>
    <w:p>
      <w:pPr>
        <w:ind w:left="800" w:right="60" w:hanging="342"/>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Fortress Energy Holdings will receive a number of Class B shares equal to the number of NFI LLC Units held by it immediately following the completion of this offering.</w:t>
      </w:r>
    </w:p>
    <w:p>
      <w:pPr>
        <w:spacing w:after="0" w:line="62" w:lineRule="exact"/>
        <w:rPr>
          <w:sz w:val="20"/>
          <w:szCs w:val="20"/>
          <w:color w:val="auto"/>
        </w:rPr>
      </w:pPr>
    </w:p>
    <w:p>
      <w:pPr>
        <w:ind w:left="100" w:right="380" w:firstLine="360"/>
        <w:spacing w:after="0" w:line="277" w:lineRule="auto"/>
        <w:rPr>
          <w:sz w:val="20"/>
          <w:szCs w:val="20"/>
          <w:color w:val="auto"/>
        </w:rPr>
      </w:pPr>
      <w:r>
        <w:rPr>
          <w:rFonts w:ascii="Arial" w:cs="Arial" w:eastAsia="Arial" w:hAnsi="Arial"/>
          <w:sz w:val="18"/>
          <w:szCs w:val="18"/>
          <w:color w:val="auto"/>
        </w:rPr>
        <w:t>The diagram under “—Organizational Structure” below depicts a simplified version of our organization and ownership structure after giving effect to this offering and the related formation transactions.</w:t>
      </w:r>
    </w:p>
    <w:p>
      <w:pPr>
        <w:spacing w:after="0" w:line="62" w:lineRule="exact"/>
        <w:rPr>
          <w:sz w:val="20"/>
          <w:szCs w:val="20"/>
          <w:color w:val="auto"/>
        </w:rPr>
      </w:pPr>
    </w:p>
    <w:p>
      <w:pPr>
        <w:ind w:left="100" w:right="880" w:firstLine="360"/>
        <w:spacing w:after="0" w:line="277" w:lineRule="auto"/>
        <w:rPr>
          <w:sz w:val="20"/>
          <w:szCs w:val="20"/>
          <w:color w:val="auto"/>
        </w:rPr>
      </w:pPr>
      <w:r>
        <w:rPr>
          <w:rFonts w:ascii="Arial" w:cs="Arial" w:eastAsia="Arial" w:hAnsi="Arial"/>
          <w:sz w:val="18"/>
          <w:szCs w:val="18"/>
          <w:color w:val="auto"/>
        </w:rPr>
        <w:t>For further details on our agreements with New Fortress Energy Holdings and its affiliates, please read “Certain Relationships and Related Transactions.”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 above transactions throughout this prospectus as the “Transactions.”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Our Class A shares and Class B shares</w:t>
      </w:r>
    </w:p>
    <w:p>
      <w:pPr>
        <w:spacing w:after="0" w:line="117" w:lineRule="exact"/>
        <w:rPr>
          <w:sz w:val="20"/>
          <w:szCs w:val="20"/>
          <w:color w:val="auto"/>
        </w:rPr>
      </w:pPr>
    </w:p>
    <w:p>
      <w:pPr>
        <w:ind w:left="100" w:right="120" w:firstLine="360"/>
        <w:spacing w:after="0" w:line="279" w:lineRule="auto"/>
        <w:rPr>
          <w:sz w:val="20"/>
          <w:szCs w:val="20"/>
          <w:color w:val="auto"/>
        </w:rPr>
      </w:pPr>
      <w:r>
        <w:rPr>
          <w:rFonts w:ascii="Arial" w:cs="Arial" w:eastAsia="Arial" w:hAnsi="Arial"/>
          <w:sz w:val="17"/>
          <w:szCs w:val="17"/>
          <w:color w:val="auto"/>
        </w:rPr>
        <w:t>Our operating agreement will provide for two classes of shares, Class A shares and Class B shares, representing limited liability company interests in us. Only the holders of our Class A shares are entitled to participate in any dividends our board of directors may declare. Each Class A share will also be entitled to one vote on the limited matters to be voted on by our shareholders. We expect to list our Class A shares for trading on the NYSE under the symbol “NFE.”</w:t>
      </w:r>
    </w:p>
    <w:p>
      <w:pPr>
        <w:spacing w:after="0" w:line="63" w:lineRule="exact"/>
        <w:rPr>
          <w:sz w:val="20"/>
          <w:szCs w:val="20"/>
          <w:color w:val="auto"/>
        </w:rPr>
      </w:pPr>
    </w:p>
    <w:p>
      <w:pPr>
        <w:ind w:left="100" w:right="20" w:firstLine="360"/>
        <w:spacing w:after="0" w:line="297" w:lineRule="auto"/>
        <w:rPr>
          <w:sz w:val="20"/>
          <w:szCs w:val="20"/>
          <w:color w:val="auto"/>
        </w:rPr>
      </w:pPr>
      <w:r>
        <w:rPr>
          <w:rFonts w:ascii="Arial" w:cs="Arial" w:eastAsia="Arial" w:hAnsi="Arial"/>
          <w:sz w:val="16"/>
          <w:szCs w:val="16"/>
          <w:color w:val="auto"/>
        </w:rPr>
        <w:t>Class B shares are not entitled to receive dividends but will be entitled to vote on the same basis as the Class A shares. Holders of Class A shares and Class B shares will vote together as a single class on all matters presented to our shareholders for their vote or approval, except as otherwise required by applicable law. We do not intend to list the Class B shares on any stock exchange. All of our Class B shares will initially be owned by New Fortress Energy Holdings. For a description of the rights and privileges of shareholders under our operating agreement, including voting rights, please read “Our Operating Agreement.”</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Redemption Right</w:t>
      </w:r>
    </w:p>
    <w:p>
      <w:pPr>
        <w:spacing w:after="0" w:line="117" w:lineRule="exact"/>
        <w:rPr>
          <w:sz w:val="20"/>
          <w:szCs w:val="20"/>
          <w:color w:val="auto"/>
        </w:rPr>
      </w:pPr>
    </w:p>
    <w:p>
      <w:pPr>
        <w:ind w:left="100" w:right="140" w:firstLine="360"/>
        <w:spacing w:after="0" w:line="259" w:lineRule="auto"/>
        <w:rPr>
          <w:sz w:val="20"/>
          <w:szCs w:val="20"/>
          <w:color w:val="auto"/>
        </w:rPr>
      </w:pPr>
      <w:r>
        <w:rPr>
          <w:rFonts w:ascii="Arial" w:cs="Arial" w:eastAsia="Arial" w:hAnsi="Arial"/>
          <w:sz w:val="18"/>
          <w:szCs w:val="18"/>
          <w:color w:val="auto"/>
        </w:rPr>
        <w:t>Following this offering, under the NFI limited liability company agreement (the “NFI LLC Agreement”), New Fortress Energy Holdings and any permitted transferees of their NFI LLC Units will, subject to certain limitations, have the right (the “Redemption Right”) to cause NFI to acquire all or a portion of its NFI LLC Units for, at NFI’s election, (i) Class A shares at a redemption ratio of one Class A share for each NFI LLC Unit</w:t>
      </w: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00"/>
          </w:cols>
          <w:pgMar w:left="1180" w:top="279" w:right="131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98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92825" cy="7198995"/>
                    </a:xfrm>
                    <a:prstGeom prst="rect">
                      <a:avLst/>
                    </a:prstGeom>
                    <a:noFill/>
                  </pic:spPr>
                </pic:pic>
              </a:graphicData>
            </a:graphic>
          </wp:anchor>
        </w:drawing>
      </w:r>
    </w:p>
    <w:p>
      <w:pPr>
        <w:spacing w:after="0" w:line="138" w:lineRule="exact"/>
        <w:rPr>
          <w:sz w:val="20"/>
          <w:szCs w:val="20"/>
          <w:color w:val="auto"/>
        </w:rPr>
      </w:pPr>
    </w:p>
    <w:p>
      <w:pPr>
        <w:ind w:left="100" w:right="80"/>
        <w:spacing w:after="0" w:line="268" w:lineRule="auto"/>
        <w:rPr>
          <w:sz w:val="20"/>
          <w:szCs w:val="20"/>
          <w:color w:val="auto"/>
        </w:rPr>
      </w:pPr>
      <w:r>
        <w:rPr>
          <w:rFonts w:ascii="Arial" w:cs="Arial" w:eastAsia="Arial" w:hAnsi="Arial"/>
          <w:sz w:val="17"/>
          <w:szCs w:val="17"/>
          <w:color w:val="auto"/>
        </w:rPr>
        <w:t>redeemed, subject to conversion rate adjustments for equity splits, equity dividends and reclassification and other similar transactions or (ii) an equivalent amount of cash. NFI will determine whether to issue Class A shares or cash based on facts in existence at the time of the decision, which we expect would include the relative value of the Class A shares (including trading prices for the Class A shares at the time), the cash purchase price, the availability of other sources of liquidity to acquire the NFI LLC Units and alternative uses for such cash. Our decision to make a cash payment upon the redemption of NFI LLC Units will be made by our independent directors (within the meaning of the NYSE) who are disinterested. Alternatively, upon the exercise of the Redemption Right, NFE (instead of NFI) will have the right (the “Call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In addition, upon a change of control of NFE, NFE will have the right to require each holder of NFI LLC Units (other than NFE) to exercise its Redemption Right with respect to some or all of such unitholder’s NFI LLC Units. In connection with any redemption of NFI LLC Units pursuant to the Redemption Right or our Call Right, the corresponding number of Class B shares will be cancelled.</w:t>
      </w:r>
    </w:p>
    <w:p>
      <w:pPr>
        <w:spacing w:after="0" w:line="80" w:lineRule="exact"/>
        <w:rPr>
          <w:sz w:val="20"/>
          <w:szCs w:val="20"/>
          <w:color w:val="auto"/>
        </w:rPr>
      </w:pPr>
    </w:p>
    <w:p>
      <w:pPr>
        <w:ind w:left="100" w:right="40" w:firstLine="360"/>
        <w:spacing w:after="0" w:line="259" w:lineRule="auto"/>
        <w:rPr>
          <w:sz w:val="20"/>
          <w:szCs w:val="20"/>
          <w:color w:val="auto"/>
        </w:rPr>
      </w:pPr>
      <w:r>
        <w:rPr>
          <w:rFonts w:ascii="Arial" w:cs="Arial" w:eastAsia="Arial" w:hAnsi="Arial"/>
          <w:sz w:val="18"/>
          <w:szCs w:val="18"/>
          <w:color w:val="auto"/>
        </w:rPr>
        <w:t>For purposes of any transfer or exchange of NFI LLC Units initially owned by New Fortress Energy Holdings and our Class B shares, the NFI LLC Agreement and our operating agreement will contain provisions effectively linking each NFI LLC Unit with one of our Class B shares. Class B shares cannot be transferred without transferring an equal number of NFI LLC Units and vice versa.</w:t>
      </w:r>
    </w:p>
    <w:p>
      <w:pPr>
        <w:spacing w:after="0" w:line="79" w:lineRule="exact"/>
        <w:rPr>
          <w:sz w:val="20"/>
          <w:szCs w:val="20"/>
          <w:color w:val="auto"/>
        </w:rPr>
      </w:pPr>
    </w:p>
    <w:p>
      <w:pPr>
        <w:ind w:left="100" w:right="340" w:firstLine="360"/>
        <w:spacing w:after="0" w:line="308" w:lineRule="auto"/>
        <w:rPr>
          <w:sz w:val="20"/>
          <w:szCs w:val="20"/>
          <w:color w:val="auto"/>
        </w:rPr>
      </w:pPr>
      <w:r>
        <w:rPr>
          <w:rFonts w:ascii="Arial" w:cs="Arial" w:eastAsia="Arial" w:hAnsi="Arial"/>
          <w:sz w:val="17"/>
          <w:szCs w:val="17"/>
          <w:color w:val="auto"/>
        </w:rPr>
        <w:t>For additional information, please read “Certain Relationships and Related Transactions—Agreements with Affiliates in Connection with the Transactions—Amended and Restated Limited Liability Company Agreement of NFI.”</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Holding Company Structure</w:t>
      </w:r>
    </w:p>
    <w:p>
      <w:pPr>
        <w:spacing w:after="0" w:line="117" w:lineRule="exact"/>
        <w:rPr>
          <w:sz w:val="20"/>
          <w:szCs w:val="20"/>
          <w:color w:val="auto"/>
        </w:rPr>
      </w:pPr>
    </w:p>
    <w:p>
      <w:pPr>
        <w:jc w:val="both"/>
        <w:ind w:left="100" w:right="180" w:firstLine="360"/>
        <w:spacing w:after="0" w:line="257" w:lineRule="auto"/>
        <w:rPr>
          <w:sz w:val="20"/>
          <w:szCs w:val="20"/>
          <w:color w:val="auto"/>
        </w:rPr>
      </w:pPr>
      <w:r>
        <w:rPr>
          <w:rFonts w:ascii="Arial" w:cs="Arial" w:eastAsia="Arial" w:hAnsi="Arial"/>
          <w:sz w:val="18"/>
          <w:szCs w:val="18"/>
          <w:color w:val="auto"/>
        </w:rPr>
        <w:t>Our post-offering organizational structure will allow New Fortress Energy Holdings to retain a direct equity ownership in NFI, which is classified as a partnership for U.S. federal income tax purposes. Investors in this offering will, by contrast, hold a direct equity ownership in us in the form of Class A shares, and an indirect ownership interest in NFI through our ownership of NFI LLC Units. Although we were formed as a limited liability company, we have elected to be taxed as a corporation for U.S. federal income tax purposes.</w:t>
      </w:r>
    </w:p>
    <w:p>
      <w:pPr>
        <w:spacing w:after="0" w:line="80" w:lineRule="exact"/>
        <w:rPr>
          <w:sz w:val="20"/>
          <w:szCs w:val="20"/>
          <w:color w:val="auto"/>
        </w:rPr>
      </w:pPr>
    </w:p>
    <w:p>
      <w:pPr>
        <w:ind w:left="100" w:right="80" w:firstLine="360"/>
        <w:spacing w:after="0" w:line="264" w:lineRule="auto"/>
        <w:rPr>
          <w:sz w:val="20"/>
          <w:szCs w:val="20"/>
          <w:color w:val="auto"/>
        </w:rPr>
      </w:pPr>
      <w:r>
        <w:rPr>
          <w:rFonts w:ascii="Arial" w:cs="Arial" w:eastAsia="Arial" w:hAnsi="Arial"/>
          <w:sz w:val="18"/>
          <w:szCs w:val="18"/>
          <w:color w:val="auto"/>
        </w:rPr>
        <w:t>Pursuant to our operating agreement and the NFI LLC Agreement, our capital structure and the capital structure of NFI will generally replicate one another and will provide for customary antidilution mechanisms in order to maintain the one-for-one exchange ratio between the NFI LLC Units and our Class A shares.</w:t>
      </w:r>
    </w:p>
    <w:p>
      <w:pPr>
        <w:spacing w:after="0" w:line="73" w:lineRule="exact"/>
        <w:rPr>
          <w:sz w:val="20"/>
          <w:szCs w:val="20"/>
          <w:color w:val="auto"/>
        </w:rPr>
      </w:pPr>
    </w:p>
    <w:p>
      <w:pPr>
        <w:jc w:val="both"/>
        <w:ind w:left="100" w:right="20" w:firstLine="360"/>
        <w:spacing w:after="0" w:line="264" w:lineRule="auto"/>
        <w:rPr>
          <w:sz w:val="20"/>
          <w:szCs w:val="20"/>
          <w:color w:val="auto"/>
        </w:rPr>
      </w:pPr>
      <w:r>
        <w:rPr>
          <w:rFonts w:ascii="Arial" w:cs="Arial" w:eastAsia="Arial" w:hAnsi="Arial"/>
          <w:sz w:val="18"/>
          <w:szCs w:val="18"/>
          <w:color w:val="auto"/>
        </w:rPr>
        <w:t>For additional information, please read “—Organizational Structure” and “Certain Relationships and Related Transactions— Agreements with Affiliates in Connection with the Transactions—Amended and Restated Limited Liability Company Agreement of NFI.”</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00" w:firstLine="360"/>
        <w:spacing w:after="0" w:line="264" w:lineRule="auto"/>
        <w:rPr>
          <w:sz w:val="20"/>
          <w:szCs w:val="20"/>
          <w:color w:val="auto"/>
        </w:rPr>
      </w:pPr>
      <w:r>
        <w:rPr>
          <w:rFonts w:ascii="Arial" w:cs="Arial" w:eastAsia="Arial" w:hAnsi="Arial"/>
          <w:sz w:val="18"/>
          <w:szCs w:val="18"/>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73" w:lineRule="exact"/>
        <w:rPr>
          <w:sz w:val="20"/>
          <w:szCs w:val="20"/>
          <w:color w:val="auto"/>
        </w:rPr>
      </w:pPr>
    </w:p>
    <w:p>
      <w:pPr>
        <w:ind w:left="100" w:right="40" w:firstLine="360"/>
        <w:spacing w:after="0" w:line="291" w:lineRule="auto"/>
        <w:rPr>
          <w:sz w:val="20"/>
          <w:szCs w:val="20"/>
          <w:color w:val="auto"/>
        </w:rPr>
      </w:pPr>
      <w:r>
        <w:rPr>
          <w:rFonts w:ascii="Arial" w:cs="Arial" w:eastAsia="Arial" w:hAnsi="Arial"/>
          <w:sz w:val="16"/>
          <w:szCs w:val="16"/>
          <w:color w:val="auto"/>
        </w:rPr>
        <w:t>One or more of our officers and directors have responsibilities and commitments to entities other than us. For example, we have some of the same directors and officers as other entities affiliated with Fortress. In addition, we do not have a policy that expressly prohibits our directors, officers, securityholders or affiliates from engaging in business activities of the types conducted by us for their own account. Fortress and its members, managers, officers and employees may pursue acquisition opportunities that we may acquire or dispose of assets in which such persons have a personal interest. In the event of a violation of this code of business conduct and ethics that does not constitute bad faith, willful misconduct, gross negligence or reckless disregard of our directors’ or officers’ duties, our directors, officers or employees will not be liable to us.</w:t>
      </w:r>
    </w:p>
    <w:p>
      <w:pPr>
        <w:spacing w:after="0" w:line="59" w:lineRule="exact"/>
        <w:rPr>
          <w:sz w:val="20"/>
          <w:szCs w:val="20"/>
          <w:color w:val="auto"/>
        </w:rPr>
      </w:pPr>
    </w:p>
    <w:p>
      <w:pPr>
        <w:ind w:left="100" w:right="40" w:firstLine="360"/>
        <w:spacing w:after="0" w:line="264" w:lineRule="auto"/>
        <w:rPr>
          <w:sz w:val="20"/>
          <w:szCs w:val="20"/>
          <w:color w:val="auto"/>
        </w:rPr>
      </w:pPr>
      <w:r>
        <w:rPr>
          <w:rFonts w:ascii="Arial" w:cs="Arial" w:eastAsia="Arial" w:hAnsi="Arial"/>
          <w:sz w:val="18"/>
          <w:szCs w:val="18"/>
          <w:color w:val="auto"/>
        </w:rPr>
        <w:t>Our key agreements, including our operating agreement and the NFI LLC Agreement, were negotiated among related parties, and their respective terms, including fees and other amounts payable, may not be as favorable to us as terms negotiated at an arm’s-length basis with unaffiliated parties.</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696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92825" cy="7696835"/>
                    </a:xfrm>
                    <a:prstGeom prst="rect">
                      <a:avLst/>
                    </a:prstGeom>
                    <a:noFill/>
                  </pic:spPr>
                </pic:pic>
              </a:graphicData>
            </a:graphic>
          </wp:anchor>
        </w:drawing>
      </w:r>
    </w:p>
    <w:p>
      <w:pPr>
        <w:spacing w:after="0" w:line="246" w:lineRule="exact"/>
        <w:rPr>
          <w:sz w:val="20"/>
          <w:szCs w:val="20"/>
          <w:color w:val="auto"/>
        </w:rPr>
      </w:pPr>
    </w:p>
    <w:p>
      <w:pPr>
        <w:ind w:left="100" w:firstLine="360"/>
        <w:spacing w:after="0" w:line="273" w:lineRule="auto"/>
        <w:rPr>
          <w:sz w:val="20"/>
          <w:szCs w:val="20"/>
          <w:color w:val="auto"/>
        </w:rPr>
      </w:pPr>
      <w:r>
        <w:rPr>
          <w:rFonts w:ascii="Arial" w:cs="Arial" w:eastAsia="Arial" w:hAnsi="Arial"/>
          <w:sz w:val="17"/>
          <w:szCs w:val="17"/>
          <w:color w:val="auto"/>
        </w:rPr>
        <w:t>We may compete with entities affiliated with Fortress for certain business opportunities. From time to time, affiliates of Fortress may focus on investments in assets in industries in which we currently, and may seek to, operate. These affiliates may have meaningful access to capital, which may change over time depending upon a variety of factors, including, but not limited to, available equity capital and debt financing, market conditions and cash on hand. Fortress has multiple existing and planned funds focused on investing in the industries in which we currently, and may seek to, operate, each with significant current or expected capital commitments. We may co-invest with these funds in certain business opportunities.</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100" w:right="760" w:firstLine="360"/>
        <w:spacing w:after="0" w:line="308" w:lineRule="auto"/>
        <w:rPr>
          <w:sz w:val="20"/>
          <w:szCs w:val="20"/>
          <w:color w:val="auto"/>
        </w:rPr>
      </w:pPr>
      <w:r>
        <w:rPr>
          <w:rFonts w:ascii="Arial" w:cs="Arial" w:eastAsia="Arial" w:hAnsi="Arial"/>
          <w:sz w:val="17"/>
          <w:szCs w:val="17"/>
          <w:color w:val="auto"/>
        </w:rPr>
        <w:t>The following is a simplified diagram of our ownership structure after giving effect to this offering and the related transactions assuming the underwriters do not exercise their option to purchase additional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1230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92825" cy="1230630"/>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111" w:lineRule="exact"/>
        <w:rPr>
          <w:sz w:val="20"/>
          <w:szCs w:val="20"/>
          <w:color w:val="auto"/>
        </w:rPr>
      </w:pPr>
    </w:p>
    <w:p>
      <w:pPr>
        <w:ind w:left="100" w:firstLine="360"/>
        <w:spacing w:after="0" w:line="266" w:lineRule="auto"/>
        <w:rPr>
          <w:sz w:val="20"/>
          <w:szCs w:val="20"/>
          <w:color w:val="auto"/>
        </w:rPr>
      </w:pPr>
      <w:r>
        <w:rPr>
          <w:rFonts w:ascii="Arial" w:cs="Arial" w:eastAsia="Arial" w:hAnsi="Arial"/>
          <w:sz w:val="16"/>
          <w:szCs w:val="16"/>
          <w:color w:val="auto"/>
        </w:rPr>
        <w:t>Our principal executive offices are located at 111 W. 19</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Street, 8</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Floor, New York, New York 10011 and our telephone number is (516) 268-7400. Our website is located at </w:t>
      </w:r>
      <w:r>
        <w:rPr>
          <w:rFonts w:ascii="Arial" w:cs="Arial" w:eastAsia="Arial" w:hAnsi="Arial"/>
          <w:sz w:val="16"/>
          <w:szCs w:val="16"/>
          <w:i w:val="1"/>
          <w:iCs w:val="1"/>
          <w:color w:val="auto"/>
        </w:rPr>
        <w:t>www.newfortressenergy.com</w:t>
      </w:r>
      <w:r>
        <w:rPr>
          <w:rFonts w:ascii="Arial" w:cs="Arial" w:eastAsia="Arial" w:hAnsi="Arial"/>
          <w:sz w:val="16"/>
          <w:szCs w:val="16"/>
          <w:color w:val="auto"/>
        </w:rPr>
        <w:t>. We expect to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238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92825" cy="6238875"/>
                    </a:xfrm>
                    <a:prstGeom prst="rect">
                      <a:avLst/>
                    </a:prstGeom>
                    <a:noFill/>
                  </pic:spPr>
                </pic:pic>
              </a:graphicData>
            </a:graphic>
          </wp:anchor>
        </w:drawing>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100"/>
        <w:spacing w:after="0"/>
        <w:tabs>
          <w:tab w:leader="none" w:pos="4940" w:val="left"/>
          <w:tab w:leader="none" w:pos="6840" w:val="left"/>
        </w:tabs>
        <w:rPr>
          <w:sz w:val="20"/>
          <w:szCs w:val="20"/>
          <w:color w:val="auto"/>
        </w:rPr>
      </w:pPr>
      <w:r>
        <w:rPr>
          <w:rFonts w:ascii="Arial" w:cs="Arial" w:eastAsia="Arial" w:hAnsi="Arial"/>
          <w:sz w:val="18"/>
          <w:szCs w:val="18"/>
          <w:color w:val="auto"/>
        </w:rPr>
        <w:t>Class A shares offered to the public</w:t>
      </w:r>
      <w:r>
        <w:rPr>
          <w:sz w:val="20"/>
          <w:szCs w:val="20"/>
          <w:color w:val="auto"/>
        </w:rPr>
        <w:tab/>
      </w:r>
      <w:r>
        <w:rPr>
          <w:rFonts w:ascii="Arial" w:cs="Arial" w:eastAsia="Arial" w:hAnsi="Arial"/>
          <w:sz w:val="18"/>
          <w:szCs w:val="18"/>
          <w:color w:val="auto"/>
        </w:rPr>
        <w:t>Class A shares, or</w:t>
      </w:r>
      <w:r>
        <w:rPr>
          <w:sz w:val="20"/>
          <w:szCs w:val="20"/>
          <w:color w:val="auto"/>
        </w:rPr>
        <w:tab/>
      </w:r>
      <w:r>
        <w:rPr>
          <w:rFonts w:ascii="Arial" w:cs="Arial" w:eastAsia="Arial" w:hAnsi="Arial"/>
          <w:sz w:val="16"/>
          <w:szCs w:val="16"/>
          <w:color w:val="auto"/>
        </w:rPr>
        <w:t>Class A shares if the underwriters</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exercise their option to purchase additional Class A shares in full.</w:t>
      </w:r>
    </w:p>
    <w:p>
      <w:pPr>
        <w:spacing w:after="0" w:line="114" w:lineRule="exact"/>
        <w:rPr>
          <w:sz w:val="20"/>
          <w:szCs w:val="20"/>
          <w:color w:val="auto"/>
        </w:rPr>
      </w:pPr>
    </w:p>
    <w:p>
      <w:pPr>
        <w:ind w:left="100"/>
        <w:spacing w:after="0"/>
        <w:tabs>
          <w:tab w:leader="none" w:pos="4940" w:val="left"/>
          <w:tab w:leader="none" w:pos="6840" w:val="left"/>
        </w:tabs>
        <w:rPr>
          <w:sz w:val="20"/>
          <w:szCs w:val="20"/>
          <w:color w:val="auto"/>
        </w:rPr>
      </w:pPr>
      <w:r>
        <w:rPr>
          <w:rFonts w:ascii="Arial" w:cs="Arial" w:eastAsia="Arial" w:hAnsi="Arial"/>
          <w:sz w:val="18"/>
          <w:szCs w:val="18"/>
          <w:color w:val="auto"/>
        </w:rPr>
        <w:t>Class A shares outstanding after this offering</w:t>
      </w:r>
      <w:r>
        <w:rPr>
          <w:sz w:val="20"/>
          <w:szCs w:val="20"/>
          <w:color w:val="auto"/>
        </w:rPr>
        <w:tab/>
      </w:r>
      <w:r>
        <w:rPr>
          <w:rFonts w:ascii="Arial" w:cs="Arial" w:eastAsia="Arial" w:hAnsi="Arial"/>
          <w:sz w:val="18"/>
          <w:szCs w:val="18"/>
          <w:color w:val="auto"/>
        </w:rPr>
        <w:t>Class A shares, or</w:t>
      </w:r>
      <w:r>
        <w:rPr>
          <w:sz w:val="20"/>
          <w:szCs w:val="20"/>
          <w:color w:val="auto"/>
        </w:rPr>
        <w:tab/>
      </w:r>
      <w:r>
        <w:rPr>
          <w:rFonts w:ascii="Arial" w:cs="Arial" w:eastAsia="Arial" w:hAnsi="Arial"/>
          <w:sz w:val="16"/>
          <w:szCs w:val="16"/>
          <w:color w:val="auto"/>
        </w:rPr>
        <w:t>Class A shares if the underwriters</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exercise their option to purchase additional Class A shares in full.</w:t>
      </w:r>
    </w:p>
    <w:p>
      <w:pPr>
        <w:spacing w:after="0" w:line="114" w:lineRule="exact"/>
        <w:rPr>
          <w:sz w:val="20"/>
          <w:szCs w:val="20"/>
          <w:color w:val="auto"/>
        </w:rPr>
      </w:pPr>
    </w:p>
    <w:p>
      <w:pPr>
        <w:ind w:left="100"/>
        <w:spacing w:after="0"/>
        <w:tabs>
          <w:tab w:leader="none" w:pos="4940" w:val="left"/>
        </w:tabs>
        <w:rPr>
          <w:sz w:val="20"/>
          <w:szCs w:val="20"/>
          <w:color w:val="auto"/>
        </w:rPr>
      </w:pPr>
      <w:r>
        <w:rPr>
          <w:rFonts w:ascii="Arial" w:cs="Arial" w:eastAsia="Arial" w:hAnsi="Arial"/>
          <w:sz w:val="18"/>
          <w:szCs w:val="18"/>
          <w:color w:val="auto"/>
        </w:rPr>
        <w:t>Class B shares outstanding after this offering</w:t>
      </w:r>
      <w:r>
        <w:rPr>
          <w:sz w:val="20"/>
          <w:szCs w:val="20"/>
          <w:color w:val="auto"/>
        </w:rPr>
        <w:tab/>
      </w:r>
      <w:r>
        <w:rPr>
          <w:rFonts w:ascii="Arial" w:cs="Arial" w:eastAsia="Arial" w:hAnsi="Arial"/>
          <w:sz w:val="16"/>
          <w:szCs w:val="16"/>
          <w:color w:val="auto"/>
        </w:rPr>
        <w:t>Class B shares, or one Class B share for each NFI LLC Unit</w:t>
      </w:r>
    </w:p>
    <w:p>
      <w:pPr>
        <w:spacing w:after="0" w:line="23" w:lineRule="exact"/>
        <w:rPr>
          <w:sz w:val="20"/>
          <w:szCs w:val="20"/>
          <w:color w:val="auto"/>
        </w:rPr>
      </w:pPr>
    </w:p>
    <w:p>
      <w:pPr>
        <w:ind w:left="4420" w:right="220"/>
        <w:spacing w:after="0" w:line="281" w:lineRule="auto"/>
        <w:rPr>
          <w:sz w:val="20"/>
          <w:szCs w:val="20"/>
          <w:color w:val="auto"/>
        </w:rPr>
      </w:pPr>
      <w:r>
        <w:rPr>
          <w:rFonts w:ascii="Arial" w:cs="Arial" w:eastAsia="Arial" w:hAnsi="Arial"/>
          <w:sz w:val="16"/>
          <w:szCs w:val="16"/>
          <w:color w:val="auto"/>
        </w:rPr>
        <w:t>held by New Fortress Energy Holdings immediately following this offering. Class B shares vote as a class with Class A shares, but have no right to receive any dividends. When a NFI LLC Unit currently held by New Fortress Energy Holdings is redeemed for a Class A</w:t>
      </w:r>
    </w:p>
    <w:p>
      <w:pPr>
        <w:spacing w:after="0" w:line="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share, a Class B share will be cancelled.</w:t>
      </w:r>
    </w:p>
    <w:p>
      <w:pPr>
        <w:sectPr>
          <w:pgSz w:w="11900" w:h="16838" w:orient="portrait"/>
          <w:cols w:equalWidth="0" w:num="1">
            <w:col w:w="9600"/>
          </w:cols>
          <w:pgMar w:left="1180" w:top="279" w:right="1119" w:bottom="1440" w:gutter="0" w:footer="0" w:header="0"/>
        </w:sectPr>
      </w:pPr>
    </w:p>
    <w:p>
      <w:pPr>
        <w:spacing w:after="0" w:line="103" w:lineRule="exact"/>
        <w:rPr>
          <w:sz w:val="20"/>
          <w:szCs w:val="20"/>
          <w:color w:val="auto"/>
        </w:rPr>
      </w:pPr>
    </w:p>
    <w:p>
      <w:pPr>
        <w:ind w:left="280" w:hanging="179"/>
        <w:spacing w:after="0" w:line="277" w:lineRule="auto"/>
        <w:rPr>
          <w:sz w:val="20"/>
          <w:szCs w:val="20"/>
          <w:color w:val="auto"/>
        </w:rPr>
      </w:pPr>
      <w:r>
        <w:rPr>
          <w:rFonts w:ascii="Arial" w:cs="Arial" w:eastAsia="Arial" w:hAnsi="Arial"/>
          <w:sz w:val="18"/>
          <w:szCs w:val="18"/>
          <w:color w:val="auto"/>
        </w:rPr>
        <w:t>Voting power of Class A shares after giving effect to this offering</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60" w:firstLine="270"/>
        <w:spacing w:after="0" w:line="255" w:lineRule="auto"/>
        <w:rPr>
          <w:sz w:val="20"/>
          <w:szCs w:val="20"/>
          <w:color w:val="auto"/>
        </w:rPr>
      </w:pPr>
      <w:r>
        <w:rPr>
          <w:rFonts w:ascii="Arial" w:cs="Arial" w:eastAsia="Arial" w:hAnsi="Arial"/>
          <w:sz w:val="18"/>
          <w:szCs w:val="18"/>
          <w:color w:val="auto"/>
        </w:rPr>
        <w:t>% (or % if the underwriters’ option to purchase additional Class A shares is exercised in full). The voting power of our Class A shares would be 100% if all outstanding NFI LLC Units held by New Fortress Energy Holdings were redeemed (along with a corresponding number of our Class B shares) for newly issued Class A shares on a one-for-one basis.</w:t>
      </w:r>
    </w:p>
    <w:p>
      <w:pPr>
        <w:spacing w:after="0" w:line="85" w:lineRule="exact"/>
        <w:rPr>
          <w:sz w:val="20"/>
          <w:szCs w:val="20"/>
          <w:color w:val="auto"/>
        </w:rPr>
      </w:pPr>
    </w:p>
    <w:p>
      <w:pPr>
        <w:sectPr>
          <w:pgSz w:w="11900" w:h="16838" w:orient="portrait"/>
          <w:cols w:equalWidth="0" w:num="2">
            <w:col w:w="4200" w:space="220"/>
            <w:col w:w="5180"/>
          </w:cols>
          <w:pgMar w:left="1180" w:top="279" w:right="1119" w:bottom="1440" w:gutter="0" w:footer="0" w:header="0"/>
          <w:type w:val="continuous"/>
        </w:sectPr>
      </w:pPr>
    </w:p>
    <w:p>
      <w:pPr>
        <w:ind w:left="280" w:hanging="179"/>
        <w:spacing w:after="0" w:line="277" w:lineRule="auto"/>
        <w:rPr>
          <w:sz w:val="20"/>
          <w:szCs w:val="20"/>
          <w:color w:val="auto"/>
        </w:rPr>
      </w:pPr>
      <w:r>
        <w:rPr>
          <w:rFonts w:ascii="Arial" w:cs="Arial" w:eastAsia="Arial" w:hAnsi="Arial"/>
          <w:sz w:val="18"/>
          <w:szCs w:val="18"/>
          <w:color w:val="auto"/>
        </w:rPr>
        <w:t>Voting power of Class B shares after giving effect to this offering</w:t>
      </w:r>
    </w:p>
    <w:p>
      <w:pPr>
        <w:spacing w:after="0" w:line="20" w:lineRule="exact"/>
        <w:rPr>
          <w:sz w:val="20"/>
          <w:szCs w:val="20"/>
          <w:color w:val="auto"/>
        </w:rPr>
      </w:pPr>
      <w:r>
        <w:rPr>
          <w:sz w:val="20"/>
          <w:szCs w:val="20"/>
          <w:color w:val="auto"/>
        </w:rPr>
        <w:br w:type="column"/>
      </w:r>
    </w:p>
    <w:p>
      <w:pPr>
        <w:ind w:right="240" w:firstLine="270"/>
        <w:spacing w:after="0" w:line="255" w:lineRule="auto"/>
        <w:rPr>
          <w:sz w:val="20"/>
          <w:szCs w:val="20"/>
          <w:color w:val="auto"/>
        </w:rPr>
      </w:pPr>
      <w:r>
        <w:rPr>
          <w:rFonts w:ascii="Arial" w:cs="Arial" w:eastAsia="Arial" w:hAnsi="Arial"/>
          <w:sz w:val="18"/>
          <w:szCs w:val="18"/>
          <w:color w:val="auto"/>
        </w:rPr>
        <w:t>% (or % if the underwriters’ option to purchase additional Class A shares is exercised in full). The voting power of our Class B shares would be 0% if all outstanding NFI LLC Units held by New Fortress Energy Holdings were redeemed (along with a corresponding number of our Class B shares) for newly issued Class A shares on a one-for-one basis.</w:t>
      </w:r>
    </w:p>
    <w:p>
      <w:pPr>
        <w:spacing w:after="0" w:line="85" w:lineRule="exact"/>
        <w:rPr>
          <w:sz w:val="20"/>
          <w:szCs w:val="20"/>
          <w:color w:val="auto"/>
        </w:rPr>
      </w:pPr>
    </w:p>
    <w:p>
      <w:pPr>
        <w:sectPr>
          <w:pgSz w:w="11900" w:h="16838" w:orient="portrait"/>
          <w:cols w:equalWidth="0" w:num="2">
            <w:col w:w="4180" w:space="240"/>
            <w:col w:w="5180"/>
          </w:cols>
          <w:pgMar w:left="1180" w:top="279" w:right="11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Voting rights</w:t>
            </w: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3"/>
              </w:rPr>
              <w:t>Each Class A share entitles its holder to one vote on all matters to be</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6"/>
              </w:rPr>
              <w:t>voted on by shareholders generally. Each Class B share entitles its</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holder to one vote on all matters to be voted on by shareholders</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8"/>
              </w:rPr>
              <w:t>generally. Holders of our Class A shares and Class B shares vote</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1"/>
              </w:rPr>
              <w:t>together as a single class on all matters presented to our shareholders</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4"/>
              </w:rPr>
              <w:t>for their vote or approval, except as otherwise required by applicable</w:t>
            </w:r>
          </w:p>
        </w:tc>
      </w:tr>
      <w:tr>
        <w:trPr>
          <w:trHeight w:val="230"/>
        </w:trPr>
        <w:tc>
          <w:tcPr>
            <w:tcW w:w="2840" w:type="dxa"/>
            <w:vAlign w:val="bottom"/>
          </w:tcPr>
          <w:p>
            <w:pPr>
              <w:spacing w:after="0"/>
              <w:rPr>
                <w:sz w:val="20"/>
                <w:szCs w:val="20"/>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law or by our operating agreement. See “Description of Shares.”</w:t>
            </w:r>
          </w:p>
        </w:tc>
      </w:tr>
      <w:tr>
        <w:trPr>
          <w:trHeight w:val="310"/>
        </w:trPr>
        <w:tc>
          <w:tcPr>
            <w:tcW w:w="284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We expect the estimated net proceeds from this offering to be</w:t>
            </w:r>
          </w:p>
        </w:tc>
      </w:tr>
      <w:tr>
        <w:trPr>
          <w:trHeight w:val="216"/>
        </w:trPr>
        <w:tc>
          <w:tcPr>
            <w:tcW w:w="2840" w:type="dxa"/>
            <w:vAlign w:val="bottom"/>
          </w:tcPr>
          <w:p>
            <w:pPr>
              <w:spacing w:after="0"/>
              <w:rPr>
                <w:sz w:val="18"/>
                <w:szCs w:val="18"/>
                <w:color w:val="auto"/>
              </w:rPr>
            </w:pPr>
          </w:p>
        </w:tc>
        <w:tc>
          <w:tcPr>
            <w:tcW w:w="2920" w:type="dxa"/>
            <w:vAlign w:val="bottom"/>
            <w:gridSpan w:val="2"/>
          </w:tcPr>
          <w:p>
            <w:pPr>
              <w:ind w:left="1580"/>
              <w:spacing w:after="0"/>
              <w:rPr>
                <w:sz w:val="20"/>
                <w:szCs w:val="20"/>
                <w:color w:val="auto"/>
              </w:rPr>
            </w:pPr>
            <w:r>
              <w:rPr>
                <w:rFonts w:ascii="Arial" w:cs="Arial" w:eastAsia="Arial" w:hAnsi="Arial"/>
                <w:sz w:val="18"/>
                <w:szCs w:val="18"/>
                <w:color w:val="auto"/>
              </w:rPr>
              <w:t>approximately $</w:t>
            </w:r>
          </w:p>
        </w:tc>
        <w:tc>
          <w:tcPr>
            <w:tcW w:w="3840" w:type="dxa"/>
            <w:vAlign w:val="bottom"/>
            <w:gridSpan w:val="3"/>
          </w:tcPr>
          <w:p>
            <w:pPr>
              <w:ind w:left="160"/>
              <w:spacing w:after="0"/>
              <w:rPr>
                <w:sz w:val="20"/>
                <w:szCs w:val="20"/>
                <w:color w:val="auto"/>
              </w:rPr>
            </w:pPr>
            <w:r>
              <w:rPr>
                <w:rFonts w:ascii="Arial" w:cs="Arial" w:eastAsia="Arial" w:hAnsi="Arial"/>
                <w:sz w:val="18"/>
                <w:szCs w:val="18"/>
                <w:color w:val="auto"/>
              </w:rPr>
              <w:t>million (based on an assumed initial offering</w:t>
            </w:r>
          </w:p>
        </w:tc>
      </w:tr>
      <w:tr>
        <w:trPr>
          <w:trHeight w:val="216"/>
        </w:trPr>
        <w:tc>
          <w:tcPr>
            <w:tcW w:w="2840" w:type="dxa"/>
            <w:vAlign w:val="bottom"/>
          </w:tcPr>
          <w:p>
            <w:pPr>
              <w:spacing w:after="0"/>
              <w:rPr>
                <w:sz w:val="18"/>
                <w:szCs w:val="18"/>
                <w:color w:val="auto"/>
              </w:rPr>
            </w:pPr>
          </w:p>
        </w:tc>
        <w:tc>
          <w:tcPr>
            <w:tcW w:w="2440" w:type="dxa"/>
            <w:vAlign w:val="bottom"/>
          </w:tcPr>
          <w:p>
            <w:pPr>
              <w:ind w:left="1580"/>
              <w:spacing w:after="0"/>
              <w:rPr>
                <w:sz w:val="20"/>
                <w:szCs w:val="20"/>
                <w:color w:val="auto"/>
              </w:rPr>
            </w:pPr>
            <w:r>
              <w:rPr>
                <w:rFonts w:ascii="Arial" w:cs="Arial" w:eastAsia="Arial" w:hAnsi="Arial"/>
                <w:sz w:val="18"/>
                <w:szCs w:val="18"/>
                <w:color w:val="auto"/>
              </w:rPr>
              <w:t>price of $</w:t>
            </w:r>
          </w:p>
        </w:tc>
        <w:tc>
          <w:tcPr>
            <w:tcW w:w="4320" w:type="dxa"/>
            <w:vAlign w:val="bottom"/>
            <w:gridSpan w:val="4"/>
          </w:tcPr>
          <w:p>
            <w:pPr>
              <w:ind w:left="160"/>
              <w:spacing w:after="0"/>
              <w:rPr>
                <w:sz w:val="20"/>
                <w:szCs w:val="20"/>
                <w:color w:val="auto"/>
              </w:rPr>
            </w:pPr>
            <w:r>
              <w:rPr>
                <w:rFonts w:ascii="Arial" w:cs="Arial" w:eastAsia="Arial" w:hAnsi="Arial"/>
                <w:sz w:val="18"/>
                <w:szCs w:val="18"/>
                <w:color w:val="auto"/>
                <w:w w:val="96"/>
              </w:rPr>
              <w:t>per Class A share, the mid-point of the price range set</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forth on the cover page of this prospectus), after deducting the</w:t>
            </w:r>
          </w:p>
        </w:tc>
      </w:tr>
      <w:tr>
        <w:trPr>
          <w:trHeight w:val="230"/>
        </w:trPr>
        <w:tc>
          <w:tcPr>
            <w:tcW w:w="2840" w:type="dxa"/>
            <w:vAlign w:val="bottom"/>
          </w:tcPr>
          <w:p>
            <w:pPr>
              <w:spacing w:after="0"/>
              <w:rPr>
                <w:sz w:val="20"/>
                <w:szCs w:val="20"/>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estimated underwriting discounts and offering expenses.</w:t>
            </w:r>
          </w:p>
        </w:tc>
      </w:tr>
      <w:tr>
        <w:trPr>
          <w:trHeight w:val="310"/>
        </w:trPr>
        <w:tc>
          <w:tcPr>
            <w:tcW w:w="2840" w:type="dxa"/>
            <w:vAlign w:val="bottom"/>
          </w:tcPr>
          <w:p>
            <w:pPr>
              <w:spacing w:after="0"/>
              <w:rPr>
                <w:sz w:val="24"/>
                <w:szCs w:val="24"/>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We will contribute the net proceeds of this offering to NFI in</w:t>
            </w:r>
          </w:p>
        </w:tc>
      </w:tr>
      <w:tr>
        <w:trPr>
          <w:trHeight w:val="216"/>
        </w:trPr>
        <w:tc>
          <w:tcPr>
            <w:tcW w:w="2840" w:type="dxa"/>
            <w:vAlign w:val="bottom"/>
          </w:tcPr>
          <w:p>
            <w:pPr>
              <w:spacing w:after="0"/>
              <w:rPr>
                <w:sz w:val="18"/>
                <w:szCs w:val="18"/>
                <w:color w:val="auto"/>
              </w:rPr>
            </w:pPr>
          </w:p>
        </w:tc>
        <w:tc>
          <w:tcPr>
            <w:tcW w:w="4520" w:type="dxa"/>
            <w:vAlign w:val="bottom"/>
            <w:gridSpan w:val="3"/>
          </w:tcPr>
          <w:p>
            <w:pPr>
              <w:ind w:left="1580"/>
              <w:spacing w:after="0"/>
              <w:rPr>
                <w:sz w:val="20"/>
                <w:szCs w:val="20"/>
                <w:color w:val="auto"/>
              </w:rPr>
            </w:pPr>
            <w:r>
              <w:rPr>
                <w:rFonts w:ascii="Arial" w:cs="Arial" w:eastAsia="Arial" w:hAnsi="Arial"/>
                <w:sz w:val="18"/>
                <w:szCs w:val="18"/>
                <w:color w:val="auto"/>
              </w:rPr>
              <w:t>exchange for NFI’s issuance to us of</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NFI LLC Units. NFI will</w:t>
            </w:r>
          </w:p>
        </w:tc>
      </w:tr>
      <w:tr>
        <w:trPr>
          <w:trHeight w:val="216"/>
        </w:trPr>
        <w:tc>
          <w:tcPr>
            <w:tcW w:w="2840" w:type="dxa"/>
            <w:vAlign w:val="bottom"/>
          </w:tcPr>
          <w:p>
            <w:pPr>
              <w:spacing w:after="0"/>
              <w:rPr>
                <w:sz w:val="18"/>
                <w:szCs w:val="18"/>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w w:val="93"/>
              </w:rPr>
              <w:t>use the net proceeds to complete the construction of the Old Harbour</w:t>
            </w:r>
          </w:p>
        </w:tc>
      </w:tr>
      <w:tr>
        <w:trPr>
          <w:trHeight w:val="230"/>
        </w:trPr>
        <w:tc>
          <w:tcPr>
            <w:tcW w:w="2840" w:type="dxa"/>
            <w:vAlign w:val="bottom"/>
          </w:tcPr>
          <w:p>
            <w:pPr>
              <w:spacing w:after="0"/>
              <w:rPr>
                <w:sz w:val="20"/>
                <w:szCs w:val="20"/>
                <w:color w:val="auto"/>
              </w:rPr>
            </w:pPr>
          </w:p>
        </w:tc>
        <w:tc>
          <w:tcPr>
            <w:tcW w:w="6760" w:type="dxa"/>
            <w:vAlign w:val="bottom"/>
            <w:gridSpan w:val="5"/>
          </w:tcPr>
          <w:p>
            <w:pPr>
              <w:ind w:left="1580"/>
              <w:spacing w:after="0"/>
              <w:rPr>
                <w:sz w:val="20"/>
                <w:szCs w:val="20"/>
                <w:color w:val="auto"/>
              </w:rPr>
            </w:pPr>
            <w:r>
              <w:rPr>
                <w:rFonts w:ascii="Arial" w:cs="Arial" w:eastAsia="Arial" w:hAnsi="Arial"/>
                <w:sz w:val="18"/>
                <w:szCs w:val="18"/>
                <w:color w:val="auto"/>
              </w:rPr>
              <w:t>Terminal (as defined herein), the Pennsylvania</w:t>
            </w:r>
          </w:p>
        </w:tc>
      </w:tr>
      <w:tr>
        <w:trPr>
          <w:trHeight w:val="267"/>
        </w:trPr>
        <w:tc>
          <w:tcPr>
            <w:tcW w:w="284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429"/>
        </w:trPr>
        <w:tc>
          <w:tcPr>
            <w:tcW w:w="2840" w:type="dxa"/>
            <w:vAlign w:val="bottom"/>
          </w:tcPr>
          <w:p>
            <w:pPr>
              <w:spacing w:after="0"/>
              <w:rPr>
                <w:sz w:val="24"/>
                <w:szCs w:val="24"/>
                <w:color w:val="auto"/>
              </w:rPr>
            </w:pPr>
          </w:p>
        </w:tc>
        <w:tc>
          <w:tcPr>
            <w:tcW w:w="2440" w:type="dxa"/>
            <w:vAlign w:val="bottom"/>
          </w:tcPr>
          <w:p>
            <w:pPr>
              <w:ind w:left="184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2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2840" w:type="dxa"/>
            <w:vAlign w:val="bottom"/>
            <w:shd w:val="clear" w:color="auto" w:fill="000000"/>
          </w:tcPr>
          <w:p>
            <w:pPr>
              <w:spacing w:after="0"/>
              <w:rPr>
                <w:sz w:val="5"/>
                <w:szCs w:val="5"/>
                <w:color w:val="auto"/>
              </w:rPr>
            </w:pPr>
          </w:p>
        </w:tc>
        <w:tc>
          <w:tcPr>
            <w:tcW w:w="244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22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895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2825" cy="5895975"/>
                    </a:xfrm>
                    <a:prstGeom prst="rect">
                      <a:avLst/>
                    </a:prstGeom>
                    <a:noFill/>
                  </pic:spPr>
                </pic:pic>
              </a:graphicData>
            </a:graphic>
          </wp:anchor>
        </w:drawing>
      </w:r>
    </w:p>
    <w:p>
      <w:pPr>
        <w:spacing w:after="0" w:line="138" w:lineRule="exact"/>
        <w:rPr>
          <w:sz w:val="20"/>
          <w:szCs w:val="20"/>
          <w:color w:val="auto"/>
        </w:rPr>
      </w:pPr>
    </w:p>
    <w:p>
      <w:pPr>
        <w:ind w:left="4420" w:right="20"/>
        <w:spacing w:after="0" w:line="264" w:lineRule="auto"/>
        <w:rPr>
          <w:sz w:val="20"/>
          <w:szCs w:val="20"/>
          <w:color w:val="auto"/>
        </w:rPr>
      </w:pPr>
      <w:r>
        <w:rPr>
          <w:rFonts w:ascii="Arial" w:cs="Arial" w:eastAsia="Arial" w:hAnsi="Arial"/>
          <w:sz w:val="18"/>
          <w:szCs w:val="18"/>
          <w:color w:val="auto"/>
        </w:rPr>
        <w:t>Facility and the CHP Plant, as well as for working capital and general corporate purposes, including the development of future projects. Please read “Use of Proceeds.”</w:t>
      </w:r>
    </w:p>
    <w:p>
      <w:pPr>
        <w:spacing w:after="0" w:line="7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2"/>
              </w:rPr>
              <w:t>If the underwriters exercise their option to purchase additional Class</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4"/>
              </w:rPr>
              <w:t>A shares in full, the additional net proceeds will be approximately $</w:t>
            </w:r>
          </w:p>
        </w:tc>
      </w:tr>
      <w:tr>
        <w:trPr>
          <w:trHeight w:val="216"/>
        </w:trPr>
        <w:tc>
          <w:tcPr>
            <w:tcW w:w="2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w w:val="96"/>
              </w:rPr>
              <w:t>million (based on an assumed initial offering price of $</w:t>
            </w:r>
          </w:p>
        </w:tc>
        <w:tc>
          <w:tcPr>
            <w:tcW w:w="600" w:type="dxa"/>
            <w:vAlign w:val="bottom"/>
          </w:tcPr>
          <w:p>
            <w:pPr>
              <w:ind w:left="60"/>
              <w:spacing w:after="0"/>
              <w:rPr>
                <w:sz w:val="20"/>
                <w:szCs w:val="20"/>
                <w:color w:val="auto"/>
              </w:rPr>
            </w:pPr>
            <w:r>
              <w:rPr>
                <w:rFonts w:ascii="Arial" w:cs="Arial" w:eastAsia="Arial" w:hAnsi="Arial"/>
                <w:sz w:val="18"/>
                <w:szCs w:val="18"/>
                <w:color w:val="auto"/>
              </w:rPr>
              <w:t>per</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2"/>
              </w:rPr>
              <w:t>Class A share, the mid-point of the price range set forth on the cover</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0"/>
              </w:rPr>
              <w:t>page of this prospectus). The net proceeds from any exercise of such</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5"/>
              </w:rPr>
              <w:t>option will be contributed to NFI in exchange for NFI’s issuance to</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5"/>
              </w:rPr>
              <w:t>us of NFI LLC Units. After the application of the net proceeds from</w:t>
            </w:r>
          </w:p>
        </w:tc>
      </w:tr>
      <w:tr>
        <w:trPr>
          <w:trHeight w:val="216"/>
        </w:trPr>
        <w:tc>
          <w:tcPr>
            <w:tcW w:w="2840" w:type="dxa"/>
            <w:vAlign w:val="bottom"/>
          </w:tcPr>
          <w:p>
            <w:pPr>
              <w:spacing w:after="0"/>
              <w:rPr>
                <w:sz w:val="18"/>
                <w:szCs w:val="18"/>
                <w:color w:val="auto"/>
              </w:rPr>
            </w:pPr>
          </w:p>
        </w:tc>
        <w:tc>
          <w:tcPr>
            <w:tcW w:w="3600" w:type="dxa"/>
            <w:vAlign w:val="bottom"/>
            <w:gridSpan w:val="2"/>
          </w:tcPr>
          <w:p>
            <w:pPr>
              <w:ind w:left="1480"/>
              <w:spacing w:after="0"/>
              <w:rPr>
                <w:sz w:val="20"/>
                <w:szCs w:val="20"/>
                <w:color w:val="auto"/>
              </w:rPr>
            </w:pPr>
            <w:r>
              <w:rPr>
                <w:rFonts w:ascii="Arial" w:cs="Arial" w:eastAsia="Arial" w:hAnsi="Arial"/>
                <w:sz w:val="18"/>
                <w:szCs w:val="18"/>
                <w:color w:val="auto"/>
              </w:rPr>
              <w:t>this offering, we will own a</w:t>
            </w: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 membership interest in NFI (or</w:t>
            </w:r>
          </w:p>
        </w:tc>
      </w:tr>
      <w:tr>
        <w:trPr>
          <w:trHeight w:val="216"/>
        </w:trPr>
        <w:tc>
          <w:tcPr>
            <w:tcW w:w="2840" w:type="dxa"/>
            <w:vAlign w:val="bottom"/>
          </w:tcPr>
          <w:p>
            <w:pPr>
              <w:spacing w:after="0"/>
              <w:rPr>
                <w:sz w:val="18"/>
                <w:szCs w:val="18"/>
                <w:color w:val="auto"/>
              </w:rPr>
            </w:pPr>
          </w:p>
        </w:tc>
        <w:tc>
          <w:tcPr>
            <w:tcW w:w="1660" w:type="dxa"/>
            <w:vAlign w:val="bottom"/>
          </w:tcPr>
          <w:p>
            <w:pPr>
              <w:ind w:left="1480"/>
              <w:spacing w:after="0"/>
              <w:rPr>
                <w:sz w:val="20"/>
                <w:szCs w:val="20"/>
                <w:color w:val="auto"/>
              </w:rPr>
            </w:pPr>
            <w:r>
              <w:rPr>
                <w:rFonts w:ascii="Arial" w:cs="Arial" w:eastAsia="Arial" w:hAnsi="Arial"/>
                <w:sz w:val="18"/>
                <w:szCs w:val="18"/>
                <w:color w:val="auto"/>
              </w:rPr>
              <w:t>a</w:t>
            </w:r>
          </w:p>
        </w:tc>
        <w:tc>
          <w:tcPr>
            <w:tcW w:w="4860" w:type="dxa"/>
            <w:vAlign w:val="bottom"/>
            <w:gridSpan w:val="3"/>
          </w:tcPr>
          <w:p>
            <w:pPr>
              <w:ind w:left="180"/>
              <w:spacing w:after="0"/>
              <w:rPr>
                <w:sz w:val="20"/>
                <w:szCs w:val="20"/>
                <w:color w:val="auto"/>
              </w:rPr>
            </w:pPr>
            <w:r>
              <w:rPr>
                <w:rFonts w:ascii="Arial" w:cs="Arial" w:eastAsia="Arial" w:hAnsi="Arial"/>
                <w:sz w:val="18"/>
                <w:szCs w:val="18"/>
                <w:color w:val="auto"/>
                <w:w w:val="95"/>
              </w:rPr>
              <w:t>% membership interest if the underwriters’ option to purchase</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3"/>
              </w:rPr>
              <w:t>additional Class A shares is exercised in full). Please read “Security</w:t>
            </w:r>
          </w:p>
        </w:tc>
      </w:tr>
      <w:tr>
        <w:trPr>
          <w:trHeight w:val="230"/>
        </w:trPr>
        <w:tc>
          <w:tcPr>
            <w:tcW w:w="2840" w:type="dxa"/>
            <w:vAlign w:val="bottom"/>
          </w:tcPr>
          <w:p>
            <w:pPr>
              <w:spacing w:after="0"/>
              <w:rPr>
                <w:sz w:val="20"/>
                <w:szCs w:val="20"/>
                <w:color w:val="auto"/>
              </w:rPr>
            </w:pPr>
          </w:p>
        </w:tc>
        <w:tc>
          <w:tcPr>
            <w:tcW w:w="5920" w:type="dxa"/>
            <w:vAlign w:val="bottom"/>
            <w:gridSpan w:val="3"/>
          </w:tcPr>
          <w:p>
            <w:pPr>
              <w:ind w:left="1480"/>
              <w:spacing w:after="0"/>
              <w:rPr>
                <w:sz w:val="20"/>
                <w:szCs w:val="20"/>
                <w:color w:val="auto"/>
              </w:rPr>
            </w:pPr>
            <w:r>
              <w:rPr>
                <w:rFonts w:ascii="Arial" w:cs="Arial" w:eastAsia="Arial" w:hAnsi="Arial"/>
                <w:sz w:val="18"/>
                <w:szCs w:val="18"/>
                <w:color w:val="auto"/>
                <w:w w:val="93"/>
              </w:rPr>
              <w:t>Ownership of Certain Beneficial Owners and Management.”</w:t>
            </w:r>
          </w:p>
        </w:tc>
        <w:tc>
          <w:tcPr>
            <w:tcW w:w="600" w:type="dxa"/>
            <w:vAlign w:val="bottom"/>
          </w:tcPr>
          <w:p>
            <w:pPr>
              <w:spacing w:after="0"/>
              <w:rPr>
                <w:sz w:val="20"/>
                <w:szCs w:val="20"/>
                <w:color w:val="auto"/>
              </w:rPr>
            </w:pPr>
          </w:p>
        </w:tc>
      </w:tr>
      <w:tr>
        <w:trPr>
          <w:trHeight w:val="310"/>
        </w:trPr>
        <w:tc>
          <w:tcPr>
            <w:tcW w:w="2840" w:type="dxa"/>
            <w:vAlign w:val="bottom"/>
          </w:tcPr>
          <w:p>
            <w:pPr>
              <w:spacing w:after="0"/>
              <w:rPr>
                <w:sz w:val="20"/>
                <w:szCs w:val="20"/>
                <w:color w:val="auto"/>
              </w:rPr>
            </w:pPr>
            <w:r>
              <w:rPr>
                <w:rFonts w:ascii="Arial" w:cs="Arial" w:eastAsia="Arial" w:hAnsi="Arial"/>
                <w:sz w:val="18"/>
                <w:szCs w:val="18"/>
                <w:color w:val="auto"/>
              </w:rPr>
              <w:t>Dividend policy</w:t>
            </w: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89"/>
              </w:rPr>
              <w:t>We do not anticipate paying any dividends on our Class A shares. See</w:t>
            </w:r>
          </w:p>
        </w:tc>
      </w:tr>
      <w:tr>
        <w:trPr>
          <w:trHeight w:val="230"/>
        </w:trPr>
        <w:tc>
          <w:tcPr>
            <w:tcW w:w="2840" w:type="dxa"/>
            <w:vAlign w:val="bottom"/>
          </w:tcPr>
          <w:p>
            <w:pPr>
              <w:spacing w:after="0"/>
              <w:rPr>
                <w:sz w:val="20"/>
                <w:szCs w:val="20"/>
                <w:color w:val="auto"/>
              </w:rPr>
            </w:pPr>
          </w:p>
        </w:tc>
        <w:tc>
          <w:tcPr>
            <w:tcW w:w="3600" w:type="dxa"/>
            <w:vAlign w:val="bottom"/>
            <w:gridSpan w:val="2"/>
          </w:tcPr>
          <w:p>
            <w:pPr>
              <w:ind w:left="1480"/>
              <w:spacing w:after="0"/>
              <w:rPr>
                <w:sz w:val="20"/>
                <w:szCs w:val="20"/>
                <w:color w:val="auto"/>
              </w:rPr>
            </w:pPr>
            <w:r>
              <w:rPr>
                <w:rFonts w:ascii="Arial" w:cs="Arial" w:eastAsia="Arial" w:hAnsi="Arial"/>
                <w:sz w:val="18"/>
                <w:szCs w:val="18"/>
                <w:color w:val="auto"/>
              </w:rPr>
              <w:t>“Dividend Policy.”</w:t>
            </w:r>
          </w:p>
        </w:tc>
        <w:tc>
          <w:tcPr>
            <w:tcW w:w="23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10"/>
        </w:trPr>
        <w:tc>
          <w:tcPr>
            <w:tcW w:w="2840" w:type="dxa"/>
            <w:vAlign w:val="bottom"/>
          </w:tcPr>
          <w:p>
            <w:pPr>
              <w:spacing w:after="0"/>
              <w:rPr>
                <w:sz w:val="20"/>
                <w:szCs w:val="20"/>
                <w:color w:val="auto"/>
              </w:rPr>
            </w:pPr>
            <w:r>
              <w:rPr>
                <w:rFonts w:ascii="Arial" w:cs="Arial" w:eastAsia="Arial" w:hAnsi="Arial"/>
                <w:sz w:val="18"/>
                <w:szCs w:val="18"/>
                <w:color w:val="auto"/>
              </w:rPr>
              <w:t>Redemption Right</w:t>
            </w: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4"/>
              </w:rPr>
              <w:t>Under the NFI LLC Agreement, New Fortress Energy Holdings and</w:t>
            </w:r>
          </w:p>
        </w:tc>
      </w:tr>
      <w:tr>
        <w:trPr>
          <w:trHeight w:val="216"/>
        </w:trPr>
        <w:tc>
          <w:tcPr>
            <w:tcW w:w="2840" w:type="dxa"/>
            <w:vAlign w:val="bottom"/>
          </w:tcPr>
          <w:p>
            <w:pPr>
              <w:spacing w:after="0"/>
              <w:rPr>
                <w:sz w:val="18"/>
                <w:szCs w:val="18"/>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rPr>
              <w:t>any permitted transferees of their NFI LLC Units will, subject to</w:t>
            </w:r>
          </w:p>
        </w:tc>
      </w:tr>
      <w:tr>
        <w:trPr>
          <w:trHeight w:val="230"/>
        </w:trPr>
        <w:tc>
          <w:tcPr>
            <w:tcW w:w="2840" w:type="dxa"/>
            <w:vAlign w:val="bottom"/>
          </w:tcPr>
          <w:p>
            <w:pPr>
              <w:spacing w:after="0"/>
              <w:rPr>
                <w:sz w:val="20"/>
                <w:szCs w:val="20"/>
                <w:color w:val="auto"/>
              </w:rPr>
            </w:pPr>
          </w:p>
        </w:tc>
        <w:tc>
          <w:tcPr>
            <w:tcW w:w="6520" w:type="dxa"/>
            <w:vAlign w:val="bottom"/>
            <w:gridSpan w:val="4"/>
          </w:tcPr>
          <w:p>
            <w:pPr>
              <w:ind w:left="1480"/>
              <w:spacing w:after="0"/>
              <w:rPr>
                <w:sz w:val="20"/>
                <w:szCs w:val="20"/>
                <w:color w:val="auto"/>
              </w:rPr>
            </w:pPr>
            <w:r>
              <w:rPr>
                <w:rFonts w:ascii="Arial" w:cs="Arial" w:eastAsia="Arial" w:hAnsi="Arial"/>
                <w:sz w:val="18"/>
                <w:szCs w:val="18"/>
                <w:color w:val="auto"/>
                <w:w w:val="92"/>
              </w:rPr>
              <w:t>certain limitations, have the right, pursuant to the Redemption Right,</w:t>
            </w:r>
          </w:p>
        </w:tc>
      </w:tr>
    </w:tbl>
    <w:p>
      <w:pPr>
        <w:ind w:left="4420"/>
        <w:spacing w:after="0" w:line="284" w:lineRule="auto"/>
        <w:rPr>
          <w:sz w:val="20"/>
          <w:szCs w:val="20"/>
          <w:color w:val="auto"/>
        </w:rPr>
      </w:pPr>
      <w:r>
        <w:rPr>
          <w:rFonts w:ascii="Arial" w:cs="Arial" w:eastAsia="Arial" w:hAnsi="Arial"/>
          <w:sz w:val="16"/>
          <w:szCs w:val="16"/>
          <w:color w:val="auto"/>
        </w:rPr>
        <w:t>to cause NFI to acquire all or a portion of its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Alternatively, upon the exercise of the Redemption Right, NFE (instead of NFI) will have the right, pursuant to the Call Right, to acquire each tendered NFI LLC Unit directly from the redeeming NFI unitholder for, at its election, (x) one Class A share, subject to conversion rate adjustments for equity splits, equity dividends and reclassification and other similar transactions or (y) an equivalent amount of cash. In addition, upon a change of control of NFE, NFE will have the right to require each holder of NFI LLC Units (other than NFE) to exercise its Redemption Right with respect to some or all of such unitholder’s NFI LLC Units. In connection with any redemption of NFI LLC Units pursuant to the Redemption Right or our Call Right, the corresponding number of Class B shares will be cancelled. For additional information, please read “Certain Relationships and Related Transactions—Agreements with Affiliates in Connection with the Transactions—Amended and Restated Limited Liability Company Agreement of NFI.”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340"/>
        </w:trPr>
        <w:tc>
          <w:tcPr>
            <w:tcW w:w="28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Exchange listing</w:t>
            </w:r>
          </w:p>
        </w:tc>
        <w:tc>
          <w:tcPr>
            <w:tcW w:w="6740" w:type="dxa"/>
            <w:vAlign w:val="bottom"/>
            <w:tcBorders>
              <w:top w:val="single" w:sz="8" w:color="auto"/>
              <w:right w:val="single" w:sz="8" w:color="auto"/>
            </w:tcBorders>
            <w:gridSpan w:val="2"/>
          </w:tcPr>
          <w:p>
            <w:pPr>
              <w:ind w:left="1560"/>
              <w:spacing w:after="0"/>
              <w:rPr>
                <w:sz w:val="20"/>
                <w:szCs w:val="20"/>
                <w:color w:val="auto"/>
              </w:rPr>
            </w:pPr>
            <w:r>
              <w:rPr>
                <w:rFonts w:ascii="Arial" w:cs="Arial" w:eastAsia="Arial" w:hAnsi="Arial"/>
                <w:sz w:val="18"/>
                <w:szCs w:val="18"/>
                <w:color w:val="auto"/>
                <w:w w:val="93"/>
              </w:rPr>
              <w:t>We intend to apply to list our Class A shares on the NYSE, under the</w:t>
            </w:r>
          </w:p>
        </w:tc>
      </w:tr>
      <w:tr>
        <w:trPr>
          <w:trHeight w:val="230"/>
        </w:trPr>
        <w:tc>
          <w:tcPr>
            <w:tcW w:w="286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symbol “NFE.”</w:t>
            </w:r>
          </w:p>
        </w:tc>
      </w:tr>
      <w:tr>
        <w:trPr>
          <w:trHeight w:val="310"/>
        </w:trPr>
        <w:tc>
          <w:tcPr>
            <w:tcW w:w="28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Risk Factors</w:t>
            </w: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You should carefully read and consider the information set forth</w:t>
            </w:r>
          </w:p>
        </w:tc>
      </w:tr>
      <w:tr>
        <w:trPr>
          <w:trHeight w:val="216"/>
        </w:trPr>
        <w:tc>
          <w:tcPr>
            <w:tcW w:w="2860" w:type="dxa"/>
            <w:vAlign w:val="bottom"/>
            <w:tcBorders>
              <w:left w:val="single" w:sz="8" w:color="auto"/>
            </w:tcBorders>
          </w:tcPr>
          <w:p>
            <w:pPr>
              <w:spacing w:after="0"/>
              <w:rPr>
                <w:sz w:val="18"/>
                <w:szCs w:val="18"/>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under the heading “Risk Factors” and all other information set forth</w:t>
            </w:r>
          </w:p>
        </w:tc>
      </w:tr>
      <w:tr>
        <w:trPr>
          <w:trHeight w:val="230"/>
        </w:trPr>
        <w:tc>
          <w:tcPr>
            <w:tcW w:w="2860" w:type="dxa"/>
            <w:vAlign w:val="bottom"/>
            <w:tcBorders>
              <w:left w:val="single" w:sz="8" w:color="auto"/>
            </w:tcBorders>
          </w:tcPr>
          <w:p>
            <w:pPr>
              <w:spacing w:after="0"/>
              <w:rPr>
                <w:sz w:val="20"/>
                <w:szCs w:val="20"/>
                <w:color w:val="auto"/>
              </w:rPr>
            </w:pPr>
          </w:p>
        </w:tc>
        <w:tc>
          <w:tcPr>
            <w:tcW w:w="674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8"/>
              </w:rPr>
              <w:t>in this prospectus before deciding to invest in our Class A shares.</w:t>
            </w:r>
          </w:p>
        </w:tc>
      </w:tr>
      <w:tr>
        <w:trPr>
          <w:trHeight w:val="267"/>
        </w:trPr>
        <w:tc>
          <w:tcPr>
            <w:tcW w:w="2860" w:type="dxa"/>
            <w:vAlign w:val="bottom"/>
            <w:tcBorders>
              <w:left w:val="single" w:sz="8" w:color="auto"/>
              <w:bottom w:val="single" w:sz="8" w:color="auto"/>
            </w:tcBorders>
          </w:tcPr>
          <w:p>
            <w:pPr>
              <w:spacing w:after="0"/>
              <w:rPr>
                <w:sz w:val="23"/>
                <w:szCs w:val="23"/>
                <w:color w:val="auto"/>
              </w:rPr>
            </w:pPr>
          </w:p>
        </w:tc>
        <w:tc>
          <w:tcPr>
            <w:tcW w:w="67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r>
      <w:tr>
        <w:trPr>
          <w:trHeight w:val="429"/>
        </w:trPr>
        <w:tc>
          <w:tcPr>
            <w:tcW w:w="2860" w:type="dxa"/>
            <w:vAlign w:val="bottom"/>
          </w:tcPr>
          <w:p>
            <w:pPr>
              <w:spacing w:after="0"/>
              <w:rPr>
                <w:sz w:val="24"/>
                <w:szCs w:val="24"/>
                <w:color w:val="auto"/>
              </w:rPr>
            </w:pPr>
          </w:p>
        </w:tc>
        <w:tc>
          <w:tcPr>
            <w:tcW w:w="6700" w:type="dxa"/>
            <w:vAlign w:val="bottom"/>
          </w:tcPr>
          <w:p>
            <w:pPr>
              <w:ind w:left="182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r>
      <w:tr>
        <w:trPr>
          <w:trHeight w:val="446"/>
        </w:trPr>
        <w:tc>
          <w:tcPr>
            <w:tcW w:w="28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2860" w:type="dxa"/>
            <w:vAlign w:val="bottom"/>
            <w:tcBorders>
              <w:left w:val="single" w:sz="8" w:color="auto"/>
            </w:tcBorders>
            <w:shd w:val="clear" w:color="auto" w:fill="000000"/>
          </w:tcPr>
          <w:p>
            <w:pPr>
              <w:spacing w:after="0"/>
              <w:rPr>
                <w:sz w:val="5"/>
                <w:szCs w:val="5"/>
                <w:color w:val="auto"/>
              </w:rPr>
            </w:pPr>
          </w:p>
        </w:tc>
        <w:tc>
          <w:tcPr>
            <w:tcW w:w="67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81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2825" cy="7816850"/>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Data</w:t>
      </w:r>
    </w:p>
    <w:p>
      <w:pPr>
        <w:spacing w:after="0" w:line="121" w:lineRule="exact"/>
        <w:rPr>
          <w:sz w:val="20"/>
          <w:szCs w:val="20"/>
          <w:color w:val="auto"/>
        </w:rPr>
      </w:pPr>
    </w:p>
    <w:p>
      <w:pPr>
        <w:ind w:left="100" w:right="300" w:firstLine="360"/>
        <w:spacing w:after="0" w:line="302" w:lineRule="auto"/>
        <w:rPr>
          <w:sz w:val="20"/>
          <w:szCs w:val="20"/>
          <w:color w:val="auto"/>
        </w:rPr>
      </w:pPr>
      <w:r>
        <w:rPr>
          <w:rFonts w:ascii="Arial" w:cs="Arial" w:eastAsia="Arial" w:hAnsi="Arial"/>
          <w:sz w:val="16"/>
          <w:szCs w:val="16"/>
          <w:color w:val="auto"/>
        </w:rPr>
        <w:t>NFE was formed August 6, 2018 and does not have historical financial results. The following table shows summary historical financial information of New Fortress Energy Holdings, our predecessor, for the periods and as of the dates indicated. The summary historical financial data as of and for the years ended December 31, 2017 and 2016 was derived from the audited historical consolidated financial statements of New Fortress Energy Holdings included elsewhere in this prospectus.</w:t>
      </w:r>
    </w:p>
    <w:p>
      <w:pPr>
        <w:spacing w:after="0" w:line="46" w:lineRule="exact"/>
        <w:rPr>
          <w:sz w:val="20"/>
          <w:szCs w:val="20"/>
          <w:color w:val="auto"/>
        </w:rPr>
      </w:pPr>
    </w:p>
    <w:p>
      <w:pPr>
        <w:ind w:left="100" w:right="120" w:firstLine="360"/>
        <w:spacing w:after="0" w:line="259" w:lineRule="auto"/>
        <w:rPr>
          <w:sz w:val="20"/>
          <w:szCs w:val="20"/>
          <w:color w:val="auto"/>
        </w:rPr>
      </w:pPr>
      <w:r>
        <w:rPr>
          <w:rFonts w:ascii="Arial" w:cs="Arial" w:eastAsia="Arial" w:hAnsi="Arial"/>
          <w:sz w:val="18"/>
          <w:szCs w:val="18"/>
          <w:color w:val="auto"/>
        </w:rPr>
        <w:t>You should read the information set forth below together with “Use of Proceeds,” “Selected Historical Financial Data,” “Management’s Discussion and Analysis of Financial Condition and Results of Operations,” and our consolidated financial statements and related notes included elsewhere in this prospectus. The historical financial results are not necessarily indicative of results to be expected for any future periods.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center"/>
              <w:ind w:left="633"/>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633"/>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89"/>
              </w:rPr>
              <w:t>(in thousands, except share</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1"/>
              </w:rPr>
              <w:t>and per share amounts)</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6400" w:type="dxa"/>
            <w:vAlign w:val="bottom"/>
          </w:tcPr>
          <w:p>
            <w:pPr>
              <w:ind w:left="18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0" w:type="dxa"/>
            <w:vAlign w:val="bottom"/>
          </w:tcPr>
          <w:p>
            <w:pPr>
              <w:spacing w:after="0"/>
              <w:rPr>
                <w:sz w:val="21"/>
                <w:szCs w:val="21"/>
                <w:color w:val="auto"/>
              </w:rPr>
            </w:pPr>
          </w:p>
        </w:tc>
        <w:tc>
          <w:tcPr>
            <w:tcW w:w="6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82,104</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00" w:type="dxa"/>
            <w:vAlign w:val="bottom"/>
          </w:tcPr>
          <w:p>
            <w:pPr>
              <w:ind w:left="36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97,262</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00" w:type="dxa"/>
            <w:vAlign w:val="bottom"/>
          </w:tcPr>
          <w:p>
            <w:pPr>
              <w:ind w:left="360"/>
              <w:spacing w:after="0"/>
              <w:rPr>
                <w:sz w:val="20"/>
                <w:szCs w:val="20"/>
                <w:color w:val="auto"/>
              </w:rPr>
            </w:pPr>
            <w:r>
              <w:rPr>
                <w:rFonts w:ascii="Arial" w:cs="Arial" w:eastAsia="Arial" w:hAnsi="Arial"/>
                <w:sz w:val="18"/>
                <w:szCs w:val="18"/>
                <w:color w:val="auto"/>
              </w:rPr>
              <w:t>Costs of sales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78,692</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22,747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6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Operations and maintenance</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33,343</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4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00" w:type="dxa"/>
            <w:vAlign w:val="bottom"/>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122,252</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40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640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(24,990)</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(27,058)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0" w:type="dxa"/>
            <w:vAlign w:val="bottom"/>
          </w:tcPr>
          <w:p>
            <w:pPr>
              <w:spacing w:after="0"/>
              <w:rPr>
                <w:sz w:val="21"/>
                <w:szCs w:val="21"/>
                <w:color w:val="auto"/>
              </w:rPr>
            </w:pPr>
          </w:p>
        </w:tc>
        <w:tc>
          <w:tcPr>
            <w:tcW w:w="6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0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4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640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(31,145)</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(33,287)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provision (benefit)</w:t>
            </w:r>
          </w:p>
        </w:tc>
        <w:tc>
          <w:tcPr>
            <w:tcW w:w="30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40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00" w:type="dxa"/>
            <w:vAlign w:val="bottom"/>
          </w:tcPr>
          <w:p>
            <w:pPr>
              <w:spacing w:after="0"/>
              <w:rPr>
                <w:sz w:val="19"/>
                <w:szCs w:val="19"/>
                <w:color w:val="auto"/>
              </w:rPr>
            </w:pPr>
          </w:p>
        </w:tc>
        <w:tc>
          <w:tcPr>
            <w:tcW w:w="640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(31,671)</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(32,926)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40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00" w:type="dxa"/>
            <w:vAlign w:val="bottom"/>
          </w:tcPr>
          <w:p>
            <w:pPr>
              <w:ind w:left="360"/>
              <w:spacing w:after="0"/>
              <w:rPr>
                <w:sz w:val="20"/>
                <w:szCs w:val="20"/>
                <w:color w:val="auto"/>
              </w:rPr>
            </w:pPr>
            <w:r>
              <w:rPr>
                <w:rFonts w:ascii="Arial" w:cs="Arial" w:eastAsia="Arial" w:hAnsi="Arial"/>
                <w:sz w:val="18"/>
                <w:szCs w:val="18"/>
                <w:color w:val="auto"/>
              </w:rPr>
              <w:t>Net loss per share – basic and diluted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6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 and diluted</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58,753,425</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vMerge w:val="restart"/>
          </w:tcPr>
          <w:p>
            <w:pPr>
              <w:spacing w:after="0"/>
              <w:rPr>
                <w:sz w:val="21"/>
                <w:szCs w:val="21"/>
                <w:color w:val="auto"/>
              </w:rPr>
            </w:pP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vMerge w:val="continue"/>
          </w:tcPr>
          <w:p>
            <w:pPr>
              <w:spacing w:after="0"/>
              <w:rPr>
                <w:sz w:val="21"/>
                <w:szCs w:val="21"/>
                <w:color w:val="auto"/>
              </w:rPr>
            </w:pPr>
          </w:p>
        </w:tc>
        <w:tc>
          <w:tcPr>
            <w:tcW w:w="6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69,350</w:t>
            </w:r>
          </w:p>
        </w:tc>
        <w:tc>
          <w:tcPr>
            <w:tcW w:w="160" w:type="dxa"/>
            <w:vAlign w:val="bottom"/>
          </w:tcPr>
          <w:p>
            <w:pPr>
              <w:spacing w:after="0"/>
              <w:rPr>
                <w:sz w:val="20"/>
                <w:szCs w:val="20"/>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70,633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00" w:type="dxa"/>
            <w:vAlign w:val="bottom"/>
          </w:tcPr>
          <w:p>
            <w:pPr>
              <w:ind w:left="180"/>
              <w:spacing w:after="0"/>
              <w:rPr>
                <w:sz w:val="20"/>
                <w:szCs w:val="20"/>
                <w:color w:val="auto"/>
              </w:rPr>
            </w:pPr>
            <w:r>
              <w:rPr>
                <w:rFonts w:ascii="Arial" w:cs="Arial" w:eastAsia="Arial" w:hAnsi="Arial"/>
                <w:sz w:val="18"/>
                <w:szCs w:val="18"/>
                <w:color w:val="auto"/>
              </w:rPr>
              <w:t>Long-term debt (includes current portion)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75,253</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80,385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vMerge w:val="restart"/>
          </w:tcPr>
          <w:p>
            <w:pPr>
              <w:spacing w:after="0"/>
              <w:rPr>
                <w:sz w:val="21"/>
                <w:szCs w:val="21"/>
                <w:color w:val="auto"/>
              </w:rPr>
            </w:pP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vMerge w:val="continue"/>
          </w:tcPr>
          <w:p>
            <w:pPr>
              <w:spacing w:after="0"/>
              <w:rPr>
                <w:sz w:val="21"/>
                <w:szCs w:val="21"/>
                <w:color w:val="auto"/>
              </w:rPr>
            </w:pPr>
          </w:p>
        </w:tc>
        <w:tc>
          <w:tcPr>
            <w:tcW w:w="6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Statements of Cash Flow Data:</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6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(54,892)</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(43,493)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400" w:type="dxa"/>
            <w:vAlign w:val="bottom"/>
          </w:tcPr>
          <w:p>
            <w:pPr>
              <w:ind w:left="36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(52,396)</w:t>
            </w:r>
          </w:p>
        </w:tc>
        <w:tc>
          <w:tcPr>
            <w:tcW w:w="4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(104,040)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6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277,699</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100" w:type="dxa"/>
            <w:vAlign w:val="bottom"/>
            <w:tcBorders>
              <w:bottom w:val="single" w:sz="8" w:color="auto"/>
            </w:tcBorders>
          </w:tcPr>
          <w:p>
            <w:pPr>
              <w:spacing w:after="0"/>
              <w:rPr>
                <w:sz w:val="23"/>
                <w:szCs w:val="23"/>
                <w:color w:val="auto"/>
              </w:rPr>
            </w:pPr>
          </w:p>
        </w:tc>
        <w:tc>
          <w:tcPr>
            <w:tcW w:w="64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6500" w:type="dxa"/>
            <w:vAlign w:val="bottom"/>
            <w:gridSpan w:val="2"/>
          </w:tcPr>
          <w:p>
            <w:pPr>
              <w:jc w:val="right"/>
              <w:ind w:right="155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0" w:type="dxa"/>
            <w:vAlign w:val="bottom"/>
            <w:shd w:val="clear" w:color="auto" w:fill="000000"/>
          </w:tcPr>
          <w:p>
            <w:pPr>
              <w:spacing w:after="0"/>
              <w:rPr>
                <w:sz w:val="5"/>
                <w:szCs w:val="5"/>
                <w:color w:val="auto"/>
              </w:rPr>
            </w:pPr>
          </w:p>
        </w:tc>
        <w:tc>
          <w:tcPr>
            <w:tcW w:w="6400" w:type="dxa"/>
            <w:vAlign w:val="bottom"/>
            <w:tcBorders>
              <w:right w:val="single" w:sz="8" w:color="auto"/>
            </w:tcBorders>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40" w:type="dxa"/>
            <w:vAlign w:val="bottom"/>
            <w:tcBorders>
              <w:right w:val="single" w:sz="8" w:color="auto"/>
            </w:tcBorders>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600"/>
          </w:cols>
          <w:pgMar w:left="1180" w:top="279" w:right="11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i w:val="1"/>
          <w:iCs w:val="1"/>
          <w:color w:val="auto"/>
        </w:rPr>
        <w:t>Investing in our Class A shares involves risks. You should carefully consider the following risk factors together with all of the other information included in this prospectus in evaluating an investment in our Class A shares. Additional risks not presently known to us or that we currently deem immaterial could also materially affect our business.</w:t>
      </w:r>
    </w:p>
    <w:p>
      <w:pPr>
        <w:spacing w:after="0" w:line="57" w:lineRule="exact"/>
        <w:rPr>
          <w:sz w:val="20"/>
          <w:szCs w:val="20"/>
          <w:color w:val="auto"/>
        </w:rPr>
      </w:pPr>
    </w:p>
    <w:p>
      <w:pPr>
        <w:ind w:right="480" w:firstLine="360"/>
        <w:spacing w:after="0" w:line="264" w:lineRule="auto"/>
        <w:rPr>
          <w:sz w:val="20"/>
          <w:szCs w:val="20"/>
          <w:color w:val="auto"/>
        </w:rPr>
      </w:pPr>
      <w:r>
        <w:rPr>
          <w:rFonts w:ascii="Arial" w:cs="Arial" w:eastAsia="Arial" w:hAnsi="Arial"/>
          <w:sz w:val="18"/>
          <w:szCs w:val="18"/>
          <w:i w:val="1"/>
          <w:iCs w:val="1"/>
          <w:color w:val="auto"/>
        </w:rPr>
        <w:t>If any of the following risks were to occur, our business, financial condition and results of operations could be materially adversely affected. In that case, the trading price of our Class A shares could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jc w:val="both"/>
        <w:ind w:left="360" w:right="340"/>
        <w:spacing w:after="0" w:line="235" w:lineRule="auto"/>
        <w:rPr>
          <w:sz w:val="20"/>
          <w:szCs w:val="20"/>
          <w:color w:val="auto"/>
        </w:rPr>
      </w:pPr>
      <w:r>
        <w:rPr>
          <w:rFonts w:ascii="Arial" w:cs="Arial" w:eastAsia="Arial" w:hAnsi="Arial"/>
          <w:sz w:val="18"/>
          <w:szCs w:val="18"/>
          <w:b w:val="1"/>
          <w:bCs w:val="1"/>
          <w:i w:val="1"/>
          <w:iCs w:val="1"/>
          <w:color w:val="auto"/>
        </w:rPr>
        <w:t>We have not yet completed construction and commissioning of the Old Harbour Terminal or the Pennsylvania Facility. There can be no assurance that the Old Harbour Terminal or the Pennsylvania Facility will operate as described in this prospectus, or at all.</w:t>
      </w:r>
    </w:p>
    <w:p>
      <w:pPr>
        <w:spacing w:after="0" w:line="81" w:lineRule="exact"/>
        <w:rPr>
          <w:sz w:val="20"/>
          <w:szCs w:val="20"/>
          <w:color w:val="auto"/>
        </w:rPr>
      </w:pPr>
    </w:p>
    <w:p>
      <w:pPr>
        <w:ind w:right="80" w:firstLine="360"/>
        <w:spacing w:after="0" w:line="267" w:lineRule="auto"/>
        <w:rPr>
          <w:sz w:val="20"/>
          <w:szCs w:val="20"/>
          <w:color w:val="auto"/>
        </w:rPr>
      </w:pPr>
      <w:r>
        <w:rPr>
          <w:rFonts w:ascii="Arial" w:cs="Arial" w:eastAsia="Arial" w:hAnsi="Arial"/>
          <w:sz w:val="17"/>
          <w:szCs w:val="17"/>
          <w:color w:val="auto"/>
        </w:rPr>
        <w:t>While our marine LNG storage and regasification terminal approximately three nautical miles from the Old Harbour Power Plant (the “Old Harbour Terminal” and, together with the Montego Bay Terminal, the “Jamaica Terminals”) is substantially complete, it must still undergo extensive testing and commissioning before operations can commence. With respect to our Pennsylvania Facility, though we are in advanced stages of design, development and permitting, we have not reached a final investment decision regarding such facility. As such, we have not entered into binding construction contracts or obtained all necessary environmental, regulatory, construction and zoning permissions. There can be no assurance that we will be able to enter into the contracts required for the development of these assets on commercially favorable terms, if at all. In particular, we will require an agreement with a port proximate to our Pennsylvania Facility capable of handling the transload of LNG direct from our transportation assets to our occupying vessel. If we are unable to enter into favorable contracts or to obtain the necessary regulatory and land use approvals on favorable terms, we may not be able to construct and operate these assets as described in this prospectus, or at all. Furthermore, if we do enter into the necessary contracts and obtain regulatory approvals for the construction and operation of the Pennsylvania Facility, there can be no assurance that such operations will allow us to successfully export LNG to our facilities, or that we will succeed in our goal of reducing the risk to our operations of future LNG price variations. If we are unable to commission and operate the Old Harbour Terminal or construct the Pennsylvania Facility as described in this prospectus, or, when and if constructed, it does not accomplish the goals described in this prospectus, our business, operating results, cash flows and liquidity could be materially and adversely affected. Expenses related to our pursuit of contracts and regulatory approvals related to the Pennsylvania Facility may be significant and will be incurred by us regardless of whether these assets are ultimately constructed and operational.</w:t>
      </w:r>
    </w:p>
    <w:p>
      <w:pPr>
        <w:spacing w:after="0" w:line="178" w:lineRule="exact"/>
        <w:rPr>
          <w:sz w:val="20"/>
          <w:szCs w:val="20"/>
          <w:color w:val="auto"/>
        </w:rPr>
      </w:pPr>
    </w:p>
    <w:p>
      <w:pPr>
        <w:ind w:left="360" w:right="420"/>
        <w:spacing w:after="0" w:line="246" w:lineRule="auto"/>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75"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Our business strategy relies upon our future ability to successfully market natural gas to end-users, develop and maintain cost-effective logistics in our supply chain and construct, develop and operate energy-related infrastructure in the U.S., Jamaica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Old Harbour Terminal, the Pennsylvania Facility and the CHP Plant, as well as other future projects, into efficient and profitable operations, obtain approvals from all relevant federal, state and local authorities, as needed, for the construction and operation of these projects and other relevant approvals, and obtain long</w:t>
      </w:r>
      <w:r>
        <w:rPr>
          <w:rFonts w:ascii="Arial" w:cs="Arial" w:eastAsia="Arial" w:hAnsi="Arial"/>
          <w:sz w:val="16"/>
          <w:szCs w:val="16"/>
          <w:b w:val="1"/>
          <w:bCs w:val="1"/>
          <w:color w:val="auto"/>
        </w:rPr>
        <w:t>-</w:t>
      </w:r>
      <w:r>
        <w:rPr>
          <w:rFonts w:ascii="Arial" w:cs="Arial" w:eastAsia="Arial" w:hAnsi="Arial"/>
          <w:sz w:val="16"/>
          <w:szCs w:val="16"/>
          <w:color w:val="auto"/>
        </w:rPr>
        <w:t>term capital appreciation and liquidity with respect to such investments.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60" w:firstLine="360"/>
        <w:spacing w:after="0" w:line="259" w:lineRule="auto"/>
        <w:rPr>
          <w:sz w:val="20"/>
          <w:szCs w:val="20"/>
          <w:color w:val="auto"/>
        </w:rPr>
      </w:pPr>
      <w:r>
        <w:rPr>
          <w:rFonts w:ascii="Arial" w:cs="Arial" w:eastAsia="Arial" w:hAnsi="Arial"/>
          <w:sz w:val="18"/>
          <w:szCs w:val="18"/>
          <w:color w:val="auto"/>
        </w:rPr>
        <w:t>Our future ability to execute our business strategy is uncertain, and it can be expected that one or more of our assumptions will prove to be incorrect and that we will face unanticipated events and circumstances that may adversely affect our proposed business. Any one or more of the following factors may have a material adverse effect on our ability to implement our proposed strategy and achieve our targets:</w:t>
      </w:r>
    </w:p>
    <w:p>
      <w:pPr>
        <w:spacing w:after="0" w:line="79" w:lineRule="exact"/>
        <w:rPr>
          <w:sz w:val="20"/>
          <w:szCs w:val="20"/>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develop cost-effective logistics solutions;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manage expanding operations in the projected time frame;</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structure innovative and profitable energy-related transactions as part of our sales and trading operations and to optimally price and manage position, performance and counter-party risks;</w:t>
      </w:r>
    </w:p>
    <w:p>
      <w:pPr>
        <w:spacing w:after="0" w:line="62"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develop infrastructure, including the Old Harbour Terminal, the Pennsylvania Facility and the CHP Plant, as well as other future projects, in a timely and cost-effective manner;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attract personnel in a timely and cost-effective manner;</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investments in technology and machinery, such as liquefaction technology or LNG tank truck technology, to perform as expected;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competition which could increase our costs and undermine our profits;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source LNG in sufficient quantities and/or at economically attractive prices;</w:t>
      </w:r>
    </w:p>
    <w:p>
      <w:pPr>
        <w:spacing w:after="0" w:line="117" w:lineRule="exact"/>
        <w:rPr>
          <w:rFonts w:ascii="Arial" w:cs="Arial" w:eastAsia="Arial" w:hAnsi="Arial"/>
          <w:sz w:val="18"/>
          <w:szCs w:val="18"/>
          <w:color w:val="auto"/>
        </w:rPr>
      </w:pPr>
    </w:p>
    <w:p>
      <w:pPr>
        <w:ind w:left="700" w:right="72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anticipate and adapt to new trends in the energy sector in the U.S., Jamaica, the Caribbean, Mexico and elsewhere;</w:t>
      </w:r>
    </w:p>
    <w:p>
      <w:pPr>
        <w:spacing w:after="0" w:line="62"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operating costs, including the need for capital improvements, insurance premiums, general taxes, real estate taxes and utilities, affecting our profit margins;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inability to raise additional capital in the future to implement our strategy as well as to operate and expand our business;</w:t>
      </w:r>
    </w:p>
    <w:p>
      <w:pPr>
        <w:spacing w:after="0" w:line="140" w:lineRule="exact"/>
        <w:rPr>
          <w:rFonts w:ascii="Arial" w:cs="Arial" w:eastAsia="Arial" w:hAnsi="Arial"/>
          <w:sz w:val="16"/>
          <w:szCs w:val="16"/>
          <w:color w:val="auto"/>
        </w:rPr>
      </w:pPr>
    </w:p>
    <w:p>
      <w:pPr>
        <w:ind w:left="700" w:right="74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the U.S., Jamaica, the Caribbean, Mexico and in the other geographic areas in which we intend to operate;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inflation, depreciation of the currencies of the countries in which we operate and fluctuations in interest rates;</w:t>
      </w:r>
    </w:p>
    <w:p>
      <w:pPr>
        <w:spacing w:after="0" w:line="117"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obtain approvals from the Pennsylvania Department of Environmental Protection and relevant local authorities for the construction and operation of the Pennsylvania Facility and other relevant approvals;</w:t>
      </w:r>
    </w:p>
    <w:p>
      <w:pPr>
        <w:spacing w:after="0" w:line="62"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obtain approvals from governmental regulators and relevant local authorities for the construction and operation of potential future projects and other relevant approvals;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existing and future governmental laws and regulations; or</w:t>
      </w:r>
    </w:p>
    <w:p>
      <w:pPr>
        <w:spacing w:after="0" w:line="117" w:lineRule="exact"/>
        <w:rPr>
          <w:rFonts w:ascii="Arial" w:cs="Arial" w:eastAsia="Arial" w:hAnsi="Arial"/>
          <w:sz w:val="18"/>
          <w:szCs w:val="18"/>
          <w:color w:val="auto"/>
        </w:rPr>
      </w:pPr>
    </w:p>
    <w:p>
      <w:pPr>
        <w:ind w:left="700" w:right="160" w:hanging="356"/>
        <w:spacing w:after="0" w:line="255"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or failure, of any customer or contract counterparty to perform their contractual obligations to us including, but not limited to, the Lessor’s obligations under the CHP Plant Lease, as defined herein (for further discussion of counterparty risk, see “—Risks Related to Our Business—Our current ability to generate cash is substantially dependent upon the performance by customers under long-term contracts that we have entered into, and we could be materially and adversely affected if any customer fails to perform its contractual obligations for any reason, including nonpayment and nonperformance.”).</w:t>
      </w:r>
    </w:p>
    <w:p>
      <w:pPr>
        <w:spacing w:after="0" w:line="85"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If we experience any of these failures, such failure may adversely affect our financial condition, results of operations and ability to execute our business strategy.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a limited operating history, and an investment in our Class A shares is highly speculative.</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have a limited operating history and track record. As a result, our prior operating history and historical financial statements may not be a reliable basis for evaluating our business prospects or the future value of our Class A shares. We commenced operations on February 25, 2014, and we had net losses of approximately $1.6 million in 2014, $14.2 million in 2015, $32.9 million in 2016 and $31.7 million in 2017. Our strategy may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not be successful, and if unsuccessful, we may be unable to modify it in a timely and successful manner. We cannot give you any assurance that we will be able to implement our strategy on a timely basis, if at all, or achieve our internal model or projections. Accordingly, your investment in our Class A shares is speculative and subject to a high degree of risk. Prior to investing in our Class A shares, you should understand that there is a possibility of the loss of your entire investment.</w:t>
      </w:r>
    </w:p>
    <w:p>
      <w:pPr>
        <w:spacing w:after="0" w:line="63"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will continue to incur significant capital and operating expenditures while we develop infrastructure for our supply chain, including for the construction of the Old Harbour Terminal, the Pennsylvania Facility and the CHP Plant, as well as other future projects. We will need to invest significant amounts of additional capital to implement our strategy. We have not yet entered into all arrangements necessary to obtain and ship LNG to the Jamaica Terminals, and we have not completed constructing the Old Harbour Terminal, the Pennsylvania Facility or the CHP Plant.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and successfully and timely complete necessary infrastructure, including the Old Harbour Terminal, the Pennsylvania Facility and the CHP Plant, and fulfill our gas delivery obligations under our customer contracts.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117"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We have a limited operating history and did not commence revenue-generating activities until 2016, and therefore did not achieve profitability as of December 31, 2017. We will invest a substantial portion of the proceeds of this offering in capital expenditures or in pursuit of development opportunities. We will need to make a significant initial investment to complete construction and begin operations of the Old Harbour Terminal, the Pennsylvania Facility and the CHP Plant, and we will need to make significant additional investments to develop, improve and operate them, as well as the Montego Bay Terminal and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w:t>
      </w:r>
    </w:p>
    <w:p>
      <w:pPr>
        <w:spacing w:after="0" w:line="7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may not be able to achieve profitability, and if we do, we cannot assure you that we would be able to sustain such profitability in the future. Our failure to achieve or sustain profitability would have a material adverse effect on our business and the value of our Class A shares.</w:t>
      </w:r>
    </w:p>
    <w:p>
      <w:pPr>
        <w:spacing w:after="0" w:line="168" w:lineRule="exact"/>
        <w:rPr>
          <w:sz w:val="20"/>
          <w:szCs w:val="20"/>
          <w:color w:val="auto"/>
        </w:rPr>
      </w:pPr>
    </w:p>
    <w:p>
      <w:pPr>
        <w:ind w:left="360" w:right="40"/>
        <w:spacing w:after="0" w:line="246" w:lineRule="auto"/>
        <w:rPr>
          <w:sz w:val="20"/>
          <w:szCs w:val="20"/>
          <w:color w:val="auto"/>
        </w:rPr>
      </w:pPr>
      <w:r>
        <w:rPr>
          <w:rFonts w:ascii="Arial" w:cs="Arial" w:eastAsia="Arial" w:hAnsi="Arial"/>
          <w:sz w:val="18"/>
          <w:szCs w:val="18"/>
          <w:b w:val="1"/>
          <w:bCs w:val="1"/>
          <w:i w:val="1"/>
          <w:iCs w:val="1"/>
          <w:color w:val="auto"/>
        </w:rPr>
        <w:t>As we are currently dependent upon a limited number of customers, the loss of a significant customer could adversely affect our operating results.</w:t>
      </w:r>
    </w:p>
    <w:p>
      <w:pPr>
        <w:spacing w:after="0" w:line="75"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A limited number of customers currently represent a substantial majority of our expected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majority of our revenue for the near future to be from JPS, JPC and Jamalco. We may be unable to accomplish our business plan to diversify and expand our customer base by attracting a broad array of customers, which could negatively affect our business, results of operations and financial condition.</w:t>
      </w:r>
    </w:p>
    <w:p>
      <w:pPr>
        <w:spacing w:after="0" w:line="151" w:lineRule="exact"/>
        <w:rPr>
          <w:sz w:val="20"/>
          <w:szCs w:val="20"/>
          <w:color w:val="auto"/>
        </w:rPr>
      </w:pPr>
    </w:p>
    <w:p>
      <w:pPr>
        <w:ind w:left="360" w:right="240"/>
        <w:spacing w:after="0" w:line="276"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performance by customers under long-term contracts that we have entered into, and we could be materially and adversely affected if any customer fails to perform its contractual obligations for any reason, including nonpayment and nonperformance.</w:t>
      </w:r>
    </w:p>
    <w:p>
      <w:pPr>
        <w:spacing w:after="0" w:line="54" w:lineRule="exact"/>
        <w:rPr>
          <w:sz w:val="20"/>
          <w:szCs w:val="20"/>
          <w:color w:val="auto"/>
        </w:rPr>
      </w:pPr>
    </w:p>
    <w:p>
      <w:pPr>
        <w:ind w:right="140" w:firstLine="360"/>
        <w:spacing w:after="0" w:line="272" w:lineRule="auto"/>
        <w:rPr>
          <w:sz w:val="20"/>
          <w:szCs w:val="20"/>
          <w:color w:val="auto"/>
        </w:rPr>
      </w:pPr>
      <w:r>
        <w:rPr>
          <w:rFonts w:ascii="Arial" w:cs="Arial" w:eastAsia="Arial" w:hAnsi="Arial"/>
          <w:sz w:val="17"/>
          <w:szCs w:val="17"/>
          <w:color w:val="auto"/>
        </w:rPr>
        <w:t>Our current results of operations and liquidity are, and will continue to be in the near future, substantially dependent upon performance by JPS and JPC, which have each entered into long-term GSAs and, in the case of JPS, a PPA in relation to the power produced at the CHP Plant, with us, and Jamalco, which has entered into a long-term SSA with us. We are dependent on JPS’s, JPC’s and Jamalco’s continued willingness and ability to perform their obligations under their respective contracts. If JPS, JPC or Jamalco fails to perform its obligations under its contract, our business, contracts, financial condition, operating results, cash flow, liquidity and prospects could be materially and adversely affected, even if we were ultimately successful in seeking damages from JPS, JPC or Jamalco for a breach of the contract.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Risks of nonpayment and nonperformance by customers are a consideration in our businesses, and our credit procedures and policies may be inadequate to sufficiently eliminate customer credit risk.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In particular, JPS and 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JPC’s ability to make payments under their long-term GSAs and, in the case of JPS, its ability to make payments under its PPA, with us. In addition, our ability to operate the CHP Plant is dependent on our ability to enforce the related lease. GAJ, one of the lessors, is a subsidiary of Noble Group, which has recently experienced financial difficulties.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w:t>
      </w:r>
    </w:p>
    <w:p>
      <w:pPr>
        <w:spacing w:after="0" w:line="77"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Further, adverse economic conditions in our industry increase the risk of nonpayment and nonperformance by customers, particularly customers that have sub-investment grade credit ratings.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117"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Our contracts with our customers contain various termination rights. For example, each of our long-term customer contracts, including the contracts with JPS, JPC and Jamalco, contains various termination rights allowing our customers to terminate the contract, including, without limitation:</w:t>
      </w:r>
    </w:p>
    <w:p>
      <w:pPr>
        <w:spacing w:after="0" w:line="73" w:lineRule="exact"/>
        <w:rPr>
          <w:sz w:val="20"/>
          <w:szCs w:val="20"/>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117"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33" w:lineRule="exact"/>
        <w:rPr>
          <w:sz w:val="20"/>
          <w:szCs w:val="20"/>
          <w:color w:val="auto"/>
        </w:rPr>
      </w:pPr>
    </w:p>
    <w:p>
      <w:pPr>
        <w:ind w:left="360" w:right="220"/>
        <w:spacing w:after="0" w:line="235"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81" w:lineRule="exact"/>
        <w:rPr>
          <w:sz w:val="20"/>
          <w:szCs w:val="20"/>
          <w:color w:val="auto"/>
        </w:rPr>
      </w:pPr>
    </w:p>
    <w:p>
      <w:pPr>
        <w:jc w:val="both"/>
        <w:ind w:right="220" w:firstLine="360"/>
        <w:spacing w:after="0" w:line="312" w:lineRule="auto"/>
        <w:rPr>
          <w:sz w:val="20"/>
          <w:szCs w:val="20"/>
          <w:color w:val="auto"/>
        </w:rPr>
      </w:pPr>
      <w:r>
        <w:rPr>
          <w:rFonts w:ascii="Arial" w:cs="Arial" w:eastAsia="Arial" w:hAnsi="Arial"/>
          <w:sz w:val="16"/>
          <w:szCs w:val="16"/>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39" w:lineRule="exact"/>
        <w:rPr>
          <w:sz w:val="20"/>
          <w:szCs w:val="20"/>
          <w:color w:val="auto"/>
        </w:rPr>
      </w:pPr>
    </w:p>
    <w:p>
      <w:pPr>
        <w:ind w:left="700" w:right="320" w:hanging="35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Europe, Asia and other markets, which could divert LNG or natural gas from our business;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oil and natural gas exploration activities, which may decrease the production of natural gas;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spacing w:after="0" w:line="62"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spacing w:after="0" w:line="117"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relative demand for LNG compared to other markets, which may decrease LNG imports into or exports from North America;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Adverse trends or developments affecting any of these factors – in particular prior to our Pennsylvania Facility becoming operational – could result in decreases in the prices of LNG and natural gas, which could materially and adversely affect the performance of our customers, and could have a material adverse effect on our business, contracts, financial condition, operating results, cash flows, liquidity and prospects. In particular, because we have not currently procured fixed-price, long-term LNG supply (our plan being to liquefy ourselves in our Pennsylvania Facility), increases in LNG prices and/or shortages of LNG supply could be material and adverse to our business.</w:t>
      </w:r>
    </w:p>
    <w:p>
      <w:pPr>
        <w:spacing w:after="0" w:line="193" w:lineRule="exact"/>
        <w:rPr>
          <w:sz w:val="20"/>
          <w:szCs w:val="20"/>
          <w:color w:val="auto"/>
        </w:rPr>
      </w:pPr>
    </w:p>
    <w:p>
      <w:pPr>
        <w:ind w:left="360" w:right="60"/>
        <w:spacing w:after="0" w:line="262"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61"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The net proceeds from this offering will not be sufficient to fully execute our business plan. After giving effect to this offering, we believe that our cash resources will be sufficient to meet projected capital expenditures, financing obligations and operating requirements for a meaningful period of time. In the future, we may pursue additional offerings of debt or equity securities to assist us in developing our operations. If we are unable to secure additional funding, or if it is only available on terms that we determine are not acceptable to us, we may be unable to fully execute our business plan and our business, financial condition or results of operations may be adversely affected. Our ability to raise additional capital will depend on financial, economic and market conditions and other factors, many of which are beyond our control. We cannot assure you that such additional funding will be available on acceptable terms, or at all. To the extent that we raise additional equity capital by issuing additional securities at any point in the future, our then-existing shareholders may experience dilution. Debt financing, if available, may subject us to restrictive covenants that could limit our flexibility in conducting future business activities. If we are unable to comply with these covenants and service our debt, we may lose control of our business and be forced to reduce or delay planned investments or capital expenditures, sell assets, restructure our operations or submit to foreclosure proceedings, all of which would result in a material adverse effect upon our business and reduce the value of your investment.</w:t>
      </w:r>
    </w:p>
    <w:p>
      <w:pPr>
        <w:spacing w:after="0" w:line="6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rely on borrowings under our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60" w:right="160"/>
        <w:spacing w:after="0" w:line="246"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75"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Our ability to make scheduled payments on or to refinance our existing or future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w:t>
      </w:r>
    </w:p>
    <w:p>
      <w:pPr>
        <w:spacing w:after="0" w:line="80"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indebtedness or operations. We may not be able to affect any such alternative measures, if necessary, on commercially reasonable terms or at all and, even if successful, such alternative actions may not allow us to meet our scheduled debt service obligations. The agreements that govern our indebtedness restrict our ability to dispose of assets and use the proceeds from any such dispositions and our ability to raise debt capital to be used to repay our indebtedness when it becomes due. We may not be able to consummate those dispositions or to obtain proceeds in an amount sufficient to meet any debt service obligations then due.</w:t>
      </w:r>
    </w:p>
    <w:p>
      <w:pPr>
        <w:spacing w:after="0" w:line="7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73"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If we cannot make scheduled payments on our debt, we will be in default and, as a result, lenders under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in each case, which could result in your losing your investment.</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Operation of our LNG infrastructure and other facilities that we may construct involves significant risks.</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As more fully discussed in this prospectus, our existing facilities and expected future facilities face operational risks, including the following: performing below expected levels of efficiency, breakdown or failures of equipment, operational errors by trucks, tankers or tug operators, operational errors by us or any contracted facility operator, labor disputes and weather-related interruptions of operations.</w:t>
      </w:r>
    </w:p>
    <w:p>
      <w:pPr>
        <w:spacing w:after="0" w:line="79"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Any of these risks could disrupt our operations and increase our costs, which would adversely affect our business, operating results, cash flows and liquidity.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operation of the CHP Plant will involve particular, significant risks.</w:t>
      </w:r>
    </w:p>
    <w:p>
      <w:pPr>
        <w:spacing w:after="0" w:line="117"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The operation of the CHP Plant will involve particular, significant risks, including, among others: failure to maintain the required power generation license(s) or other permits required to operate the CHP Plant; pollution or environmental contamination affecting operation of the CHP Plant; the inability, or failure, of any counterparty to any plant-related agreements to perform their contractual obligations to us including, but not limited to, the Lessor’s obligations to us under the CHP Plant Lease;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If the CHP Plant is unable to generate or deliver power to JPS, pursuant to the PPA, or steam (or gas to power Jamalco’s boilers in lieu of steam) to Jamalco, pursuant to the SSA, JPS or Jamalco, as applicable, may not be required to make payments under their respective agreements so long as the event continues. JPS and Jamalco, as counterparties to the PPA and SSA, respectively, and the counterparties to any other key plant-related agreements may have the right to terminate those agreements for certain failures to generate or deliver power or steam, as applicable. As a consequence, there may be reduced or no revenues from the CHP Plant which could have a material adverse effect on our business, contracts, financial condition, operating results, cash flow, liquidity and prospects. In addition, termination of the SSA may give rise to termination rights under the CHP Plant Lease. If JPS terminates the PPA, Jamalco terminates the SSA, or any counterparty to any other key plant-related agreement terminates such agreement, we may not be able to enter into a replacement agreement with respect to the CHP Plant on terms as favorable as the terminated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right="140"/>
        <w:spacing w:after="0" w:line="248" w:lineRule="auto"/>
        <w:rPr>
          <w:sz w:val="20"/>
          <w:szCs w:val="20"/>
          <w:color w:val="auto"/>
        </w:rPr>
      </w:pPr>
      <w:r>
        <w:rPr>
          <w:rFonts w:ascii="Arial" w:cs="Arial" w:eastAsia="Arial" w:hAnsi="Arial"/>
          <w:sz w:val="18"/>
          <w:szCs w:val="18"/>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74"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Although we do not believe that recent hurricanes will have a material adverse effect on our business, we are unable to predict with certainty the impact of future storms on our customers, our infrastructure or our operations.</w:t>
      </w:r>
    </w:p>
    <w:p>
      <w:pPr>
        <w:spacing w:after="0" w:line="70"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If one or more tankers, terminals,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and could have a material adverse effect on our business, contracts, financial condition, operating results, cash flow, liquidity and prospects.</w:t>
      </w:r>
    </w:p>
    <w:p>
      <w:pPr>
        <w:spacing w:after="0" w:line="8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Our insurance may be insufficient to cover losses that may occur to our property or result from our operations.</w:t>
      </w:r>
    </w:p>
    <w:p>
      <w:pPr>
        <w:spacing w:after="0" w:line="115"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Our current operations and future projects are subject to the inherent risks associated with LNG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59"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70"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60" w:right="560"/>
        <w:spacing w:after="0" w:line="343" w:lineRule="auto"/>
        <w:rPr>
          <w:sz w:val="20"/>
          <w:szCs w:val="20"/>
          <w:color w:val="auto"/>
        </w:rPr>
      </w:pPr>
      <w:r>
        <w:rPr>
          <w:rFonts w:ascii="Arial" w:cs="Arial" w:eastAsia="Arial" w:hAnsi="Arial"/>
          <w:sz w:val="15"/>
          <w:szCs w:val="15"/>
          <w:b w:val="1"/>
          <w:bCs w:val="1"/>
          <w:i w:val="1"/>
          <w:iCs w:val="1"/>
          <w:color w:val="auto"/>
        </w:rPr>
        <w:t>Our construction and operation of energy-related infrastructure is subject to operational, regulatory, environmental, political, legal and economic risks, which may result in delays, increased costs or decreased cash flows.</w:t>
      </w:r>
    </w:p>
    <w:p>
      <w:pPr>
        <w:spacing w:after="0" w:line="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construction and operation of energy-related infrastructure, including the Old Harbour Terminal, the Pennsylvania Facility and the CHP Plant,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79" w:lineRule="exact"/>
        <w:rPr>
          <w:sz w:val="20"/>
          <w:szCs w:val="20"/>
          <w:color w:val="auto"/>
        </w:rPr>
      </w:pPr>
    </w:p>
    <w:p>
      <w:pPr>
        <w:ind w:left="700" w:right="54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complete construction projects on schedule or at the budgeted cost due to the unavailability of required construction personnel or materials, accidents or weather conditions;</w:t>
      </w:r>
    </w:p>
    <w:p>
      <w:pPr>
        <w:spacing w:after="0" w:line="62"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change orders under existing or future EPC contracts resulting from the occurrence of certain specified events that may give our customers the right to cause us to enter into change orders or resulting from changes with which we otherwise agree;</w:t>
      </w:r>
    </w:p>
    <w:p>
      <w:pPr>
        <w:spacing w:after="0" w:line="73"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not receive any material increase in operating cash flows until the project is completed, even though we may have expended considerable funds during the construction phase, which may be prolonged;</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construct facilities to capture anticipated future energy consumption growth in a region in which such growth does not materialize;</w:t>
      </w:r>
    </w:p>
    <w:p>
      <w:pPr>
        <w:spacing w:after="0" w:line="62" w:lineRule="exact"/>
        <w:rPr>
          <w:rFonts w:ascii="Arial" w:cs="Arial" w:eastAsia="Arial" w:hAnsi="Arial"/>
          <w:sz w:val="18"/>
          <w:szCs w:val="18"/>
          <w:color w:val="auto"/>
        </w:rPr>
      </w:pPr>
    </w:p>
    <w:p>
      <w:pPr>
        <w:ind w:left="700" w:right="160" w:hanging="356"/>
        <w:spacing w:after="0" w:line="26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completion or success of our construction project may depend on the completion of a third-party construction project (e.g., additional public utility infrastructure projects) that we do not control and that may be subject to numerous of its own potential risks, delays and complexities;</w:t>
      </w:r>
    </w:p>
    <w:p>
      <w:pPr>
        <w:spacing w:after="0" w:line="73" w:lineRule="exact"/>
        <w:rPr>
          <w:rFonts w:ascii="Arial" w:cs="Arial" w:eastAsia="Arial" w:hAnsi="Arial"/>
          <w:sz w:val="18"/>
          <w:szCs w:val="18"/>
          <w:color w:val="auto"/>
        </w:rPr>
      </w:pPr>
    </w:p>
    <w:p>
      <w:pPr>
        <w:ind w:left="700" w:right="240" w:hanging="356"/>
        <w:spacing w:after="0" w:line="279"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 and</w:t>
      </w:r>
    </w:p>
    <w:p>
      <w:pPr>
        <w:spacing w:after="0" w:line="63" w:lineRule="exact"/>
        <w:rPr>
          <w:rFonts w:ascii="Arial" w:cs="Arial" w:eastAsia="Arial" w:hAnsi="Arial"/>
          <w:sz w:val="17"/>
          <w:szCs w:val="17"/>
          <w:color w:val="auto"/>
        </w:rPr>
      </w:pPr>
    </w:p>
    <w:p>
      <w:pPr>
        <w:ind w:left="700" w:right="10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obtain rights-of-way to construct additional energy-related infrastructure or the cost to do so may be uneconomical.</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68" w:lineRule="exact"/>
        <w:rPr>
          <w:sz w:val="20"/>
          <w:szCs w:val="20"/>
          <w:color w:val="auto"/>
        </w:rPr>
      </w:pPr>
    </w:p>
    <w:p>
      <w:pPr>
        <w:ind w:left="360" w:right="220"/>
        <w:spacing w:after="0" w:line="246" w:lineRule="auto"/>
        <w:rPr>
          <w:sz w:val="20"/>
          <w:szCs w:val="20"/>
          <w:color w:val="auto"/>
        </w:rPr>
      </w:pPr>
      <w:r>
        <w:rPr>
          <w:rFonts w:ascii="Arial" w:cs="Arial" w:eastAsia="Arial" w:hAnsi="Arial"/>
          <w:sz w:val="18"/>
          <w:szCs w:val="18"/>
          <w:b w:val="1"/>
          <w:bCs w:val="1"/>
          <w:i w:val="1"/>
          <w:iCs w:val="1"/>
          <w:color w:val="auto"/>
        </w:rPr>
        <w:t>We expect to be dependent on our primary building contractor and other contractors for the successful completion of our energy-related infrastructure.</w:t>
      </w:r>
    </w:p>
    <w:p>
      <w:pPr>
        <w:spacing w:after="0" w:line="75" w:lineRule="exact"/>
        <w:rPr>
          <w:sz w:val="20"/>
          <w:szCs w:val="20"/>
          <w:color w:val="auto"/>
        </w:rPr>
      </w:pPr>
    </w:p>
    <w:p>
      <w:pPr>
        <w:ind w:right="300" w:firstLine="360"/>
        <w:spacing w:after="0" w:line="257" w:lineRule="auto"/>
        <w:rPr>
          <w:sz w:val="20"/>
          <w:szCs w:val="20"/>
          <w:color w:val="auto"/>
        </w:rPr>
      </w:pPr>
      <w:r>
        <w:rPr>
          <w:rFonts w:ascii="Arial" w:cs="Arial" w:eastAsia="Arial" w:hAnsi="Arial"/>
          <w:sz w:val="18"/>
          <w:szCs w:val="18"/>
          <w:color w:val="auto"/>
        </w:rPr>
        <w:t>Timely and cost-effective completion of our energy-related infrastructure, including the Old Harbour Terminal, the Pennsylvania Facility and the CHP Plant, as well as future projects, in compliance with agreed specifications is central to our business strategy and is highly dependent on the performance of our primary building contractor and our other contractors under their agreements. The ability of our primary building contractor and our other contractors to perform successfully under their agreements is dependent on a number of factors, including their ability to:</w:t>
      </w:r>
    </w:p>
    <w:p>
      <w:pPr>
        <w:spacing w:after="0" w:line="80" w:lineRule="exact"/>
        <w:rPr>
          <w:sz w:val="20"/>
          <w:szCs w:val="20"/>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 and engineer each of our facilities to operate in accordance with specifications;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and retain third-party subcontractors and procure equipment and supplies;</w:t>
      </w:r>
    </w:p>
    <w:p>
      <w:pPr>
        <w:spacing w:after="0" w:line="117" w:lineRule="exact"/>
        <w:rPr>
          <w:rFonts w:ascii="Arial" w:cs="Arial" w:eastAsia="Arial" w:hAnsi="Arial"/>
          <w:sz w:val="18"/>
          <w:szCs w:val="18"/>
          <w:color w:val="auto"/>
        </w:rPr>
      </w:pPr>
    </w:p>
    <w:p>
      <w:pPr>
        <w:ind w:left="700" w:right="920" w:hanging="35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 to difficulties such as equipment failure, delivery delays, schedule changes and failures to perform by subcontractors, some of which are beyond their control;</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develop and retain skilled personnel, including engineers;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post required construction bonds and comply with the terms thereof;</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manage the construction process generally, including coordinating with other contractors and regulatory agencies; and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their own financial condition, including adequate working capital.</w:t>
      </w:r>
    </w:p>
    <w:p>
      <w:pPr>
        <w:spacing w:after="0" w:line="11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any contractor is unable or unwilling to perform according to the negotiated terms and timetable of its respective agreement for any reason or terminates its agreement, we would be required to engage a substitute contractor. This would likely result in significant project delays and increased costs, which could have a material adverse effect on our business, contracts, financial condition, operating results, cash flow, liquidity and prospects.</w:t>
      </w:r>
    </w:p>
    <w:p>
      <w:pPr>
        <w:spacing w:after="0" w:line="169" w:lineRule="exact"/>
        <w:rPr>
          <w:sz w:val="20"/>
          <w:szCs w:val="20"/>
          <w:color w:val="auto"/>
        </w:rPr>
      </w:pPr>
    </w:p>
    <w:p>
      <w:pPr>
        <w:ind w:left="360" w:right="260"/>
        <w:spacing w:after="0" w:line="246" w:lineRule="auto"/>
        <w:rPr>
          <w:sz w:val="20"/>
          <w:szCs w:val="20"/>
          <w:color w:val="auto"/>
        </w:rPr>
      </w:pPr>
      <w:r>
        <w:rPr>
          <w:rFonts w:ascii="Arial" w:cs="Arial" w:eastAsia="Arial" w:hAnsi="Arial"/>
          <w:sz w:val="18"/>
          <w:szCs w:val="18"/>
          <w:b w:val="1"/>
          <w:bCs w:val="1"/>
          <w:i w:val="1"/>
          <w:iCs w:val="1"/>
          <w:color w:val="auto"/>
        </w:rPr>
        <w:t>We are relying on third party engineers to estimate the future rated capacity and performance capabilities of our existing and future facilities, and these estimates may prove to be inaccurate.</w:t>
      </w:r>
    </w:p>
    <w:p>
      <w:pPr>
        <w:spacing w:after="0" w:line="75"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We are relying on third parties for the design and engineering services underlying our estimates of the future rated capacity and performance capabilities of the Jamaica Terminals, the Pennsylvania Facility and the CHP Plant,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51" w:lineRule="exact"/>
        <w:rPr>
          <w:sz w:val="20"/>
          <w:szCs w:val="20"/>
          <w:color w:val="auto"/>
        </w:rPr>
      </w:pPr>
    </w:p>
    <w:p>
      <w:pPr>
        <w:ind w:left="360" w:right="240"/>
        <w:spacing w:after="0" w:line="235" w:lineRule="auto"/>
        <w:rPr>
          <w:sz w:val="20"/>
          <w:szCs w:val="20"/>
          <w:color w:val="auto"/>
        </w:rPr>
      </w:pPr>
      <w:r>
        <w:rPr>
          <w:rFonts w:ascii="Arial" w:cs="Arial" w:eastAsia="Arial" w:hAnsi="Arial"/>
          <w:sz w:val="18"/>
          <w:szCs w:val="18"/>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81"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Under the GSAs with JPS and JPC, we are required to deliver to JPS and JPC a specified amount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JPC or Jamalco with the right to terminate their GSAs, PPA or SSA, as applicable. In addition, price fluctuations in natural gas and LNG may make it expensive or uneconomical for us to acquire adequate supply of these items (until our Pennsylvania Facility is operational).</w:t>
      </w:r>
    </w:p>
    <w:p>
      <w:pPr>
        <w:spacing w:after="0" w:line="57"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Until the Pennsylvania Facility becomes fully operational, we will be dependent upon third party LNG suppliers and shippers and other tankers and facilities to provide delivery options to and from our tankers and energy-related infrastructure. If any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our tanker charters, we are obligated to make payments for our chartered tankers regardless of use. We may not be able to enter into contracts with purchasers of LNG in quantities equivalent to or greater than the amount of tanker capacity we have purchased.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5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intend to enter into purchase agreements pursuant to which we expect to have the option to purchase LNG to supply the Jamaica Terminals that will facilitate delivery of natural gas to JPS, JPC and Jamalco until the Pennsylvania Facility is operational. Failure to secure contracts for the purchase of a sufficient amount of natural gas could materially and adversely affect our business, operating results, cash flows and liquidity.</w:t>
      </w:r>
    </w:p>
    <w:p>
      <w:pPr>
        <w:spacing w:after="0" w:line="7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Recently, the LNG industry has experienced increased volatility. If market disruptions and bankruptcies of third party LNG suppliers and shippers negatively impacts our ability to purchase a sufficient amount of natural gas, our business, operating results, cash flows and liquidity could be materially and adversely affected. There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can be no assurances that we will complete the Pennsylvania Facility or be able to supply our facilities with LNG produced at our own facilities. Even if we do complete the Pennsylvania Facility, there can be no assurance that it will operate as described in this prospectus or that we will succeed in our goal of reducing the risk to our operations of future LNG price variations.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face competition based upon the international market price for LNG or natural gas.</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85" w:lineRule="exact"/>
        <w:rPr>
          <w:sz w:val="20"/>
          <w:szCs w:val="20"/>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117"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decreases in the cost of competing sources of natural gas, LNG or alternate fuels such as coal, HFO and diesel;</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spacing w:after="0" w:line="117" w:lineRule="exact"/>
        <w:rPr>
          <w:rFonts w:ascii="Arial" w:cs="Arial" w:eastAsia="Arial" w:hAnsi="Arial"/>
          <w:sz w:val="18"/>
          <w:szCs w:val="18"/>
          <w:color w:val="auto"/>
        </w:rPr>
      </w:pPr>
    </w:p>
    <w:p>
      <w:pPr>
        <w:ind w:left="700" w:right="200" w:hanging="356"/>
        <w:spacing w:after="0" w:line="26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73"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In addition, we may not be able to successfully execute on our strategy to supply our existing and future customers with LNG produced entirely at our own facilities upon completion of the Pennsylvania Facility. See “Risk Related to Our Business—We have not yet completed construction and commissioning of the Old Harbour Terminal or the Pennsylvania Facility. There can be no assurance that the Old Harbour Terminal or the Pennsylvania Facility will operate as described in this prospectus, or at all.”</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Technological innovation may render our processes obsolete.</w:t>
      </w:r>
    </w:p>
    <w:p>
      <w:pPr>
        <w:spacing w:after="0" w:line="117"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Miami-Dade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realize benefits from future projects, results of operations, financial condition, liquidity and prospects.</w:t>
      </w:r>
    </w:p>
    <w:p>
      <w:pPr>
        <w:spacing w:after="0" w:line="154" w:lineRule="exact"/>
        <w:rPr>
          <w:sz w:val="20"/>
          <w:szCs w:val="20"/>
          <w:color w:val="auto"/>
        </w:rPr>
      </w:pPr>
    </w:p>
    <w:p>
      <w:pPr>
        <w:ind w:left="360" w:right="680"/>
        <w:spacing w:after="0" w:line="246" w:lineRule="auto"/>
        <w:rPr>
          <w:sz w:val="20"/>
          <w:szCs w:val="20"/>
          <w:color w:val="auto"/>
        </w:rPr>
      </w:pPr>
      <w:r>
        <w:rPr>
          <w:rFonts w:ascii="Arial" w:cs="Arial" w:eastAsia="Arial" w:hAnsi="Arial"/>
          <w:sz w:val="18"/>
          <w:szCs w:val="18"/>
          <w:b w:val="1"/>
          <w:bCs w:val="1"/>
          <w:i w:val="1"/>
          <w:iCs w:val="1"/>
          <w:color w:val="auto"/>
        </w:rPr>
        <w:t>Changes in legislation and regulations could have a material adverse impact on our business, results of operations, financial condition, liquidity and prospects.</w:t>
      </w:r>
    </w:p>
    <w:p>
      <w:pPr>
        <w:spacing w:after="0" w:line="75"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Our business is subject to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vaporization of LNG, or its transportation could cause additional expenditures, restrictions and delays in connection with our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Increasing trucking regulations may increase our costs and negatively impact our results of operations.</w:t>
      </w:r>
    </w:p>
    <w:p>
      <w:pPr>
        <w:spacing w:after="0" w:line="117"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We are developing a transportation system specifically dedicated to transporting LNG from our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58"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74"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increasingly stringent environmental regulations, changes in the hours of service regulations which govern the amount of time a driver may drive or work in any specific period, onboard black box recorder device requirements or limits on vehicle weight and size.</w:t>
      </w:r>
    </w:p>
    <w:p>
      <w:pPr>
        <w:spacing w:after="0" w:line="187" w:lineRule="exact"/>
        <w:rPr>
          <w:sz w:val="20"/>
          <w:szCs w:val="20"/>
          <w:color w:val="auto"/>
        </w:rPr>
      </w:pPr>
    </w:p>
    <w:p>
      <w:pPr>
        <w:ind w:left="360" w:right="500"/>
        <w:spacing w:after="0" w:line="262"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1"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We have obtained long-term leases and corresponding rights-of-way agreements with respect to the land on which the Jamaica Terminals, the pipeline connecting the Montego Bay Terminal to the Bogue Power Plant, the Miami-Dade Facility and the CHP Plant are situated. However, we do not own the land. As a result, we are subject to the possibility of increased costs to retain necessary land use rights. If we were to lose these rights or be required to relocate, our business could be materially and adversely affected. The Miami-Dade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Terminals.</w:t>
      </w:r>
    </w:p>
    <w:p>
      <w:pPr>
        <w:spacing w:after="0" w:line="5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ability to renew existing charters or leases or obtain new charters or leases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60"/>
        <w:spacing w:after="0" w:line="275" w:lineRule="auto"/>
        <w:rPr>
          <w:sz w:val="20"/>
          <w:szCs w:val="20"/>
          <w:color w:val="auto"/>
        </w:rPr>
      </w:pPr>
      <w:r>
        <w:rPr>
          <w:rFonts w:ascii="Arial" w:cs="Arial" w:eastAsia="Arial" w:hAnsi="Arial"/>
          <w:sz w:val="17"/>
          <w:szCs w:val="17"/>
          <w:b w:val="1"/>
          <w:bCs w:val="1"/>
          <w:i w:val="1"/>
          <w:iCs w:val="1"/>
          <w:color w:val="auto"/>
        </w:rPr>
        <w:t>We may not be able to successfully enter into contracts or renew existing contracts to charter tankers and to lease or acquire ship-to-ship kits in the future, which may result in us not being able to meet our obligations.</w:t>
      </w:r>
    </w:p>
    <w:p>
      <w:pPr>
        <w:spacing w:after="0" w:line="5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We enter into time charters of ocean-going tankers for the transportation of LNG, which extend for varying lengths of time. We also rely on two ship-to-ship kits, one of which we currently own and one of which we currently lease, and one ship-to-shore kit, which we currently own, to transmit LNG between ships and to transport it onshore. We may need to purchase additional kits, or upgrade our existing kits, in the future. We may not be able to successfully enter into contracts or renew existing contracts to charter tankers and to lease or acquire kits in the future, which may result in us not being able to meet our obligations. We are also exposed to changes in market rates and availability for tankers and kits,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74"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We rely on the operation of tankers under our time charters and kits to transfer LNG between ships. The operation of ocean-going tankers and kits carries inherent risks. These risks include the possibility of:</w:t>
      </w:r>
    </w:p>
    <w:p>
      <w:pPr>
        <w:spacing w:after="0" w:line="62" w:lineRule="exact"/>
        <w:rPr>
          <w:sz w:val="20"/>
          <w:szCs w:val="20"/>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piracy;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7"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We do not currently maintain a redundant supply of ships, ship-to-ship kits or other equipment. As a result, if our current equipment fails or is unavailable, we may need to procure new equipment, which may not be available or be expensive to obtain. Any such occurrence could interrupt our operations and increase our operating costs. Any of these results could have a material adverse effect on our business, financial condition and operating results.</w:t>
      </w:r>
    </w:p>
    <w:p>
      <w:pPr>
        <w:spacing w:after="0" w:line="173" w:lineRule="exact"/>
        <w:rPr>
          <w:sz w:val="20"/>
          <w:szCs w:val="20"/>
          <w:color w:val="auto"/>
        </w:rPr>
      </w:pPr>
    </w:p>
    <w:p>
      <w:pPr>
        <w:ind w:left="360" w:right="900"/>
        <w:spacing w:after="0" w:line="246" w:lineRule="auto"/>
        <w:rPr>
          <w:sz w:val="20"/>
          <w:szCs w:val="20"/>
          <w:color w:val="auto"/>
        </w:rPr>
      </w:pPr>
      <w:r>
        <w:rPr>
          <w:rFonts w:ascii="Arial" w:cs="Arial" w:eastAsia="Arial" w:hAnsi="Arial"/>
          <w:sz w:val="18"/>
          <w:szCs w:val="18"/>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Cargoes of LNG and our chartered vessels are at risk of being damaged or lost because of events such as:</w:t>
      </w:r>
    </w:p>
    <w:p>
      <w:pPr>
        <w:spacing w:after="0" w:line="117" w:lineRule="exact"/>
        <w:rPr>
          <w:sz w:val="20"/>
          <w:szCs w:val="20"/>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piracy;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accident involving our cargoes or any of our chartered vessels could result in any of the following:</w:t>
      </w:r>
    </w:p>
    <w:p>
      <w:pPr>
        <w:spacing w:after="0" w:line="117" w:lineRule="exact"/>
        <w:rPr>
          <w:sz w:val="20"/>
          <w:szCs w:val="20"/>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of charter contracts;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these circumstances or events could increase our costs or lower our revenues.</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weaken our financial condition and negatively affect our ability to pay dividends.</w:t>
      </w:r>
    </w:p>
    <w:p>
      <w:pPr>
        <w:spacing w:after="0" w:line="188" w:lineRule="exact"/>
        <w:rPr>
          <w:sz w:val="20"/>
          <w:szCs w:val="20"/>
          <w:color w:val="auto"/>
        </w:rPr>
      </w:pPr>
    </w:p>
    <w:p>
      <w:pPr>
        <w:ind w:left="360" w:right="240"/>
        <w:spacing w:after="0" w:line="262" w:lineRule="auto"/>
        <w:rPr>
          <w:sz w:val="20"/>
          <w:szCs w:val="20"/>
          <w:color w:val="auto"/>
        </w:rPr>
      </w:pPr>
      <w:r>
        <w:rPr>
          <w:rFonts w:ascii="Arial" w:cs="Arial" w:eastAsia="Arial" w:hAnsi="Arial"/>
          <w:sz w:val="18"/>
          <w:szCs w:val="18"/>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6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and the handling and disposal of hazardous substances and wastes.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MARPOL, including designation of Emission Control Areas (“ECAs”), thereunder,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 of Ships and for Pollution Prevention (the “ISM Code”), the IMO International Convention on Load Lines of 1966, as amended from time to time and the International Convention for the Control and Management of Ships’ Ballast Water and Sediments in February 2004.</w:t>
      </w:r>
    </w:p>
    <w:p>
      <w:pPr>
        <w:spacing w:after="0" w:line="61"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Moreover, the overall trends are towards more regulations and more stringent requirements which are likely to add to our costs of doing business.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64"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67" w:lineRule="exact"/>
        <w:rPr>
          <w:sz w:val="20"/>
          <w:szCs w:val="20"/>
          <w:color w:val="auto"/>
        </w:rPr>
      </w:pPr>
    </w:p>
    <w:p>
      <w:pPr>
        <w:ind w:left="360" w:right="120"/>
        <w:spacing w:after="0" w:line="262" w:lineRule="auto"/>
        <w:rPr>
          <w:sz w:val="20"/>
          <w:szCs w:val="20"/>
          <w:color w:val="auto"/>
        </w:rPr>
      </w:pPr>
      <w:r>
        <w:rPr>
          <w:rFonts w:ascii="Arial" w:cs="Arial" w:eastAsia="Arial" w:hAnsi="Arial"/>
          <w:sz w:val="18"/>
          <w:szCs w:val="18"/>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61"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57" w:lineRule="exact"/>
        <w:rPr>
          <w:sz w:val="20"/>
          <w:szCs w:val="20"/>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inadequate number of shipyards constructing LNG tankers and a backlog of orders at these shipyards;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or economic disturbances in the countries where the tankers are being constructed;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bankruptcy or other financial crisis of shipbuilders;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tsunami or fire;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w:t>
      </w:r>
    </w:p>
    <w:p>
      <w:pPr>
        <w:spacing w:after="0" w:line="117"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71" w:lineRule="exact"/>
        <w:rPr>
          <w:sz w:val="20"/>
          <w:szCs w:val="20"/>
          <w:color w:val="auto"/>
        </w:rPr>
      </w:pPr>
    </w:p>
    <w:p>
      <w:pPr>
        <w:ind w:left="360" w:right="260"/>
        <w:spacing w:after="0" w:line="262"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61" w:lineRule="exact"/>
        <w:rPr>
          <w:sz w:val="20"/>
          <w:szCs w:val="20"/>
          <w:color w:val="auto"/>
        </w:rPr>
      </w:pPr>
    </w:p>
    <w:p>
      <w:pPr>
        <w:jc w:val="both"/>
        <w:ind w:right="680" w:firstLine="360"/>
        <w:spacing w:after="0" w:line="342" w:lineRule="auto"/>
        <w:rPr>
          <w:sz w:val="20"/>
          <w:szCs w:val="20"/>
          <w:color w:val="auto"/>
        </w:rPr>
      </w:pPr>
      <w:r>
        <w:rPr>
          <w:rFonts w:ascii="Arial" w:cs="Arial" w:eastAsia="Arial" w:hAnsi="Arial"/>
          <w:sz w:val="16"/>
          <w:szCs w:val="16"/>
          <w:color w:val="auto"/>
        </w:rPr>
        <w:t>We plan to operate in the highly competitive area of LNG production and face intense competition from independent, technology-driven companies as well as from both major and other independent oil and natural gas companies and utilities.</w:t>
      </w:r>
    </w:p>
    <w:p>
      <w:pPr>
        <w:spacing w:after="0" w:line="16"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terminals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79" w:lineRule="exact"/>
        <w:rPr>
          <w:sz w:val="20"/>
          <w:szCs w:val="20"/>
          <w:color w:val="auto"/>
        </w:rPr>
      </w:pPr>
    </w:p>
    <w:p>
      <w:pPr>
        <w:ind w:left="360" w:right="680"/>
        <w:spacing w:after="0" w:line="262"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6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Our operations in Florida are, and our planned operations in Pennsylvania will be, dependent upon natural gas being a competitive source of energy in the United States.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w:t>
      </w:r>
    </w:p>
    <w:p>
      <w:pPr>
        <w:spacing w:after="0" w:line="70"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natural gas has not yet developed into a significant energy source. The success of our operations in the Caribbean is dependent, in part, on the extent to which natural gas can, for significant periods and in significant volumes, be produced internationally and delivered to Caribbean customers at a lower cost than the cost to deliver other alternative energy sources.</w:t>
      </w:r>
    </w:p>
    <w:p>
      <w:pPr>
        <w:spacing w:after="0" w:line="39"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Political instability in foreign countries that export natural gas,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50"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As a result of these and other factors, natural gas may not be a competitive source of energy in the United States or elsewhere. The failure of natural gas to be a competitive supply alternative to oil and other alternative energy sources could adversely affect our ability to deliver LNG or natural gas to our customers in the United States, the Caribbean or other locations on a commercial basis.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117"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63" w:lineRule="exact"/>
        <w:rPr>
          <w:sz w:val="20"/>
          <w:szCs w:val="20"/>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supply is less than the amount hedged;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counterparty to the hedging contract defaults on its contractual obligations; or</w:t>
      </w:r>
    </w:p>
    <w:p>
      <w:pPr>
        <w:spacing w:after="0" w:line="117"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hedging agreement and actual prices received.</w:t>
      </w:r>
    </w:p>
    <w:p>
      <w:pPr>
        <w:spacing w:after="0" w:line="62"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The use of derivatives also may require the posting of cash collateral with counterparties, which can impact working capital when commodity prices change. Additionally, failure to properly hedge our positions against changes in natural gas prices could have a material adverse effect on our business, financial condition and operating results.</w:t>
      </w:r>
    </w:p>
    <w:p>
      <w:pPr>
        <w:spacing w:after="0" w:line="168" w:lineRule="exact"/>
        <w:rPr>
          <w:sz w:val="20"/>
          <w:szCs w:val="20"/>
          <w:color w:val="auto"/>
        </w:rPr>
      </w:pPr>
    </w:p>
    <w:p>
      <w:pPr>
        <w:ind w:left="360" w:right="20"/>
        <w:spacing w:after="0" w:line="246"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75"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When engaged in marketing activities, it is our strategy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diesel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exposed to some risks that are not hedged, including price risks on LNG we own, which must be maintained in order to facilitate transportation of the LNG to our customers or to our facilities. In addition, our marketing operations involve the risk of non-compliance with our risk management policies. We cannot assure you that our processes and procedures will detect and prevent all violations of our risk management strategies, particularly if deception or other intentional misconduct is involved. If we were to incur a material loss related to commodity price risks, including non-compliance with our risk management strategies,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described in this prospectus or that we will succeed in our goal of reducing the risk to our operations of future LNG price variations.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60" w:right="80"/>
        <w:spacing w:after="0" w:line="235" w:lineRule="auto"/>
        <w:rPr>
          <w:sz w:val="20"/>
          <w:szCs w:val="20"/>
          <w:color w:val="auto"/>
        </w:rPr>
      </w:pPr>
      <w:r>
        <w:rPr>
          <w:rFonts w:ascii="Arial" w:cs="Arial" w:eastAsia="Arial" w:hAnsi="Arial"/>
          <w:sz w:val="18"/>
          <w:szCs w:val="18"/>
          <w:b w:val="1"/>
          <w:bCs w:val="1"/>
          <w:i w:val="1"/>
          <w:iCs w:val="1"/>
          <w:color w:val="auto"/>
        </w:rPr>
        <w:t>We may experience increased labor costs, and the unavailability of skilled workers or our failure to attract and retain qualified personnel could adversely affect us. In addition, changes in our senior management or other key personnel could affect our business results.</w:t>
      </w:r>
    </w:p>
    <w:p>
      <w:pPr>
        <w:spacing w:after="0" w:line="81" w:lineRule="exact"/>
        <w:rPr>
          <w:sz w:val="20"/>
          <w:szCs w:val="20"/>
          <w:color w:val="auto"/>
        </w:rPr>
      </w:pPr>
    </w:p>
    <w:p>
      <w:pPr>
        <w:ind w:right="100" w:firstLine="360"/>
        <w:spacing w:after="0" w:line="269" w:lineRule="auto"/>
        <w:rPr>
          <w:sz w:val="20"/>
          <w:szCs w:val="20"/>
          <w:color w:val="auto"/>
        </w:rPr>
      </w:pPr>
      <w:r>
        <w:rPr>
          <w:rFonts w:ascii="Arial" w:cs="Arial" w:eastAsia="Arial" w:hAnsi="Arial"/>
          <w:sz w:val="17"/>
          <w:szCs w:val="17"/>
          <w:color w:val="auto"/>
        </w:rPr>
        <w:t>We are dependent upon the available labor pool of skilled employees. We compete with other energy companies and other employers to attract and retain qualified personnel with the technical skills and experience required to construct and operate our energy-related infrastructure and to provide our customers with the highest quality service.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69" w:lineRule="exact"/>
        <w:rPr>
          <w:sz w:val="20"/>
          <w:szCs w:val="20"/>
          <w:color w:val="auto"/>
        </w:rPr>
      </w:pPr>
    </w:p>
    <w:p>
      <w:pPr>
        <w:ind w:left="360" w:right="720"/>
        <w:spacing w:after="0" w:line="246" w:lineRule="auto"/>
        <w:rPr>
          <w:sz w:val="20"/>
          <w:szCs w:val="20"/>
          <w:color w:val="auto"/>
        </w:rPr>
      </w:pPr>
      <w:r>
        <w:rPr>
          <w:rFonts w:ascii="Arial" w:cs="Arial" w:eastAsia="Arial" w:hAnsi="Arial"/>
          <w:sz w:val="18"/>
          <w:szCs w:val="18"/>
          <w:b w:val="1"/>
          <w:bCs w:val="1"/>
          <w:i w:val="1"/>
          <w:iCs w:val="1"/>
          <w:color w:val="auto"/>
        </w:rPr>
        <w:t>Our lack of asset and geographic diversification could have an adverse effect on our business, contracts, financial condition, operating results, cash flow, liquidity and prospects.</w:t>
      </w:r>
    </w:p>
    <w:p>
      <w:pPr>
        <w:spacing w:after="0" w:line="7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substantial majority of our anticipated revenue in 2018 and 2019 will be dependent upon our assets and customers in Jamaica. Due to our lack of asset and geographic diversification, an adverse development at the Miami-Dade Facility or the Jamaica Terminals, or in the energy industry, would have a significantly greater impact on our financial condition and operating results than if we maintained more diverse assets and operating areas.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incur impairments to goodwill or long-lived assets.</w:t>
      </w:r>
    </w:p>
    <w:p>
      <w:pPr>
        <w:spacing w:after="0" w:line="117"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We test our long-lived assets for impairment whenever events or changes in circumstances indicate that the carrying amount of these assets may not be recoverable. We currently intend to test goodwill for impairment annually, or more frequently as circumstances dictate. Significant negative industry or economic trends, and decline of our market capitalization, reduced estimates of future cash flows for our business segments or disruptions to our business could lead to an impairment charge of our long-lived assets, including goodwill.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goodwill or long-lived assets, we may be required to record a charge to earnings in our consolidated financial statements during a period in which such impairment is determined to exist, which may negatively impact our operating results.</w:t>
      </w:r>
    </w:p>
    <w:p>
      <w:pPr>
        <w:spacing w:after="0" w:line="153" w:lineRule="exact"/>
        <w:rPr>
          <w:sz w:val="20"/>
          <w:szCs w:val="20"/>
          <w:color w:val="auto"/>
        </w:rPr>
      </w:pPr>
    </w:p>
    <w:p>
      <w:pPr>
        <w:ind w:left="360" w:right="20"/>
        <w:spacing w:after="0" w:line="231" w:lineRule="auto"/>
        <w:rPr>
          <w:sz w:val="20"/>
          <w:szCs w:val="20"/>
          <w:color w:val="auto"/>
        </w:rPr>
      </w:pPr>
      <w:r>
        <w:rPr>
          <w:rFonts w:ascii="Arial" w:cs="Arial" w:eastAsia="Arial" w:hAnsi="Arial"/>
          <w:sz w:val="18"/>
          <w:szCs w:val="18"/>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8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vaporization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right="280"/>
        <w:spacing w:after="0" w:line="308" w:lineRule="auto"/>
        <w:rPr>
          <w:sz w:val="20"/>
          <w:szCs w:val="20"/>
          <w:color w:val="auto"/>
        </w:rPr>
      </w:pPr>
      <w:r>
        <w:rPr>
          <w:rFonts w:ascii="Arial" w:cs="Arial" w:eastAsia="Arial" w:hAnsi="Arial"/>
          <w:sz w:val="15"/>
          <w:szCs w:val="15"/>
          <w:b w:val="1"/>
          <w:bCs w:val="1"/>
          <w:i w:val="1"/>
          <w:iCs w:val="1"/>
          <w:color w:val="auto"/>
        </w:rPr>
        <w:t>The swaps regulatory and other provisions of the Dodd-Frank Wall Street Reform and Consumer Protection Act (the “Dodd-Frank Act”) and the rules adopted thereunder and other regulations, including European Market Infrastructure Regulation (“EMIR”) and Regulation on Wholesale Energy Market Integrity and Transparency (“REMIT”), could adversely affect our ability to hedge risks associated with our business and our operating results and cash flows.</w:t>
      </w:r>
    </w:p>
    <w:p>
      <w:pPr>
        <w:spacing w:after="0" w:line="33"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the Miami-Dade Facility and the Pennsylvania Facility.</w:t>
      </w:r>
    </w:p>
    <w:p>
      <w:pPr>
        <w:spacing w:after="0" w:line="59"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2019—from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6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as to any swap we enter into and have to clear that swap through a derivatives clearing organization, we could be required to post margin with respect to such swap, our cost of entering into and maintaining such swap could increase and we would not enjoy the same flexibility with the cleared swaps that we enjoy with the uncleared OTC swaps we enter. Moreover, the application of the mandatory clearing and trade execution requirements to other market participants, such as Swap Dealers, may change the cost and availability of the swaps that we use for hedging.</w:t>
      </w:r>
    </w:p>
    <w:p>
      <w:pPr>
        <w:spacing w:after="0" w:line="75"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Our counterparties that are subject to the regulations imposing the Basel III capital requirements on them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59"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our existing derivative contracts and to execute our hedging strategies. If, as a result of the swaps regulatory regime discussed above, we were to forgo or reduce our use of swaps to hedge our risks, such as commodity price risks that we encounter in our operations, our operating results and cash flows may become more volatile and could be otherwise adversely affected.</w:t>
      </w:r>
    </w:p>
    <w:p>
      <w:pPr>
        <w:spacing w:after="0" w:line="70"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58"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subsidiaries and affiliates operating in the Caribbean may be subject to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88" w:lineRule="exact"/>
        <w:rPr>
          <w:sz w:val="20"/>
          <w:szCs w:val="20"/>
          <w:color w:val="auto"/>
        </w:rPr>
      </w:pPr>
    </w:p>
    <w:p>
      <w:pPr>
        <w:ind w:left="360" w:right="520"/>
        <w:spacing w:after="0" w:line="248" w:lineRule="auto"/>
        <w:rPr>
          <w:sz w:val="20"/>
          <w:szCs w:val="20"/>
          <w:color w:val="auto"/>
        </w:rPr>
      </w:pPr>
      <w:r>
        <w:rPr>
          <w:rFonts w:ascii="Arial" w:cs="Arial" w:eastAsia="Arial" w:hAnsi="Arial"/>
          <w:sz w:val="18"/>
          <w:szCs w:val="18"/>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74"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FERC,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We may also be subject to yet additional requirements in Jamaica, Bermuda, Mexico or other jurisdictions, including with respect to land use approvals needed to construct and operate our facilities.</w:t>
      </w:r>
    </w:p>
    <w:p>
      <w:pPr>
        <w:spacing w:after="0" w:line="80"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68" w:lineRule="exact"/>
        <w:rPr>
          <w:sz w:val="20"/>
          <w:szCs w:val="20"/>
          <w:color w:val="auto"/>
        </w:rPr>
      </w:pPr>
    </w:p>
    <w:p>
      <w:pPr>
        <w:ind w:left="360" w:right="300"/>
        <w:spacing w:after="0" w:line="246" w:lineRule="auto"/>
        <w:rPr>
          <w:sz w:val="20"/>
          <w:szCs w:val="20"/>
          <w:color w:val="auto"/>
        </w:rPr>
      </w:pPr>
      <w:r>
        <w:rPr>
          <w:rFonts w:ascii="Arial" w:cs="Arial" w:eastAsia="Arial" w:hAnsi="Arial"/>
          <w:sz w:val="18"/>
          <w:szCs w:val="18"/>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75"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Our business is now and will in the future be subject to extensive federal, state and local laws and regulations both in the United States and in other jurisdictions where we operate that regulate and restrict, among other things, the siting and design of our facilities, discharges to air, land and water, with particular respect to the protection of human health, the environment and natural resources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LNG facility siting, design, construction, equipment, operations, maintenance, personnel qualifications and training, fire protection and security. While all of our LNG facilities are not subject to PHMSA’s jurisdiction, state and local regulators can impose similar siting, design, construction and operational requirements.</w:t>
      </w:r>
    </w:p>
    <w:p>
      <w:pPr>
        <w:spacing w:after="0" w:line="74"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resulting damage to natural resources.</w:t>
      </w:r>
    </w:p>
    <w:p>
      <w:pPr>
        <w:spacing w:after="0" w:line="79"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Many of these laws and regulations, such as the CAA and the CWA, and analogous state laws and regulations, restrict or prohibit the types, quantities and concentration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70" w:lineRule="exact"/>
        <w:rPr>
          <w:sz w:val="20"/>
          <w:szCs w:val="20"/>
          <w:color w:val="auto"/>
        </w:rPr>
      </w:pPr>
    </w:p>
    <w:p>
      <w:pPr>
        <w:ind w:right="120" w:firstLine="360"/>
        <w:spacing w:after="0" w:line="270" w:lineRule="auto"/>
        <w:rPr>
          <w:sz w:val="20"/>
          <w:szCs w:val="20"/>
          <w:color w:val="auto"/>
        </w:rPr>
      </w:pPr>
      <w:r>
        <w:rPr>
          <w:rFonts w:ascii="Arial" w:cs="Arial" w:eastAsia="Arial" w:hAnsi="Arial"/>
          <w:sz w:val="17"/>
          <w:szCs w:val="17"/>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74"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i w:val="1"/>
          <w:iCs w:val="1"/>
          <w:color w:val="auto"/>
        </w:rPr>
        <w:t>Greenhouse Gases/Climate Change</w:t>
      </w:r>
      <w:r>
        <w:rPr>
          <w:rFonts w:ascii="Arial" w:cs="Arial" w:eastAsia="Arial" w:hAnsi="Arial"/>
          <w:sz w:val="17"/>
          <w:szCs w:val="17"/>
          <w:color w:val="auto"/>
        </w:rPr>
        <w:t>. From time to time, there may be federal and state regulatory and policy initiatives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GHG emissions in the United States from a variety of sources. Other federal and state initiatives are being considered or may be considered in the future to address GHG emissions through, for example, United States treaty commitments or other international agreements, direct regulation, a carbon emissions tax, or cap-and-trade programs.</w:t>
      </w:r>
    </w:p>
    <w:p>
      <w:pPr>
        <w:spacing w:after="0" w:line="6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Responding to scientific reports regarding threats posed by global climate change, the U.S. Congress has in the past considered legislation to reduce emissions of GHGs. In addition, some states and foreign jurisdictions have individually or in regional cooperation, imposed restrictions on GHG emissions under various policies and approaches, including establishing a cap on emissions, requiring efficiency measures, or providing incentives for pollution reduction, use of renewable energy sources, or use of replacement fuels with lower carbon content.</w:t>
      </w:r>
    </w:p>
    <w:p>
      <w:pPr>
        <w:spacing w:after="0" w:line="80"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adoption and implementation of any U.S. federal, state or local regulations or foreign regulations imposing obligations on, or limiting emissions of GHGs from, our equipment and operations could require us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71" w:lineRule="exact"/>
        <w:rPr>
          <w:sz w:val="20"/>
          <w:szCs w:val="20"/>
          <w:color w:val="auto"/>
        </w:rPr>
      </w:pPr>
    </w:p>
    <w:p>
      <w:pPr>
        <w:ind w:right="60" w:firstLine="360"/>
        <w:spacing w:after="0" w:line="276" w:lineRule="auto"/>
        <w:rPr>
          <w:sz w:val="20"/>
          <w:szCs w:val="20"/>
          <w:color w:val="auto"/>
        </w:rPr>
      </w:pPr>
      <w:r>
        <w:rPr>
          <w:rFonts w:ascii="Arial" w:cs="Arial" w:eastAsia="Arial" w:hAnsi="Arial"/>
          <w:sz w:val="16"/>
          <w:szCs w:val="16"/>
          <w:color w:val="auto"/>
        </w:rPr>
        <w:t>In addition, due to concerns over climate change, numerous countries around the world have adopted or are considering adopting laws or regulations to reduce GHG emissions. In December 2015, the U.S. and 195 other nations attending the United Nations Climate Change Conference adopted the Paris Agreement on global climate change, which establishes a universal framework for addressing GHG emissions based on nationally determined contributions. The Paris Agreement calls for zero net anthropogenic GHG emission to be reached during the second half of the 21</w:t>
      </w:r>
      <w:r>
        <w:rPr>
          <w:rFonts w:ascii="Arial" w:cs="Arial" w:eastAsia="Arial" w:hAnsi="Arial"/>
          <w:sz w:val="24"/>
          <w:szCs w:val="24"/>
          <w:color w:val="auto"/>
          <w:vertAlign w:val="superscript"/>
        </w:rPr>
        <w:t>st</w:t>
      </w:r>
      <w:r>
        <w:rPr>
          <w:rFonts w:ascii="Arial" w:cs="Arial" w:eastAsia="Arial" w:hAnsi="Arial"/>
          <w:sz w:val="16"/>
          <w:szCs w:val="16"/>
          <w:color w:val="auto"/>
        </w:rPr>
        <w:t xml:space="preserve"> century. Each party is to prepare a plan on its contributions to reach this goal; each plan is to be filed in a publicly available registry. The Paris Agreement does not create any binding obligations for nations to limit their GHG emissions but rather includes pledges to voluntarily limit or reduce future emissions. It also creates a process for participating countries to review and increase their intended emissions reduction goals every five years. The ultimate impact of the Paris Agreement depends on its ratification and implementation by participating countries, and cannot be determined at this time. Although the United States became a party to the Paris Agreement in April 2016, the Trump administration subsequently announced in June 2017 its intention either to withdraw from the Paris Agreement or renegotiate more favorable terms. However, the Paris Agreement stipulates that participating countries must wait four years before withdrawing from the agreement. It is not possible to know how quickly renewable energy technologies may advance, but the increased use of renewable energy could ultimately reduce future demand for hydrocarbons. These developments could have a material adverse effect on our financial position, results of operations and cash flows.</w:t>
      </w:r>
    </w:p>
    <w:p>
      <w:pPr>
        <w:spacing w:after="0" w:line="70"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i w:val="1"/>
          <w:iCs w:val="1"/>
          <w:color w:val="auto"/>
        </w:rPr>
        <w:t>Fossil Fuels</w:t>
      </w:r>
      <w:r>
        <w:rPr>
          <w:rFonts w:ascii="Arial" w:cs="Arial" w:eastAsia="Arial" w:hAnsi="Arial"/>
          <w:sz w:val="16"/>
          <w:szCs w:val="16"/>
          <w:color w:val="auto"/>
        </w:rPr>
        <w:t>. Our business activities depend upon a sufficient and reliable supply of natural gas feedstock, and are therefore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concerns in 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58"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i w:val="1"/>
          <w:iCs w:val="1"/>
          <w:color w:val="auto"/>
        </w:rPr>
        <w:t>Hydraulic Fracturing</w:t>
      </w:r>
      <w:r>
        <w:rPr>
          <w:rFonts w:ascii="Arial" w:cs="Arial" w:eastAsia="Arial" w:hAnsi="Arial"/>
          <w:sz w:val="16"/>
          <w:szCs w:val="16"/>
          <w:color w:val="auto"/>
        </w:rPr>
        <w:t>. Certain of our suppliers employ hydraulic fracturing techniques to stimulate natural gas production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are considering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are considering adopting land use restrictions, such as city ordinances, that may restrict the performance of or prohibit the well drilling in general and/or hydraulic fracturing in particular.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61" w:lineRule="exact"/>
        <w:rPr>
          <w:sz w:val="20"/>
          <w:szCs w:val="20"/>
          <w:color w:val="auto"/>
        </w:rPr>
      </w:pPr>
    </w:p>
    <w:p>
      <w:pPr>
        <w:ind w:left="360" w:right="40"/>
        <w:spacing w:after="0" w:line="235" w:lineRule="auto"/>
        <w:rPr>
          <w:sz w:val="20"/>
          <w:szCs w:val="20"/>
          <w:color w:val="auto"/>
        </w:rPr>
      </w:pPr>
      <w:r>
        <w:rPr>
          <w:rFonts w:ascii="Arial" w:cs="Arial" w:eastAsia="Arial" w:hAnsi="Arial"/>
          <w:sz w:val="18"/>
          <w:szCs w:val="18"/>
          <w:b w:val="1"/>
          <w:bCs w:val="1"/>
          <w:i w:val="1"/>
          <w:iCs w:val="1"/>
          <w:color w:val="auto"/>
        </w:rPr>
        <w:t>We are subject to numerous governmental export laws and trade and economic sanctions laws and regulations. A failure by us to comply with such laws and regulations could subject us to liability and have a material adverse impact on our business, results of operations or financial condition.</w:t>
      </w:r>
    </w:p>
    <w:p>
      <w:pPr>
        <w:spacing w:after="0" w:line="81"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w:t>
      </w:r>
    </w:p>
    <w:p>
      <w:pPr>
        <w:spacing w:after="0" w:line="58"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Although we have adopted policies and procedures that are designed to ensure that we, our employees and other intermediaries comply with the FCPA,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 If we are not in compliance with anti-corruption laws and regulations, including the FCPA, we may be subject to criminal and civil penalties and other remedial measures, including changes or enhancements to our procedures, policies and control, as well as potential personnel change and disciplinary actions, which could have an adverse impact on our business, results of operations and financial condition.</w:t>
      </w:r>
    </w:p>
    <w:p>
      <w:pPr>
        <w:spacing w:after="0" w:line="70"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Jurisdictions in Which We Operate</w:t>
      </w:r>
    </w:p>
    <w:p>
      <w:pPr>
        <w:spacing w:after="0" w:line="108" w:lineRule="exact"/>
        <w:rPr>
          <w:sz w:val="20"/>
          <w:szCs w:val="20"/>
          <w:color w:val="auto"/>
        </w:rPr>
      </w:pPr>
    </w:p>
    <w:p>
      <w:pPr>
        <w:ind w:left="360" w:right="280"/>
        <w:spacing w:after="0" w:line="246" w:lineRule="auto"/>
        <w:rPr>
          <w:sz w:val="20"/>
          <w:szCs w:val="20"/>
          <w:color w:val="auto"/>
        </w:rPr>
      </w:pPr>
      <w:r>
        <w:rPr>
          <w:rFonts w:ascii="Arial" w:cs="Arial" w:eastAsia="Arial" w:hAnsi="Arial"/>
          <w:sz w:val="18"/>
          <w:szCs w:val="18"/>
          <w:b w:val="1"/>
          <w:bCs w:val="1"/>
          <w:i w:val="1"/>
          <w:iCs w:val="1"/>
          <w:color w:val="auto"/>
        </w:rPr>
        <w:t>We are highly dependent upon economic, political and other conditions and developments in the Caribbean, particularly Jamaica, and the other jurisdictions in which we operate.</w:t>
      </w:r>
    </w:p>
    <w:p>
      <w:pPr>
        <w:spacing w:after="0" w:line="75"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We currently conduct a meaningful portion of our business in Jamaica. As a result, our current business, results of operations, financial condition and prospects are materially dependent upon economic, political and other conditions and developments in Jamaica.</w:t>
      </w:r>
    </w:p>
    <w:p>
      <w:pPr>
        <w:spacing w:after="0" w:line="73"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We currently have interests and operations in Jamaica and the United States and currently intend to expand to other countries in the Caribbean, Latin America and other geographies, and such interests are subject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countries have experienced political, security and economic instability in the recent past and may experience instability in the future.</w:t>
      </w:r>
    </w:p>
    <w:p>
      <w:pPr>
        <w:spacing w:after="0" w:line="57"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Any slowdown or contraction affecting the local economy could negatively affect the ability of our customers to purchase LNG, natural gas, steam or power from us or to fulfill their obligations under their contracts with us. If the economy in Jamaica or other jurisdictions in which we operate worsens because of, for example:</w:t>
      </w:r>
    </w:p>
    <w:p>
      <w:pPr>
        <w:spacing w:after="0" w:line="73"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lower economic activity;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oil, natural gas or petrochemical prices;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devaluation of the applicable currency;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inflation;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domestic interest rates,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then our business, results of operations, financial condition and prospects may also be significantly affected by actions taken by the government in the jurisdictions in which we operate.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governmental policies in our Caribbean markets may reduce demand for our products, adversely affect our business, financial condition, results of operations or prospects.</w:t>
      </w:r>
    </w:p>
    <w:p>
      <w:pPr>
        <w:spacing w:after="0" w:line="70"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For example, JPS and JPC are subject to the mandate of the OUR. The OUR regulates the amount of money that power utilities in Jamaica, including JPS and JPC, can charge its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117"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Our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80" w:lineRule="exact"/>
        <w:rPr>
          <w:sz w:val="20"/>
          <w:szCs w:val="20"/>
          <w:color w:val="auto"/>
        </w:rPr>
      </w:pPr>
    </w:p>
    <w:p>
      <w:pPr>
        <w:jc w:val="both"/>
        <w:ind w:right="160" w:firstLine="360"/>
        <w:spacing w:after="0" w:line="286" w:lineRule="auto"/>
        <w:rPr>
          <w:sz w:val="20"/>
          <w:szCs w:val="20"/>
          <w:color w:val="auto"/>
        </w:rPr>
      </w:pPr>
      <w:r>
        <w:rPr>
          <w:rFonts w:ascii="Arial" w:cs="Arial" w:eastAsia="Arial" w:hAnsi="Arial"/>
          <w:sz w:val="16"/>
          <w:szCs w:val="16"/>
          <w:color w:val="auto"/>
        </w:rPr>
        <w:t>A portion of our cash flows and expenses may in the future be incurred in currencies other than the U.S. dollar. Our material counterparties’ cash flows and expenses may be incurred in currencies other than the U.S. dollar. We cannot be sure that non-U.S. currencies will not be subject to volatility and depreciation or that the current exchange rate policies affecting these currencies will remain the same. We may choose not to hedge, or we may not be effective in efforts to hedge, this foreign currency risk.</w:t>
      </w:r>
    </w:p>
    <w:p>
      <w:pPr>
        <w:spacing w:after="0" w:line="2"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108" w:lineRule="exact"/>
        <w:rPr>
          <w:sz w:val="20"/>
          <w:szCs w:val="20"/>
          <w:color w:val="auto"/>
        </w:rPr>
      </w:pPr>
    </w:p>
    <w:p>
      <w:pPr>
        <w:ind w:left="360" w:right="580"/>
        <w:spacing w:after="0" w:line="246" w:lineRule="auto"/>
        <w:rPr>
          <w:sz w:val="20"/>
          <w:szCs w:val="20"/>
          <w:color w:val="auto"/>
        </w:rPr>
      </w:pPr>
      <w:r>
        <w:rPr>
          <w:rFonts w:ascii="Arial" w:cs="Arial" w:eastAsia="Arial" w:hAnsi="Arial"/>
          <w:sz w:val="18"/>
          <w:szCs w:val="18"/>
          <w:b w:val="1"/>
          <w:bCs w:val="1"/>
          <w:i w:val="1"/>
          <w:iCs w:val="1"/>
          <w:color w:val="auto"/>
        </w:rPr>
        <w:t>New Fortress Energy Holdings has the ability to direct the voting of a majority of our shares, and their interests may conflict with those of our other shareholders.</w:t>
      </w:r>
    </w:p>
    <w:p>
      <w:pPr>
        <w:spacing w:after="0" w:line="75" w:lineRule="exact"/>
        <w:rPr>
          <w:sz w:val="20"/>
          <w:szCs w:val="20"/>
          <w:color w:val="auto"/>
        </w:rPr>
      </w:pPr>
    </w:p>
    <w:p>
      <w:pPr>
        <w:ind w:left="360"/>
        <w:spacing w:after="0"/>
        <w:tabs>
          <w:tab w:leader="none" w:pos="8780" w:val="left"/>
        </w:tabs>
        <w:rPr>
          <w:sz w:val="20"/>
          <w:szCs w:val="20"/>
          <w:color w:val="auto"/>
        </w:rPr>
      </w:pPr>
      <w:r>
        <w:rPr>
          <w:rFonts w:ascii="Arial" w:cs="Arial" w:eastAsia="Arial" w:hAnsi="Arial"/>
          <w:sz w:val="18"/>
          <w:szCs w:val="18"/>
          <w:color w:val="auto"/>
        </w:rPr>
        <w:t>Upon completion of this offering, New Fortress Energy Holdings will initially own, an aggregate of approximately</w:t>
      </w:r>
      <w:r>
        <w:rPr>
          <w:sz w:val="20"/>
          <w:szCs w:val="20"/>
          <w:color w:val="auto"/>
        </w:rPr>
        <w:tab/>
      </w:r>
      <w:r>
        <w:rPr>
          <w:rFonts w:ascii="Arial" w:cs="Arial" w:eastAsia="Arial" w:hAnsi="Arial"/>
          <w:sz w:val="16"/>
          <w:szCs w:val="16"/>
          <w:color w:val="auto"/>
        </w:rPr>
        <w:t>Class B</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color w:val="auto"/>
                <w:w w:val="95"/>
              </w:rPr>
              <w:t>shares representing</w:t>
            </w:r>
          </w:p>
        </w:tc>
        <w:tc>
          <w:tcPr>
            <w:tcW w:w="3140" w:type="dxa"/>
            <w:vAlign w:val="bottom"/>
          </w:tcPr>
          <w:p>
            <w:pPr>
              <w:ind w:left="160"/>
              <w:spacing w:after="0"/>
              <w:rPr>
                <w:sz w:val="20"/>
                <w:szCs w:val="20"/>
                <w:color w:val="auto"/>
              </w:rPr>
            </w:pPr>
            <w:r>
              <w:rPr>
                <w:rFonts w:ascii="Arial" w:cs="Arial" w:eastAsia="Arial" w:hAnsi="Arial"/>
                <w:sz w:val="18"/>
                <w:szCs w:val="18"/>
                <w:color w:val="auto"/>
                <w:w w:val="93"/>
              </w:rPr>
              <w:t>% of our voting power (or approximately</w:t>
            </w:r>
          </w:p>
        </w:tc>
        <w:tc>
          <w:tcPr>
            <w:tcW w:w="4880" w:type="dxa"/>
            <w:vAlign w:val="bottom"/>
          </w:tcPr>
          <w:p>
            <w:pPr>
              <w:jc w:val="right"/>
              <w:ind w:right="3930"/>
              <w:spacing w:after="0"/>
              <w:rPr>
                <w:sz w:val="20"/>
                <w:szCs w:val="20"/>
                <w:color w:val="auto"/>
              </w:rPr>
            </w:pPr>
            <w:r>
              <w:rPr>
                <w:rFonts w:ascii="Arial" w:cs="Arial" w:eastAsia="Arial" w:hAnsi="Arial"/>
                <w:sz w:val="18"/>
                <w:szCs w:val="18"/>
                <w:color w:val="auto"/>
              </w:rPr>
              <w:t>% if the</w:t>
            </w:r>
          </w:p>
        </w:tc>
      </w:tr>
      <w:tr>
        <w:trPr>
          <w:trHeight w:val="418"/>
        </w:trPr>
        <w:tc>
          <w:tcPr>
            <w:tcW w:w="1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880" w:type="dxa"/>
            <w:vAlign w:val="bottom"/>
          </w:tcPr>
          <w:p>
            <w:pPr>
              <w:jc w:val="right"/>
              <w:ind w:right="4610"/>
              <w:spacing w:after="0"/>
              <w:rPr>
                <w:sz w:val="20"/>
                <w:szCs w:val="20"/>
                <w:color w:val="auto"/>
              </w:rPr>
            </w:pPr>
            <w:r>
              <w:rPr>
                <w:rFonts w:ascii="Arial" w:cs="Arial" w:eastAsia="Arial" w:hAnsi="Arial"/>
                <w:sz w:val="18"/>
                <w:szCs w:val="18"/>
                <w:color w:val="auto"/>
                <w:w w:val="79"/>
              </w:rPr>
              <w:t>36</w:t>
            </w:r>
          </w:p>
        </w:tc>
      </w:tr>
      <w:tr>
        <w:trPr>
          <w:trHeight w:val="459"/>
        </w:trPr>
        <w:tc>
          <w:tcPr>
            <w:tcW w:w="1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68"/>
        </w:trPr>
        <w:tc>
          <w:tcPr>
            <w:tcW w:w="1540" w:type="dxa"/>
            <w:vAlign w:val="bottom"/>
            <w:shd w:val="clear" w:color="auto" w:fill="000000"/>
          </w:tcPr>
          <w:p>
            <w:pPr>
              <w:spacing w:after="0"/>
              <w:rPr>
                <w:sz w:val="5"/>
                <w:szCs w:val="5"/>
                <w:color w:val="auto"/>
              </w:rPr>
            </w:pPr>
          </w:p>
        </w:tc>
        <w:tc>
          <w:tcPr>
            <w:tcW w:w="3140" w:type="dxa"/>
            <w:vAlign w:val="bottom"/>
            <w:shd w:val="clear" w:color="auto" w:fill="000000"/>
          </w:tcPr>
          <w:p>
            <w:pPr>
              <w:spacing w:after="0"/>
              <w:rPr>
                <w:sz w:val="5"/>
                <w:szCs w:val="5"/>
                <w:color w:val="auto"/>
              </w:rPr>
            </w:pPr>
          </w:p>
        </w:tc>
        <w:tc>
          <w:tcPr>
            <w:tcW w:w="48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underwriters’ option to purchase additional Class A shares is exercised in full). New Fortress Energy Holdings’ beneficial ownership of greater than 50% of our voting shares means New Fortress Energy Holdings will be able to control matters requiring shareholder approval, including the election of directors, changes to our organizational documents and significant corporate transactions. This concentration of ownership makes it unlikely that any other holder or group of holders of our Class A shares will be able to affect the way we are managed or the direction of our business. The interests of New Fortress Energy Holdings with respect to matters potentially or actually involving or affecting us, such as future acquisitions, financings and other corporate opportunities and attempts to acquire us, may conflict with the interests of our other shareholders. Given this concentrated ownership, New Fortress Energy Holdings would have to approve any potential acquisition of us. The existence of a significant shareholder may have the effect of deterring hostile takeovers, delaying or preventing changes in control or changes in management, or limiting the ability of our other shareholders to approve transactions that they may deem to be in the best interests of our company. Moreover, New Fortress Energy Holdings’ concentration of share ownership may adversely affect the trading price of our Class A shares to the extent investors perceive a disadvantage in owning stock of a company with a significant shareholder.</w:t>
      </w:r>
    </w:p>
    <w:p>
      <w:pPr>
        <w:spacing w:after="0" w:line="61"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In addition, New Fortress Energy Holdings may have different tax positions from us that could influence its decisions regarding whether and when to support the disposition of assets, the incurrence or refinancing of new or existing indebtedness. In addition, the determination of future tax reporting positions, the structuring of future transactions and the handling of any challenge by any taxing authority to our tax reporting positions may take into consideration New Fortress Energy Holdings’s tax or other considerations which may differ from the considerations of us or our other stockholders.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New Fortress Energy Holdings may compete with us.</w:t>
      </w:r>
    </w:p>
    <w:p>
      <w:pPr>
        <w:spacing w:after="0" w:line="11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Our governing documents will provide that New Fortress Energy Holdings is not prohibited from engaging in other businesses or activities, including those that might be in direct competition with us. In addition, New Fortress Energy Holdings may compete with us for investment opportunities and may own an interest in entities that compete with us. Additionally, our operating agreement provides that if New Fortress Energy Holdings or an affiliate or any of their officers, directors or employees acquire knowledge of a potential transaction that could be a corporate opportunity, they have no duty, to the fullest extent permitted by law, to offer such corporate opportunity to us, our Class A shareholders or our affiliates. This may create actual and potential conflicts of interest between us and New Fortress Energy Holdings and result in less than favorable treatment of us and our Class A shareholders.</w:t>
      </w:r>
    </w:p>
    <w:p>
      <w:pPr>
        <w:spacing w:after="0" w:line="154" w:lineRule="exact"/>
        <w:rPr>
          <w:sz w:val="20"/>
          <w:szCs w:val="20"/>
          <w:color w:val="auto"/>
        </w:rPr>
      </w:pPr>
    </w:p>
    <w:p>
      <w:pPr>
        <w:ind w:left="360" w:right="40"/>
        <w:spacing w:after="0" w:line="235" w:lineRule="auto"/>
        <w:rPr>
          <w:sz w:val="20"/>
          <w:szCs w:val="20"/>
          <w:color w:val="auto"/>
        </w:rPr>
      </w:pPr>
      <w:r>
        <w:rPr>
          <w:rFonts w:ascii="Arial" w:cs="Arial" w:eastAsia="Arial" w:hAnsi="Arial"/>
          <w:sz w:val="18"/>
          <w:szCs w:val="18"/>
          <w:b w:val="1"/>
          <w:bCs w:val="1"/>
          <w:i w:val="1"/>
          <w:iCs w:val="1"/>
          <w:color w:val="auto"/>
        </w:rPr>
        <w:t>Our operating agreement, as well as Delaware law, will contain provisions that could discourage acquisition bids or merger proposals, which may adversely affect the market price of our Class A shares and could deprive our investors of the opportunity to receive a premium for their shares.</w:t>
      </w:r>
    </w:p>
    <w:p>
      <w:pPr>
        <w:spacing w:after="0" w:line="81"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Our operating agreement will authorize our board of directors to issue preferred shares without shareholder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shares, it could be more difficult for a third party to acquire us. In addition, some provisions of our operating agreement could make it more difficult for a third party to acquire control of us, even if the change of control would be beneficial to our shareholders. These provisions include:</w:t>
      </w:r>
    </w:p>
    <w:p>
      <w:pPr>
        <w:spacing w:after="0" w:line="70"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dividing our board of directors into three classes of directors, with each class serving staggered three-year terms;</w:t>
      </w:r>
    </w:p>
    <w:p>
      <w:pPr>
        <w:spacing w:after="0" w:line="128" w:lineRule="exact"/>
        <w:rPr>
          <w:rFonts w:ascii="Arial" w:cs="Arial" w:eastAsia="Arial" w:hAnsi="Arial"/>
          <w:sz w:val="17"/>
          <w:szCs w:val="17"/>
          <w:color w:val="auto"/>
        </w:rPr>
      </w:pPr>
    </w:p>
    <w:p>
      <w:pPr>
        <w:ind w:left="700" w:right="500" w:hanging="356"/>
        <w:spacing w:after="0" w:line="264"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that all vacancies, including newly created directorships, may, except as otherwise required by law, or, if applicable, the rights of holders of a series of preferred shares, only be filled by the affirmative vote of a majority of directors then in office, even if less than a quorum;</w:t>
      </w:r>
    </w:p>
    <w:p>
      <w:pPr>
        <w:spacing w:after="0" w:line="73" w:lineRule="exact"/>
        <w:rPr>
          <w:rFonts w:ascii="Arial" w:cs="Arial" w:eastAsia="Arial" w:hAnsi="Arial"/>
          <w:sz w:val="18"/>
          <w:szCs w:val="18"/>
          <w:color w:val="auto"/>
        </w:rPr>
      </w:pPr>
    </w:p>
    <w:p>
      <w:pPr>
        <w:ind w:left="700" w:right="300" w:hanging="356"/>
        <w:spacing w:after="0" w:line="342"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permitting any action by shareholders to be taken only at an annual meeting or special meeting rather than by a written consent of the shareholders, subject to the rights of any series of preferred shares with respect to such rights;</w:t>
      </w:r>
    </w:p>
    <w:p>
      <w:pPr>
        <w:spacing w:after="0" w:line="15" w:lineRule="exact"/>
        <w:rPr>
          <w:rFonts w:ascii="Arial" w:cs="Arial" w:eastAsia="Arial" w:hAnsi="Arial"/>
          <w:sz w:val="16"/>
          <w:szCs w:val="16"/>
          <w:color w:val="auto"/>
        </w:rPr>
      </w:pPr>
    </w:p>
    <w:p>
      <w:pPr>
        <w:jc w:val="both"/>
        <w:ind w:left="700" w:hanging="356"/>
        <w:spacing w:after="0" w:line="264"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permitting special meetings of our shareholders to be called only by our board of directors pursuant to a resolution adopted by the affirmative vote of a majority of the total number of authorized directors whether or not there exist any vacancies in previously authorized directorships;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advance notice provisions for shareholder proposals and nominations for elections to the board of directors to be acted upon at meetings of the shareholders;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providing that the board of directors is expressly authorized to adopt, or to alter or repeal our operating agreement.</w:t>
      </w:r>
    </w:p>
    <w:p>
      <w:pPr>
        <w:spacing w:after="0" w:line="223" w:lineRule="exact"/>
        <w:rPr>
          <w:sz w:val="20"/>
          <w:szCs w:val="20"/>
          <w:color w:val="auto"/>
        </w:rPr>
      </w:pPr>
    </w:p>
    <w:p>
      <w:pPr>
        <w:jc w:val="both"/>
        <w:ind w:left="360" w:right="340"/>
        <w:spacing w:after="0" w:line="235" w:lineRule="auto"/>
        <w:rPr>
          <w:sz w:val="20"/>
          <w:szCs w:val="20"/>
          <w:color w:val="auto"/>
        </w:rPr>
      </w:pPr>
      <w:r>
        <w:rPr>
          <w:rFonts w:ascii="Arial" w:cs="Arial" w:eastAsia="Arial" w:hAnsi="Arial"/>
          <w:sz w:val="18"/>
          <w:szCs w:val="18"/>
          <w:b w:val="1"/>
          <w:bCs w:val="1"/>
          <w:i w:val="1"/>
          <w:iCs w:val="1"/>
          <w:color w:val="auto"/>
        </w:rPr>
        <w:t>There are certain provisions in our operating agreement regarding exculpation and indemnification of our officers and directors that differ from Delaware General Corporation Law (“DGCL”) in a manner that may be less protective of the interests of our Class A shareholders.</w:t>
      </w:r>
    </w:p>
    <w:p>
      <w:pPr>
        <w:spacing w:after="0" w:line="81"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However, under the DGCL, a director or officer would be liable to us for (i) breach of duty of loyalty to us or our shareholders, (ii) international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However,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Class A shareholders, when compared to the DGCL, insofar as it relates to the exculpation and indemnification of our officers and directors.</w:t>
      </w:r>
    </w:p>
    <w:p>
      <w:pPr>
        <w:sectPr>
          <w:pgSz w:w="11900" w:h="16838" w:orient="portrait"/>
          <w:cols w:equalWidth="0" w:num="1">
            <w:col w:w="9540"/>
          </w:cols>
          <w:pgMar w:left="1180" w:top="279" w:right="1179" w:bottom="1440" w:gutter="0" w:footer="0" w:header="0"/>
        </w:sectPr>
      </w:pPr>
    </w:p>
    <w:p>
      <w:pPr>
        <w:spacing w:after="0" w:line="17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Shareholders will experience immediate and substantial dilution of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per Class A share.</w:t>
      </w:r>
    </w:p>
    <w:p>
      <w:pPr>
        <w:spacing w:after="0" w:line="152" w:lineRule="exact"/>
        <w:rPr>
          <w:sz w:val="20"/>
          <w:szCs w:val="20"/>
          <w:color w:val="auto"/>
        </w:rPr>
      </w:pPr>
    </w:p>
    <w:p>
      <w:pPr>
        <w:sectPr>
          <w:pgSz w:w="11900" w:h="16838" w:orient="portrait"/>
          <w:cols w:equalWidth="0" w:num="2">
            <w:col w:w="5460" w:space="300"/>
            <w:col w:w="3780"/>
          </w:cols>
          <w:pgMar w:left="1180" w:top="279" w:right="1179" w:bottom="1440" w:gutter="0" w:footer="0" w:header="0"/>
          <w:type w:val="continuous"/>
        </w:sectPr>
      </w:pPr>
    </w:p>
    <w:p>
      <w:pPr>
        <w:ind w:firstLine="360"/>
        <w:spacing w:after="0" w:line="288" w:lineRule="auto"/>
        <w:rPr>
          <w:sz w:val="20"/>
          <w:szCs w:val="20"/>
          <w:color w:val="auto"/>
        </w:rPr>
      </w:pPr>
      <w:r>
        <w:rPr>
          <w:rFonts w:ascii="Arial" w:cs="Arial" w:eastAsia="Arial" w:hAnsi="Arial"/>
          <w:sz w:val="16"/>
          <w:szCs w:val="16"/>
          <w:color w:val="auto"/>
        </w:rPr>
        <w:t>The assumed initial public offering price of $ per Class A share (the mid-point of the price range set forth on the cover page of this prospectus) exceeds our pro forma net tangible book value of $ per Class A share. Based on the assumed initial public offering price of $ per Class A share, shareholders will incur immediate and substantial dilution of $ per Class A share in the</w:t>
      </w:r>
    </w:p>
    <w:p>
      <w:pPr>
        <w:sectPr>
          <w:pgSz w:w="11900" w:h="16838" w:orient="portrait"/>
          <w:cols w:equalWidth="0" w:num="1">
            <w:col w:w="9540"/>
          </w:cols>
          <w:pgMar w:left="1180" w:top="279" w:right="1179" w:bottom="1440" w:gutter="0" w:footer="0" w:header="0"/>
          <w:type w:val="continuous"/>
        </w:sectPr>
      </w:pPr>
    </w:p>
    <w:p>
      <w:pPr>
        <w:jc w:val="both"/>
        <w:ind w:right="240"/>
        <w:spacing w:after="0" w:line="255" w:lineRule="auto"/>
        <w:rPr>
          <w:sz w:val="20"/>
          <w:szCs w:val="20"/>
          <w:color w:val="auto"/>
        </w:rPr>
      </w:pPr>
      <w:r>
        <w:rPr>
          <w:rFonts w:ascii="Arial" w:cs="Arial" w:eastAsia="Arial" w:hAnsi="Arial"/>
          <w:sz w:val="18"/>
          <w:szCs w:val="18"/>
          <w:color w:val="auto"/>
        </w:rPr>
        <w:t>pro forma net tangible book value per share. This dilution results primarily because the assets contributed to us by New Fortress Energy Holdings are recorded at their historical cost in accordance with generally accepted accounting principles (“GAAP”), and not their fair value. Please read “Dilution.”</w:t>
      </w:r>
    </w:p>
    <w:p>
      <w:pPr>
        <w:spacing w:after="0" w:line="177" w:lineRule="exact"/>
        <w:rPr>
          <w:sz w:val="20"/>
          <w:szCs w:val="20"/>
          <w:color w:val="auto"/>
        </w:rPr>
      </w:pPr>
    </w:p>
    <w:p>
      <w:pPr>
        <w:ind w:left="360" w:right="180"/>
        <w:spacing w:after="0" w:line="246" w:lineRule="auto"/>
        <w:rPr>
          <w:sz w:val="20"/>
          <w:szCs w:val="20"/>
          <w:color w:val="auto"/>
        </w:rPr>
      </w:pPr>
      <w:r>
        <w:rPr>
          <w:rFonts w:ascii="Arial" w:cs="Arial" w:eastAsia="Arial" w:hAnsi="Arial"/>
          <w:sz w:val="18"/>
          <w:szCs w:val="18"/>
          <w:b w:val="1"/>
          <w:bCs w:val="1"/>
          <w:i w:val="1"/>
          <w:iCs w:val="1"/>
          <w:color w:val="auto"/>
        </w:rPr>
        <w:t>We do not intend to pay cash dividends on our Class A shares. Consequently, your only opportunity to achieve a return on your investment is if the price of our Class A shares appreciates.</w:t>
      </w:r>
    </w:p>
    <w:p>
      <w:pPr>
        <w:spacing w:after="0" w:line="75" w:lineRule="exact"/>
        <w:rPr>
          <w:sz w:val="20"/>
          <w:szCs w:val="20"/>
          <w:color w:val="auto"/>
        </w:rPr>
      </w:pPr>
    </w:p>
    <w:p>
      <w:pPr>
        <w:jc w:val="both"/>
        <w:ind w:right="100" w:firstLine="360"/>
        <w:spacing w:after="0" w:line="312" w:lineRule="auto"/>
        <w:rPr>
          <w:sz w:val="20"/>
          <w:szCs w:val="20"/>
          <w:color w:val="auto"/>
        </w:rPr>
      </w:pPr>
      <w:r>
        <w:rPr>
          <w:rFonts w:ascii="Arial" w:cs="Arial" w:eastAsia="Arial" w:hAnsi="Arial"/>
          <w:sz w:val="16"/>
          <w:szCs w:val="16"/>
          <w:color w:val="auto"/>
        </w:rPr>
        <w:t>We do not plan to declare cash dividends on our Class A shares in the foreseeable future. Consequently, your only opportunity to achieve a return on your investment in us will be if you sell your Class A share at a price greater than you paid for it. There is no guarantee that the price of our Class A share that will prevail in the market will ever exceed the price that you pay in this offering.</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may issue preferred shares, the terms of which could adversely affect the voting power or value of our Class A shares.</w:t>
      </w:r>
    </w:p>
    <w:p>
      <w:pPr>
        <w:spacing w:after="0" w:line="138"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Our operating agreement will authorize us to issue, without the approval of our shareholders, one or more classes or series of preferred shares having such designations, preferences, limitations and relative rights, including preferences over our Class A shares respecting dividends and distributions, as our board of directors may determine. The terms of one or more classes or series of preferred shares could adversely impact the voting power or value of our Class A shares. For example, we might grant holders of preferred shares the right to elect some number of our directors in all events or on the happening of specified events or the right to veto specified transactions. Similarly, the repurchase or redemption rights or liquidation preferences we might assign to holders of preferred shares could affect the residual value of the Class A shares.</w:t>
      </w:r>
    </w:p>
    <w:p>
      <w:pPr>
        <w:spacing w:after="0" w:line="164" w:lineRule="exact"/>
        <w:rPr>
          <w:sz w:val="20"/>
          <w:szCs w:val="20"/>
          <w:color w:val="auto"/>
        </w:rPr>
      </w:pPr>
    </w:p>
    <w:p>
      <w:pPr>
        <w:jc w:val="both"/>
        <w:ind w:left="360" w:right="60"/>
        <w:spacing w:after="0" w:line="235" w:lineRule="auto"/>
        <w:rPr>
          <w:sz w:val="20"/>
          <w:szCs w:val="20"/>
          <w:color w:val="auto"/>
        </w:rPr>
      </w:pPr>
      <w:r>
        <w:rPr>
          <w:rFonts w:ascii="Arial" w:cs="Arial" w:eastAsia="Arial" w:hAnsi="Arial"/>
          <w:sz w:val="18"/>
          <w:szCs w:val="18"/>
          <w:b w:val="1"/>
          <w:bCs w:val="1"/>
          <w:i w:val="1"/>
          <w:iCs w:val="1"/>
          <w:color w:val="auto"/>
        </w:rPr>
        <w:t>The market price of our Class A shares could be adversely affected by sales of substantial amounts of our Class A shares in the public or private markets, including sales by New Fortress Energy Holdings after the exercise of the Redemption Right or other large holders.</w:t>
      </w:r>
    </w:p>
    <w:p>
      <w:pPr>
        <w:spacing w:after="0" w:line="81"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After this offering, we will have Class A shares and Class B shares outstanding, assuming no exercise of the underwriters’ option to purchase additional Class A shares. The NFI LLC Units held by New Fortress Energy Holdings and any Class A shares New Fortress Energy Holdings acquires through the exercise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Redemption Right will be subject to resale restrictions under a 180-day lock-up agreement with the underwriters. Each of the lock-up agreements with the underwriters may be waived in the discretion of certain of the underwriters. Sales by New Fortress Energy Holdings after the exercise of the Redemption Right or other large holders of a substantial number of our Class A shares in the public markets following this offering, or the perception that such sales might occur, could have a material adverse effect on the price of our Class A shares or could impair our ability to obtain capital through an offering of equity securities. In addition, we have agreed to provide registration rights to New Fortress Energy Holdings. Alternatively, we may be required to undertake a future public or private offering of Class A shares and use the net proceeds from such offering to purchase an equal number of NFI LLC Units from New Fortress Energy Holdings. Please read “Shares Eligible for Future Sale.”</w:t>
      </w:r>
    </w:p>
    <w:p>
      <w:pPr>
        <w:spacing w:after="0" w:line="153" w:lineRule="exact"/>
        <w:rPr>
          <w:sz w:val="20"/>
          <w:szCs w:val="20"/>
          <w:color w:val="auto"/>
        </w:rPr>
      </w:pPr>
    </w:p>
    <w:p>
      <w:pPr>
        <w:ind w:left="360" w:right="200"/>
        <w:spacing w:after="0" w:line="235" w:lineRule="auto"/>
        <w:rPr>
          <w:sz w:val="20"/>
          <w:szCs w:val="20"/>
          <w:color w:val="auto"/>
        </w:rPr>
      </w:pPr>
      <w:r>
        <w:rPr>
          <w:rFonts w:ascii="Arial" w:cs="Arial" w:eastAsia="Arial" w:hAnsi="Arial"/>
          <w:sz w:val="18"/>
          <w:szCs w:val="18"/>
          <w:b w:val="1"/>
          <w:bCs w:val="1"/>
          <w:i w:val="1"/>
          <w:iCs w:val="1"/>
          <w:color w:val="auto"/>
        </w:rPr>
        <w:t>There is no existing market for our Class A shares and a trading market that will provide you with adequate liquidity may not develop. The price of our Class A shares may fluctuate significantly, and shareholders could lose all or part of their investment.</w:t>
      </w:r>
    </w:p>
    <w:p>
      <w:pPr>
        <w:spacing w:after="0" w:line="81" w:lineRule="exact"/>
        <w:rPr>
          <w:sz w:val="20"/>
          <w:szCs w:val="20"/>
          <w:color w:val="auto"/>
        </w:rPr>
      </w:pPr>
    </w:p>
    <w:p>
      <w:pPr>
        <w:ind w:left="540" w:right="500" w:hanging="179"/>
        <w:spacing w:after="0" w:line="291" w:lineRule="auto"/>
        <w:rPr>
          <w:sz w:val="20"/>
          <w:szCs w:val="20"/>
          <w:color w:val="auto"/>
        </w:rPr>
      </w:pPr>
      <w:r>
        <w:rPr>
          <w:rFonts w:ascii="Arial" w:cs="Arial" w:eastAsia="Arial" w:hAnsi="Arial"/>
          <w:sz w:val="16"/>
          <w:szCs w:val="16"/>
          <w:color w:val="auto"/>
        </w:rPr>
        <w:t>Prior to this offering, there has been no public market for the Class A shares. After this offering, there will be only publicly-traded Class A shares. We do not know the extent to which investor interest will lead to the development of a</w:t>
      </w:r>
    </w:p>
    <w:p>
      <w:pPr>
        <w:ind w:right="200"/>
        <w:spacing w:after="0" w:line="302" w:lineRule="auto"/>
        <w:rPr>
          <w:sz w:val="20"/>
          <w:szCs w:val="20"/>
          <w:color w:val="auto"/>
        </w:rPr>
      </w:pPr>
      <w:r>
        <w:rPr>
          <w:rFonts w:ascii="Arial" w:cs="Arial" w:eastAsia="Arial" w:hAnsi="Arial"/>
          <w:sz w:val="16"/>
          <w:szCs w:val="16"/>
          <w:color w:val="auto"/>
        </w:rPr>
        <w:t>trading market or how liquid that market might be. Class A shareholders may not be able to resell their Class A shares at or above the initial public offering price. Additionally, the lack of liquidity may result in wide bid-ask spreads, contribute to significant fluctuations in the market price of the Class A shares and limit the number of investors who are able to buy the Class A shares.</w:t>
      </w:r>
    </w:p>
    <w:p>
      <w:pPr>
        <w:spacing w:after="0" w:line="47"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initial public offering price for our Class A shares will be determined by negotiations between us and the representatives of the underwriters and may not be indicative of the market price of the Class A shares that will prevail in the trading market. The market price of our Class A shares may decline below the initial public offering price. The market price of our Class A shares may also be influenced by many factors, some of which are beyond our control, including:</w:t>
      </w:r>
    </w:p>
    <w:p>
      <w:pPr>
        <w:spacing w:after="0" w:line="63"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acquisitions;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7" w:lineRule="exact"/>
        <w:rPr>
          <w:rFonts w:ascii="Arial" w:cs="Arial" w:eastAsia="Arial" w:hAnsi="Arial"/>
          <w:sz w:val="18"/>
          <w:szCs w:val="18"/>
          <w:color w:val="auto"/>
        </w:rPr>
      </w:pPr>
    </w:p>
    <w:p>
      <w:pPr>
        <w:ind w:left="700" w:right="62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shares after this offering or changes in financial estimates by analysts;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sales of our Class A shares;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other factors described in these “Risk Factors.”</w:t>
      </w:r>
    </w:p>
    <w:p>
      <w:pPr>
        <w:spacing w:after="0" w:line="212" w:lineRule="exact"/>
        <w:rPr>
          <w:sz w:val="20"/>
          <w:szCs w:val="20"/>
          <w:color w:val="auto"/>
        </w:rPr>
      </w:pPr>
    </w:p>
    <w:p>
      <w:pPr>
        <w:ind w:left="360" w:right="220"/>
        <w:spacing w:after="0" w:line="246" w:lineRule="auto"/>
        <w:rPr>
          <w:sz w:val="20"/>
          <w:szCs w:val="20"/>
          <w:color w:val="auto"/>
        </w:rPr>
      </w:pPr>
      <w:r>
        <w:rPr>
          <w:rFonts w:ascii="Arial" w:cs="Arial" w:eastAsia="Arial" w:hAnsi="Arial"/>
          <w:sz w:val="18"/>
          <w:szCs w:val="18"/>
          <w:b w:val="1"/>
          <w:bCs w:val="1"/>
          <w:i w:val="1"/>
          <w:iCs w:val="1"/>
          <w:color w:val="auto"/>
        </w:rPr>
        <w:t>We expect to be a “controlled company” within the meaning of NYSE rules and, as a result, will qualify for and intend to rely on exemptions from certain corporate governance requirements.</w:t>
      </w:r>
    </w:p>
    <w:p>
      <w:pPr>
        <w:spacing w:after="0" w:line="7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Upon completion of this offering, New Fortress Energy Holdings will hold a majority of the voting power of our shares. As a result, we expect to be a controlled company within the meaning of NYSE corporate governance standards. Under NYSE rules, a company of which more than 50% of the voting power for the election of directors is held by an individual, a group or another company is a controlled company and may elect not to comply with certain NYSE corporate governance requirements, including the requirements that:</w:t>
      </w:r>
    </w:p>
    <w:p>
      <w:pPr>
        <w:spacing w:after="0" w:line="80" w:lineRule="exact"/>
        <w:rPr>
          <w:sz w:val="20"/>
          <w:szCs w:val="20"/>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 the NYSE;</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62" w:lineRule="exact"/>
        <w:rPr>
          <w:rFonts w:ascii="Arial" w:cs="Arial" w:eastAsia="Arial" w:hAnsi="Arial"/>
          <w:sz w:val="18"/>
          <w:szCs w:val="18"/>
          <w:color w:val="auto"/>
        </w:rPr>
      </w:pPr>
    </w:p>
    <w:p>
      <w:pPr>
        <w:ind w:left="700" w:right="72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62"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4" w:name="page45"/>
    <w:bookmarkEnd w:id="4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40"/>
        <w:spacing w:after="0" w:line="264" w:lineRule="auto"/>
        <w:rPr>
          <w:sz w:val="20"/>
          <w:szCs w:val="20"/>
          <w:color w:val="auto"/>
        </w:rPr>
      </w:pPr>
      <w:r>
        <w:rPr>
          <w:rFonts w:ascii="Arial" w:cs="Arial" w:eastAsia="Arial" w:hAnsi="Arial"/>
          <w:sz w:val="18"/>
          <w:szCs w:val="18"/>
          <w:color w:val="auto"/>
        </w:rPr>
        <w:t>compensation and nominating and governance committees. Following this offering, we intend to utilize some or all of these exemptions. Accordingly, you may not have the same protections afforded to shareholders of companies that are subject to all of the corporate governance requirements of the NYSE. See “Management.”</w:t>
      </w:r>
    </w:p>
    <w:p>
      <w:pPr>
        <w:spacing w:after="0" w:line="168" w:lineRule="exact"/>
        <w:rPr>
          <w:sz w:val="20"/>
          <w:szCs w:val="20"/>
          <w:color w:val="auto"/>
        </w:rPr>
      </w:pPr>
    </w:p>
    <w:p>
      <w:pPr>
        <w:ind w:left="367" w:right="100"/>
        <w:spacing w:after="0" w:line="235" w:lineRule="auto"/>
        <w:rPr>
          <w:sz w:val="20"/>
          <w:szCs w:val="20"/>
          <w:color w:val="auto"/>
        </w:rPr>
      </w:pPr>
      <w:r>
        <w:rPr>
          <w:rFonts w:ascii="Arial" w:cs="Arial" w:eastAsia="Arial" w:hAnsi="Arial"/>
          <w:sz w:val="18"/>
          <w:szCs w:val="18"/>
          <w:b w:val="1"/>
          <w:bCs w:val="1"/>
          <w:i w:val="1"/>
          <w:iCs w:val="1"/>
          <w:color w:val="auto"/>
        </w:rPr>
        <w:t>For as long as we are an emerging growth company, we will not be required to comply with certain reporting requirements that apply to other public companies, including those relating to auditing standards and disclosure about our executive compensation.</w:t>
      </w:r>
    </w:p>
    <w:p>
      <w:pPr>
        <w:spacing w:after="0" w:line="81" w:lineRule="exact"/>
        <w:rPr>
          <w:sz w:val="20"/>
          <w:szCs w:val="20"/>
          <w:color w:val="auto"/>
        </w:rPr>
      </w:pPr>
    </w:p>
    <w:p>
      <w:pPr>
        <w:ind w:left="7" w:right="20" w:firstLine="360"/>
        <w:spacing w:after="0" w:line="284" w:lineRule="auto"/>
        <w:rPr>
          <w:sz w:val="20"/>
          <w:szCs w:val="20"/>
          <w:color w:val="auto"/>
        </w:rPr>
      </w:pPr>
      <w:r>
        <w:rPr>
          <w:rFonts w:ascii="Arial" w:cs="Arial" w:eastAsia="Arial" w:hAnsi="Arial"/>
          <w:sz w:val="16"/>
          <w:szCs w:val="16"/>
          <w:color w:val="auto"/>
        </w:rPr>
        <w:t>The JOBS Act contains provisions that, among other things, relax certain reporting requirements for “emerging growth companies,” including certain requirements relating to auditing standards and compensation disclosure. We are classified as an emerging growth company.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w:t>
      </w:r>
    </w:p>
    <w:p>
      <w:pPr>
        <w:spacing w:after="0" w:line="1" w:lineRule="exact"/>
        <w:rPr>
          <w:sz w:val="20"/>
          <w:szCs w:val="20"/>
          <w:color w:val="auto"/>
        </w:rPr>
      </w:pPr>
    </w:p>
    <w:p>
      <w:pPr>
        <w:ind w:left="7" w:right="120" w:hanging="7"/>
        <w:spacing w:after="0" w:line="287" w:lineRule="auto"/>
        <w:tabs>
          <w:tab w:leader="none" w:pos="312" w:val="left"/>
        </w:tabs>
        <w:numPr>
          <w:ilvl w:val="0"/>
          <w:numId w:val="30"/>
        </w:numPr>
        <w:rPr>
          <w:rFonts w:ascii="Arial" w:cs="Arial" w:eastAsia="Arial" w:hAnsi="Arial"/>
          <w:sz w:val="16"/>
          <w:szCs w:val="16"/>
          <w:color w:val="auto"/>
        </w:rPr>
      </w:pPr>
      <w:r>
        <w:rPr>
          <w:rFonts w:ascii="Arial" w:cs="Arial" w:eastAsia="Arial" w:hAnsi="Arial"/>
          <w:sz w:val="16"/>
          <w:szCs w:val="16"/>
          <w:color w:val="auto"/>
        </w:rPr>
        <w:t>hold nonbinding advisory votes on executive compensation. We have also 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stockholders and potential investors may have difficulty in analyzing our operating results if comparing us to such companies. We will remain an emerging growth company for up to five years, although we will lose that status sooner if we have more than $1.07 billion of revenues in a fiscal year, have more than $700.0 million in market value of our Class A shareholders held by non-affiliates, or issue more than $1.0 billion of non-convertible debt over a three-year period.</w:t>
      </w:r>
    </w:p>
    <w:p>
      <w:pPr>
        <w:spacing w:after="0" w:line="62" w:lineRule="exact"/>
        <w:rPr>
          <w:sz w:val="20"/>
          <w:szCs w:val="20"/>
          <w:color w:val="auto"/>
        </w:rPr>
      </w:pPr>
    </w:p>
    <w:p>
      <w:pPr>
        <w:ind w:left="7" w:firstLine="360"/>
        <w:spacing w:after="0" w:line="259" w:lineRule="auto"/>
        <w:rPr>
          <w:sz w:val="20"/>
          <w:szCs w:val="20"/>
          <w:color w:val="auto"/>
        </w:rPr>
      </w:pPr>
      <w:r>
        <w:rPr>
          <w:rFonts w:ascii="Arial" w:cs="Arial" w:eastAsia="Arial" w:hAnsi="Arial"/>
          <w:sz w:val="18"/>
          <w:szCs w:val="18"/>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shares to be less attractive as a result, there may be a less active trading market for our Class A shares and our Class A share price may be more volatile.</w:t>
      </w:r>
    </w:p>
    <w:p>
      <w:pPr>
        <w:spacing w:after="0" w:line="173" w:lineRule="exact"/>
        <w:rPr>
          <w:sz w:val="20"/>
          <w:szCs w:val="20"/>
          <w:color w:val="auto"/>
        </w:rPr>
      </w:pPr>
    </w:p>
    <w:p>
      <w:pPr>
        <w:ind w:left="367" w:right="320"/>
        <w:spacing w:after="0" w:line="276" w:lineRule="auto"/>
        <w:rPr>
          <w:sz w:val="20"/>
          <w:szCs w:val="20"/>
          <w:color w:val="auto"/>
        </w:rPr>
      </w:pPr>
      <w:r>
        <w:rPr>
          <w:rFonts w:ascii="Arial" w:cs="Arial" w:eastAsia="Arial" w:hAnsi="Arial"/>
          <w:sz w:val="16"/>
          <w:szCs w:val="16"/>
          <w:b w:val="1"/>
          <w:bCs w:val="1"/>
          <w:i w:val="1"/>
          <w:iCs w:val="1"/>
          <w:color w:val="auto"/>
        </w:rPr>
        <w:t>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Class A shares.</w:t>
      </w:r>
    </w:p>
    <w:p>
      <w:pPr>
        <w:spacing w:after="0" w:line="54" w:lineRule="exact"/>
        <w:rPr>
          <w:sz w:val="20"/>
          <w:szCs w:val="20"/>
          <w:color w:val="auto"/>
        </w:rPr>
      </w:pPr>
    </w:p>
    <w:p>
      <w:pPr>
        <w:ind w:left="7" w:right="20" w:firstLine="360"/>
        <w:spacing w:after="0" w:line="290" w:lineRule="auto"/>
        <w:rPr>
          <w:sz w:val="20"/>
          <w:szCs w:val="20"/>
          <w:color w:val="auto"/>
        </w:rPr>
      </w:pPr>
      <w:r>
        <w:rPr>
          <w:rFonts w:ascii="Arial" w:cs="Arial" w:eastAsia="Arial" w:hAnsi="Arial"/>
          <w:sz w:val="16"/>
          <w:szCs w:val="16"/>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our efforts to develop and maintain our internal controls will be successful,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shares.</w:t>
      </w:r>
    </w:p>
    <w:p>
      <w:pPr>
        <w:spacing w:after="0" w:line="166" w:lineRule="exact"/>
        <w:rPr>
          <w:sz w:val="20"/>
          <w:szCs w:val="20"/>
          <w:color w:val="auto"/>
        </w:rPr>
      </w:pPr>
    </w:p>
    <w:p>
      <w:pPr>
        <w:ind w:left="367"/>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117" w:lineRule="exact"/>
        <w:rPr>
          <w:sz w:val="20"/>
          <w:szCs w:val="20"/>
          <w:color w:val="auto"/>
        </w:rPr>
      </w:pPr>
    </w:p>
    <w:p>
      <w:pPr>
        <w:ind w:left="7" w:right="20" w:firstLine="360"/>
        <w:spacing w:after="0" w:line="257" w:lineRule="auto"/>
        <w:rPr>
          <w:sz w:val="20"/>
          <w:szCs w:val="20"/>
          <w:color w:val="auto"/>
        </w:rPr>
      </w:pPr>
      <w:r>
        <w:rPr>
          <w:rFonts w:ascii="Arial" w:cs="Arial" w:eastAsia="Arial" w:hAnsi="Arial"/>
          <w:sz w:val="18"/>
          <w:szCs w:val="18"/>
          <w:color w:val="auto"/>
        </w:rPr>
        <w:t>We have no history operating as a publicly traded company. As a newly public company with shares listed on the NYSE, we will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accounting and other expenses that we did not incur prior to this offering and make some</w:t>
      </w:r>
    </w:p>
    <w:p>
      <w:pPr>
        <w:spacing w:after="0" w:line="188"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activities more time-consuming and costly. For example, as a result of becoming a public company, we intend to add independent directors and create additional board committees. In addition, we may incur additional costs associated with our public company reporting requirements and maintaining directors’ and officers’ liability insurance. Because of the limitations in coverage for directors, it may be more difficult for us to attract and retain qualified persons to serve on our board of directors or as executive officers. We estimate that we will incur approximately $ million of incremental costs per year associated with being a publicly traded company; however, it is possible that our actual incremental costs of being a publicly traded company will be higher than we currently estimate.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197" w:lineRule="exact"/>
        <w:rPr>
          <w:sz w:val="20"/>
          <w:szCs w:val="20"/>
          <w:color w:val="auto"/>
        </w:rPr>
      </w:pPr>
    </w:p>
    <w:p>
      <w:pPr>
        <w:ind w:left="360" w:right="220"/>
        <w:spacing w:after="0" w:line="24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Class A shares or if our operating results do not meet their expectations, our share price could decline.</w:t>
      </w:r>
    </w:p>
    <w:p>
      <w:pPr>
        <w:spacing w:after="0" w:line="74" w:lineRule="exact"/>
        <w:rPr>
          <w:sz w:val="20"/>
          <w:szCs w:val="20"/>
          <w:color w:val="auto"/>
        </w:rPr>
      </w:pPr>
    </w:p>
    <w:p>
      <w:pPr>
        <w:jc w:val="both"/>
        <w:ind w:right="260" w:firstLine="360"/>
        <w:spacing w:after="0" w:line="312" w:lineRule="auto"/>
        <w:rPr>
          <w:sz w:val="20"/>
          <w:szCs w:val="20"/>
          <w:color w:val="auto"/>
        </w:rPr>
      </w:pPr>
      <w:r>
        <w:rPr>
          <w:rFonts w:ascii="Arial" w:cs="Arial" w:eastAsia="Arial" w:hAnsi="Arial"/>
          <w:sz w:val="16"/>
          <w:szCs w:val="16"/>
          <w:color w:val="auto"/>
        </w:rPr>
        <w:t>The trading market for our Class A shares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47" w:lineRule="exact"/>
        <w:rPr>
          <w:sz w:val="20"/>
          <w:szCs w:val="20"/>
          <w:color w:val="auto"/>
        </w:rPr>
      </w:pPr>
    </w:p>
    <w:p>
      <w:pPr>
        <w:ind w:left="360" w:right="40"/>
        <w:spacing w:after="0" w:line="248" w:lineRule="auto"/>
        <w:rPr>
          <w:sz w:val="20"/>
          <w:szCs w:val="20"/>
          <w:color w:val="auto"/>
        </w:rPr>
      </w:pPr>
      <w:r>
        <w:rPr>
          <w:rFonts w:ascii="Arial" w:cs="Arial" w:eastAsia="Arial" w:hAnsi="Arial"/>
          <w:sz w:val="18"/>
          <w:szCs w:val="18"/>
          <w:b w:val="1"/>
          <w:bCs w:val="1"/>
          <w:i w:val="1"/>
          <w:iCs w:val="1"/>
          <w:color w:val="auto"/>
        </w:rPr>
        <w:t>NFE is a holding company. NFE’s sole material asset after completion of this offering will be its equity interest in NFI, and accordingly, NFE will be dependent upon dividends from NFI to pay taxes and cover its corporate and other overhead expenses.</w:t>
      </w:r>
    </w:p>
    <w:p>
      <w:pPr>
        <w:spacing w:after="0" w:line="74"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NFE is a holding company and will have no material assets other than its equity interest in NFI. Please read “Summary— Organizational Structure.” NFE has no independent means of generating revenue. To the extent NFI has available cash and subject to the terms of NFI’s credit agreements and any other debt instruments, we intend to cause NFI to make (i) generally pro rata dividends to its unitholders, including NFE, in an amount sufficient to allow NFE to pay its taxes and (ii) non pro rata dividends to NFE in an amount at least sufficient to reimburse NFE for its corporate and other overhead expenses. To the extent that NFE needs funds and NFI or its subsidiaries are restricted from making such dividends under applicable law or regulation or under the terms of their financing arrangements or are otherwise unable to provide such funds, NFE’s liquidity and financial condition could be adversely affected.</w:t>
      </w:r>
    </w:p>
    <w:p>
      <w:pPr>
        <w:spacing w:after="0" w:line="192" w:lineRule="exact"/>
        <w:rPr>
          <w:sz w:val="20"/>
          <w:szCs w:val="20"/>
          <w:color w:val="auto"/>
        </w:rPr>
      </w:pPr>
    </w:p>
    <w:p>
      <w:pPr>
        <w:ind w:left="360" w:right="680"/>
        <w:spacing w:after="0" w:line="262" w:lineRule="auto"/>
        <w:rPr>
          <w:sz w:val="20"/>
          <w:szCs w:val="20"/>
          <w:color w:val="auto"/>
        </w:rPr>
      </w:pPr>
      <w:r>
        <w:rPr>
          <w:rFonts w:ascii="Arial" w:cs="Arial" w:eastAsia="Arial" w:hAnsi="Arial"/>
          <w:sz w:val="18"/>
          <w:szCs w:val="18"/>
          <w:b w:val="1"/>
          <w:bCs w:val="1"/>
          <w:i w:val="1"/>
          <w:iCs w:val="1"/>
          <w:color w:val="auto"/>
        </w:rPr>
        <w:t>If NFI were to become a publicly traded partnership taxable as a corporation for U.S. federal income tax purposes, significant tax inefficiencies might result.</w:t>
      </w:r>
    </w:p>
    <w:p>
      <w:pPr>
        <w:spacing w:after="0" w:line="6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intend to operate such that NFI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NFI LLC Units pursuant to the Redemption Right (or our Call Right) or other transfers of NFI LLC Units could cause NFI to be treated as a publicly traded partnership. Applicable U.S. Treasury regulations provide for certain safe harbors from treatment as a publicly traded partnership, and we intend to operate such that redemptions or other transfers of NFI LLC Units qualify for one or more such safe harbors. For example, we intend to limit the number of unitholders of NFI, and the NFI LLC Agreement, which will be entered into in connection with the closing of this offering, will provide for limitations on the ability of unitholders of NFI to transfer their NFI LLC Units and will provide us, as managing member of NFI, with the right to impose restrictions (in addition to those already in place) on the ability of unitholders of NFI to redeem their NFI LLC Units pursuant to the Redemption Right to the extent we believe it is necessary to ensure that NFI will continue to be treated as a partnership for U.S. federal income tax purposes.</w:t>
      </w:r>
    </w:p>
    <w:p>
      <w:pPr>
        <w:spacing w:after="0" w:line="65"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If NFI were to become a publicly traded partnership, significant tax inefficiencies might result for us and for NFI, including as a result of our inability to file a consolidated U.S. federal income tax return with NFI.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6" w:name="page47"/>
    <w:bookmarkEnd w:id="46"/>
    <w:tbl>
      <w:tblPr>
        <w:tblLayout w:type="fixed"/>
        <w:tblInd w:w="7" w:type="dxa"/>
        <w:tblCellMar>
          <w:top w:w="0" w:type="dxa"/>
          <w:left w:w="0" w:type="dxa"/>
          <w:bottom w:w="0" w:type="dxa"/>
          <w:right w:w="0" w:type="dxa"/>
        </w:tblCellMar>
      </w:tblPr>
      <w:tr>
        <w:trPr>
          <w:trHeight w:val="161"/>
        </w:trPr>
        <w:tc>
          <w:tcPr>
            <w:tcW w:w="616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26"/>
        </w:trPr>
        <w:tc>
          <w:tcPr>
            <w:tcW w:w="1540" w:type="dxa"/>
            <w:vAlign w:val="bottom"/>
            <w:tcBorders>
              <w:top w:val="single" w:sz="8" w:color="0000EE"/>
            </w:tcBorders>
          </w:tcPr>
          <w:p>
            <w:pPr>
              <w:spacing w:after="0"/>
              <w:rPr>
                <w:sz w:val="24"/>
                <w:szCs w:val="24"/>
                <w:color w:val="auto"/>
              </w:rPr>
            </w:pPr>
          </w:p>
        </w:tc>
        <w:tc>
          <w:tcPr>
            <w:tcW w:w="4620" w:type="dxa"/>
            <w:vAlign w:val="bottom"/>
          </w:tcPr>
          <w:p>
            <w:pPr>
              <w:ind w:left="2400"/>
              <w:spacing w:after="0"/>
              <w:rPr>
                <w:sz w:val="20"/>
                <w:szCs w:val="20"/>
                <w:color w:val="auto"/>
              </w:rPr>
            </w:pPr>
            <w:r>
              <w:rPr>
                <w:rFonts w:ascii="Arial" w:cs="Arial" w:eastAsia="Arial" w:hAnsi="Arial"/>
                <w:sz w:val="18"/>
                <w:szCs w:val="18"/>
                <w:b w:val="1"/>
                <w:bCs w:val="1"/>
                <w:color w:val="auto"/>
              </w:rPr>
              <w:t>USE OF PROCEEDS</w:t>
            </w:r>
          </w:p>
        </w:tc>
        <w:tc>
          <w:tcPr>
            <w:tcW w:w="16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10"/>
        </w:trPr>
        <w:tc>
          <w:tcPr>
            <w:tcW w:w="6160" w:type="dxa"/>
            <w:vAlign w:val="bottom"/>
            <w:gridSpan w:val="2"/>
          </w:tcPr>
          <w:p>
            <w:pPr>
              <w:ind w:left="360"/>
              <w:spacing w:after="0"/>
              <w:rPr>
                <w:sz w:val="20"/>
                <w:szCs w:val="20"/>
                <w:color w:val="auto"/>
              </w:rPr>
            </w:pPr>
            <w:r>
              <w:rPr>
                <w:rFonts w:ascii="Arial" w:cs="Arial" w:eastAsia="Arial" w:hAnsi="Arial"/>
                <w:sz w:val="18"/>
                <w:szCs w:val="18"/>
                <w:color w:val="auto"/>
                <w:w w:val="92"/>
              </w:rPr>
              <w:t>We expect the estimated net proceeds from this offering to be approximately $</w:t>
            </w:r>
          </w:p>
        </w:tc>
        <w:tc>
          <w:tcPr>
            <w:tcW w:w="3360" w:type="dxa"/>
            <w:vAlign w:val="bottom"/>
            <w:gridSpan w:val="2"/>
          </w:tcPr>
          <w:p>
            <w:pPr>
              <w:ind w:left="140"/>
              <w:spacing w:after="0"/>
              <w:rPr>
                <w:sz w:val="20"/>
                <w:szCs w:val="20"/>
                <w:color w:val="auto"/>
              </w:rPr>
            </w:pPr>
            <w:r>
              <w:rPr>
                <w:rFonts w:ascii="Arial" w:cs="Arial" w:eastAsia="Arial" w:hAnsi="Arial"/>
                <w:sz w:val="18"/>
                <w:szCs w:val="18"/>
                <w:color w:val="auto"/>
                <w:w w:val="95"/>
              </w:rPr>
              <w:t>million, before offering expenses and after</w:t>
            </w:r>
          </w:p>
        </w:tc>
      </w:tr>
      <w:tr>
        <w:trPr>
          <w:trHeight w:val="230"/>
        </w:trPr>
        <w:tc>
          <w:tcPr>
            <w:tcW w:w="7780" w:type="dxa"/>
            <w:vAlign w:val="bottom"/>
            <w:gridSpan w:val="3"/>
          </w:tcPr>
          <w:p>
            <w:pPr>
              <w:spacing w:after="0"/>
              <w:rPr>
                <w:sz w:val="20"/>
                <w:szCs w:val="20"/>
                <w:color w:val="auto"/>
              </w:rPr>
            </w:pPr>
            <w:r>
              <w:rPr>
                <w:rFonts w:ascii="Arial" w:cs="Arial" w:eastAsia="Arial" w:hAnsi="Arial"/>
                <w:sz w:val="18"/>
                <w:szCs w:val="18"/>
                <w:color w:val="auto"/>
                <w:w w:val="92"/>
              </w:rPr>
              <w:t>deducting underwriting discounts and commissions, based on an assumed initial public offering price of $</w:t>
            </w:r>
          </w:p>
        </w:tc>
        <w:tc>
          <w:tcPr>
            <w:tcW w:w="1740" w:type="dxa"/>
            <w:vAlign w:val="bottom"/>
          </w:tcPr>
          <w:p>
            <w:pPr>
              <w:ind w:left="140"/>
              <w:spacing w:after="0"/>
              <w:rPr>
                <w:sz w:val="20"/>
                <w:szCs w:val="20"/>
                <w:color w:val="auto"/>
              </w:rPr>
            </w:pPr>
            <w:r>
              <w:rPr>
                <w:rFonts w:ascii="Arial" w:cs="Arial" w:eastAsia="Arial" w:hAnsi="Arial"/>
                <w:sz w:val="18"/>
                <w:szCs w:val="18"/>
                <w:color w:val="auto"/>
                <w:w w:val="88"/>
              </w:rPr>
              <w:t>per Class A share (the</w:t>
            </w:r>
          </w:p>
        </w:tc>
      </w:tr>
    </w:tbl>
    <w:p>
      <w:pPr>
        <w:jc w:val="both"/>
        <w:ind w:left="7" w:right="20"/>
        <w:spacing w:after="0" w:line="290" w:lineRule="auto"/>
        <w:rPr>
          <w:sz w:val="20"/>
          <w:szCs w:val="20"/>
          <w:color w:val="auto"/>
        </w:rPr>
      </w:pPr>
      <w:r>
        <w:rPr>
          <w:rFonts w:ascii="Arial" w:cs="Arial" w:eastAsia="Arial" w:hAnsi="Arial"/>
          <w:sz w:val="17"/>
          <w:szCs w:val="17"/>
          <w:color w:val="auto"/>
        </w:rPr>
        <w:t>mid-point of the price range set forth on the cover of this prospectus). If the underwriters exercise their option to purchase additional Class A shares in full, we expect the estimated net proceeds to be approximately $ million. See “Underwriting.”</w:t>
      </w:r>
    </w:p>
    <w:p>
      <w:pPr>
        <w:spacing w:after="0" w:line="53" w:lineRule="exact"/>
        <w:rPr>
          <w:sz w:val="20"/>
          <w:szCs w:val="20"/>
          <w:color w:val="auto"/>
        </w:rPr>
      </w:pPr>
    </w:p>
    <w:p>
      <w:pPr>
        <w:ind w:left="7" w:right="60" w:firstLine="360"/>
        <w:spacing w:after="0" w:line="286" w:lineRule="auto"/>
        <w:rPr>
          <w:sz w:val="20"/>
          <w:szCs w:val="20"/>
          <w:color w:val="auto"/>
        </w:rPr>
      </w:pPr>
      <w:r>
        <w:rPr>
          <w:rFonts w:ascii="Arial" w:cs="Arial" w:eastAsia="Arial" w:hAnsi="Arial"/>
          <w:sz w:val="16"/>
          <w:szCs w:val="16"/>
          <w:color w:val="auto"/>
        </w:rPr>
        <w:t>We will contribute the net proceeds of this offering to NFI in exchange for NFI’s issuance to us of NFI LLC Units. NFI intends to use the net proceeds from this offering to complete the construction of the Old Harbour Terminal, the Pennsylvania Facility and the CHP Plant, as well as for working capital and general company purposes, including the development of future projects. If the underwriters exercise their option to purchase additional Class A shares in full, the additional net proceeds will be approximately</w:t>
      </w:r>
    </w:p>
    <w:p>
      <w:pPr>
        <w:spacing w:after="0" w:line="2" w:lineRule="exact"/>
        <w:rPr>
          <w:sz w:val="20"/>
          <w:szCs w:val="20"/>
          <w:color w:val="auto"/>
        </w:rPr>
      </w:pPr>
    </w:p>
    <w:p>
      <w:pPr>
        <w:ind w:left="407" w:hanging="407"/>
        <w:spacing w:after="0"/>
        <w:tabs>
          <w:tab w:leader="none" w:pos="407" w:val="left"/>
        </w:tabs>
        <w:numPr>
          <w:ilvl w:val="0"/>
          <w:numId w:val="31"/>
        </w:numPr>
        <w:rPr>
          <w:rFonts w:ascii="Arial" w:cs="Arial" w:eastAsia="Arial" w:hAnsi="Arial"/>
          <w:sz w:val="16"/>
          <w:szCs w:val="16"/>
          <w:color w:val="auto"/>
        </w:rPr>
      </w:pPr>
      <w:r>
        <w:rPr>
          <w:rFonts w:ascii="Arial" w:cs="Arial" w:eastAsia="Arial" w:hAnsi="Arial"/>
          <w:sz w:val="16"/>
          <w:szCs w:val="16"/>
          <w:color w:val="auto"/>
        </w:rPr>
        <w:t>million (based on an assumed initial offering price of $    per Class A share, the mid-point of the price range set forth on the</w:t>
      </w:r>
    </w:p>
    <w:p>
      <w:pPr>
        <w:spacing w:after="0" w:line="32" w:lineRule="exact"/>
        <w:rPr>
          <w:rFonts w:ascii="Arial" w:cs="Arial" w:eastAsia="Arial" w:hAnsi="Arial"/>
          <w:sz w:val="16"/>
          <w:szCs w:val="16"/>
          <w:color w:val="auto"/>
        </w:rPr>
      </w:pPr>
    </w:p>
    <w:p>
      <w:pPr>
        <w:ind w:left="7"/>
        <w:spacing w:after="0"/>
        <w:rPr>
          <w:rFonts w:ascii="Arial" w:cs="Arial" w:eastAsia="Arial" w:hAnsi="Arial"/>
          <w:sz w:val="16"/>
          <w:szCs w:val="16"/>
          <w:color w:val="auto"/>
        </w:rPr>
      </w:pPr>
      <w:r>
        <w:rPr>
          <w:rFonts w:ascii="Arial" w:cs="Arial" w:eastAsia="Arial" w:hAnsi="Arial"/>
          <w:sz w:val="16"/>
          <w:szCs w:val="16"/>
          <w:color w:val="auto"/>
        </w:rPr>
        <w:t>cover page of this prospectus). The net proceeds from any exercise of such option will be contributed to NFI in exchange for NFI’s</w:t>
      </w:r>
    </w:p>
    <w:p>
      <w:pPr>
        <w:spacing w:after="0" w:line="234" w:lineRule="exact"/>
        <w:rPr>
          <w:sz w:val="20"/>
          <w:szCs w:val="20"/>
          <w:color w:val="auto"/>
        </w:rPr>
      </w:pPr>
    </w:p>
    <w:p>
      <w:pPr>
        <w:ind w:left="7"/>
        <w:spacing w:after="0" w:line="291" w:lineRule="auto"/>
        <w:rPr>
          <w:sz w:val="20"/>
          <w:szCs w:val="20"/>
          <w:color w:val="auto"/>
        </w:rPr>
      </w:pPr>
      <w:r>
        <w:rPr>
          <w:rFonts w:ascii="Arial" w:cs="Arial" w:eastAsia="Arial" w:hAnsi="Arial"/>
          <w:sz w:val="16"/>
          <w:szCs w:val="16"/>
          <w:color w:val="auto"/>
        </w:rPr>
        <w:t>issuance to us of NFI LLC Units. After the application of the net proceeds from this offering, we will own a % membership interest in NFI (or a % membership interest if the underwriters’ option to purchase additional Class A shares is exercised in full).</w:t>
      </w:r>
    </w:p>
    <w:p>
      <w:pPr>
        <w:ind w:left="7" w:right="200"/>
        <w:spacing w:after="0" w:line="261" w:lineRule="auto"/>
        <w:rPr>
          <w:sz w:val="20"/>
          <w:szCs w:val="20"/>
          <w:color w:val="auto"/>
        </w:rPr>
      </w:pPr>
      <w:r>
        <w:rPr>
          <w:rFonts w:ascii="Arial" w:cs="Arial" w:eastAsia="Arial" w:hAnsi="Arial"/>
          <w:sz w:val="18"/>
          <w:szCs w:val="18"/>
          <w:color w:val="auto"/>
        </w:rPr>
        <w:t>Please read “Security Ownership of Certain Beneficial Owners and Management.” For a description of the Old Harbour Terminal, the Pennsylvania Facility and the CHP Plant, see “Business.”</w:t>
      </w:r>
    </w:p>
    <w:p>
      <w:pPr>
        <w:spacing w:after="0" w:line="76" w:lineRule="exact"/>
        <w:rPr>
          <w:sz w:val="20"/>
          <w:szCs w:val="20"/>
          <w:color w:val="auto"/>
        </w:rPr>
      </w:pPr>
    </w:p>
    <w:p>
      <w:pPr>
        <w:ind w:left="367"/>
        <w:spacing w:after="0"/>
        <w:rPr>
          <w:sz w:val="20"/>
          <w:szCs w:val="20"/>
          <w:color w:val="auto"/>
        </w:rPr>
      </w:pPr>
      <w:r>
        <w:rPr>
          <w:rFonts w:ascii="Arial" w:cs="Arial" w:eastAsia="Arial" w:hAnsi="Arial"/>
          <w:sz w:val="16"/>
          <w:szCs w:val="16"/>
          <w:color w:val="auto"/>
        </w:rPr>
        <w:t>Pending any use, the net proceeds of this offering may be invested in short-term, interest-bearing investment-grade securities.</w:t>
      </w:r>
    </w:p>
    <w:p>
      <w:pPr>
        <w:spacing w:after="0" w:line="140" w:lineRule="exact"/>
        <w:rPr>
          <w:sz w:val="20"/>
          <w:szCs w:val="20"/>
          <w:color w:val="auto"/>
        </w:rPr>
      </w:pPr>
    </w:p>
    <w:p>
      <w:pPr>
        <w:ind w:left="7" w:right="380" w:firstLine="360"/>
        <w:spacing w:after="0" w:line="288" w:lineRule="auto"/>
        <w:rPr>
          <w:sz w:val="20"/>
          <w:szCs w:val="20"/>
          <w:color w:val="auto"/>
        </w:rPr>
      </w:pPr>
      <w:r>
        <w:rPr>
          <w:rFonts w:ascii="Arial" w:cs="Arial" w:eastAsia="Arial" w:hAnsi="Arial"/>
          <w:sz w:val="16"/>
          <w:szCs w:val="16"/>
          <w:color w:val="auto"/>
        </w:rPr>
        <w:t>Assuming no exercise of the underwriters’ option to purchase additional Class A shares, a $1.00 increase (decrease) in the assumed initial public offering price of $ per Class A share would increase (decrease) the net proceeds from this offering received by us, after deducting the underwriting discounts and commissions and estimated offering expenses, by approximately</w:t>
      </w:r>
    </w:p>
    <w:p>
      <w:pPr>
        <w:ind w:left="7" w:right="280" w:hanging="7"/>
        <w:spacing w:after="0" w:line="261" w:lineRule="auto"/>
        <w:tabs>
          <w:tab w:leader="none" w:pos="4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million, assuming the number of Class A shares offered by us, as set forth on the cover page of this prospectus, remains the same.</w:t>
      </w:r>
    </w:p>
    <w:p>
      <w:pPr>
        <w:spacing w:after="0" w:line="18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6" w:right="1159" w:bottom="1440" w:gutter="0" w:footer="0" w:header="0"/>
        </w:sectPr>
      </w:pPr>
    </w:p>
    <w:bookmarkStart w:id="47" w:name="page48"/>
    <w:bookmarkEnd w:id="47"/>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4007"/>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2017:</w:t>
      </w:r>
    </w:p>
    <w:p>
      <w:pPr>
        <w:spacing w:after="0" w:line="117" w:lineRule="exact"/>
        <w:rPr>
          <w:sz w:val="20"/>
          <w:szCs w:val="20"/>
          <w:color w:val="auto"/>
        </w:rPr>
      </w:pPr>
    </w:p>
    <w:p>
      <w:pPr>
        <w:ind w:left="707" w:hanging="356"/>
        <w:spacing w:after="0"/>
        <w:tabs>
          <w:tab w:leader="none" w:pos="7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an adjusted basis to give effect to (i) the Transactions, (ii) the sale by us of Class A shares at the initial public offering</w:t>
      </w:r>
    </w:p>
    <w:p>
      <w:pPr>
        <w:spacing w:after="0" w:line="46" w:lineRule="exact"/>
        <w:rPr>
          <w:rFonts w:ascii="Arial" w:cs="Arial" w:eastAsia="Arial" w:hAnsi="Arial"/>
          <w:sz w:val="16"/>
          <w:szCs w:val="16"/>
          <w:color w:val="auto"/>
        </w:rPr>
      </w:pPr>
    </w:p>
    <w:p>
      <w:pPr>
        <w:ind w:left="707" w:right="320"/>
        <w:spacing w:after="0" w:line="254" w:lineRule="auto"/>
        <w:rPr>
          <w:rFonts w:ascii="Arial" w:cs="Arial" w:eastAsia="Arial" w:hAnsi="Arial"/>
          <w:sz w:val="16"/>
          <w:szCs w:val="16"/>
          <w:color w:val="auto"/>
        </w:rPr>
      </w:pPr>
      <w:r>
        <w:rPr>
          <w:rFonts w:ascii="Arial" w:cs="Arial" w:eastAsia="Arial" w:hAnsi="Arial"/>
          <w:sz w:val="18"/>
          <w:szCs w:val="18"/>
          <w:color w:val="auto"/>
        </w:rPr>
        <w:t>price of $ per Class A share (the mid-point of the price range set forth on the cover page of this prospectus), after deducting assumed underwriting discounts and commissions and estimated offering expenses, (iii) the issuance of a $240,000 Term Loan Facility on August 16, 2018 and (iv) and repayment in full of the outstanding indebtedness of the Miami Loan and the MoBay Loan.</w:t>
      </w:r>
    </w:p>
    <w:p>
      <w:pPr>
        <w:spacing w:after="0" w:line="82" w:lineRule="exact"/>
        <w:rPr>
          <w:sz w:val="20"/>
          <w:szCs w:val="20"/>
          <w:color w:val="auto"/>
        </w:rPr>
      </w:pPr>
    </w:p>
    <w:p>
      <w:pPr>
        <w:ind w:left="7" w:firstLine="360"/>
        <w:spacing w:after="0" w:line="259" w:lineRule="auto"/>
        <w:rPr>
          <w:sz w:val="20"/>
          <w:szCs w:val="20"/>
          <w:color w:val="auto"/>
        </w:rPr>
      </w:pPr>
      <w:r>
        <w:rPr>
          <w:rFonts w:ascii="Arial" w:cs="Arial" w:eastAsia="Arial" w:hAnsi="Arial"/>
          <w:sz w:val="18"/>
          <w:szCs w:val="18"/>
          <w:color w:val="auto"/>
        </w:rPr>
        <w:t>The as adjusted information set forth in the table below is illustrative only and will be adjusted based on the actual initial public offering price and other terms of this offering determined at pricing. You should read this table in conjunction with “Management’s Discussion and Analysis of Financial Condition and Results of Operations” and our consolidated financial statements and related notes contained elsewhere in this prospectus.</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w w:val="90"/>
              </w:rPr>
              <w:t>As of December 31, 2017</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520"/>
              <w:spacing w:after="0" w:line="156" w:lineRule="exact"/>
              <w:rPr>
                <w:sz w:val="20"/>
                <w:szCs w:val="20"/>
                <w:color w:val="auto"/>
              </w:rPr>
            </w:pPr>
            <w:r>
              <w:rPr>
                <w:rFonts w:ascii="Arial" w:cs="Arial" w:eastAsia="Arial" w:hAnsi="Arial"/>
                <w:sz w:val="14"/>
                <w:szCs w:val="14"/>
                <w:b w:val="1"/>
                <w:bCs w:val="1"/>
                <w:color w:val="auto"/>
              </w:rPr>
              <w:t>As</w:t>
            </w:r>
          </w:p>
        </w:tc>
      </w:tr>
      <w:tr>
        <w:trPr>
          <w:trHeight w:val="189"/>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8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0"/>
              <w:spacing w:after="0" w:line="189" w:lineRule="exact"/>
              <w:rPr>
                <w:sz w:val="20"/>
                <w:szCs w:val="20"/>
                <w:color w:val="auto"/>
              </w:rPr>
            </w:pPr>
            <w:r>
              <w:rPr>
                <w:rFonts w:ascii="Arial" w:cs="Arial" w:eastAsia="Arial" w:hAnsi="Arial"/>
                <w:sz w:val="13"/>
                <w:szCs w:val="13"/>
                <w:b w:val="1"/>
                <w:bCs w:val="1"/>
                <w:color w:val="auto"/>
              </w:rPr>
              <w:t>Adjusted</w:t>
            </w:r>
            <w:r>
              <w:rPr>
                <w:rFonts w:ascii="Arial" w:cs="Arial" w:eastAsia="Arial" w:hAnsi="Arial"/>
                <w:sz w:val="21"/>
                <w:szCs w:val="21"/>
                <w:b w:val="1"/>
                <w:bCs w:val="1"/>
                <w:color w:val="auto"/>
                <w:vertAlign w:val="superscript"/>
              </w:rPr>
              <w:t>(1)</w:t>
            </w:r>
          </w:p>
        </w:tc>
        <w:tc>
          <w:tcPr>
            <w:tcW w:w="1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40" w:type="dxa"/>
            <w:vAlign w:val="bottom"/>
            <w:gridSpan w:val="6"/>
          </w:tcPr>
          <w:p>
            <w:pPr>
              <w:ind w:left="80"/>
              <w:spacing w:after="0"/>
              <w:rPr>
                <w:sz w:val="20"/>
                <w:szCs w:val="20"/>
                <w:color w:val="auto"/>
              </w:rPr>
            </w:pPr>
            <w:r>
              <w:rPr>
                <w:rFonts w:ascii="Arial" w:cs="Arial" w:eastAsia="Arial" w:hAnsi="Arial"/>
                <w:sz w:val="14"/>
                <w:szCs w:val="14"/>
                <w:b w:val="1"/>
                <w:bCs w:val="1"/>
                <w:color w:val="auto"/>
              </w:rPr>
              <w:t>(Dollars in thousands)</w:t>
            </w:r>
          </w:p>
        </w:tc>
      </w:tr>
      <w:tr>
        <w:trPr>
          <w:trHeight w:val="277"/>
        </w:trPr>
        <w:tc>
          <w:tcPr>
            <w:tcW w:w="20" w:type="dxa"/>
            <w:vAlign w:val="bottom"/>
          </w:tcPr>
          <w:p>
            <w:pPr>
              <w:spacing w:after="0"/>
              <w:rPr>
                <w:sz w:val="24"/>
                <w:szCs w:val="24"/>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20" w:type="dxa"/>
            <w:vAlign w:val="bottom"/>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84,708</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1620" w:type="dxa"/>
            <w:vAlign w:val="bottom"/>
            <w:tcBorders>
              <w:top w:val="single" w:sz="8" w:color="CCEEFF"/>
            </w:tcBorders>
            <w:gridSpan w:val="2"/>
          </w:tcPr>
          <w:p>
            <w:pPr>
              <w:spacing w:after="0" w:line="243" w:lineRule="exact"/>
              <w:rPr>
                <w:sz w:val="20"/>
                <w:szCs w:val="20"/>
                <w:color w:val="auto"/>
              </w:rPr>
            </w:pPr>
            <w:r>
              <w:rPr>
                <w:rFonts w:ascii="Arial" w:cs="Arial" w:eastAsia="Arial" w:hAnsi="Arial"/>
                <w:sz w:val="17"/>
                <w:szCs w:val="17"/>
                <w:color w:val="auto"/>
                <w:w w:val="91"/>
              </w:rPr>
              <w:t>Total long-term debt</w:t>
            </w:r>
            <w:r>
              <w:rPr>
                <w:rFonts w:ascii="Arial" w:cs="Arial" w:eastAsia="Arial" w:hAnsi="Arial"/>
                <w:sz w:val="28"/>
                <w:szCs w:val="28"/>
                <w:color w:val="auto"/>
                <w:w w:val="91"/>
                <w:vertAlign w:val="superscript"/>
              </w:rPr>
              <w:t>(2)</w:t>
            </w:r>
          </w:p>
        </w:tc>
        <w:tc>
          <w:tcPr>
            <w:tcW w:w="3260" w:type="dxa"/>
            <w:vAlign w:val="bottom"/>
            <w:tcBorders>
              <w:top w:val="single" w:sz="8" w:color="CCEEFF"/>
            </w:tcBorders>
          </w:tcPr>
          <w:p>
            <w:pPr>
              <w:spacing w:after="0"/>
              <w:rPr>
                <w:sz w:val="21"/>
                <w:szCs w:val="21"/>
                <w:color w:val="auto"/>
              </w:rPr>
            </w:pPr>
          </w:p>
        </w:tc>
        <w:tc>
          <w:tcPr>
            <w:tcW w:w="2060" w:type="dxa"/>
            <w:vAlign w:val="bottom"/>
            <w:tcBorders>
              <w:top w:val="single" w:sz="8" w:color="CCEEFF"/>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75,253</w:t>
            </w: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Members’ equity/Shareholders’ equity</w:t>
            </w:r>
          </w:p>
        </w:tc>
        <w:tc>
          <w:tcPr>
            <w:tcW w:w="20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Members’ equity</w:t>
            </w:r>
          </w:p>
        </w:tc>
        <w:tc>
          <w:tcPr>
            <w:tcW w:w="3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278,910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Class A shareholders – Public</w:t>
            </w:r>
          </w:p>
        </w:tc>
        <w:tc>
          <w:tcPr>
            <w:tcW w:w="20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880" w:type="dxa"/>
            <w:vAlign w:val="bottom"/>
            <w:gridSpan w:val="3"/>
          </w:tcPr>
          <w:p>
            <w:pPr>
              <w:ind w:left="160"/>
              <w:spacing w:after="0"/>
              <w:rPr>
                <w:sz w:val="20"/>
                <w:szCs w:val="20"/>
                <w:color w:val="auto"/>
              </w:rPr>
            </w:pPr>
            <w:r>
              <w:rPr>
                <w:rFonts w:ascii="Arial" w:cs="Arial" w:eastAsia="Arial" w:hAnsi="Arial"/>
                <w:sz w:val="18"/>
                <w:szCs w:val="18"/>
                <w:color w:val="auto"/>
              </w:rPr>
              <w:t>Class B shareholders – New Fortress Energy Holdings</w:t>
            </w:r>
          </w:p>
        </w:tc>
        <w:tc>
          <w:tcPr>
            <w:tcW w:w="20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8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members’ equity/shareholders’ equity</w:t>
            </w:r>
          </w:p>
        </w:tc>
        <w:tc>
          <w:tcPr>
            <w:tcW w:w="2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278,910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4900" w:type="dxa"/>
            <w:vAlign w:val="bottom"/>
            <w:gridSpan w:val="4"/>
          </w:tcPr>
          <w:p>
            <w:pPr>
              <w:spacing w:after="0"/>
              <w:rPr>
                <w:sz w:val="20"/>
                <w:szCs w:val="20"/>
                <w:color w:val="auto"/>
              </w:rPr>
            </w:pPr>
            <w:r>
              <w:rPr>
                <w:rFonts w:ascii="Arial" w:cs="Arial" w:eastAsia="Arial" w:hAnsi="Arial"/>
                <w:sz w:val="18"/>
                <w:szCs w:val="18"/>
                <w:color w:val="auto"/>
              </w:rPr>
              <w:t>Non-controlling interests</w:t>
            </w:r>
          </w:p>
        </w:tc>
        <w:tc>
          <w:tcPr>
            <w:tcW w:w="20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26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354,163</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460" w:type="dxa"/>
            <w:vAlign w:val="bottom"/>
            <w:gridSpan w:val="2"/>
          </w:tcPr>
          <w:p>
            <w:pPr>
              <w:spacing w:after="0"/>
              <w:rPr>
                <w:sz w:val="15"/>
                <w:szCs w:val="15"/>
                <w:color w:val="auto"/>
              </w:rPr>
            </w:pPr>
          </w:p>
        </w:tc>
        <w:tc>
          <w:tcPr>
            <w:tcW w:w="4660" w:type="dxa"/>
            <w:vAlign w:val="bottom"/>
            <w:gridSpan w:val="8"/>
          </w:tcPr>
          <w:p>
            <w:pPr>
              <w:spacing w:after="0"/>
              <w:rPr>
                <w:sz w:val="15"/>
                <w:szCs w:val="15"/>
                <w:color w:val="auto"/>
              </w:rPr>
            </w:pPr>
          </w:p>
        </w:tc>
      </w:tr>
      <w:tr>
        <w:trPr>
          <w:trHeight w:val="258"/>
        </w:trPr>
        <w:tc>
          <w:tcPr>
            <w:tcW w:w="4900" w:type="dxa"/>
            <w:vAlign w:val="bottom"/>
            <w:gridSpan w:val="4"/>
          </w:tcPr>
          <w:p>
            <w:pPr>
              <w:spacing w:after="0"/>
              <w:rPr>
                <w:sz w:val="20"/>
                <w:szCs w:val="20"/>
                <w:color w:val="auto"/>
              </w:rPr>
            </w:pPr>
            <w:r>
              <w:rPr>
                <w:rFonts w:ascii="Arial" w:cs="Arial" w:eastAsia="Arial" w:hAnsi="Arial"/>
                <w:sz w:val="14"/>
                <w:szCs w:val="14"/>
                <w:color w:val="auto"/>
                <w:w w:val="97"/>
              </w:rPr>
              <w:t>(1)   Each $1.00 increase (decrease) in the assumed initial public offering price of</w:t>
            </w:r>
          </w:p>
        </w:tc>
        <w:tc>
          <w:tcPr>
            <w:tcW w:w="4660" w:type="dxa"/>
            <w:vAlign w:val="bottom"/>
            <w:gridSpan w:val="8"/>
          </w:tcPr>
          <w:p>
            <w:pPr>
              <w:ind w:left="140"/>
              <w:spacing w:after="0"/>
              <w:rPr>
                <w:sz w:val="20"/>
                <w:szCs w:val="20"/>
                <w:color w:val="auto"/>
              </w:rPr>
            </w:pPr>
            <w:r>
              <w:rPr>
                <w:rFonts w:ascii="Arial" w:cs="Arial" w:eastAsia="Arial" w:hAnsi="Arial"/>
                <w:sz w:val="14"/>
                <w:szCs w:val="14"/>
                <w:color w:val="auto"/>
              </w:rPr>
              <w:t>per share, which is the mid-point of the price range set forth on the cover</w:t>
            </w:r>
          </w:p>
        </w:tc>
      </w:tr>
      <w:tr>
        <w:trPr>
          <w:trHeight w:val="162"/>
        </w:trPr>
        <w:tc>
          <w:tcPr>
            <w:tcW w:w="20" w:type="dxa"/>
            <w:vAlign w:val="bottom"/>
          </w:tcPr>
          <w:p>
            <w:pPr>
              <w:spacing w:after="0"/>
              <w:rPr>
                <w:sz w:val="14"/>
                <w:szCs w:val="14"/>
                <w:color w:val="auto"/>
              </w:rPr>
            </w:pPr>
          </w:p>
        </w:tc>
        <w:tc>
          <w:tcPr>
            <w:tcW w:w="8520" w:type="dxa"/>
            <w:vAlign w:val="bottom"/>
            <w:gridSpan w:val="9"/>
          </w:tcPr>
          <w:p>
            <w:pPr>
              <w:ind w:left="320"/>
              <w:spacing w:after="0"/>
              <w:rPr>
                <w:sz w:val="20"/>
                <w:szCs w:val="20"/>
                <w:color w:val="auto"/>
              </w:rPr>
            </w:pPr>
            <w:r>
              <w:rPr>
                <w:rFonts w:ascii="Arial" w:cs="Arial" w:eastAsia="Arial" w:hAnsi="Arial"/>
                <w:sz w:val="14"/>
                <w:szCs w:val="14"/>
                <w:color w:val="auto"/>
                <w:w w:val="93"/>
              </w:rPr>
              <w:t>page of this prospectus, would increase (decrease) our as adjusted cash, total shareholders’ equity and total capitalization by approximately $</w:t>
            </w:r>
          </w:p>
        </w:tc>
        <w:tc>
          <w:tcPr>
            <w:tcW w:w="1020" w:type="dxa"/>
            <w:vAlign w:val="bottom"/>
            <w:gridSpan w:val="2"/>
          </w:tcPr>
          <w:p>
            <w:pPr>
              <w:ind w:left="140"/>
              <w:spacing w:after="0"/>
              <w:rPr>
                <w:sz w:val="20"/>
                <w:szCs w:val="20"/>
                <w:color w:val="auto"/>
              </w:rPr>
            </w:pPr>
            <w:r>
              <w:rPr>
                <w:rFonts w:ascii="Arial" w:cs="Arial" w:eastAsia="Arial" w:hAnsi="Arial"/>
                <w:sz w:val="14"/>
                <w:szCs w:val="14"/>
                <w:color w:val="auto"/>
                <w:w w:val="90"/>
              </w:rPr>
              <w:t>, assuming that</w:t>
            </w:r>
          </w:p>
        </w:tc>
      </w:tr>
      <w:tr>
        <w:trPr>
          <w:trHeight w:val="162"/>
        </w:trPr>
        <w:tc>
          <w:tcPr>
            <w:tcW w:w="20" w:type="dxa"/>
            <w:vAlign w:val="bottom"/>
          </w:tcPr>
          <w:p>
            <w:pPr>
              <w:spacing w:after="0"/>
              <w:rPr>
                <w:sz w:val="14"/>
                <w:szCs w:val="14"/>
                <w:color w:val="auto"/>
              </w:rPr>
            </w:pPr>
          </w:p>
        </w:tc>
        <w:tc>
          <w:tcPr>
            <w:tcW w:w="9540" w:type="dxa"/>
            <w:vAlign w:val="bottom"/>
            <w:gridSpan w:val="11"/>
          </w:tcPr>
          <w:p>
            <w:pPr>
              <w:ind w:left="320"/>
              <w:spacing w:after="0"/>
              <w:rPr>
                <w:sz w:val="20"/>
                <w:szCs w:val="20"/>
                <w:color w:val="auto"/>
              </w:rPr>
            </w:pPr>
            <w:r>
              <w:rPr>
                <w:rFonts w:ascii="Arial" w:cs="Arial" w:eastAsia="Arial" w:hAnsi="Arial"/>
                <w:sz w:val="14"/>
                <w:szCs w:val="14"/>
                <w:color w:val="auto"/>
                <w:w w:val="95"/>
              </w:rPr>
              <w:t>the number of Class A shares offered by us, as set forth on the cover page of this prospectus, remains the same after deducting underwriting discounts and</w:t>
            </w:r>
          </w:p>
        </w:tc>
      </w:tr>
      <w:tr>
        <w:trPr>
          <w:trHeight w:val="162"/>
        </w:trPr>
        <w:tc>
          <w:tcPr>
            <w:tcW w:w="20" w:type="dxa"/>
            <w:vAlign w:val="bottom"/>
          </w:tcPr>
          <w:p>
            <w:pPr>
              <w:spacing w:after="0"/>
              <w:rPr>
                <w:sz w:val="14"/>
                <w:szCs w:val="14"/>
                <w:color w:val="auto"/>
              </w:rPr>
            </w:pPr>
          </w:p>
        </w:tc>
        <w:tc>
          <w:tcPr>
            <w:tcW w:w="9540" w:type="dxa"/>
            <w:vAlign w:val="bottom"/>
            <w:gridSpan w:val="11"/>
          </w:tcPr>
          <w:p>
            <w:pPr>
              <w:ind w:left="320"/>
              <w:spacing w:after="0"/>
              <w:rPr>
                <w:sz w:val="20"/>
                <w:szCs w:val="20"/>
                <w:color w:val="auto"/>
              </w:rPr>
            </w:pPr>
            <w:r>
              <w:rPr>
                <w:rFonts w:ascii="Arial" w:cs="Arial" w:eastAsia="Arial" w:hAnsi="Arial"/>
                <w:sz w:val="14"/>
                <w:szCs w:val="14"/>
                <w:color w:val="auto"/>
                <w:w w:val="94"/>
              </w:rPr>
              <w:t>commissions and estimated offering expenses payable by us. Each increase (decrease) of 1,000 shares in the number of Class A shares offered by us would</w:t>
            </w:r>
          </w:p>
        </w:tc>
      </w:tr>
      <w:tr>
        <w:trPr>
          <w:trHeight w:val="162"/>
        </w:trPr>
        <w:tc>
          <w:tcPr>
            <w:tcW w:w="20" w:type="dxa"/>
            <w:vAlign w:val="bottom"/>
          </w:tcPr>
          <w:p>
            <w:pPr>
              <w:spacing w:after="0"/>
              <w:rPr>
                <w:sz w:val="14"/>
                <w:szCs w:val="14"/>
                <w:color w:val="auto"/>
              </w:rPr>
            </w:pPr>
          </w:p>
        </w:tc>
        <w:tc>
          <w:tcPr>
            <w:tcW w:w="7500" w:type="dxa"/>
            <w:vAlign w:val="bottom"/>
            <w:gridSpan w:val="5"/>
          </w:tcPr>
          <w:p>
            <w:pPr>
              <w:ind w:left="320"/>
              <w:spacing w:after="0"/>
              <w:rPr>
                <w:sz w:val="20"/>
                <w:szCs w:val="20"/>
                <w:color w:val="auto"/>
              </w:rPr>
            </w:pPr>
            <w:r>
              <w:rPr>
                <w:rFonts w:ascii="Arial" w:cs="Arial" w:eastAsia="Arial" w:hAnsi="Arial"/>
                <w:sz w:val="14"/>
                <w:szCs w:val="14"/>
                <w:color w:val="auto"/>
                <w:w w:val="92"/>
              </w:rPr>
              <w:t>increase (decrease) the amount of our as adjusted cash, total shareholders’ equity and total capitalization by approximately $</w:t>
            </w:r>
          </w:p>
        </w:tc>
        <w:tc>
          <w:tcPr>
            <w:tcW w:w="2040" w:type="dxa"/>
            <w:vAlign w:val="bottom"/>
            <w:gridSpan w:val="6"/>
          </w:tcPr>
          <w:p>
            <w:pPr>
              <w:ind w:left="200"/>
              <w:spacing w:after="0"/>
              <w:rPr>
                <w:sz w:val="20"/>
                <w:szCs w:val="20"/>
                <w:color w:val="auto"/>
              </w:rPr>
            </w:pPr>
            <w:r>
              <w:rPr>
                <w:rFonts w:ascii="Arial" w:cs="Arial" w:eastAsia="Arial" w:hAnsi="Arial"/>
                <w:sz w:val="14"/>
                <w:szCs w:val="14"/>
                <w:color w:val="auto"/>
              </w:rPr>
              <w:t>, assuming an initial public</w:t>
            </w:r>
          </w:p>
        </w:tc>
      </w:tr>
      <w:tr>
        <w:trPr>
          <w:trHeight w:val="174"/>
        </w:trPr>
        <w:tc>
          <w:tcPr>
            <w:tcW w:w="20" w:type="dxa"/>
            <w:vAlign w:val="bottom"/>
          </w:tcPr>
          <w:p>
            <w:pPr>
              <w:spacing w:after="0"/>
              <w:rPr>
                <w:sz w:val="15"/>
                <w:szCs w:val="15"/>
                <w:color w:val="auto"/>
              </w:rPr>
            </w:pPr>
          </w:p>
        </w:tc>
        <w:tc>
          <w:tcPr>
            <w:tcW w:w="1620" w:type="dxa"/>
            <w:vAlign w:val="bottom"/>
            <w:gridSpan w:val="2"/>
          </w:tcPr>
          <w:p>
            <w:pPr>
              <w:ind w:left="320"/>
              <w:spacing w:after="0"/>
              <w:rPr>
                <w:sz w:val="20"/>
                <w:szCs w:val="20"/>
                <w:color w:val="auto"/>
              </w:rPr>
            </w:pPr>
            <w:r>
              <w:rPr>
                <w:rFonts w:ascii="Arial" w:cs="Arial" w:eastAsia="Arial" w:hAnsi="Arial"/>
                <w:sz w:val="14"/>
                <w:szCs w:val="14"/>
                <w:color w:val="auto"/>
              </w:rPr>
              <w:t>offering price of $</w:t>
            </w:r>
          </w:p>
        </w:tc>
        <w:tc>
          <w:tcPr>
            <w:tcW w:w="7920" w:type="dxa"/>
            <w:vAlign w:val="bottom"/>
            <w:gridSpan w:val="9"/>
          </w:tcPr>
          <w:p>
            <w:pPr>
              <w:spacing w:after="0"/>
              <w:rPr>
                <w:sz w:val="20"/>
                <w:szCs w:val="20"/>
                <w:color w:val="auto"/>
              </w:rPr>
            </w:pPr>
            <w:r>
              <w:rPr>
                <w:rFonts w:ascii="Arial" w:cs="Arial" w:eastAsia="Arial" w:hAnsi="Arial"/>
                <w:sz w:val="14"/>
                <w:szCs w:val="14"/>
                <w:color w:val="auto"/>
                <w:w w:val="93"/>
              </w:rPr>
              <w:t>per share, which is the mid-point of the price range set forth on the cover page of this prospectus, after deducting underwriting discounts</w:t>
            </w:r>
          </w:p>
        </w:tc>
      </w:tr>
    </w:tbl>
    <w:p>
      <w:pPr>
        <w:ind w:left="347"/>
        <w:spacing w:after="0"/>
        <w:rPr>
          <w:sz w:val="20"/>
          <w:szCs w:val="20"/>
          <w:color w:val="auto"/>
        </w:rPr>
      </w:pPr>
      <w:r>
        <w:rPr>
          <w:rFonts w:ascii="Arial" w:cs="Arial" w:eastAsia="Arial" w:hAnsi="Arial"/>
          <w:sz w:val="14"/>
          <w:szCs w:val="14"/>
          <w:color w:val="auto"/>
        </w:rPr>
        <w:t>and commissions and estimated offering expenses payable by us.</w:t>
      </w:r>
    </w:p>
    <w:p>
      <w:pPr>
        <w:spacing w:after="0" w:line="97" w:lineRule="exact"/>
        <w:rPr>
          <w:sz w:val="20"/>
          <w:szCs w:val="20"/>
          <w:color w:val="auto"/>
        </w:rPr>
      </w:pPr>
    </w:p>
    <w:p>
      <w:pPr>
        <w:ind w:left="347" w:hanging="347"/>
        <w:spacing w:after="0"/>
        <w:tabs>
          <w:tab w:leader="none" w:pos="347"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presented are net of unamortized debt issuance costs and includes the current portion of the long-term debt outstanding.</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8" w:name="page49"/>
    <w:bookmarkEnd w:id="48"/>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Dilution is the amount by which the offering price per Class A share in this offering will exceed the pro forma net tangible</w:t>
      </w:r>
    </w:p>
    <w:p>
      <w:pPr>
        <w:spacing w:after="0" w:line="35" w:lineRule="exact"/>
        <w:rPr>
          <w:sz w:val="20"/>
          <w:szCs w:val="20"/>
          <w:color w:val="auto"/>
        </w:rPr>
      </w:pPr>
    </w:p>
    <w:p>
      <w:pPr>
        <w:jc w:val="both"/>
        <w:ind w:left="7" w:right="20"/>
        <w:spacing w:after="0" w:line="265" w:lineRule="auto"/>
        <w:rPr>
          <w:sz w:val="20"/>
          <w:szCs w:val="20"/>
          <w:color w:val="auto"/>
        </w:rPr>
      </w:pPr>
      <w:r>
        <w:rPr>
          <w:rFonts w:ascii="Arial" w:cs="Arial" w:eastAsia="Arial" w:hAnsi="Arial"/>
          <w:sz w:val="17"/>
          <w:szCs w:val="17"/>
          <w:color w:val="auto"/>
        </w:rPr>
        <w:t>book value per share after the offering. On a pro forma basis as of , 2018, after giving effect to the offering of Class A shares and the Transactions, our net tangible book value was approximately $ million, or $ per Class A share. Purchasers of Class A</w:t>
      </w:r>
    </w:p>
    <w:p>
      <w:pPr>
        <w:ind w:left="7" w:right="80"/>
        <w:spacing w:after="0" w:line="261" w:lineRule="auto"/>
        <w:rPr>
          <w:sz w:val="20"/>
          <w:szCs w:val="20"/>
          <w:color w:val="auto"/>
        </w:rPr>
      </w:pPr>
      <w:r>
        <w:rPr>
          <w:rFonts w:ascii="Arial" w:cs="Arial" w:eastAsia="Arial" w:hAnsi="Arial"/>
          <w:sz w:val="18"/>
          <w:szCs w:val="18"/>
          <w:color w:val="auto"/>
        </w:rPr>
        <w:t>shares in this offering will experience substantial and immediate dilution in pro forma net tangible book value per Class A share for financial accounting purposes, as illustrated in the following table.</w:t>
      </w:r>
    </w:p>
    <w:tbl>
      <w:tblPr>
        <w:tblLayout w:type="fixed"/>
        <w:tblInd w:w="7" w:type="dxa"/>
        <w:tblCellMar>
          <w:top w:w="0" w:type="dxa"/>
          <w:left w:w="0" w:type="dxa"/>
          <w:bottom w:w="0" w:type="dxa"/>
          <w:right w:w="0" w:type="dxa"/>
        </w:tblCellMar>
      </w:tblPr>
      <w:tr>
        <w:trPr>
          <w:trHeight w:val="279"/>
        </w:trPr>
        <w:tc>
          <w:tcPr>
            <w:tcW w:w="20" w:type="dxa"/>
            <w:vAlign w:val="bottom"/>
          </w:tcPr>
          <w:p>
            <w:pPr>
              <w:spacing w:after="0"/>
              <w:rPr>
                <w:sz w:val="24"/>
                <w:szCs w:val="24"/>
                <w:color w:val="auto"/>
              </w:rPr>
            </w:pPr>
          </w:p>
        </w:tc>
        <w:tc>
          <w:tcPr>
            <w:tcW w:w="6940" w:type="dxa"/>
            <w:vAlign w:val="bottom"/>
            <w:gridSpan w:val="2"/>
            <w:shd w:val="clear" w:color="auto" w:fill="CCEEFF"/>
          </w:tcPr>
          <w:p>
            <w:pPr>
              <w:spacing w:after="0" w:line="278" w:lineRule="exact"/>
              <w:rPr>
                <w:sz w:val="20"/>
                <w:szCs w:val="20"/>
                <w:color w:val="auto"/>
              </w:rPr>
            </w:pPr>
            <w:r>
              <w:rPr>
                <w:rFonts w:ascii="Arial" w:cs="Arial" w:eastAsia="Arial" w:hAnsi="Arial"/>
                <w:sz w:val="18"/>
                <w:szCs w:val="18"/>
                <w:color w:val="auto"/>
              </w:rPr>
              <w:t>Assumed initial public offering price per Class A share</w:t>
            </w:r>
            <w:r>
              <w:rPr>
                <w:rFonts w:ascii="Arial" w:cs="Arial" w:eastAsia="Arial" w:hAnsi="Arial"/>
                <w:sz w:val="29"/>
                <w:szCs w:val="29"/>
                <w:color w:val="auto"/>
                <w:vertAlign w:val="superscript"/>
              </w:rPr>
              <w:t>(1)</w:t>
            </w:r>
          </w:p>
        </w:tc>
        <w:tc>
          <w:tcPr>
            <w:tcW w:w="250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gridSpan w:val="2"/>
          </w:tcPr>
          <w:p>
            <w:pPr>
              <w:spacing w:after="0" w:line="243" w:lineRule="exact"/>
              <w:rPr>
                <w:sz w:val="20"/>
                <w:szCs w:val="20"/>
                <w:color w:val="auto"/>
              </w:rPr>
            </w:pPr>
            <w:r>
              <w:rPr>
                <w:rFonts w:ascii="Arial" w:cs="Arial" w:eastAsia="Arial" w:hAnsi="Arial"/>
                <w:sz w:val="17"/>
                <w:szCs w:val="17"/>
                <w:color w:val="auto"/>
              </w:rPr>
              <w:t>Pro forma net tangible book value per Class A share before the offering</w:t>
            </w:r>
            <w:r>
              <w:rPr>
                <w:rFonts w:ascii="Arial" w:cs="Arial" w:eastAsia="Arial" w:hAnsi="Arial"/>
                <w:sz w:val="28"/>
                <w:szCs w:val="28"/>
                <w:color w:val="auto"/>
                <w:vertAlign w:val="superscript"/>
              </w:rPr>
              <w:t>(2)</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Decrease in net tangible book value per share attributable to purchasers in the offering</w:t>
            </w:r>
          </w:p>
        </w:tc>
        <w:tc>
          <w:tcPr>
            <w:tcW w:w="11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60" w:type="dxa"/>
            <w:vAlign w:val="bottom"/>
            <w:gridSpan w:val="3"/>
          </w:tcPr>
          <w:p>
            <w:pPr>
              <w:spacing w:after="0" w:line="230" w:lineRule="exact"/>
              <w:rPr>
                <w:sz w:val="20"/>
                <w:szCs w:val="20"/>
                <w:color w:val="auto"/>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Pro forma net tangible book value per share after the offering</w:t>
            </w:r>
            <w:r>
              <w:rPr>
                <w:rFonts w:ascii="Arial" w:cs="Arial" w:eastAsia="Arial" w:hAnsi="Arial"/>
                <w:sz w:val="26"/>
                <w:szCs w:val="26"/>
                <w:color w:val="auto"/>
                <w:vertAlign w:val="superscript"/>
              </w:rPr>
              <w:t>(3)</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line="205" w:lineRule="exact"/>
              <w:rPr>
                <w:sz w:val="20"/>
                <w:szCs w:val="20"/>
                <w:color w:val="auto"/>
              </w:rPr>
            </w:pPr>
            <w:r>
              <w:rPr>
                <w:rFonts w:ascii="Arial" w:cs="Arial" w:eastAsia="Arial" w:hAnsi="Arial"/>
                <w:sz w:val="15"/>
                <w:szCs w:val="15"/>
                <w:color w:val="auto"/>
              </w:rPr>
              <w:t>Immediate dilution in net tangible book value per Class A share to purchasers in the offering</w:t>
            </w:r>
            <w:r>
              <w:rPr>
                <w:rFonts w:ascii="Arial" w:cs="Arial" w:eastAsia="Arial" w:hAnsi="Arial"/>
                <w:sz w:val="23"/>
                <w:szCs w:val="23"/>
                <w:color w:val="auto"/>
                <w:vertAlign w:val="superscript"/>
              </w:rPr>
              <w:t>(4)</w:t>
            </w:r>
          </w:p>
        </w:tc>
        <w:tc>
          <w:tcPr>
            <w:tcW w:w="2500" w:type="dxa"/>
            <w:vAlign w:val="bottom"/>
            <w:gridSpan w:val="3"/>
            <w:vMerge w:val="restart"/>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2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rPr>
              <w:t>(5)</w:t>
            </w:r>
          </w:p>
        </w:tc>
        <w:tc>
          <w:tcPr>
            <w:tcW w:w="5520" w:type="dxa"/>
            <w:vAlign w:val="bottom"/>
            <w:shd w:val="clear" w:color="auto" w:fill="CCEEFF"/>
          </w:tcPr>
          <w:p>
            <w:pPr>
              <w:spacing w:after="0"/>
              <w:rPr>
                <w:sz w:val="19"/>
                <w:szCs w:val="19"/>
                <w:color w:val="auto"/>
              </w:rPr>
            </w:pPr>
          </w:p>
        </w:tc>
        <w:tc>
          <w:tcPr>
            <w:tcW w:w="250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tcPr>
          <w:p>
            <w:pPr>
              <w:spacing w:after="0"/>
              <w:rPr>
                <w:sz w:val="15"/>
                <w:szCs w:val="15"/>
                <w:color w:val="auto"/>
              </w:rPr>
            </w:pPr>
          </w:p>
        </w:tc>
        <w:tc>
          <w:tcPr>
            <w:tcW w:w="552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mid-point of the price range set forth on the cover of this prospectus.</w:t>
      </w:r>
    </w:p>
    <w:p>
      <w:pPr>
        <w:spacing w:after="0" w:line="109" w:lineRule="exact"/>
        <w:rPr>
          <w:rFonts w:ascii="Arial" w:cs="Arial" w:eastAsia="Arial" w:hAnsi="Arial"/>
          <w:sz w:val="14"/>
          <w:szCs w:val="14"/>
          <w:color w:val="auto"/>
        </w:rPr>
      </w:pPr>
    </w:p>
    <w:p>
      <w:pPr>
        <w:ind w:left="347" w:right="120" w:hanging="347"/>
        <w:spacing w:after="0" w:line="273" w:lineRule="auto"/>
        <w:tabs>
          <w:tab w:leader="none" w:pos="3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Determined by dividing the number of Class B shares ( Class B shares) to be issued to New Fortress Energy Holdings and its affiliates for their contribution of assets and liabilities to us into the pro forma net tangible book value of the contributed assets and liabilities.</w:t>
      </w:r>
    </w:p>
    <w:p>
      <w:pPr>
        <w:spacing w:after="0" w:line="66" w:lineRule="exact"/>
        <w:rPr>
          <w:sz w:val="20"/>
          <w:szCs w:val="20"/>
          <w:color w:val="auto"/>
        </w:rPr>
      </w:pPr>
    </w:p>
    <w:p>
      <w:pPr>
        <w:ind w:left="347" w:right="40" w:hanging="339"/>
        <w:spacing w:after="0" w:line="273" w:lineRule="auto"/>
        <w:tabs>
          <w:tab w:leader="none" w:pos="326" w:val="left"/>
        </w:tabs>
        <w:rPr>
          <w:sz w:val="20"/>
          <w:szCs w:val="20"/>
          <w:color w:val="auto"/>
        </w:rPr>
      </w:pPr>
      <w:r>
        <w:rPr>
          <w:rFonts w:ascii="Arial" w:cs="Arial" w:eastAsia="Arial" w:hAnsi="Arial"/>
          <w:sz w:val="14"/>
          <w:szCs w:val="14"/>
          <w:color w:val="auto"/>
        </w:rPr>
        <w:t>(3)</w:t>
        <w:tab/>
        <w:t>Determined by dividing the number of shares to be outstanding after this offering ( Class A shares and Class B shares) and the application of the related net proceeds into our pro forma net tangible book value, after giving effect to the application of the net proceeds of this offering.</w:t>
      </w:r>
    </w:p>
    <w:p>
      <w:pPr>
        <w:spacing w:after="0" w:line="66" w:lineRule="exact"/>
        <w:rPr>
          <w:sz w:val="20"/>
          <w:szCs w:val="20"/>
          <w:color w:val="auto"/>
        </w:rPr>
      </w:pPr>
    </w:p>
    <w:p>
      <w:pPr>
        <w:ind w:left="347" w:right="300" w:hanging="347"/>
        <w:spacing w:after="0" w:line="273" w:lineRule="auto"/>
        <w:tabs>
          <w:tab w:leader="none" w:pos="3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If the initial public offering price were to increase or decrease by $1.00 per Class A share, then dilution in net tangible book value per Class A share would equal $ and $ , respectively.</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36"/>
        </w:numPr>
        <w:rPr>
          <w:rFonts w:ascii="Arial" w:cs="Arial" w:eastAsia="Arial" w:hAnsi="Arial"/>
          <w:sz w:val="13"/>
          <w:szCs w:val="13"/>
          <w:color w:val="auto"/>
        </w:rPr>
      </w:pPr>
      <w:r>
        <w:rPr>
          <w:rFonts w:ascii="Arial" w:cs="Arial" w:eastAsia="Arial" w:hAnsi="Arial"/>
          <w:sz w:val="13"/>
          <w:szCs w:val="13"/>
          <w:color w:val="auto"/>
        </w:rPr>
        <w:t>Assumes the underwriters’ option to purchase additional Class A shares from us is not exercised. If the underwriters’ option to purchase additional Class A</w:t>
      </w:r>
    </w:p>
    <w:p>
      <w:pPr>
        <w:spacing w:after="0" w:line="25" w:lineRule="exact"/>
        <w:rPr>
          <w:sz w:val="20"/>
          <w:szCs w:val="20"/>
          <w:color w:val="auto"/>
        </w:rPr>
      </w:pPr>
    </w:p>
    <w:p>
      <w:pPr>
        <w:ind w:left="347"/>
        <w:spacing w:after="0"/>
        <w:tabs>
          <w:tab w:leader="none" w:pos="8846" w:val="left"/>
        </w:tabs>
        <w:rPr>
          <w:sz w:val="20"/>
          <w:szCs w:val="20"/>
          <w:color w:val="auto"/>
        </w:rPr>
      </w:pPr>
      <w:r>
        <w:rPr>
          <w:rFonts w:ascii="Arial" w:cs="Arial" w:eastAsia="Arial" w:hAnsi="Arial"/>
          <w:sz w:val="13"/>
          <w:szCs w:val="13"/>
          <w:color w:val="auto"/>
        </w:rPr>
        <w:t>shares from us is exercised in full, the immediate dilution in net tangible book value per Class A share to purchasers in this offering will remain $</w:t>
      </w:r>
      <w:r>
        <w:rPr>
          <w:sz w:val="20"/>
          <w:szCs w:val="20"/>
          <w:color w:val="auto"/>
        </w:rPr>
        <w:tab/>
      </w:r>
      <w:r>
        <w:rPr>
          <w:rFonts w:ascii="Arial" w:cs="Arial" w:eastAsia="Arial" w:hAnsi="Arial"/>
          <w:sz w:val="14"/>
          <w:szCs w:val="14"/>
          <w:color w:val="auto"/>
        </w:rPr>
        <w:t>.</w:t>
      </w:r>
    </w:p>
    <w:p>
      <w:pPr>
        <w:spacing w:after="0" w:line="88" w:lineRule="exact"/>
        <w:rPr>
          <w:sz w:val="20"/>
          <w:szCs w:val="20"/>
          <w:color w:val="auto"/>
        </w:rPr>
      </w:pPr>
    </w:p>
    <w:p>
      <w:pPr>
        <w:ind w:left="7" w:right="180" w:firstLine="360"/>
        <w:spacing w:after="0" w:line="312" w:lineRule="auto"/>
        <w:rPr>
          <w:sz w:val="20"/>
          <w:szCs w:val="20"/>
          <w:color w:val="auto"/>
        </w:rPr>
      </w:pPr>
      <w:r>
        <w:rPr>
          <w:rFonts w:ascii="Arial" w:cs="Arial" w:eastAsia="Arial" w:hAnsi="Arial"/>
          <w:sz w:val="16"/>
          <w:szCs w:val="16"/>
          <w:color w:val="auto"/>
        </w:rPr>
        <w:t>The following table sets forth the number of Class A and Class B shares that we will issue and the total consideration contributed to us by New Fortress Energy Holdings and by the purchasers of Class A shares calculated before deducting estimated underwriting discounts and commissions and estimated offering expenses payable by us (in millions, except per share amounts):</w:t>
      </w:r>
    </w:p>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78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Average Price</w:t>
            </w:r>
          </w:p>
        </w:tc>
      </w:tr>
      <w:tr>
        <w:trPr>
          <w:trHeight w:val="185"/>
        </w:trPr>
        <w:tc>
          <w:tcPr>
            <w:tcW w:w="14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5"/>
              </w:rPr>
              <w:t>Acquired</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Consideration</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Per Share</w:t>
            </w:r>
          </w:p>
        </w:tc>
      </w:tr>
      <w:tr>
        <w:trPr>
          <w:trHeight w:val="183"/>
        </w:trPr>
        <w:tc>
          <w:tcPr>
            <w:tcW w:w="14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w w:val="97"/>
              </w:rPr>
              <w:t>($ in millions)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5440" w:type="dxa"/>
            <w:vAlign w:val="bottom"/>
            <w:gridSpan w:val="5"/>
            <w:shd w:val="clear" w:color="auto" w:fill="CCEEFF"/>
          </w:tcPr>
          <w:p>
            <w:pPr>
              <w:spacing w:after="0" w:line="243" w:lineRule="exact"/>
              <w:rPr>
                <w:sz w:val="20"/>
                <w:szCs w:val="20"/>
                <w:color w:val="auto"/>
              </w:rPr>
            </w:pPr>
            <w:r>
              <w:rPr>
                <w:rFonts w:ascii="Arial" w:cs="Arial" w:eastAsia="Arial" w:hAnsi="Arial"/>
                <w:sz w:val="17"/>
                <w:szCs w:val="17"/>
                <w:color w:val="auto"/>
              </w:rPr>
              <w:t>New Fortress Energy Holdings</w:t>
            </w:r>
            <w:r>
              <w:rPr>
                <w:rFonts w:ascii="Arial" w:cs="Arial" w:eastAsia="Arial" w:hAnsi="Arial"/>
                <w:sz w:val="28"/>
                <w:szCs w:val="28"/>
                <w:color w:val="auto"/>
                <w:vertAlign w:val="superscript"/>
              </w:rPr>
              <w:t>(1)(2)(3)</w:t>
            </w: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shd w:val="clear" w:color="auto" w:fill="CCEEFF"/>
          </w:tcPr>
          <w:p>
            <w:pPr>
              <w:jc w:val="right"/>
              <w:ind w:right="1139"/>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1"/>
                <w:szCs w:val="21"/>
                <w:color w:val="auto"/>
              </w:rPr>
            </w:pPr>
          </w:p>
        </w:tc>
      </w:tr>
      <w:tr>
        <w:trPr>
          <w:trHeight w:val="243"/>
        </w:trPr>
        <w:tc>
          <w:tcPr>
            <w:tcW w:w="4160" w:type="dxa"/>
            <w:vAlign w:val="bottom"/>
            <w:gridSpan w:val="2"/>
          </w:tcPr>
          <w:p>
            <w:pPr>
              <w:spacing w:after="0" w:line="243" w:lineRule="exact"/>
              <w:rPr>
                <w:sz w:val="20"/>
                <w:szCs w:val="20"/>
                <w:color w:val="auto"/>
              </w:rPr>
            </w:pPr>
            <w:r>
              <w:rPr>
                <w:rFonts w:ascii="Arial" w:cs="Arial" w:eastAsia="Arial" w:hAnsi="Arial"/>
                <w:sz w:val="17"/>
                <w:szCs w:val="17"/>
                <w:color w:val="auto"/>
              </w:rPr>
              <w:t>Purchasers in this offering</w:t>
            </w:r>
            <w:r>
              <w:rPr>
                <w:rFonts w:ascii="Arial" w:cs="Arial" w:eastAsia="Arial" w:hAnsi="Arial"/>
                <w:sz w:val="28"/>
                <w:szCs w:val="28"/>
                <w:color w:val="auto"/>
                <w:vertAlign w:val="superscript"/>
              </w:rPr>
              <w:t>(2)</w:t>
            </w: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1320" w:type="dxa"/>
            <w:vAlign w:val="bottom"/>
          </w:tcPr>
          <w:p>
            <w:pPr>
              <w:jc w:val="right"/>
              <w:ind w:right="1139"/>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1"/>
                <w:szCs w:val="21"/>
                <w:color w:val="auto"/>
              </w:rPr>
            </w:pPr>
          </w:p>
        </w:tc>
      </w:tr>
      <w:tr>
        <w:trPr>
          <w:trHeight w:val="20"/>
        </w:trPr>
        <w:tc>
          <w:tcPr>
            <w:tcW w:w="1440" w:type="dxa"/>
            <w:vAlign w:val="bottom"/>
          </w:tcPr>
          <w:p>
            <w:pPr>
              <w:spacing w:after="0" w:line="20" w:lineRule="exact"/>
              <w:rPr>
                <w:sz w:val="1"/>
                <w:szCs w:val="1"/>
                <w:color w:val="auto"/>
              </w:rPr>
            </w:pPr>
          </w:p>
        </w:tc>
        <w:tc>
          <w:tcPr>
            <w:tcW w:w="27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4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3"/>
                <w:szCs w:val="23"/>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320" w:type="dxa"/>
            <w:vAlign w:val="bottom"/>
            <w:tcBorders>
              <w:right w:val="single" w:sz="8" w:color="CCEEFF"/>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272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80" w:type="dxa"/>
            <w:vAlign w:val="bottom"/>
            <w:tcBorders>
              <w:top w:val="single" w:sz="8" w:color="auto"/>
            </w:tcBorders>
            <w:gridSpan w:val="2"/>
          </w:tcPr>
          <w:p>
            <w:pPr>
              <w:spacing w:after="0"/>
              <w:rPr>
                <w:sz w:val="16"/>
                <w:szCs w:val="16"/>
                <w:color w:val="auto"/>
              </w:rPr>
            </w:pPr>
          </w:p>
        </w:tc>
        <w:tc>
          <w:tcPr>
            <w:tcW w:w="240" w:type="dxa"/>
            <w:vAlign w:val="bottom"/>
            <w:tcBorders>
              <w:top w:val="single" w:sz="8" w:color="CCEEFF"/>
            </w:tcBorders>
            <w:gridSpan w:val="2"/>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gridSpan w:val="2"/>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79"/>
        </w:trPr>
        <w:tc>
          <w:tcPr>
            <w:tcW w:w="7340" w:type="dxa"/>
            <w:vAlign w:val="bottom"/>
            <w:gridSpan w:val="10"/>
          </w:tcPr>
          <w:p>
            <w:pPr>
              <w:spacing w:after="0"/>
              <w:rPr>
                <w:sz w:val="20"/>
                <w:szCs w:val="20"/>
                <w:color w:val="auto"/>
              </w:rPr>
            </w:pPr>
            <w:r>
              <w:rPr>
                <w:rFonts w:ascii="Arial" w:cs="Arial" w:eastAsia="Arial" w:hAnsi="Arial"/>
                <w:sz w:val="14"/>
                <w:szCs w:val="14"/>
                <w:color w:val="auto"/>
                <w:w w:val="96"/>
              </w:rPr>
              <w:t>(1)   Upon the consummation of the Transactions contemplated by this prospectus, New Fortress Energy Holdings will own</w:t>
            </w:r>
          </w:p>
        </w:tc>
        <w:tc>
          <w:tcPr>
            <w:tcW w:w="2220" w:type="dxa"/>
            <w:vAlign w:val="bottom"/>
            <w:gridSpan w:val="5"/>
          </w:tcPr>
          <w:p>
            <w:pPr>
              <w:ind w:left="120"/>
              <w:spacing w:after="0"/>
              <w:rPr>
                <w:sz w:val="20"/>
                <w:szCs w:val="20"/>
                <w:color w:val="auto"/>
              </w:rPr>
            </w:pPr>
            <w:r>
              <w:rPr>
                <w:rFonts w:ascii="Arial" w:cs="Arial" w:eastAsia="Arial" w:hAnsi="Arial"/>
                <w:sz w:val="14"/>
                <w:szCs w:val="14"/>
                <w:color w:val="auto"/>
              </w:rPr>
              <w:t>Class B shares.</w:t>
            </w:r>
          </w:p>
        </w:tc>
      </w:tr>
    </w:tbl>
    <w:p>
      <w:pPr>
        <w:spacing w:after="0" w:line="88" w:lineRule="exact"/>
        <w:rPr>
          <w:sz w:val="20"/>
          <w:szCs w:val="20"/>
          <w:color w:val="auto"/>
        </w:rPr>
      </w:pPr>
    </w:p>
    <w:p>
      <w:pPr>
        <w:ind w:left="347" w:hanging="347"/>
        <w:spacing w:after="0"/>
        <w:tabs>
          <w:tab w:leader="none" w:pos="3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Assumes the underwriters’ option to purchase additional Class A shares from us is not exercised.</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assets contributed by New Fortress Energy Holdings were recorded at historical cost in accordance with GAAP. Book value of the consideration provided</w:t>
      </w:r>
    </w:p>
    <w:p>
      <w:pPr>
        <w:spacing w:after="0" w:line="25" w:lineRule="exact"/>
        <w:rPr>
          <w:sz w:val="20"/>
          <w:szCs w:val="20"/>
          <w:color w:val="auto"/>
        </w:rPr>
      </w:pPr>
    </w:p>
    <w:p>
      <w:pPr>
        <w:jc w:val="center"/>
        <w:ind w:right="-106"/>
        <w:spacing w:after="0"/>
        <w:tabs>
          <w:tab w:leader="none" w:pos="240" w:val="left"/>
          <w:tab w:leader="none" w:pos="240" w:val="left"/>
        </w:tabs>
        <w:rPr>
          <w:sz w:val="20"/>
          <w:szCs w:val="20"/>
          <w:color w:val="auto"/>
        </w:rPr>
      </w:pPr>
      <w:r>
        <w:rPr>
          <w:rFonts w:ascii="Arial" w:cs="Arial" w:eastAsia="Arial" w:hAnsi="Arial"/>
          <w:sz w:val="14"/>
          <w:szCs w:val="14"/>
          <w:color w:val="auto"/>
        </w:rPr>
        <w:t>by New Fortress Energy Holdings and its affiliates, as of</w:t>
      </w:r>
      <w:r>
        <w:rPr>
          <w:sz w:val="20"/>
          <w:szCs w:val="20"/>
          <w:color w:val="auto"/>
        </w:rPr>
        <w:tab/>
      </w:r>
      <w:r>
        <w:rPr>
          <w:rFonts w:ascii="Arial" w:cs="Arial" w:eastAsia="Arial" w:hAnsi="Arial"/>
          <w:sz w:val="14"/>
          <w:szCs w:val="14"/>
          <w:color w:val="auto"/>
        </w:rPr>
        <w:t>, 2018, after giving effect to the application of the net proceeds of the offering, is $</w:t>
      </w:r>
      <w:r>
        <w:rPr>
          <w:sz w:val="20"/>
          <w:szCs w:val="20"/>
          <w:color w:val="auto"/>
        </w:rPr>
        <w:tab/>
      </w:r>
      <w:r>
        <w:rPr>
          <w:rFonts w:ascii="Arial" w:cs="Arial" w:eastAsia="Arial" w:hAnsi="Arial"/>
          <w:sz w:val="14"/>
          <w:szCs w:val="14"/>
          <w:color w:val="auto"/>
        </w:rPr>
        <w:t>million.</w:t>
      </w:r>
    </w:p>
    <w:p>
      <w:pPr>
        <w:spacing w:after="0" w:line="19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We do not anticipate declaring or paying any cash dividends to holders of our Class A shares in the foreseeable future. We currently intend to retain future earnings, if any, to finance the expansion of our business.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w:t>
      </w:r>
    </w:p>
    <w:p>
      <w:pPr>
        <w:spacing w:after="0" w:line="121"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NFE was formed August 6, 2018 and does not have historical financial results. The following table shows selected historical financial information of New Fortress Energy Holdings, our predecessor, for the periods and as of the dates indicated. The selected historical financial data as of and for the years ended December 31, 2017 and 2016 was derived from the audited historical consolidated financial statements of New Fortress Energy Holdings included elsewhere in this prospectus.</w:t>
      </w:r>
    </w:p>
    <w:p>
      <w:pPr>
        <w:spacing w:after="0" w:line="46" w:lineRule="exact"/>
        <w:rPr>
          <w:sz w:val="20"/>
          <w:szCs w:val="20"/>
          <w:color w:val="auto"/>
        </w:rPr>
      </w:pPr>
    </w:p>
    <w:p>
      <w:pPr>
        <w:jc w:val="both"/>
        <w:ind w:right="140" w:firstLine="360"/>
        <w:spacing w:after="0" w:line="312" w:lineRule="auto"/>
        <w:rPr>
          <w:sz w:val="20"/>
          <w:szCs w:val="20"/>
          <w:color w:val="auto"/>
        </w:rPr>
      </w:pPr>
      <w:r>
        <w:rPr>
          <w:rFonts w:ascii="Arial" w:cs="Arial" w:eastAsia="Arial" w:hAnsi="Arial"/>
          <w:sz w:val="16"/>
          <w:szCs w:val="16"/>
          <w:color w:val="auto"/>
        </w:rPr>
        <w:t>You should read the information set forth below together with “Use of Proceeds,” “Management’s Discussion and Analysis of Financial Condition and Results of Operations,” and our consolidated financial statements and related notes included elsewhere in this prospectus. The historical financial results are not necessarily indicative of results to be expected for any future periods.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(in thousands, except share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and per share amounts)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82,104</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Costs of sales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78,692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33,343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(24,990)</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Loss before taxes</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(31,145)</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(33,287)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provision (benefit)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number of shares outstanding – basic and diluted</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58,753,425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69,350</w:t>
            </w:r>
          </w:p>
        </w:tc>
        <w:tc>
          <w:tcPr>
            <w:tcW w:w="1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Long-term debt (includes current portion)</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75,253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Cash Flow Data:</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(104,040)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66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9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88"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i w:val="1"/>
          <w:iCs w:val="1"/>
          <w:color w:val="auto"/>
        </w:rPr>
        <w:t>Certain information contained in this discussion and analysis or set forth elsewhere in this prospectus or accompanying marketing material, including information with respect to our plans, strategy, projections and expected timeline for our business and related financing, includes forward-looking statements that involve risks and uncertainties. Forward-looking statements contained in this prospectus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8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You should read “Risk Factors” and “Forward-Looking Statements” elsewhere in this prospectus for a discussion of important factors that could cause actual results to differ materially from the results described in or implied by the forward-looking statements contained in the following discussion and analysis.</w:t>
      </w:r>
    </w:p>
    <w:p>
      <w:pPr>
        <w:spacing w:after="0" w:line="73" w:lineRule="exact"/>
        <w:rPr>
          <w:sz w:val="20"/>
          <w:szCs w:val="20"/>
          <w:color w:val="auto"/>
        </w:rPr>
      </w:pPr>
    </w:p>
    <w:p>
      <w:pPr>
        <w:ind w:right="160" w:firstLine="360"/>
        <w:spacing w:after="0" w:line="276" w:lineRule="auto"/>
        <w:rPr>
          <w:sz w:val="20"/>
          <w:szCs w:val="20"/>
          <w:color w:val="auto"/>
        </w:rPr>
      </w:pPr>
      <w:r>
        <w:rPr>
          <w:rFonts w:ascii="Arial" w:cs="Arial" w:eastAsia="Arial" w:hAnsi="Arial"/>
          <w:sz w:val="17"/>
          <w:szCs w:val="17"/>
          <w:i w:val="1"/>
          <w:iCs w:val="1"/>
          <w:color w:val="auto"/>
        </w:rPr>
        <w:t>The following information should be read in conjunction with our consolidated financial statements and accompanying notes included elsewhere in this prospectus, as well as the information presented under “Selected Historical Financial Data.” Our financial statements have been prepared in accordance with GAAP. This information is intended to provide investors with an understanding of our past performance and our current financial condition and is not necessarily indicative of our future performance. Unless otherwise indicated, dollar amounts are presented in thousands.</w:t>
      </w:r>
    </w:p>
    <w:p>
      <w:pPr>
        <w:spacing w:after="0" w:line="6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i w:val="1"/>
          <w:iCs w:val="1"/>
          <w:color w:val="auto"/>
        </w:rPr>
        <w:t>Unless the context otherwise requires, references to “Company,” “NFE,” “we,” “our,” “us” or like terms refer to NFE Financial Holdings LLC and its subsidiaries. When used in a historical context, “Company,” “we,” “our,” “us,” or like terms refer to New Fortress Energy Holdings LLC, a Delaware limited liability company (“New Fortress Energy Holdings”), our predecessor for financial reporting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We are engaged in providing energy, logistical services, and financing capital investment to end users worldwide seeking to convert their operating assets from diesel or heavy fuel oil (“HFO”) to LNG. The Company currently has liquefaction and regasification operations in the United States and Jamaica. We currently source LNG from a combination of our own liquefaction facility in Miami, Florida and purchases on the open market. We are developing the infrastructure necessary to supply all existing and future customers with LNG produced entirely at our own facilities. We expect that control of our vertical supply chain, from liquefaction to delivery of LNG, will help to reduce the risk of future LNG price variations and enable us to supply our existing and future customers with LNG at a price that reflects production at our own facilities, reinforcing our competitive standing in the LNG market. Our strategy is simple: we seek to manufacture our own LNG at attractive prices, using fixed-price feedstock, and we seek to sell natural gas (delivered through LNG infrastructure) or gas-fired power to customers that sign long-term, take-or-pay contracts.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Our management team has successfully employed our strategy to secure long-term, take-or-pay contracts with Jamaica Public Service Company Limited (“JPS”), the sole public utility in Jamaica, South Jamaica Power Company Limited (“JPC”), an affiliate of JPS, and Jamalco, a joint venture between General Alumina Jamaica LLC (“GAJ”), a subsidiary of Noble Group, and Clarendon Alumina Production Limited (“CAP”), an entity owned by the Government of Jamaica, with a focus on bauxite mining and alumina production in Jamaica (“Jamalco”), each of which is described in more detail below. Certain assets built to service JPS have, and the assets built to service JPC and Jamalco will have, capacity to service other customers. We currently procure our LNG either by purchasing it under a multi-cargo contract from a supplier or by manufacturing it in our natural gas liquefaction, storage and production facility located in Miami-Dade County, Florida (the “Miami-Dade Facility”). In the future, we intend to develop the infrastructure necessary to supply our existing and future customers with LNG produced entirely at our own facilities, including our expanded delivery logistics chain in Northern Pennsylvania (the “Pennsylvania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Terminal</w:t>
      </w:r>
    </w:p>
    <w:p>
      <w:pPr>
        <w:spacing w:after="0" w:line="117"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Our storage and regasification terminal in Montego Bay, Jamaica (the “Montego Bay Terminal”) serves as our supply hub for the North side of Jamaica, providing gas to JPS to fuel the 120MW Bogue Power Plant in Montego Bay, Jamaica (the “Bogue Power Plant”). The Montego Bay Terminal commenced commercial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operations on October 30, 2016 and stores approximately two million gallons of LNG in seven storage tanks. The Montego Bay Terminal also consists of an ISO loading facility that can transport LNG to all of our industrial and manufacturing (“small-scale”) sales across the island. The small-scale business provides these users with an alternative fuel to support their business operations and limit reliance on monopolistic utilities.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Miami-Dade Facility</w:t>
      </w:r>
    </w:p>
    <w:p>
      <w:pPr>
        <w:spacing w:after="0" w:line="117"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Our Miami-Dade Facility began operation in April of 2016. We believe, based on available data, it is the first privately owned natural gas liquefaction plant in Florida. This facility enables us to produce LNG for our customers and reduces our dependence on other suppliers for LNG. The facility is the first plant to successfully export domestically produced LNG from the lower 48 states to a non-free trade agreement country and it employs one of the largest ISO container fleets in the world. The Miami-Dade Facility provides LNG to small-scale customers in south Florida including Florida East Coast Railway via our train loading facility and other customers throughout the Caribbean using ISO containers.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82,104</w:t>
            </w:r>
          </w:p>
        </w:tc>
        <w:tc>
          <w:tcPr>
            <w:tcW w:w="1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18,615</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63,489</w:t>
            </w:r>
          </w:p>
        </w:tc>
        <w:tc>
          <w:tcPr>
            <w:tcW w:w="100" w:type="dxa"/>
            <w:vAlign w:val="bottom"/>
          </w:tcPr>
          <w:p>
            <w:pPr>
              <w:spacing w:after="0"/>
              <w:rPr>
                <w:sz w:val="20"/>
                <w:szCs w:val="20"/>
                <w:color w:val="auto"/>
              </w:rPr>
            </w:pPr>
          </w:p>
        </w:tc>
      </w:tr>
      <w:tr>
        <w:trPr>
          <w:trHeight w:val="249"/>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21,395</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75,867</w:t>
            </w:r>
          </w:p>
        </w:tc>
        <w:tc>
          <w:tcPr>
            <w:tcW w:w="100" w:type="dxa"/>
            <w:vAlign w:val="bottom"/>
          </w:tcPr>
          <w:p>
            <w:pPr>
              <w:spacing w:after="0"/>
              <w:rPr>
                <w:sz w:val="20"/>
                <w:szCs w:val="20"/>
                <w:color w:val="auto"/>
              </w:rPr>
            </w:pP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78,692</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22,747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55,945</w:t>
            </w:r>
          </w:p>
        </w:tc>
        <w:tc>
          <w:tcPr>
            <w:tcW w:w="100" w:type="dxa"/>
            <w:vAlign w:val="bottom"/>
          </w:tcPr>
          <w:p>
            <w:pPr>
              <w:spacing w:after="0"/>
              <w:rPr>
                <w:sz w:val="20"/>
                <w:szCs w:val="20"/>
                <w:color w:val="auto"/>
              </w:rPr>
            </w:pPr>
          </w:p>
        </w:tc>
      </w:tr>
      <w:tr>
        <w:trPr>
          <w:trHeight w:val="24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and maintenance</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8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21"/>
                <w:szCs w:val="21"/>
                <w:color w:val="auto"/>
              </w:rPr>
            </w:pP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33,343</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18,160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15,183</w:t>
            </w:r>
          </w:p>
        </w:tc>
        <w:tc>
          <w:tcPr>
            <w:tcW w:w="100" w:type="dxa"/>
            <w:vAlign w:val="bottom"/>
          </w:tcPr>
          <w:p>
            <w:pPr>
              <w:spacing w:after="0"/>
              <w:rPr>
                <w:sz w:val="20"/>
                <w:szCs w:val="20"/>
                <w:color w:val="auto"/>
              </w:rPr>
            </w:pPr>
          </w:p>
        </w:tc>
      </w:tr>
      <w:tr>
        <w:trPr>
          <w:trHeight w:val="249"/>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00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122,252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73,799</w:t>
            </w:r>
          </w:p>
        </w:tc>
        <w:tc>
          <w:tcPr>
            <w:tcW w:w="100" w:type="dxa"/>
            <w:vAlign w:val="bottom"/>
          </w:tcPr>
          <w:p>
            <w:pPr>
              <w:spacing w:after="0"/>
              <w:rPr>
                <w:sz w:val="20"/>
                <w:szCs w:val="20"/>
                <w:color w:val="auto"/>
              </w:rPr>
            </w:pP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(24,990)</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(27,058)</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20"/>
                <w:szCs w:val="20"/>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0"/>
                <w:szCs w:val="20"/>
                <w:color w:val="auto"/>
              </w:rPr>
            </w:pP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r>
      <w:tr>
        <w:trPr>
          <w:trHeight w:val="20"/>
        </w:trPr>
        <w:tc>
          <w:tcPr>
            <w:tcW w:w="6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6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(31,145)</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(33,287)</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20"/>
                <w:szCs w:val="20"/>
                <w:color w:val="auto"/>
              </w:rPr>
            </w:pP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Tax provision (benefit)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(31,671)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21"/>
                <w:szCs w:val="21"/>
                <w:color w:val="auto"/>
              </w:rPr>
            </w:pPr>
          </w:p>
        </w:tc>
      </w:tr>
      <w:tr>
        <w:trPr>
          <w:trHeight w:val="27"/>
        </w:trPr>
        <w:tc>
          <w:tcPr>
            <w:tcW w:w="60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For the year ended December 31, 2017, the Miami-Dade Facility has been available to produce LNG over 95.5% of the time. We have executed three contracts in 2016, three contracts in 2017 and one contract year-to-date in 2018 to provide customers with LNG from our Miami-Dade Facility. We continue to build our small-scale pipeline of customers and are in advanced dialogues with various domestic and international customers across the utility, power, industrial and transportation sectors to execute additional long-term purchase contracts.</w:t>
      </w:r>
    </w:p>
    <w:p>
      <w:pPr>
        <w:spacing w:after="0" w:line="80" w:lineRule="exact"/>
        <w:rPr>
          <w:sz w:val="20"/>
          <w:szCs w:val="20"/>
          <w:color w:val="auto"/>
        </w:rPr>
      </w:pPr>
    </w:p>
    <w:p>
      <w:pPr>
        <w:ind w:right="400" w:firstLine="360"/>
        <w:spacing w:after="0" w:line="308" w:lineRule="auto"/>
        <w:rPr>
          <w:sz w:val="20"/>
          <w:szCs w:val="20"/>
          <w:color w:val="auto"/>
        </w:rPr>
      </w:pPr>
      <w:r>
        <w:rPr>
          <w:rFonts w:ascii="Arial" w:cs="Arial" w:eastAsia="Arial" w:hAnsi="Arial"/>
          <w:sz w:val="17"/>
          <w:szCs w:val="17"/>
          <w:color w:val="auto"/>
        </w:rPr>
        <w:t>During the year ended December 31, 2017, the Montego Bay Terminal performed at over 98.5% of capacity. We have also generated revenue from our small-scale customers to supply LNG directly to industrial end-users in Jamaica.</w:t>
      </w:r>
    </w:p>
    <w:p>
      <w:pPr>
        <w:spacing w:after="0" w:line="38"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Operating revenue for LNG and natural gas sales for the year ended December 31, 2017 was $82,104 which increased by $63,489 from $18,615 for the year-ended December 31, 2016. The increase in revenue was attributable to twelve months of operations at the Miami-Dade Facility and Montego Bay Terminal for the year ended December 31, 2017 whereas the Miami-Dade Facility and Montego Bay Terminal were operating for eight and two months, respectively, for the year ended December 31, 2016.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The Company leases certain facilities and equipment, including the Montego Bay Terminal, to its customers which are accounted for as direct financing leases. We currently generate a majority of other revenue from interest recognized from these direct financing leases. Other revenue for the year ended December 31, 2017 was $15,158 which increased $12,378 from $2,780 for the year-ended December 31, 2016. The increase is attributable to twelve months of operations at the Montego Bay Terminal for the year ended December 31, 2017 whereas the Montego Bay Terminal operated for two months in 2016.</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Cost of sales includes LNG and natural gas supply, shipping and logistics costs to deliver LNG to our facilities and to our customers. Our LNG and natural gas supply may be purchased from third parties or converted in our liquefaction facilities. Costs to convert natural gas to LNG, including labor and other direct costs to operate our facilities are also included in Costs of sales. Cost of sales for the year ended December 31, 2017 was $78,692 which increased $55,945 from $22,747 for the year-ended December 31, 2016. The increase in cost of sales for each of the years was attributable to twelve months of operations at the Miami-Dade Facility and Montego Bay Terminal for the year ended December 31, 2017, whereas the Miami-Dade Facility and Montego Bay Terminal were operating for eight and two months, respectively, for the year ended December 30, 2016.</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 and maintenance</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Operations and maintenance relates to costs of operating our Miami-Dade Facility exclusive of conversion costs reflected in Cost of sales. Operations and maintenance for the year ended December 31, 2017 was $7,456 which increased $2,251 from $5,205 for the year-ended December 31, 2016. The increase is primarily a result of the Miami-Dade Facility operating for twelve months in 2017 in comparison to operating for eight months in 2016.</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Selling, general and administrative includes employee travel costs, insurance, and costs associated with development activities for projects that are in initial stages and are not yet probable of development. Selling, general and administrative also includes compensation expenses for our corporate employees, including our executives, as well as professional fees for our advisors. Selling, general and administrative for the year ended December 31, 2017 was $33,343 which increased $15,183 from $18,160 for the year-ended December 31, 2016 primarily as a result of increased development activities and employee travel as well as increased headcount.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Depreciation and amortization for the year ended December 31, 2017 was $2,761 which increased $420 from $2,341 for the year ended December 31, 2016. The increase is primarily a result of twelve months of operations since the Miami-Dade Facility has been placed into service and the purchase of additional equipment and vehicles which were placed into service during 2017.</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Interest expense for the year ended December 31, 2017 was $6,456, which increased $1,351 from $5,105 for the year ended December 31, 2016, primarily as a result of interest on the MoBay Loan (as defined below) of $3,611 and $643 and Miami Loan (as defined below) of $2,845 and $1,803 for the years ended December 31, 2017 and December 31, 2016, respectively, net of capitalized interest recognized during construction in the year ended December 31, 2016. During 2017, we raised equity capital, which funded a majority of our capital expenditures resulting in a decreased in capitalized interest compared to December 31, 2016. The increase in interest expense is partially offset by the reduction of interest expense on the Corporate Loan which was repaid at maturity in June 2016.</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660" w:firstLine="360"/>
        <w:spacing w:after="0" w:line="308" w:lineRule="auto"/>
        <w:rPr>
          <w:sz w:val="20"/>
          <w:szCs w:val="20"/>
          <w:color w:val="auto"/>
        </w:rPr>
      </w:pPr>
      <w:r>
        <w:rPr>
          <w:rFonts w:ascii="Arial" w:cs="Arial" w:eastAsia="Arial" w:hAnsi="Arial"/>
          <w:sz w:val="17"/>
          <w:szCs w:val="17"/>
          <w:color w:val="auto"/>
        </w:rPr>
        <w:t>Other income, net for the year ended December 31, 2017 was $301 which increased $248 from $53 for the year-ended December 31, 2016, primarily as a result of an increase in interest income and realized foreign currency gain.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Loss on extinguishment of debt for the year ended December 31, 2016 was $1,177, which was recognized as a result of the extinguishment of the Corporate Loan on June 3, 2016.</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provision (benefit)</w:t>
      </w:r>
    </w:p>
    <w:p>
      <w:pPr>
        <w:spacing w:after="0" w:line="117" w:lineRule="exact"/>
        <w:rPr>
          <w:sz w:val="20"/>
          <w:szCs w:val="20"/>
          <w:color w:val="auto"/>
        </w:rPr>
      </w:pPr>
    </w:p>
    <w:p>
      <w:pPr>
        <w:ind w:right="80" w:firstLine="360"/>
        <w:spacing w:after="0" w:line="308" w:lineRule="auto"/>
        <w:rPr>
          <w:sz w:val="20"/>
          <w:szCs w:val="20"/>
          <w:color w:val="auto"/>
        </w:rPr>
      </w:pPr>
      <w:r>
        <w:rPr>
          <w:rFonts w:ascii="Arial" w:cs="Arial" w:eastAsia="Arial" w:hAnsi="Arial"/>
          <w:sz w:val="17"/>
          <w:szCs w:val="17"/>
          <w:color w:val="auto"/>
        </w:rPr>
        <w:t>Tax provision (benefit) for the year ended December 31, 2017 was $526, which increased $887 from ($361) for the year-ended December 31, 2016 due to a decrease in net taxable losses in foreign jurisdiction when comparing 2017 to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believe we will have sufficient liquidity, cash flow from operations and access to additional capital sources to fund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and working capital needs for the next twelve months. We expect to fund our current operations and continued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additional facilities through a combination of cash on hand, additional debt and the proceeds from this offering.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 to make significant capital expenditures to build out the Old Harbour Terminal, the Pennsylvania Facility and CHP Plant.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assumed total expenditures for all completed and existing projects to be approximately $469,000, with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$260,000 having already been spent. This estimate represents the complete construction of projects in Jamaica and Miami. We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currently exploring opportunities to expand our business into new markets, including the Caribbean and Latin America and we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 significant additional capital to implement our strategy.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to our cash flows for the years ended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24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(54,892)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(43,493)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(11,399)</w:t>
            </w:r>
          </w:p>
        </w:tc>
      </w:tr>
      <w:tr>
        <w:trPr>
          <w:trHeight w:val="256"/>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(52,396)</w:t>
            </w:r>
          </w:p>
        </w:tc>
        <w:tc>
          <w:tcPr>
            <w:tcW w:w="24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(104,040)</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51,644</w:t>
            </w:r>
          </w:p>
        </w:tc>
        <w:tc>
          <w:tcPr>
            <w:tcW w:w="100" w:type="dxa"/>
            <w:vAlign w:val="bottom"/>
            <w:shd w:val="clear" w:color="auto" w:fill="CCEEFF"/>
          </w:tcPr>
          <w:p>
            <w:pPr>
              <w:spacing w:after="0"/>
              <w:rPr>
                <w:sz w:val="22"/>
                <w:szCs w:val="22"/>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277,699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(266,353)</w:t>
            </w: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(226,108)</w:t>
            </w:r>
          </w:p>
        </w:tc>
      </w:tr>
      <w:tr>
        <w:trPr>
          <w:trHeight w:val="27"/>
        </w:trPr>
        <w:tc>
          <w:tcPr>
            <w:tcW w:w="20" w:type="dxa"/>
            <w:vAlign w:val="bottom"/>
          </w:tcPr>
          <w:p>
            <w:pPr>
              <w:spacing w:after="0"/>
              <w:rPr>
                <w:sz w:val="2"/>
                <w:szCs w:val="2"/>
                <w:color w:val="auto"/>
              </w:rPr>
            </w:pPr>
          </w:p>
        </w:tc>
        <w:tc>
          <w:tcPr>
            <w:tcW w:w="59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240" w:firstLine="360"/>
        <w:spacing w:after="0" w:line="302" w:lineRule="auto"/>
        <w:rPr>
          <w:sz w:val="20"/>
          <w:szCs w:val="20"/>
          <w:color w:val="auto"/>
        </w:rPr>
      </w:pPr>
      <w:r>
        <w:rPr>
          <w:rFonts w:ascii="Arial" w:cs="Arial" w:eastAsia="Arial" w:hAnsi="Arial"/>
          <w:sz w:val="16"/>
          <w:szCs w:val="16"/>
          <w:color w:val="auto"/>
        </w:rPr>
        <w:t>Our cash flow used in operating activities was $54,892 in 2017, which increased by $11,399 from $43,493 in 2016. For both the year ended December 2017 and 2016, we had net loss that comprised a significant portion of cash used in operating activities due to the continued expansion of our operations in Jamaica. A significant portion of cash used in operations for the year ended December 31, 2017 was attributed to an increase in deposits attributed to a prepayment for LNG supply.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Our cash flow used in investing activities was $52,396 in 2017, which decreased by $51,644 from $104,040 in 2016. The decrease in cash flow used in investing activities is due to significant cash expenditures incurred in 2016 as the Company completed construction of its Miami-Dade Facility, and its Montego Bay Terminal. The decrease was offset by construction that began in 2017 on JPC’s Old Harbour Power Plant in Old Harbour, Jamaica (the “Old Harbour Power Plant”) in South Jamaica resulting in $28,500 in capital expenditures. The decrease was also partially offset by a restriction of $15,000 as collateral posted for performance under a gas sales agreement with a customer, and a $7,000 collateral posted with LNG suppliers for an upcoming delivery.</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Our cash flow provided by financing activities was $11,346 in 2017, which decreased by $266,353 from $277,699 in 2016. The decrease in cash flow provided by financing activities is due to the Company issuing shares in June 2016 in exchange for $300,505. The Company also received additional borrowings under the MoBay Loan of $44,000. The receipt of debt and equity capital in 2016 was offset by the repayment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Corporate Loan of $65,000. In December 2017, the Company undertook an additional capital raise of $70,100 of which $20,100 of cash was received during the year and the remainder in January 2018. This capital contribution was offset by principal payments on the Miami Loan and the MoBay Loan of $5,828.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Loan Agreement</w:t>
      </w:r>
    </w:p>
    <w:p>
      <w:pPr>
        <w:spacing w:after="0" w:line="117" w:lineRule="exact"/>
        <w:rPr>
          <w:sz w:val="20"/>
          <w:szCs w:val="20"/>
          <w:color w:val="auto"/>
        </w:rPr>
      </w:pPr>
    </w:p>
    <w:p>
      <w:pPr>
        <w:ind w:right="280" w:firstLine="360"/>
        <w:spacing w:after="0" w:line="257" w:lineRule="auto"/>
        <w:rPr>
          <w:sz w:val="20"/>
          <w:szCs w:val="20"/>
          <w:color w:val="auto"/>
        </w:rPr>
      </w:pPr>
      <w:r>
        <w:rPr>
          <w:rFonts w:ascii="Arial" w:cs="Arial" w:eastAsia="Arial" w:hAnsi="Arial"/>
          <w:sz w:val="18"/>
          <w:szCs w:val="18"/>
          <w:color w:val="auto"/>
        </w:rPr>
        <w:t>In June 2016, NFE North Holdings Limited (“NFE North”), a wholly owned subsidiary of the Company entered into a syndicated loan agreement (the “MoBay Loan Agreement”) providing for a $44,000 term loan facility (the “MoBay Loan”) in connection with the construction and development of the Montego Bay Terminal and related infrastructure. The maturity date for each loan drawn under the MoBay Loan is the day immediately preceding the seventh anniversary of the drawdown date of such loan.</w:t>
      </w:r>
    </w:p>
    <w:p>
      <w:pPr>
        <w:spacing w:after="0" w:line="80"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Outstanding amounts under the MoBay Loan accrue interest at a per annum rate of 8.10%. During the continuance of any uncured event of default by the borrower, interest will instead accrue at a per annum rate of 14.10%, subject to any applicable grace period. The MoBay Loan is required to be repaid in advance of the maturity date in consecutive, equal monthly payments, with the remaining outstanding amount due on the maturity date. The MoBay Loan may be prepaid at any time, upon 30 days’ prior written notice to the agent, subject to a prepayment fee of 2% of any amount being prepaid for prepayments during the one year period from the date of the first loan drawdown of the MoBay Loan, or 1% of any amount being prepaid for prepayments during the period commencing one year from the date of the first loan drawdown of the MoBay Loan and expiring on the fifth anniversary of such date. Prepayments made after the fifth anniversary of the date of the first loan drawdown of the MoBay Loan are not subject to any prepayment fee. Prepayment of 100% of the outstanding principal amount of the MoBay Loan, and any accrued and unpaid interest thereon, is required to be made, by notice from the agent acting on the direction of the majority lenders, upon the event of any change of control or a merger (as defined in the MoBay Loan Agreement and does not include an IPO or similar liquidity event) of NFE North that is not consented to by the lenders or any material adverse change (as defined in the MoBay Loan Agreement).</w:t>
      </w:r>
    </w:p>
    <w:p>
      <w:pPr>
        <w:spacing w:after="0" w:line="61"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color w:val="auto"/>
        </w:rPr>
        <w:t>The borrower’s obligations under the MoBay Loan Agreement are guaranteed by Atlantic Energy Holdings Limited (Barbados), our subsidiary and parent company of NFE North and is secured by the LNG Terminal in Montego Bay, Jamaica. The MoBay Loan Agreement contains customary representations and warranties, positive and negative covenants, including certain financial covenants, and such negative covenants include, among other things, restrictions on security interests and additional indebtedness, restrictions on sales or disposals of assets, and restrictions on capital expenditures.</w:t>
      </w:r>
    </w:p>
    <w:p>
      <w:pPr>
        <w:spacing w:after="0" w:line="6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Under the terms of the MoBay Loan, NFE North is required to maintain a Debt Service Reserve Account (the “DSR Account”) account in an amount equivalent to principal and interest due in the next six months. During the years ended December 31, 2017 and 2016 $2,615 and $1,812, respectively, was deposited in the DSR Account and is included as a component of restricted cash on the Company’s consolidated balance sheet.</w:t>
      </w:r>
    </w:p>
    <w:p>
      <w:pPr>
        <w:spacing w:after="0" w:line="79" w:lineRule="exact"/>
        <w:rPr>
          <w:sz w:val="20"/>
          <w:szCs w:val="20"/>
          <w:color w:val="auto"/>
        </w:rPr>
      </w:pPr>
    </w:p>
    <w:p>
      <w:pPr>
        <w:jc w:val="both"/>
        <w:ind w:right="440" w:firstLine="360"/>
        <w:spacing w:after="0" w:line="264" w:lineRule="auto"/>
        <w:rPr>
          <w:sz w:val="20"/>
          <w:szCs w:val="20"/>
          <w:color w:val="auto"/>
        </w:rPr>
      </w:pPr>
      <w:r>
        <w:rPr>
          <w:rFonts w:ascii="Arial" w:cs="Arial" w:eastAsia="Arial" w:hAnsi="Arial"/>
          <w:sz w:val="18"/>
          <w:szCs w:val="18"/>
          <w:color w:val="auto"/>
        </w:rPr>
        <w:t>During the construction period of certain projects in 2016, related interest expense and borrowings costs were capitalized. Interest expense, inclusive of amortized debt fees for the years ended December 31, 2017 and 2016, totaled $3,611 and $1,990 respectively, of which $0 and $1,347 was capitalized as a finance lease.</w:t>
      </w:r>
    </w:p>
    <w:p>
      <w:pPr>
        <w:spacing w:after="0" w:line="73"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Financial covenants stipulated by the MoBay Loan Agreement were not effective until December 31, 2017. As of December 31, 2017, NFE North was in compliance with all covenants under this agreement.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intends to use the net proceeds of the Term Loan Facility entered into in August 2018 to repay the MoBay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subject to a prepayment fee of 1% on the MoBay Loan.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Loan Agreement</w:t>
      </w:r>
    </w:p>
    <w:p>
      <w:pPr>
        <w:spacing w:after="0" w:line="117" w:lineRule="exact"/>
        <w:rPr>
          <w:sz w:val="20"/>
          <w:szCs w:val="20"/>
          <w:color w:val="auto"/>
        </w:rPr>
      </w:pPr>
    </w:p>
    <w:p>
      <w:pPr>
        <w:ind w:right="200" w:firstLine="360"/>
        <w:spacing w:after="0" w:line="255" w:lineRule="auto"/>
        <w:rPr>
          <w:sz w:val="20"/>
          <w:szCs w:val="20"/>
          <w:color w:val="auto"/>
        </w:rPr>
      </w:pPr>
      <w:r>
        <w:rPr>
          <w:rFonts w:ascii="Arial" w:cs="Arial" w:eastAsia="Arial" w:hAnsi="Arial"/>
          <w:sz w:val="18"/>
          <w:szCs w:val="18"/>
          <w:color w:val="auto"/>
        </w:rPr>
        <w:t>In November 2014, LNG Holdings (Florida) LLC (“LHFL”), a controlled subsidiary, entered into a Credit Agreement (the “Miami Loan”) with a bank for an initial aggregate amount of $40,000, maturing on May 24, 2018, in connection with the construction of the Miami-Dade Facility. Borrowings under the loan bear interest at a rate selected by LHFL of either (i) a LIBOR based rate, with a floor of 1.00%, plus a spread of 5.00%, or (ii) subject to a floor of 2%, a Base Rate equal to the higher of (a) the Prime Rate, (b) the Federal Funds Rate plus ½ of 1% or (c) the 1-month LIBOR rate plus the difference between the applicable LIBOR margin and Base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Rate margin, plus a spread of 4.00%. Subject to certain conditions, the Miami Loan can be extended for an additional term of up to 18 months. If the Miami Loan is extended past the original maturity date, the spread on LIBOR and Base Rate increases to 5.50% and 4.50%, respectively. The Miami Loan also requires unused commitment fees of 1.25% per annum on undrawn amounts. The Miami Loan is secured by all of the assets of LHFL, which consists primarily of the Miami-Dade Facility.</w:t>
      </w:r>
    </w:p>
    <w:p>
      <w:pPr>
        <w:spacing w:after="0" w:line="46" w:lineRule="exact"/>
        <w:rPr>
          <w:sz w:val="20"/>
          <w:szCs w:val="20"/>
          <w:color w:val="auto"/>
        </w:rPr>
      </w:pPr>
    </w:p>
    <w:p>
      <w:pPr>
        <w:ind w:right="80" w:firstLine="360"/>
        <w:spacing w:after="0" w:line="254" w:lineRule="auto"/>
        <w:rPr>
          <w:sz w:val="20"/>
          <w:szCs w:val="20"/>
          <w:color w:val="auto"/>
        </w:rPr>
      </w:pPr>
      <w:r>
        <w:rPr>
          <w:rFonts w:ascii="Arial" w:cs="Arial" w:eastAsia="Arial" w:hAnsi="Arial"/>
          <w:sz w:val="18"/>
          <w:szCs w:val="18"/>
          <w:color w:val="auto"/>
        </w:rPr>
        <w:t>The Miami Loan requires periodic payments of interest on either a monthly, quarterly or semi-annual basis where LHFL selected the monthly interest rate option. In addition, with respect to LIBOR based borrowings, LHFL, at its option, may elect to defer up to ten interest periods outstanding at any point in time. The Miami Loan also requires annual amortization in an amount equal to 1% of the amount outstanding. The Miami Loan can be prepaid without penalty after the first anniversary of the closing of the Miami Loan. At December 31, 2017 and 2016, interest was calculated on the borrowing based on a 3-month LIBOR rate (1% floor) plus a spread of 5%, bearing a total interest rate of 6.57% and 6.00%, respectively. Interest expense, inclusive of amortized debt fees for the years ended December 31, 2017 and 2016, totaled $2,845 and $2,740 respectively, of which $0 and $937 was capitalized.</w:t>
      </w:r>
    </w:p>
    <w:p>
      <w:pPr>
        <w:spacing w:after="0" w:line="84"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that time.</w:t>
      </w:r>
    </w:p>
    <w:p>
      <w:pPr>
        <w:spacing w:after="0" w:line="62"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Under the terms of the Miami Loan, LHFL is required to maintain the DSR Account in the amount of $912. Such amount is included as a component of restricted cash on the Company’s consolidated balance sheet (see Note 6 of the Notes to the Consolidated Financial Statements).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and 2016, LHFL was in compliance with all of the covenants under this agreement.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intends to use the net proceeds of the Term Loan Facility entered into in August 2018 to repay the Miami Loan.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7"/>
          <w:szCs w:val="17"/>
          <w:color w:val="auto"/>
        </w:rPr>
        <w:t xml:space="preserve">On August 16, 2018, the Company entered into a Term Loan Facility (the “Term Loan Facility”) to borrow term loans, available in three draws, up to an aggregate principal amount of $240,000. Borrowings under the Term Loan Facility bear interest at a rate selected by the Company of either (i) a LIBOR based rate, plus a spread of 4.0%, or (ii) subject to a floor of 1%, a Base Rate equal to the higher of (a) the Prime Rate, (b) the Federal Funds Rate plus </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11"/>
          <w:szCs w:val="11"/>
          <w:color w:val="auto"/>
        </w:rPr>
        <w:t>2</w:t>
      </w:r>
      <w:r>
        <w:rPr>
          <w:rFonts w:ascii="Arial" w:cs="Arial" w:eastAsia="Arial" w:hAnsi="Arial"/>
          <w:sz w:val="17"/>
          <w:szCs w:val="17"/>
          <w:color w:val="auto"/>
        </w:rPr>
        <w:t xml:space="preserve"> of 1% or (c) the 1-month LIBOR rate plus the difference between the applicable LIBOR margin and Base Rate margin, plus a spread of 3.0%. The Term Loan Facility is set to mature on August 14, 2019 and is repayable in quarterly installments of $600, with a balloon payment due on the maturity date. The Company has the option to extend the maturity date for two additional six 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84"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in indebtedness, liens, acquisitions and investments, restricted payments and dispositions. The Term Loan Facility also provides for customary events of default, prepayment and cure provisions.</w:t>
      </w:r>
    </w:p>
    <w:p>
      <w:pPr>
        <w:spacing w:after="0" w:line="46" w:lineRule="exact"/>
        <w:rPr>
          <w:sz w:val="20"/>
          <w:szCs w:val="20"/>
          <w:color w:val="auto"/>
        </w:rPr>
      </w:pPr>
    </w:p>
    <w:p>
      <w:pPr>
        <w:jc w:val="both"/>
        <w:ind w:right="540" w:firstLine="360"/>
        <w:spacing w:after="0" w:line="264" w:lineRule="auto"/>
        <w:rPr>
          <w:sz w:val="20"/>
          <w:szCs w:val="20"/>
          <w:color w:val="auto"/>
        </w:rPr>
      </w:pPr>
      <w:r>
        <w:rPr>
          <w:rFonts w:ascii="Arial" w:cs="Arial" w:eastAsia="Arial" w:hAnsi="Arial"/>
          <w:sz w:val="18"/>
          <w:szCs w:val="18"/>
          <w:color w:val="auto"/>
        </w:rPr>
        <w:t>The Term Loan Facility funded $130,000 less fees at closing. The remaining capacity of $110,000 under the Term Loan Facility is subject to a delayed draw feature, resulting in $40,000 to be funded at the payoff of the Miami Loan and then the remainder to be funded in September 2018 at the payoff of the Mobay Loan.</w:t>
      </w:r>
    </w:p>
    <w:p>
      <w:pPr>
        <w:spacing w:after="0" w:line="73"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The Company will use the net proceeds of the Term Loan Facility to repay both the Miami Loan and the MoBay Loan, and the remaining proceeds will be used for general corporate purposes, including capital expenditures and future construction projects under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As of December 31, 2017, other than operating leases and certain contractual obligations for the purchase of LNG and natural gas, we had no transactions that met the definition of off-balance sheet arrangements that may have a current or future material effect on our consolidated financial position or operating results.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are committed to make cash payments in the future pursuant to certain of our contracts. The following table summarizes certain contractual obligations in place as of December 31,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Less than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More than</w:t>
            </w:r>
          </w:p>
        </w:tc>
      </w:tr>
      <w:tr>
        <w:trPr>
          <w:trHeight w:val="178"/>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 to 3</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4 to 5</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5 years</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10,793</w:t>
            </w: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Purchase obligations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57,344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55,099</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31,042</w:t>
            </w: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Long-Term debt obligations</w:t>
      </w:r>
    </w:p>
    <w:p>
      <w:pPr>
        <w:spacing w:after="0" w:line="117"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For information on our long-term debt obligations, see “—Liquidity and Capital Resources—Long-Term Debt.” The amounts included in the table above are based on the total debt balance, scheduled maturities and interest rates in effect at December 31, 2017. On May 16, 2018, the Company extended the maturity of the Miami Loan to November 2019; this extension of principal payments and the corresponding interest costs has been reflected in the table above.</w:t>
      </w:r>
    </w:p>
    <w:p>
      <w:pPr>
        <w:spacing w:after="0" w:line="63"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The Company will use proceeds from the Term Loan Facility to repay both the Miami Loan and the MoBay Loan in accordance with their respective terms; these repayments have not not been reflected in the table above. The Company has borrowed $240,000 under the Term Loan Facility with a scheduled maturity of August 14, 2019. Principal payments of $600 are due each quarter; the Company will be required to pay $600 in principal payments in 2018 and the remaining principal balance of $239,400 in 2019. Based on the interest rate of 6.08% in effect as of the closing of the Term Loan Facility, the Company is committed to pay $5,477 in interest payments in 2018 and $9,034 in interest payments prior to the maturity date in 2019.</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The Company is party to contractual purchase commitments with terms of 38 months and 60 months, principally take-or-pay contracts, which requires the purchase of minimum quantities of natural gas. These commitments are designed to assure sources of supply and are not expected to be in excess of normal requirements.</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On December 20, 2016, the Company committed to the purchase of at least 16,800,000 MMBtu or ~756,000 cubic meters of LNG, with half of the commitment delivered in 2017 and half in 2018.</w:t>
      </w:r>
    </w:p>
    <w:p>
      <w:pPr>
        <w:spacing w:after="0" w:line="62"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addition to the above disclosed commitments, in September 2016 the Company made a commitment of up to an estimated $180,000 to build a gas-fired combined heat and power plant in Jamaica under a Joint Development Agreement with a third party prior to commercial agreements being finalized. In August and October 2017 respectively, a Power Purchase Agreement and Steam Supply Agreement were executed, obligating the Company to complete the development subject to the conditions set forth in those agreements.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Lease obligations</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Future minimum lease payments under non-cancellable operating leases are noted in the above table. The Company’s lease obligations are primarily related to LNG vessel time charters, office space, a land site lease, and a marine port berth lease. Office space includes a newly fabricated space shared with affiliated companies in New York with a month to month lease, and an office space under construction in Downtown Miami, with a lease term of 84 months. The land site lease is held with an affiliate of the Company and has an initial term up to 5 years, and the marine port berth lease had an initial term up to 10 years. Both leases contain renewal options.</w:t>
      </w:r>
    </w:p>
    <w:p>
      <w:pPr>
        <w:spacing w:after="0" w:line="8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Company entered into several lease agreements during 2018 in Latin America.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$19,000. Fixed lease payments under these leases are expected to be approximately $1,200 and some of these lease contain variable components based on LNG processed. The Company has also restricted funds of approximately $2,200 as collateral for these leases.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21"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launch and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Operating revenue from the sales of LNG and natural gas are recognized when the LNG or natural gas is delivered to the customer, either when the natural gas arrives at the customer’s flange or at the time that title to the LNG is transferred to the customer. Title typically transfers either when shipped or delivered to the customers’ storage facilities, depending on the terms of the contract.</w:t>
      </w:r>
    </w:p>
    <w:p>
      <w:pPr>
        <w:spacing w:after="0" w:line="79"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The Company leases certain facilities and equipment to its customers which are accounted for as direct financing leases. Direct financing leases, net on our consolidated balance sheet represents the minimum lease payments due, net of unearned revenue. The lease payments are segregated into principal and interest components similar to a loan. Unearned revenue is recognized on an effective interest method over the lease term and is recorded within ‘Other revenue’ in the consolidated statement of operations and comprehensive loss. The principal components of the lease payment is reflected as a reduction to the net investment in the finance lease.</w:t>
      </w:r>
    </w:p>
    <w:p>
      <w:pPr>
        <w:spacing w:after="0" w:line="85"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The Company’s contracts with customers to supply LNG may also contain a lease of equipment. The Company allocates consideration received from customers between lease and non-lease components based on the relative fair value of each component. The fair value of the lease component is estimated based on the cost of the leased items plus an expected profit margin. The estimated fair value of the non-lease component is based on estimated volumes to be delivered at an estimated price or contractual price. The estimated fair value of the leased equipment, as a percentage of the estimated total revenue from LNG and leased equipment at inception, will establish the allocation percentage to determine the minimum lease payments and the amount to be accounted for under the revenue recognition guidance.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Impairment</w:t>
      </w:r>
    </w:p>
    <w:p>
      <w:pPr>
        <w:spacing w:after="0" w:line="117"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LNG liquefaction facilities, and other long-lived assets held and used by the Company are reviewed periodically for potential impairment whenever events or changes in circumstances indicate that a particular assets carrying value may not be recoverable. Recoverability generally is determined by comparing the carrying value for the asset to the expected undiscounted future cash flows of the asset. If the carrying value of the asset is not recoverable, the amount of impairment loss is measured as the excess, if any, of the carrying value of the asset over its estimated fair value. The estimated undiscounted future cash flows are based on projections of future operating results; these projections contain estimates of the value of future contracts that have not yet been obtained, future commodity pricing, our future cost structure, among others. Projections of future operating results and cash flows may vary significantly from actual results. Management reviews its estimates of cash flows on an ongoing basis using historical experience, business plans, overall market conditions, and other factors.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EGC, can take advantage of the extended transition period provided in Section 7(a)</w:t>
      </w:r>
    </w:p>
    <w:p>
      <w:pPr>
        <w:ind w:right="140"/>
        <w:spacing w:after="0" w:line="254" w:lineRule="auto"/>
        <w:rPr>
          <w:sz w:val="20"/>
          <w:szCs w:val="20"/>
          <w:color w:val="auto"/>
        </w:rPr>
      </w:pPr>
      <w:r>
        <w:rPr>
          <w:rFonts w:ascii="Arial" w:cs="Arial" w:eastAsia="Arial" w:hAnsi="Arial"/>
          <w:sz w:val="18"/>
          <w:szCs w:val="18"/>
          <w:color w:val="auto"/>
        </w:rPr>
        <w:t>(2)(B) of the Securities Act of 1933, as amended, or the Securities Act, for complying with new or revised accounting standards. Thus, an EGC can delay the adoption of certain accounting standards until those standards would otherwise apply to private companies. We intend to take advantage of the exemptions discussed above. Accordingly, the information contained herein may be different than the information you receive from other public companies.</w:t>
      </w:r>
    </w:p>
    <w:p>
      <w:pPr>
        <w:spacing w:after="0" w:line="8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We are in the process of evaluating the benefits of relying on other exemptions and reduced reporting requirements under the JOBS Act. Subject to certain conditions, as an EGC, we intend to rely on certain of these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exemptions, including without limitation, (1) providing an auditor’s attestation report on our system of internal controls over financial reporting pursuant to Section 404(b) of the Sarbanes-Oxley Act and (2)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the last day of the fiscal year following the fifth anniversary of the date of the completion of this offering; (iii) the date on which we have issued more than $1.00 billion in nonconvertible debt during the previous three years; or (iv) the date on which we are deemed to be a large accelerated filer under the rules of the Securities and Exchange Commission or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 Standards</w:t>
      </w:r>
    </w:p>
    <w:p>
      <w:pPr>
        <w:spacing w:after="0" w:line="121"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For descriptions of recently issued accounting standards, see Note 3 - Adoption of new and revised standards of our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In the normal course of business, the Company encounters several significant types of market risks including commodity and interest rate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Debt that we incur under the Miami Loan and the Term Loan Facility bear interest at variable rates and expose us to interest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rate risk. We intend to repay the Miami Loan with proceeds received from the Term Loan Facility. Interest is calculated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the Term Loan Facility based on our selection, from time to time, of one of the index rates available to us plus an applicable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margin that varies based on certain factors. See “—Liquidity and Capital Resources—Long-Term Debt.” Assuming the full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$240,000 principal amount remains outstanding, the impact on interest expense of a 1% increase or decrease in the interest rate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in place upon closing of the Term Loan Facility would be approximately $2,400 per year. We do not currently have or intend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 into any derivative arrangements to protect against fluctuations in interest rates applicable to our outstanding indebtedness.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We primarily conduct our operations in U.S. dollars, and as such, our results of operations and cash flows have not materially been impacted by fluctuations due to changes in foreign currency exchange rates.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We are an established and growing energy infrastructure company with significant current cash flows from contracted customers and robust plans for future growth. We aim to procure “stranded” natural gas and deliver LNG directly to our customers via our flexible, scalable and cost-effective logistics pipeline. We believe the world is “short” power, and “long” natural gas, and that this combination presents a unique opportunity to help fulfill the world’s large and growing power needs by delivering LNG to markets where electricity is expensive, inefficient or in short supply. In those markets, we intend to identify key anchor customers to sign long-term, take-or-pay contracts for the supply of natural gas or gas-fired power. That is, we will deliver LNG to independent power producers, as well as other end-users, and we will also develop and own power producing assets fueled by our LNG. In fulfilling these anchor customer contracts, we use owned or chartered logistics assets to control the natural gas delivery chain.</w:t>
      </w:r>
    </w:p>
    <w:p>
      <w:pPr>
        <w:spacing w:after="0" w:line="58"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We currently source our LNG from a combination of our own liquefaction facility in Miami, Florida and purchases on the open market. We intend to supply all existing and future customers with LNG produced entirely at our own facilities. We will do this using an enhanced logistics chain, with flexible, efficient non-pipeline modes of transportation such as trucks and rail that will bring LNG to market and to our customers quickly and cost-effectively. Central to this logistics pipeline is a new-build, 3-3.5 million gallon per day liquefier expected to be completed and commissioned in mid-2020, which we refer to as the Pennsylvania Facility. We expect that ownership and operation of the entire supply chain, from fixed-price gas procurement to liquefaction to delivery of LNG to regasification, will reduce the risk to us of future LNG price variations and enable us to supply our existing and future customers with LNG either produced entirely at our own facilities or reflecting that price point, reinforcing our competitive standing in the LNG market.</w:t>
      </w:r>
    </w:p>
    <w:p>
      <w:pPr>
        <w:spacing w:after="0" w:line="8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highly scalable, integrated solution has already resulted in rapid, substantial growth, and we believe we are well positioned for additional future growth, particularly given the world’s increasing energy demands. We estimate that, today, over 70% of the world’s electricity is consumed by 10 countries while over a billion people, or 15% of the world’s population, lack access to electricity. We believe this imbalance represents a large addressable market for gas-fired electricity and that our proven approach positions us well to capture a meaningful portion of this market opportunity.</w:t>
      </w:r>
    </w:p>
    <w:p>
      <w:pPr>
        <w:spacing w:after="0" w:line="80"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Importantly, we believe we have the expertise and the ability to design, develop, construct and commission our energy infrastructure assets as we grow our business. And we believe we have access to sufficient capital available to us to fund our projects, which enables us to approach market opportunities at a time, and in a manner, of our choosing and with a view towards maximizing the likelihood of commercial success for our owners.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17"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Market developments around the world continue to generate increasing demand from a wide array of energy users for natural gas and gas-fired power as an alternative to traditional fuels such as coal, diesel, HFO or gasoline. Natural gas is a compelling energy source for several reasons. First, natural gas is often cheaper than oil for comparable energy output – often by as much as 25% on an energy-equivalent basis. Second, in many regions, the price of natural gas, including delivery costs, has historically been less volatile than the price of oil. Third, gas-fired “fast power” is critical in supporting renewable power integration. Solar or wind power works well when the sun is shining or the wind is blowing, but when those conditions are not present, an electricity grid must have an alternative power source at-the-ready. Gas-fired turbines are well suited for this purpose because their reaction times are much quicker than traditional diesel or HFO-fired electricity sources. The combination of renewable power plus fast-responding gas turbines has become a standard configuration for many nations looking to expand their renewable energy footprint. And finally, natural gas is an environmentally cleaner fuel source compared to oil. In a June 2015 study, the U.S. Energy Information Administration conducted an analysis to compare the amount of carbon dioxide emissions per unit of energy output among fossil fuels, including oil, and found that natural gas produces the lowest amount of carbon dioxide of all fossil fuels in the study by a significant margin.</w:t>
      </w:r>
    </w:p>
    <w:p>
      <w:pPr>
        <w:spacing w:after="0" w:line="80"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Given these dynamics and the development of more stringent environmental regulations, we believe a number of industries are well-positioned and motivated to convert to gas-fired electricity and that an enormous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amount of power generation capacity must be developed to meet the world’s projected electricity demands. We believe natural gas offers an ideal fuel source, either for conversion of existing diesel or HFO-powered units or as new-build facilities accompanying renewables-based grid planning. In addition, railroads, ships, mining and other industrial operations are examples of significant energy consumers looking for a better alternative to distillate fuels and may use natural gas in the future.</w:t>
      </w:r>
    </w:p>
    <w:p>
      <w:pPr>
        <w:spacing w:after="0" w:line="46"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Despite natural gas’s attractive attributes, many power producers and energy consumers that could use natural gas as an energy source have not done so, in part because of the logistical challenges of procuring natural gas in a reliable, useable form. In contrast to distillate fuels, which are easily shipped and delivered, the physical attributes of natural gas make it challenging to transport and deliver to customers. Natural gas has to be processed, liquefied, transported, regasified and then delivered to the consumer. We offer energy consumers a unique and compelling one-stop solution to these challenges. With a fully integrated business model and access to significant sources of capital, we bring natural gas to energy grids, end-user customers, and geographic locations where gas has never been introduced in distributable quantities. As our experience with our current customers has shown, once natural gas is provided as an alternative to distillate fuels it is adopted quickly by users across the demand spectrum, with cost-saving and environmental benefits that multiply with each new customer.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Liquefaction Assets</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A key component of our business strategy is our development of a unique source of LNG production. In addition to our fully operational Miami-Dade Facility, we intend to develop our Pennsylvania Facility as the next of potentially many LNG production facilities. Unlike large, coastal LNG terminals with long development schedules and multi-billion dollar capital budgets, we believe that our liquefaction facilities can be developed quickly and efficiently, using small scale, logistics-enhanced delivery assets to enable inland LNG production to reach oceangoing vessels.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Miami-Dade Facility</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Our natural gas liquefaction, storage and production facility located in Miami-Dade County, Florida, which we refer to as the Miami-Dade Facility, enables us to produce LNG for our customers and reduces our dependence on other suppliers for LNG. The facility employs what we believe is one of the largest ISO container fleets in the world. The Miami-Dade Facility, located within an industrial area of Hialeah, Florida, has one liquefaction train with liquefaction production capacity of approximately 100,000 gallons of LNG per day. The facility also has three LNG storage tanks, with total capacity of approximately 270,000 gallons. The Miami-Dade Facility includes equipment that removes impurities from the incoming natural gas, refrigerates the clean gas, and ultimately turns it into LNG. The storage tanks are shop-built, insulated ASME pressure tanks which can be operated at low pressure to minimize the hazards associated with a LNG storage tank release.</w:t>
      </w:r>
    </w:p>
    <w:p>
      <w:pPr>
        <w:spacing w:after="0" w:line="71"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The plant also includes two LNG transfer areas. The first transfer area has the capability to load LNG tank trucks, through two truck bays, at a rate of 200 gallons per minute per truck. The second transfer area is for loading LNG onto railroad tank cars for use as a locomotive fuel or rail-based ISO containers.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Pennsylvania Facility</w:t>
      </w:r>
    </w:p>
    <w:p>
      <w:pPr>
        <w:spacing w:after="0" w:line="117"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In Northern Pennsylvania, we are working to develop, own and operate an enhanced logistics chain, utilizing flexible, efficient non-pipeline modes of transportation such as trucks and rail to bring LNG to market and to our customers quickly and cost-effectively. Central to this logistics pipeline is a new-build, 3-3.5 million gallon per day liquefier which we refer to as the Pennsylvania Facility. The Pennsylvania Facility is in advanced stages of design, development and permitting and we expect it to be completed and commissioned in mid-2020. We have purchased land for development of this liquefaction facility in Bradford County, Pennsylvania, and we are pursuing all required local zoning and planning approvals. When completed in mid-2020, our liquefier will have a daily production capacity of between 3-3.5 million gallons per day of LNG (1.8 – 2.18 mtpa) using natural gas supplied under fixed-price, long-term contracts from one or more major gas suppliers in the Marcellus region. We have already entered into a 15-year, take-or-pay contract for a substantial portion of our expected natural gas needs for our Pennsylvania Facility, which is effective upon fulfillment of certain conditions precedent, and we expect to upsize this arrangement in the near future.</w:t>
      </w:r>
    </w:p>
    <w:p>
      <w:pPr>
        <w:spacing w:after="0" w:line="6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Once LNG is produced at our Pennsylvania Facility, a dedicated tanker fleet of approximately 170 tractors and 240 trailers will transport the LNG to a nearby port. A relay yard to be located at or around the midpoint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journey will allow for optimal logistics solutions and planning. We expect that a third party trucking service will provide transportation services to us under a haulage agreement at competitive rates. Because our transportation route will consist of the same origin-destination pair and will be repeated multiple times daily, we believe it will be efficient to operate using current technology and well-suited for adopting future technologies such as autonomous vehicles as those technologies advance.</w:t>
      </w:r>
    </w:p>
    <w:p>
      <w:pPr>
        <w:spacing w:after="0" w:line="46"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We are currently developing plans with a potential port partner at an Eastern Seaboard location, and we expect to finalize a long-term contract prior to the completion of this offering. Under these plans, we expect that LNG will be transferred directly from tanker truck to oceangoing vessel through 18 or more separate transloading bays, allowing for simultaneous and continuous operations. Our port partner’s existing (and planned) infrastructure can accommodate any modern LNG carrier, and we expect that our port partner would agree to build a dedicated dock for us as part of a long-term relationship. We would pay our port partner an agreed-upon throughput charge for LNG transloaded through the port, and our port partner would construct the required transloading infrastructure and equipment at its cost. From there, our dedicated fleet of marine vessels will transport the LNG to our customers worldwide.</w:t>
      </w:r>
    </w:p>
    <w:p>
      <w:pPr>
        <w:spacing w:after="0" w:line="84"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expect that ownership and operation of the entire supply chain, from fixed-price gas procurement to liquefaction of LNG at the Pennsylvania Facility to delivery and transloading at our Eastern Seaboard port partner, will help reduce the risk to us of future LNG price variations and enable us to supply our existing and future customers with LNG either produced entirely at our own facilities or reflecting that price point, reinforcing our competitive standing in the LNG market. We believe our efficient logistics pipeline utilizes the best supply chain management technology available today, and is positioned to allow us to optimize as technologies advance, and will enable us to produce and deliver LNG to our port partner at substantial discounts to competitors’ published “delivered ex ship” prices.</w:t>
      </w:r>
    </w:p>
    <w:p>
      <w:pPr>
        <w:spacing w:after="0" w:line="81"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color w:val="auto"/>
        </w:rPr>
        <w:t>We are currently finalizing the design of our Pennsylvania Facility and the details of the related commercial agreements described above. We expect to reach a final investment decision on the Pennsylvania Facility and these agreements in the second half of 2018, and that all related commercial agreements will be executed prior to the consummation of this offering.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Downstream Customers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Our management team has successfully employed our strategy to secure long-term, take-or-pay contracts with downstream customers such as JPS, the sole public utility in Jamaica, JPC, an affiliate of JPS, and Jamalco, a joint venture between GAJ, a subsidiary of Noble Group, and CAP, an entity owned by the Government of Jamaica, with a focus on bauxite mining and alumina production in Jamaica (“Jamalco”), each of which is described in more detail below. The assets built to service JPS have, and the assets built to service JPC and Jamalco will have, capacity to service other customers. We currently procure our LNG to fulfill these contracts either by purchasing it under a multi-cargo contract with Centrica or by manufacturing it in our Miami-Dade Facility. We are in the process of developing the infrastructure necessary to supply our existing and future customers with LNG produced entirely at our own facilities, including our Pennsylvania Facility.</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Bogue Power Plant</w:t>
      </w:r>
    </w:p>
    <w:p>
      <w:pPr>
        <w:spacing w:after="0" w:line="117"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We have executed a 22-year agreement to supply JPS’s Bogue Power Plant in Montego Bay, Jamaica with natural gas. The Bogue Power Plant is an approximately 120MW capacity power plant converted to run on natural gas as well as ADO. We believe the Bogue Power Plant is a compelling example of the power of our business strategy.</w:t>
      </w:r>
    </w:p>
    <w:p>
      <w:pPr>
        <w:spacing w:after="0" w:line="57"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The plant was originally constructed to burn natural gas, but, because the plant could not procure sufficient amounts of natural gas, the plant has burned ADO in recent years. We provide a comprehensive solution for JPS to use natural gas at the Bogue Power Plant at prices that are economically attractive to ADO in exchange for JPS entering into a long-term, take-or-pay supply agreement with us. Under the terms of the agreement, we ship LNG to Jamaica, regasify it and ultimately deliver natural gas to the Bogue Power Plant. We constructed the Montego Bay Terminal that commenced commercial operations on October 30, 2016. The Montego Bay Terminal has the capacity to store approximately two million gallons of LNG in seven storage tanks. The facility has regasification equipment and a pipeline capable of transporting sufficient natural gas to support up to 250MW of generation capacity.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Old Harbour Power Plant</w:t>
      </w:r>
    </w:p>
    <w:p>
      <w:pPr>
        <w:spacing w:after="0" w:line="117"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We have also executed an agreement to supply JPC’s Old Harbour Power Plant in Old Harbour, Jamaica with natural gas and back-up ADO for 20 years. The Old Harbour Power Plant will be an approximately 190 MW capacity dual fuel plant owned by JPC.</w:t>
      </w:r>
    </w:p>
    <w:p>
      <w:pPr>
        <w:spacing w:after="0" w:line="16"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Similar to our agreement with JPS regarding the Bogue Power Plant, we provide a comprehensive solution to JPC to use natural gas at the Old Harbour Power Plant at prices that are economically attractive relative to distillate fuel alternatives in exchange for JPC entering into a long-term, take-or-pay supply agreement with us. Under the terms of the agreement, we will ship LNG to Jamaica, regasify it and ultimately deliver natural gas to the Old Harbour Power Plant with ADO available as a back-up supply when natural gas is not available. Development has begun at the Old Harbour Terminal and is expected to be completed in the second half of 2018. Upon completion, the Old Harbour Terminal will have the capacity to store up to 35 million gallons of LNG in a floating marine storage unit. The facility will have regasification equipment and a pipeline capable of transporting natural gas to the Old Harbour Power Plant to support up to 400MW of generation capacity. We have secured binding EPC contracts for substantially all of the projected budget for the Old Harbour Terminal, and construction began in August 2017. We have also secured back-up ADO fuel supply under a contract with Petrojam.</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Jamalco Combined Heat &amp; Power Plant</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have also executed a suite of agreements, including a 20 year SSA to supply Jamalco with steam for use in its alumina refinery operations and a 20 year PPA to supply electricity to JPS, to support our development of the CHP Plant. The CHP Plant will be a 94MW capacity power plant and will be fueled by natural gas with the ability to run on diesel as a backup fuel source. We will ship LNG to Jamaica, regasify it at the Old Harbour Terminal and deliver it to the CHP Plant, which will be owned by our wholly owned subsidiary NFE South Power. We have obtained a power generation license for the CHP Plant and we expect construction to be completed by the first quarter of 2020.</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Jamaica Industrial End-User Sales</w:t>
      </w:r>
    </w:p>
    <w:p>
      <w:pPr>
        <w:spacing w:after="0" w:line="117" w:lineRule="exact"/>
        <w:rPr>
          <w:sz w:val="20"/>
          <w:szCs w:val="20"/>
          <w:color w:val="auto"/>
        </w:rPr>
      </w:pPr>
    </w:p>
    <w:p>
      <w:pPr>
        <w:ind w:right="80" w:firstLine="360"/>
        <w:spacing w:after="0" w:line="286" w:lineRule="auto"/>
        <w:rPr>
          <w:sz w:val="20"/>
          <w:szCs w:val="20"/>
          <w:color w:val="auto"/>
        </w:rPr>
      </w:pPr>
      <w:r>
        <w:rPr>
          <w:rFonts w:ascii="Arial" w:cs="Arial" w:eastAsia="Arial" w:hAnsi="Arial"/>
          <w:sz w:val="17"/>
          <w:szCs w:val="17"/>
          <w:color w:val="auto"/>
        </w:rPr>
        <w:t>We have entered into multiple long-term contracts to sell LNG directly to industrial end-users in Jamaica. To fulfill the requirements of our end-user customers, we transport LNG through our Jamaica Terminals (either from our liquefaction facilities in the United States or from third parties in market purchases) and deliver such LNG directly to customers.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example, we have entered into a 10-year agreement to supply Red Stripe with LNG to power its brewery operations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through Red Stripe’s own CHP facility located on-site at its brewery in Kingston, Jamaica. We constructed the necessary LNG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storage and regasification infrastructure “behind the fence” at Red Stripe’s factory in less than three months, and natural-gas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powered operations commenced on October 6, 2017. Red Stripe estimates that its conversion to natural gas will save it at least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$336,000 per year. The agreement with Red Stripe is the first of what we anticipate to be many such arrangements to supply LNG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directly to industrial end-users in Jamaica and elsewhere utilizing our end-to-end, fully integrated LNG supply network.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We believe our existing agreements with JPS, JPC and Jamalco validate our business strategy and position us to grow our business both in the Atlantic Basin and beyond. We are currently exploring opportunities to expand our business into new markets, including Puerto Rico, Baja, Mexico, the Bahamas and other areas in Mexico. Given the demand for natural gas-fired power, we believe there are significant opportunities to replicate our current projects in densely populated regions with existing marine infrastructure that are dependent on energy sources that are more expensive and environmentally “dirtier” than natural gas. This demand could increase if environmental regulations incentivize or require energy consumers to use fuels other than traditional oil-based alternatives.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Our primary business objective is to provide superior returns to our shareholders as a vertically integrated energy infrastructure company. We intend to accomplish this objective by implementing the following strategies:</w:t>
      </w:r>
    </w:p>
    <w:p>
      <w:pPr>
        <w:spacing w:after="0" w:line="62" w:lineRule="exact"/>
        <w:rPr>
          <w:sz w:val="20"/>
          <w:szCs w:val="20"/>
          <w:color w:val="auto"/>
        </w:rPr>
      </w:pPr>
    </w:p>
    <w:p>
      <w:pPr>
        <w:ind w:left="700" w:right="140" w:hanging="356"/>
        <w:spacing w:after="0" w:line="293"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develop LNG liquefaction and distribution facilities. </w:t>
      </w:r>
      <w:r>
        <w:rPr>
          <w:rFonts w:ascii="Arial" w:cs="Arial" w:eastAsia="Arial" w:hAnsi="Arial"/>
          <w:sz w:val="16"/>
          <w:szCs w:val="16"/>
          <w:color w:val="auto"/>
        </w:rPr>
        <w:t>We currently procure our LNG either by purchasing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open markets in amounts sufficient to service our customers’ needs or by manufacturing it in our Miami-Dade Facility. Following this offering, we intend to continue to develop the infrastructure necessary to supply our existing and future customers with LNG produced entirely at our facilities, including our Pennsylvania Facility. We expect that ownership of this vertical supply chain, from fixed-price gas procurement to liquefaction to delivery of LNG, will reduce our (and our customers’) future LNG price variations, thereby reinforcing our competitive standing in the LNG market.</w:t>
      </w:r>
    </w:p>
    <w:p>
      <w:pPr>
        <w:spacing w:after="0" w:line="56" w:lineRule="exact"/>
        <w:rPr>
          <w:rFonts w:ascii="Arial" w:cs="Arial" w:eastAsia="Arial" w:hAnsi="Arial"/>
          <w:sz w:val="16"/>
          <w:szCs w:val="16"/>
          <w:color w:val="auto"/>
        </w:rPr>
      </w:pPr>
    </w:p>
    <w:p>
      <w:pPr>
        <w:ind w:left="700" w:hanging="356"/>
        <w:spacing w:after="0" w:line="289"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LNG distribution business. </w:t>
      </w:r>
      <w:r>
        <w:rPr>
          <w:rFonts w:ascii="Arial" w:cs="Arial" w:eastAsia="Arial" w:hAnsi="Arial"/>
          <w:sz w:val="16"/>
          <w:szCs w:val="16"/>
          <w:color w:val="auto"/>
        </w:rPr>
        <w:t>Our sales and marketing team seeks to identify utilities, transportation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or industrial end-users who may view natural gas or LNG as a potentially compelling alternative to traditional distillate fuels and enter into long-term, take-or-pay contracts for our products and services. Following entry into these agreements, we intend to develop the necessary infrastructure to deliver natural gas or LNG directly to the consumer in readily usable form and, in the case of power generation or steam production, to produce and deliver the required quantities of power or steam. Our comprehensive infrastructure and management services and our experience as a first mover in the Atlantic Basin should allow us to expand our footprint in the Atlantic Basin and beyond to new customers as demand for alternatives to traditional energy sources continues to expand. Following this offering, we intend to expand our footprint and enhance our service offerings to our current customers while developing relationships with new customers.</w:t>
      </w:r>
    </w:p>
    <w:p>
      <w:pPr>
        <w:spacing w:after="0" w:line="58" w:lineRule="exact"/>
        <w:rPr>
          <w:rFonts w:ascii="Arial" w:cs="Arial" w:eastAsia="Arial" w:hAnsi="Arial"/>
          <w:sz w:val="16"/>
          <w:szCs w:val="16"/>
          <w:color w:val="auto"/>
        </w:rPr>
      </w:pPr>
    </w:p>
    <w:p>
      <w:pPr>
        <w:ind w:left="700" w:right="180" w:hanging="356"/>
        <w:spacing w:after="0" w:line="255"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 gas-fired power generation assets. </w:t>
      </w:r>
      <w:r>
        <w:rPr>
          <w:rFonts w:ascii="Arial" w:cs="Arial" w:eastAsia="Arial" w:hAnsi="Arial"/>
          <w:sz w:val="18"/>
          <w:szCs w:val="18"/>
          <w:color w:val="auto"/>
        </w:rPr>
        <w:t>We believe that developing and constructing our own gas-fired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assets is a compelling growth strategy for our Company. We are currently developing the CHP Plant in Clarendon, Jamaica, from which we expect to supply electricity to JPS under a long-term contract. Because we intend to control the entire “spark spread” from upstream production to delivery of electricity to a customer or grid, we are able to capture economic value in a way our competitors likely cannot. For example, the cost of fuel is a pass-through for most power producers. Because we would supply these power plants with our own LNG and natural gas, we capture fuel economics which can be significant.</w:t>
      </w:r>
    </w:p>
    <w:p>
      <w:pPr>
        <w:spacing w:after="0" w:line="81" w:lineRule="exact"/>
        <w:rPr>
          <w:rFonts w:ascii="Arial" w:cs="Arial" w:eastAsia="Arial" w:hAnsi="Arial"/>
          <w:sz w:val="18"/>
          <w:szCs w:val="18"/>
          <w:color w:val="auto"/>
        </w:rPr>
      </w:pPr>
    </w:p>
    <w:p>
      <w:pPr>
        <w:ind w:left="700" w:right="20" w:hanging="356"/>
        <w:spacing w:after="0" w:line="272"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build-out our Caribbean infrastructure. </w:t>
      </w:r>
      <w:r>
        <w:rPr>
          <w:rFonts w:ascii="Arial" w:cs="Arial" w:eastAsia="Arial" w:hAnsi="Arial"/>
          <w:sz w:val="17"/>
          <w:szCs w:val="17"/>
          <w:color w:val="auto"/>
        </w:rPr>
        <w:t>Our take-or-pay GSAs and SSAs with electric utilities and industrial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end-users in Jamaica provide us with stable, long-term contracted cash flows. In order to service these contracts efficiently and cost effectively, we have begun to develop the necessary assets and infrastructure in Jamaica. Following this offering, we intend to continue to develop and optimize our Jamaica infrastructure to provide natural gas, LNG, steam or electricity in readily usable form directly to our customers. Beyond these prospects, we intend to selectively identify and market our services to energy customers who view natural gas or LNG as a compelling alternative to other fuel sources that will allow us to further expand our footprint.</w:t>
      </w:r>
    </w:p>
    <w:p>
      <w:pPr>
        <w:spacing w:after="0" w:line="69" w:lineRule="exact"/>
        <w:rPr>
          <w:rFonts w:ascii="Arial" w:cs="Arial" w:eastAsia="Arial" w:hAnsi="Arial"/>
          <w:sz w:val="17"/>
          <w:szCs w:val="17"/>
          <w:color w:val="auto"/>
        </w:rPr>
      </w:pPr>
    </w:p>
    <w:p>
      <w:pPr>
        <w:ind w:left="700" w:hanging="356"/>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Maintain financial strength and flexibility. </w:t>
      </w:r>
      <w:r>
        <w:rPr>
          <w:rFonts w:ascii="Arial" w:cs="Arial" w:eastAsia="Arial" w:hAnsi="Arial"/>
          <w:sz w:val="16"/>
          <w:szCs w:val="16"/>
          <w:color w:val="auto"/>
        </w:rPr>
        <w:t>We will seek to maintain a conservative balance sheet, which will allow us to</w:t>
      </w:r>
    </w:p>
    <w:p>
      <w:pPr>
        <w:sectPr>
          <w:pgSz w:w="11900" w:h="16838" w:orient="portrait"/>
          <w:cols w:equalWidth="0" w:num="1">
            <w:col w:w="9560"/>
          </w:cols>
          <w:pgMar w:left="1180" w:top="279" w:right="1159" w:bottom="1440" w:gutter="0" w:footer="0" w:header="0"/>
        </w:sectPr>
      </w:pPr>
    </w:p>
    <w:p>
      <w:pPr>
        <w:spacing w:after="0" w:line="46" w:lineRule="exact"/>
        <w:rPr>
          <w:sz w:val="20"/>
          <w:szCs w:val="20"/>
          <w:color w:val="auto"/>
        </w:rPr>
      </w:pPr>
    </w:p>
    <w:p>
      <w:pPr>
        <w:jc w:val="both"/>
        <w:ind w:left="700" w:right="60"/>
        <w:spacing w:after="0" w:line="265" w:lineRule="auto"/>
        <w:rPr>
          <w:sz w:val="20"/>
          <w:szCs w:val="20"/>
          <w:color w:val="auto"/>
        </w:rPr>
      </w:pPr>
      <w:r>
        <w:rPr>
          <w:rFonts w:ascii="Arial" w:cs="Arial" w:eastAsia="Arial" w:hAnsi="Arial"/>
          <w:sz w:val="17"/>
          <w:szCs w:val="17"/>
          <w:color w:val="auto"/>
        </w:rPr>
        <w:t>better react to our customers’ changing needs. As of the closing of this offering, we expect to have $ in total assets (including $ in cash and cash equivalents) and $ of total indebtedness outstanding. We believe this low leverage</w:t>
      </w:r>
    </w:p>
    <w:p>
      <w:pPr>
        <w:sectPr>
          <w:pgSz w:w="11900" w:h="16838" w:orient="portrait"/>
          <w:cols w:equalWidth="0" w:num="1">
            <w:col w:w="9560"/>
          </w:cols>
          <w:pgMar w:left="1180" w:top="279" w:right="1159" w:bottom="1440" w:gutter="0" w:footer="0" w:header="0"/>
          <w:type w:val="continuous"/>
        </w:sectPr>
      </w:pPr>
    </w:p>
    <w:p>
      <w:pPr>
        <w:ind w:left="700" w:right="100"/>
        <w:spacing w:after="0" w:line="261" w:lineRule="auto"/>
        <w:rPr>
          <w:sz w:val="20"/>
          <w:szCs w:val="20"/>
          <w:color w:val="auto"/>
        </w:rPr>
      </w:pPr>
      <w:r>
        <w:rPr>
          <w:rFonts w:ascii="Arial" w:cs="Arial" w:eastAsia="Arial" w:hAnsi="Arial"/>
          <w:sz w:val="18"/>
          <w:szCs w:val="18"/>
          <w:color w:val="auto"/>
        </w:rPr>
        <w:t>and robust cash position, along with our cash flows from operations will provide us with sufficient liquidity to execute on the business strategies discussed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We believe we are well positioned to achieve our primary business objectives and execute our business strategies based on the following competitive strengths:</w:t>
      </w:r>
    </w:p>
    <w:p>
      <w:pPr>
        <w:spacing w:after="0" w:line="62" w:lineRule="exact"/>
        <w:rPr>
          <w:sz w:val="20"/>
          <w:szCs w:val="20"/>
          <w:color w:val="auto"/>
        </w:rPr>
      </w:pPr>
    </w:p>
    <w:p>
      <w:pPr>
        <w:ind w:left="700" w:right="180" w:hanging="356"/>
        <w:spacing w:after="0" w:line="259"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energy solution creates new customer base. </w:t>
      </w:r>
      <w:r>
        <w:rPr>
          <w:rFonts w:ascii="Arial" w:cs="Arial" w:eastAsia="Arial" w:hAnsi="Arial"/>
          <w:sz w:val="18"/>
          <w:szCs w:val="18"/>
          <w:color w:val="auto"/>
        </w:rPr>
        <w:t>We offer our customers a comprehensive energy solution.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the infrastructure and manage the logistics necessary to deliver natural gas or LNG directly to our customers in amounts tailored to their consumption needs. In addition, we offer to construct or convert power generation assets to burn natural gas, thereby producing cleaner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20" w:right="160"/>
        <w:spacing w:after="0" w:line="264" w:lineRule="auto"/>
        <w:rPr>
          <w:sz w:val="20"/>
          <w:szCs w:val="20"/>
          <w:color w:val="auto"/>
        </w:rPr>
      </w:pPr>
      <w:r>
        <w:rPr>
          <w:rFonts w:ascii="Arial" w:cs="Arial" w:eastAsia="Arial" w:hAnsi="Arial"/>
          <w:sz w:val="18"/>
          <w:szCs w:val="18"/>
          <w:color w:val="auto"/>
        </w:rPr>
        <w:t>cheaper electricity. By offering a comprehensive solution, we believe we can prompt meaningful numbers of significant energy consumers—such as power utilities, railroads, ships, mining and other industrial operations looking for a better alternative to oil to convert to natural gas and enter into contracts with us.</w:t>
      </w:r>
    </w:p>
    <w:p>
      <w:pPr>
        <w:spacing w:after="0" w:line="73" w:lineRule="exact"/>
        <w:rPr>
          <w:sz w:val="20"/>
          <w:szCs w:val="20"/>
          <w:color w:val="auto"/>
        </w:rPr>
      </w:pPr>
    </w:p>
    <w:p>
      <w:pPr>
        <w:ind w:left="700" w:right="60" w:hanging="356"/>
        <w:spacing w:after="0" w:line="255"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Demonstrated ability to execute. </w:t>
      </w:r>
      <w:r>
        <w:rPr>
          <w:rFonts w:ascii="Arial" w:cs="Arial" w:eastAsia="Arial" w:hAnsi="Arial"/>
          <w:sz w:val="18"/>
          <w:szCs w:val="18"/>
          <w:color w:val="auto"/>
        </w:rPr>
        <w:t>The success of our business strategy and its benefit to our customers is demonstrated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proven ability to secure long-term, take-or-pay contracts. Our Montego Bay Terminal and related infrastructure (operational since October 30, 2016) has enabled JPS to use natural gas at the Bogue Power Plant, rather than rely on ADO, at prices that are competitive with ADO. We have also entered into a long-term, take-or-pay contract with JPC to supply the Old Harbour Power Plant with LNG, a 20-year SSA to supply Jamalco with steam for use in its alumina refinery operations, and a 20-year PPA to supply electricity to the Jamaica power grid from our CHP Plant in Clarendon, Jamaica.</w:t>
      </w:r>
    </w:p>
    <w:p>
      <w:pPr>
        <w:spacing w:after="0" w:line="81" w:lineRule="exact"/>
        <w:rPr>
          <w:rFonts w:ascii="Arial" w:cs="Arial" w:eastAsia="Arial" w:hAnsi="Arial"/>
          <w:sz w:val="18"/>
          <w:szCs w:val="18"/>
          <w:color w:val="auto"/>
        </w:rPr>
      </w:pPr>
    </w:p>
    <w:p>
      <w:pPr>
        <w:ind w:left="700" w:right="80" w:hanging="356"/>
        <w:spacing w:after="0" w:line="271" w:lineRule="auto"/>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Economically and environmentally attractive product. </w:t>
      </w:r>
      <w:r>
        <w:rPr>
          <w:rFonts w:ascii="Arial" w:cs="Arial" w:eastAsia="Arial" w:hAnsi="Arial"/>
          <w:sz w:val="17"/>
          <w:szCs w:val="17"/>
          <w:color w:val="auto"/>
        </w:rPr>
        <w:t>We believe natural gas is a cheaper, cleaner and thus superior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alternative energy source to traditional oil-based fuels. According to our internal estimates, on an energy equivalent basis using recent pricing, natural gas provides meaningfully more energy per dollar spent compared to diesel. Importantly, natural gas is also an environmentally cleaner fuel source compared to oil. In a June 2015 study, the U.S. Energy Information Administration conducted an analysis to compare the amount of carbon dioxide emissions per unit of energy output among fossil fuels, including oil, and found that natural gas produces the lowest amount of carbon dioxide of all fossil fuels in the study. Natural gas’s attributes, coupled with the development of more stringent environmental regulations, make it a compelling energy source for many energy consumers.</w:t>
      </w:r>
    </w:p>
    <w:p>
      <w:pPr>
        <w:spacing w:after="0" w:line="70" w:lineRule="exact"/>
        <w:rPr>
          <w:rFonts w:ascii="Arial" w:cs="Arial" w:eastAsia="Arial" w:hAnsi="Arial"/>
          <w:sz w:val="17"/>
          <w:szCs w:val="17"/>
          <w:color w:val="auto"/>
        </w:rPr>
      </w:pPr>
    </w:p>
    <w:p>
      <w:pPr>
        <w:ind w:left="700" w:hanging="356"/>
        <w:spacing w:after="0" w:line="291" w:lineRule="auto"/>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Scalable infrastructure can drive margin expansion. </w:t>
      </w:r>
      <w:r>
        <w:rPr>
          <w:rFonts w:ascii="Arial" w:cs="Arial" w:eastAsia="Arial" w:hAnsi="Arial"/>
          <w:sz w:val="16"/>
          <w:szCs w:val="16"/>
          <w:color w:val="auto"/>
        </w:rPr>
        <w:t>Our Jamaica Terminals, CHP Plant and other infrastructure 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to deliver natural gas to additional islands throughout the Atlantic Basin and beyond. We believe we can augment our existing infrastructure by investing limited amounts of additional capital to expand uses with our largest customers and to secure new customers at favorable margins. We expect that significant expansion of our liquefaction capabilities and our delivery logistics chain through the development, ownership and operation of the Pennsylvania Facility, together with the current operations at the Miami-Dade Facility, will enable us to supply our existing and future customers with LNG produced entirely at our own facilities and will help to reduce the risk of future LNG price variations.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In marketing LNG and natural gas, we compete for sales of LNG and natural gas with a variety of competitors, including: major integrated marketers who have large amounts of capital to support their marketing operations and offer a full-range of services and market numerous products other than natural gas; producer marketers who sell their own natural gas production or the production of their affiliated natural gas production company; small geographically focused marketers who focus on marketing natural gas for the geographic area in which their affiliated distributor operates; and aggregators who gather small volumes of natural gas from various sources, combine them and sell the larger volumes for more favorable prices and terms than would be possible selling the smaller volumes separately.</w:t>
      </w:r>
    </w:p>
    <w:p>
      <w:pPr>
        <w:spacing w:after="0" w:line="81" w:lineRule="exact"/>
        <w:rPr>
          <w:sz w:val="20"/>
          <w:szCs w:val="20"/>
          <w:color w:val="auto"/>
        </w:rPr>
      </w:pPr>
    </w:p>
    <w:p>
      <w:pPr>
        <w:jc w:val="both"/>
        <w:ind w:right="180" w:firstLine="360"/>
        <w:spacing w:after="0" w:line="312" w:lineRule="auto"/>
        <w:rPr>
          <w:sz w:val="20"/>
          <w:szCs w:val="20"/>
          <w:color w:val="auto"/>
        </w:rPr>
      </w:pPr>
      <w:r>
        <w:rPr>
          <w:rFonts w:ascii="Arial" w:cs="Arial" w:eastAsia="Arial" w:hAnsi="Arial"/>
          <w:sz w:val="16"/>
          <w:szCs w:val="16"/>
          <w:color w:val="auto"/>
        </w:rPr>
        <w:t>However, we do not expect to experience significant competition for our LNG logistics services with respect to the Jamaica Terminals because we have entered into fixed GSAs with JPS and JPC for the Jamaica Terminals. If and when we have to replace our agreements with JPS or JPC, we may compete with other then-existing LNG logistics companies for these customers.</w:t>
      </w:r>
    </w:p>
    <w:p>
      <w:pPr>
        <w:spacing w:after="0" w:line="39"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There are no other liquefaction terminals currently in operation in Florida. However, a number of plants are currently under development in the region that could compete with our Miami-Dade Facility.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purchasing LNG as part of our logistics business, we will compete for supplies of LNG with:</w:t>
      </w:r>
    </w:p>
    <w:p>
      <w:pPr>
        <w:spacing w:after="0" w:line="117" w:lineRule="exact"/>
        <w:rPr>
          <w:sz w:val="20"/>
          <w:szCs w:val="20"/>
          <w:color w:val="auto"/>
        </w:rPr>
      </w:pPr>
    </w:p>
    <w:p>
      <w:pPr>
        <w:ind w:left="700" w:right="120" w:hanging="356"/>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large, multinational and national companies with longer operating histories, more development experience, greater name recognition, larger staffs and substantially greater financial, technical and marketing resources;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oil and gas producers who sell or control LNG derived from their international oil and gas properties; and</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purchasers located in other countries where prevailing market prices can be substantially different from those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Our LNG infrastructure is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DOE Export</w:t>
      </w:r>
    </w:p>
    <w:p>
      <w:pPr>
        <w:spacing w:after="0" w:line="117"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The DOE issued orders authorizing us, through our subsidiary, American LNG Marketing or its designee, to export up to a combined total of the equivalent of 60,000 mtpa (approximately 3.02 Bcf/yr) of domestically produced LNG by tanker from the Miami-Dade Facility to FTA countries for a 20-year term and to non-FTA countries for a 20-year term under contracts with terms of two years or longer. The 20-year term of the authorizations commenced on February 5, 2016, the date of first export from the Miami-Dade Facility. The DOE has also authorized American LNG Marketing to export LNG from the Miami-Dade Facility to FTA and non-FTA countries under short-term (less than two years) agreements or on a spot cargo basis. Any LNG exported under the short-term authorization would be counted toward the quantity authorized under the long-term authorizations.</w:t>
      </w:r>
    </w:p>
    <w:p>
      <w:pPr>
        <w:spacing w:after="0" w:line="59"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Exports of natural gas to FTA countries are “deemed to be consistent with the public interest” and authorization to export LNG to FTA countries shall be granted by the DOE without “modification or delay.” FTA countries which import LNG now or will do so in the near future include Chile, Mexico, Singapore, South Korea and the Dominican Republic. Exports of natural gas to non-FTA countries are considered by the DOE in the context of a comment period whereby interveners are provided the opportunity to assert that such authorization would not be consistent with the public interest.</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Pipelines and Hazardous Materials Safety Administration</w:t>
      </w:r>
    </w:p>
    <w:p>
      <w:pPr>
        <w:spacing w:after="0" w:line="117" w:lineRule="exact"/>
        <w:rPr>
          <w:sz w:val="20"/>
          <w:szCs w:val="20"/>
          <w:color w:val="auto"/>
        </w:rPr>
      </w:pPr>
    </w:p>
    <w:p>
      <w:pPr>
        <w:ind w:right="120" w:firstLine="360"/>
        <w:spacing w:after="0" w:line="270" w:lineRule="auto"/>
        <w:rPr>
          <w:sz w:val="20"/>
          <w:szCs w:val="20"/>
          <w:color w:val="auto"/>
        </w:rPr>
      </w:pPr>
      <w:r>
        <w:rPr>
          <w:rFonts w:ascii="Arial" w:cs="Arial" w:eastAsia="Arial" w:hAnsi="Arial"/>
          <w:sz w:val="17"/>
          <w:szCs w:val="17"/>
          <w:color w:val="auto"/>
        </w:rPr>
        <w:t>Many LNG facilities are also subject to regulation by the DOT, through the PHMSA; PHMSA has established requirements relating to the design, installation, testing, construction, operation, replacement and management of “pipeline facilities,” which PHMSA has defined to include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7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In recent years, PHMSA’s regulation of pipeline facilities has become more stringent. For example, in March 2016, the PHMSA released a comprehensive proposed rulemaking concerning gas pipeline safety that, if adopted, would, among other things, regulate many currently-unregulated gathering lines in rural areas, expand the integrity management requirements beyond “High Consequence Areas” to apply to gas pipelines in newly-defined “Moderate Consequence Areas,” and require to pressure testing of many formerly-grandfathered pipelines in place before 1970 to determine their maximum allowable operating pressures. In January 2017, PHMSA issued a pre-publication version of a final rule that amends its pipeline safety regulations for the design, construction, testing, operation and maintenance of hazardous liquids pipelines. Although the Trump Administration has not yet taken any action to finalize these proposed rules, they remain pending. Similar to these efforts, PHMSA’s regulation of LNG facilities could become more stringent in the future.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Our LNG infrastructure and operations are subject to various international, federal, state and local laws and regulations as well as foreign laws and regulations relating to the protection of the environment, natural resources and human health. These environmental laws and regulations may require the installation of controls on emissions and structures to prevent or mitigate any potential harm to human health and the environment.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Clean Air Act</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Our LNG infrastructure is subject to the federal CAA and comparable state and local laws. We may be required to incur certain capital expenditures over the next several years for equipment to control air emissions as a condition to maintaining or obtaining permits and approvals. Alternatively, we may be required to restrict or limit the amount of LNG we produce or ship in order to obtain or maintain a permit. We do not believe, however, that our operations, or the construction and operations of our liquefaction facilities, will be materially and adversely affected by any such requirements.</w:t>
      </w:r>
    </w:p>
    <w:p>
      <w:pPr>
        <w:spacing w:after="0" w:line="64"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In 2009, the EPA promulgated and finalized the Mandatory Greenhouse Gas Reporting Rule for multiple sections of the economy. This rule requires mandatory reporting of GHG emissions from stationary fuel combustion sources as well as all fugitive emissions throughout LNG infrastructure. From time to time, Congress has considered proposed legislation directed at reducing GHG emissions, and the EPA has defined GHG emissions thresholds for requiring certain permits for new and existing industrial sources. In addition, many states have already taken regulatory action to monitor and/or reduce emissions of GHGs, primarily through the development of GHG emission inventories or regional GHG cap and trade programs. It is not possible at this time to predict how future regulations or legislation may address GHG emissions and impact our business. However, future regulations and laws could result in increased compliance costs or additional operating restrictions and could have a material adverse effect on our business, financial position, operating results and cash flows.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Coastal Zone Management Act (“CZMA”)</w:t>
      </w:r>
    </w:p>
    <w:p>
      <w:pPr>
        <w:spacing w:after="0" w:line="117"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LNG infrastructure may be subject to the review and requirements of the CZMA when facilities are located within the coastal zone. The CZMA is administered by the states (in Florida, via the Florida Coastal Management Program, which is coordinated by the Florida Department of Environmental Protection). This program is implemented to ensure that impacts to coastal areas are consistent with the intent of the CZMA and each state’s respective CZMA-authorized program to manage the coastal areas.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Clean Water Act</w:t>
      </w:r>
    </w:p>
    <w:p>
      <w:pPr>
        <w:spacing w:after="0" w:line="117"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Our LNG infrastructure is also subject to the federal CWA and analogous state and local laws. The CWA imposes strict controls on the discharge of pollutants into the waters of the United States, including discharges of wastewater and storm water runoff and fill/discharges into waters of the United States. Permits must be obtained prior to discharging pollutants into state and federal waters and before constructing infrastructure that requires the dredging and filling of waters of the United States. The CWA is administered by the EPA, the U.S. Army Corps of Engineers (“USACE”) and by the states via the applicable state agency.</w:t>
      </w:r>
    </w:p>
    <w:p>
      <w:pPr>
        <w:spacing w:after="0" w:line="5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We are required to comply with numerous other federal, state and local environmental, health and safety laws and regulations in addition to those previously discussed. These additional laws include, for example, the Rivers and Harbors Act, the federal Resource Conservation and Recovery Act and comparable state statutes, the Endangered Species Act, the National Historic Preservation Act and the Emergency Planning and Community Right-to-Know Act.</w:t>
      </w:r>
    </w:p>
    <w:p>
      <w:pPr>
        <w:spacing w:after="0" w:line="7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Moreover, our current operations and future projects may be subject to additional federal permits, orders, approvals and consultations required by other federal agencies under these and other statutes, including the DOE, Advisory Council on Historic Preservation, the USACE, U.S. Department of Commerce, National Marine Fisheries Services, U.S. Department of the Interior, U.S. Fish and Wildlife Service, the EPA and U.S. Department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Homeland Security. In addition, federal permitting processes may trigger the requirements of NEPA, which requires federal agencies to evaluate major agency actions that have the potential to significantly impact the environment. State permitting regimes may require similar consultations with applicable state-level agencies and/or the preparation of a similar assessment of environmental impacts pursuant to state law.</w:t>
      </w:r>
    </w:p>
    <w:p>
      <w:pPr>
        <w:spacing w:after="0" w:line="79"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Additional federal permits that may be required to conduct our current operations or pursue future projects include, for example, a USACE Section 404 permit under the CWA and a Section 10 of the Rivers and Harbors Act Permit, a Title V Operating Permit under the CAA, a Prevention of Significant Deterioration Permit under the CAA and, where applicable, a Federal Aviation Administration determinations or approvals relating to certain ground construction activities.</w:t>
      </w:r>
    </w:p>
    <w:p>
      <w:pPr>
        <w:spacing w:after="0" w:line="63"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Other local laws and regulations, including local zoning laws and fire protection codes, may also affect where and how we operate.</w:t>
      </w:r>
    </w:p>
    <w:p>
      <w:pPr>
        <w:spacing w:after="0" w:line="6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costs of compliance with these requirements are not expected to have a material adverse effect on our business, financial condition or results of operations.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U.S. and International Maritime Regulations of LNG Vessels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IMO is the United Nations agency that provides international regulations governing shipping and international maritime trade. The requirements contained in the ISM Code promulgated by the IMO govern the shipping of our LNG cargoes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also describing procedures for responding to emergencies.</w:t>
      </w:r>
    </w:p>
    <w:p>
      <w:pPr>
        <w:spacing w:after="0" w:line="8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Vessels that transport gas, including LNG carriers,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The completely revised and updated IGC Code entered into force on January 1, 2016, with an implementation/application date of July 1, 2016. The amendments were developed following a comprehensive five-year review and are intended to take into account the latest advances in science and technology. Compliance with the IGC Code must be evidenced by a Certificate of Fitness for the Carriage of Liquefied Gases in Bulk. MARPOL regulates air emissions through Annex VI regulations for the Prevention of Air Pollution from Ships (“Annex VI”), entered into force on May 19, 2005. Annex VI sets limits on sulfur oxide and nitrogen oxide emissions from ship exhausts, emissions of volatile compounds from cargo tanks and incineration of specific substances, and prohibits deliberate emissions of ozone depleting substances.</w:t>
      </w:r>
    </w:p>
    <w:p>
      <w:pPr>
        <w:spacing w:after="0" w:line="6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Additionally, more stringent emission standards apply in coastal areas designated as ECAs, such as the U.S. and Canadian coastal areas, which are designated by the Marine Environment Protection Committee. Effective August 1, 2012, certain coastal areas of North America were designated ECAs. Furthermore, as of January 1, 2014, portions of the U.S. Caribbean Sea were designated ECAs. Annex VI Regulation 14, which came into effect on January 1, 2015, set a 0.1% sulfur limit in areas of the Baltic Sea, North Sea, North America, and U.S. Caribbean Sea that are ECAs.</w:t>
      </w:r>
    </w:p>
    <w:p>
      <w:pPr>
        <w:spacing w:after="0" w:line="80"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Amended Annex VI also establishes new tiers of stringent nitrogen oxide emissions standards for new marine engines, depending on their date of installation. The North Sea and Baltic Sea have been formally designated as ECAs for nitrogen oxides effective January 1, 2021. U.S. air emissions standards are now equivalent to these amended Annex VI requirements. Additional or new conventions, laws and regulations may be adopted that could require the installation of expensive emission control systems.</w:t>
      </w:r>
    </w:p>
    <w:p>
      <w:pPr>
        <w:spacing w:after="0" w:line="46"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We transact with leading vessel providers in the LNG industry and look to them to ensure that each of our chartered vessels is in compliance with applicable international and in-country requirements. Nevertheless, the IMO continues to review and introduce new regulations. It is impossible to predict what additional regulations, if any, may be passed by the IMO and what effect, if any, such regulation may have on our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LNG and Natural Gas Marketing Governmental Regulation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Commodity Futures Trading Commission</w:t>
      </w:r>
    </w:p>
    <w:p>
      <w:pPr>
        <w:spacing w:after="0" w:line="117" w:lineRule="exact"/>
        <w:rPr>
          <w:sz w:val="20"/>
          <w:szCs w:val="20"/>
          <w:color w:val="auto"/>
        </w:rPr>
      </w:pPr>
    </w:p>
    <w:p>
      <w:pPr>
        <w:ind w:right="80" w:firstLine="360"/>
        <w:spacing w:after="0" w:line="286" w:lineRule="auto"/>
        <w:rPr>
          <w:sz w:val="20"/>
          <w:szCs w:val="20"/>
          <w:color w:val="auto"/>
        </w:rPr>
      </w:pPr>
      <w:r>
        <w:rPr>
          <w:rFonts w:ascii="Arial" w:cs="Arial" w:eastAsia="Arial" w:hAnsi="Arial"/>
          <w:sz w:val="16"/>
          <w:szCs w:val="16"/>
          <w:color w:val="auto"/>
        </w:rPr>
        <w:t>The Dodd-Frank Act provides for federal regulation of the OTC derivatives market and entities, such as us, that participate in that market. The regulatory regime created by the Dodd-Frank Act is designed primarily to (1) regulate certain participants in the swaps markets, including entities falling within the categories of “Swap Dealer” and “Major Swap Participant,” (2) require clearing and exchange trading of certain classes of swaps as designated by the CFTC, (3) increase swap market transparency through robust reporting and recordkeeping requirements, (4) reduce financial risks in the derivatives market by imposing margin or collateral requirements on both cleared and, in certain cases, uncleared swaps, (5) provide the CFTC with expanded authority to establish position limits on certain swaps and futures products as it finds necessary and appropriate, and (6) otherwise enhance the rulemaking and enforcement authority of the CFTC and the SEC regarding the derivatives markets. As required by the Dodd-Frank Act, the CFTC, the SEC and other regulators have been promulgating rules and regulations implementing the regulatory provisions of the Dodd-Frank Act, although neither the CFTC nor the SEC has yet adopted or implemented all of the rules required by the Dodd-Frank Act. In addition, the CFTC and its staff regularly issue rule amendments and guidance, policy statements and letters interpreting or taking no-action positions, including time-limited no action positions, regarding the derivatives provisions of the Dodd-Frank Act and the rules of the CFTC under these provisions.</w:t>
      </w:r>
    </w:p>
    <w:p>
      <w:pPr>
        <w:spacing w:after="0" w:line="6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A provision of the Dodd-Frank Act requires the CFTC, in order to diminish or prevent excessive speculation in commodity markets, to adopt rules, as it finds necessary and appropriate, imposing new position limits on certain futures contracts, options contracts and economically equivalent physical commodity swaps and on OTC swaps that perform a significant price discovery function with respect to certain markets. In that regard, the CFTC has proposed position limits rules that would modify and expand the applicability of position limits on the amounts of certain core futures contracts and economically equivalent futures contracts, options contracts and swaps for or linked to certain physical commodities, including Henry Hub natural gas, that market participants may hold, subject to limited exemptions for certain bona fide hedging and other types of transactions. It is uncertain at this time whether, when and in what form the CFTC’s proposed new position limits rules may become final and effective.</w:t>
      </w:r>
    </w:p>
    <w:p>
      <w:pPr>
        <w:spacing w:after="0" w:line="58"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Pursuant to rules adopted by the CFTC, six classes of OTC interest rate and credit default swaps must be cleared through a derivatives clearing organization and executed on an exchange or swap execution facility. The CFTC has not yet proposed to designate any other classes of swaps, including swaps relating to physical commodities, for mandatory clearing, but could do so in the future. Although we expect to qualify for the “end-user exception” from the mandatory clearing and exchange-trading requirements applicable to any swaps that we enter into to hedge our commercial risks, the mandatory clearing and exchange-trading requirements may apply to other market participants, including our counterparties (who may be registered as Swap Dealers), with respect to other swaps, and the application of such rules may change the cost and availability of the swaps that we use for hedging.</w:t>
      </w:r>
    </w:p>
    <w:p>
      <w:pPr>
        <w:spacing w:after="0" w:line="8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As required by provisions of the Dodd-Frank Act, the CFTC and federal banking regulators have adopted rules to require Swap Dealers and Major Swap Participants, including those that are regulated financial institutions, to collect initial and variation margin with respect to uncleared swaps from their counterparties that are financial end-users, registered Swap Dealers or Major Swap Participants. These rules do not require collection of margin from commercial end-users who qualify for the end-user exception from the mandatory clearing requirement or certain other counterparties. We expect to qualify as such a commercial end-user with respect to the swaps that we enter into to hedge our commercial risks. However, the Dodd-Frank Act’s swaps regulatory provisions and the related rules may also adversely affect our existing derivative contracts and restrict our ability to monetize such contracts, cause us to restructure certain contracts, reduce the availability of derivatives to protect against risks or to optimize assets, adversely affect our ability to execute our hedging strategies and impact the liquidity of certain swaps products, all of which could increase our business costs.</w:t>
      </w:r>
    </w:p>
    <w:p>
      <w:pPr>
        <w:spacing w:after="0" w:line="70" w:lineRule="exact"/>
        <w:rPr>
          <w:sz w:val="20"/>
          <w:szCs w:val="20"/>
          <w:color w:val="auto"/>
        </w:rPr>
      </w:pPr>
    </w:p>
    <w:p>
      <w:pPr>
        <w:ind w:right="460" w:firstLine="360"/>
        <w:spacing w:after="0" w:line="259" w:lineRule="auto"/>
        <w:rPr>
          <w:sz w:val="20"/>
          <w:szCs w:val="20"/>
          <w:color w:val="auto"/>
        </w:rPr>
      </w:pPr>
      <w:r>
        <w:rPr>
          <w:rFonts w:ascii="Arial" w:cs="Arial" w:eastAsia="Arial" w:hAnsi="Arial"/>
          <w:sz w:val="18"/>
          <w:szCs w:val="18"/>
          <w:color w:val="auto"/>
        </w:rPr>
        <w:t>Under the Commodity Exchange Act as amended by the Dodd-Frank Act, the CFTC is directed generally to prevent manipulation, including by fraudulent or deceptive practices, in two markets: (1) physical commodities traded in interstate commerce, including physical energy and other commodities, as well as (2) financial instruments, such as futures, options and swaps. Pursuant to the Dodd-Frank Act, the CFTC has adopted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additional anti-manipulation and anti-disruptive trading practices regulations that prohibit, among other things, manipulative or deceptive schemes in the physical commodities, futures, options and swaps markets. Should we violate these laws and regulations, we could be subject to a CFTC enforcement action and material penalties, possibly resulting in changes in the rates we can charge.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European Market Infrastructure Regulation</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EMIR is a European Union (“EU”) regulation designed to increase the stability of the OTC derivative markets throughout the EU member states. EMIR regulates OTC derivatives, central counterparties and trade repositories and imposes requirements for certain market participants with respect to derivatives reporting, clearing and risk mitigation. In addition, certain market participants are subject to a central counterparty clearing obligation and collateral requirements. All non-cleared derivatives require risk management, including timely confirmations of transactions, portfolio reconciliation, portfolio compression (when there exist 500 or more OTC derivatives outstanding with a counterparty) and dispute resolution. In addition, standards for the imposition of margin requirements under EMIR were proposed in June 2015, under which the exchange of initial and variation margin in respect of certain non-cleared derivatives would be required, including from non-financial counterparties that are above the EMIR clearing threshold for the class of derivatives involved. Further, for non-cleared derivatives, outstanding contracts must be marked to market value daily or marked to model where conditions necessitate. Other EMIR risk management requirements for non-cleared derivatives are being considered, but those requirements have yet to be finalized.</w:t>
      </w:r>
    </w:p>
    <w:p>
      <w:pPr>
        <w:spacing w:after="0" w:line="65"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Under EMIR, covered entities must report all derivatives concluded and any modification or termination of a derivative to a registered or recognized trade repository within one business day of the transaction. Records related to derivatives must be retained for at least five years following termination.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Regulation on Wholesale Energy Market Integrity and Transparency</w:t>
      </w:r>
    </w:p>
    <w:p>
      <w:pPr>
        <w:spacing w:after="0" w:line="117"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REMIT is an EU regulation that prohibits market manipulation and insider trading in European wholesale energy markets and imposes various obligations on participants in these markets. REMIT requires persons who enter into transactions, including the placing of orders to trade, in one or more wholesale energy markets in the EU to notify the applicable national regulatory authority (“NRA”) of suspected breaches and implement procedures to identify breaches. All market participants, such as us, must disclose inside information and cannot use inside information to buy or sell wholesale energy products for their own account or on behalf of a third party, directly or indirectly, induce others to buy or sell wholesale energy products based on inside information, or disclose such inside information to any other person except in the normal course of employment. Market participants must also register with the relevant NRA (the Office of Gas and Electricity Markets is the NRA in the United Kingdom) and provide a record of wholesale energy market transactions to the European Agency for the Cooperation of Energy Regulators (“ACER”) and information on capacity and utilization for production, storage, consumption or transmission.</w:t>
      </w:r>
    </w:p>
    <w:p>
      <w:pPr>
        <w:spacing w:after="0" w:line="6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Market participants and third parties acting on their behalf are required to report transactions in wholesale energy contracts admitted to trading at organized market places and fundamental data from the European Network of Transmission System Operators for Electricity central information transparency platforms to ACER. Additional records of transactions and fundamental data with respect to the remaining wholesale energy contracts (OTC standard and non-standard supply contracts and transportation contracts) and reportable fundamental data from transmission system operators , storage system operators and LNG system operators have to be provided to ACER as of April 7, 2016.</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Markets in Financial Instruments Directive and Regulation (“MiFID II”)</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MiFID II refers to an EU directive and regulation (together with supplementary delegated acts) that came into effect on January 3, 2018. Under the current regulatory regime, set out in the Markets in Financial Instruments Directive (“MiFID”), we are exempt from needing authorization of any commodity derivative trading activities. MiFID II will narrow the scope of exemptions currently available under MiFID and broaden the directive’s application to the trading of MiFID commodity derivatives that can be physically settled and are traded on an organized trading facility, in addition to those that are traded on regulated markets or multilateral trading facilities.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1" w:name="page72"/>
    <w:bookmarkEnd w:id="7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0" w:firstLine="360"/>
        <w:spacing w:after="0" w:line="268" w:lineRule="auto"/>
        <w:rPr>
          <w:sz w:val="20"/>
          <w:szCs w:val="20"/>
          <w:color w:val="auto"/>
        </w:rPr>
      </w:pPr>
      <w:r>
        <w:rPr>
          <w:rFonts w:ascii="Arial" w:cs="Arial" w:eastAsia="Arial" w:hAnsi="Arial"/>
          <w:sz w:val="17"/>
          <w:szCs w:val="17"/>
          <w:color w:val="auto"/>
        </w:rPr>
        <w:t>To the extent that we trade on our own account in MiFID commodity derivatives after MiFID II comes into force, we expect to be able to do so without requiring (i) authorization from any competent authority in the European Union or (ii) (if and when available) registration with the European Securities and Markets Authority (“ESMA”) as a third country firm by relying, if needed by the relevant licensing laws of the EU jurisdictions in which our counterparties are based, on the “ancillary activity” exemption under MiFID II on the basis that (1) such activity is ancillary to our main business, when considered on a group basis, and that main business is not the provision of investment services or market making in relation to MiFID commodity derivatives; (2) we do not apply a high-frequency algorithmic trading technique; and (3) (if required to do so) we notify the relevant competent authority on an annual basis that we are relying on this exemption and, upon request, report the basis upon which we fall within the exemption. If, however, (x) no general exemption is available to us in the relevant EU jurisdiction in which any of our counterparties are based, (y) we are unable to meet the ancillary activity exemption, and (z) no other MiFID II exemption is available to us, we will need to become either authorized by the appropriate EU competent authority or (if applicable) register with ESMA as a third country firm in order to trade on our own account in MiFID commodity derivatives. Authorization by an EU competent authority would require our compliance with a variety of prudential and conduct of business rules.</w:t>
      </w:r>
    </w:p>
    <w:p>
      <w:pPr>
        <w:spacing w:after="0" w:line="80" w:lineRule="exact"/>
        <w:rPr>
          <w:sz w:val="20"/>
          <w:szCs w:val="20"/>
          <w:color w:val="auto"/>
        </w:rPr>
      </w:pPr>
    </w:p>
    <w:p>
      <w:pPr>
        <w:ind w:left="7" w:firstLine="360"/>
        <w:spacing w:after="0" w:line="257" w:lineRule="auto"/>
        <w:rPr>
          <w:sz w:val="20"/>
          <w:szCs w:val="20"/>
          <w:color w:val="auto"/>
        </w:rPr>
      </w:pPr>
      <w:r>
        <w:rPr>
          <w:rFonts w:ascii="Arial" w:cs="Arial" w:eastAsia="Arial" w:hAnsi="Arial"/>
          <w:sz w:val="18"/>
          <w:szCs w:val="18"/>
          <w:color w:val="auto"/>
        </w:rPr>
        <w:t>Further, if we were to become authorized under MiFID II, we would be deemed to be a financial counterparty (instead of a non-financial counterparty that is not subject to the EMIR clearing obligation) for the purpose of EMIR. This may require us to clear relevant OTC derivative contracts through a central counterparty and subject us to additional reporting obligations and risk mitigation requirements under EMIR, including collateral exchange and marking transactions either to market or to an approved model.</w:t>
      </w:r>
    </w:p>
    <w:p>
      <w:pPr>
        <w:spacing w:after="0" w:line="80" w:lineRule="exact"/>
        <w:rPr>
          <w:sz w:val="20"/>
          <w:szCs w:val="20"/>
          <w:color w:val="auto"/>
        </w:rPr>
      </w:pPr>
    </w:p>
    <w:p>
      <w:pPr>
        <w:ind w:left="7" w:right="200" w:firstLine="360"/>
        <w:spacing w:after="0" w:line="264" w:lineRule="auto"/>
        <w:rPr>
          <w:sz w:val="20"/>
          <w:szCs w:val="20"/>
          <w:color w:val="auto"/>
        </w:rPr>
      </w:pPr>
      <w:r>
        <w:rPr>
          <w:rFonts w:ascii="Arial" w:cs="Arial" w:eastAsia="Arial" w:hAnsi="Arial"/>
          <w:sz w:val="18"/>
          <w:szCs w:val="18"/>
          <w:color w:val="auto"/>
        </w:rPr>
        <w:t>Irrespective of whether we are required to be authorized or registered under MiFID II we will be directly and indirectly impacted by MiFID II’s commodity derivatives position limits and position reporting requirements which include powers given to EU competent authorities to require persons to reduce their commodity derivatives positions.</w:t>
      </w:r>
    </w:p>
    <w:p>
      <w:pPr>
        <w:spacing w:after="0" w:line="181"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Market Abuse Regulation (“MAR”)</w:t>
      </w:r>
    </w:p>
    <w:p>
      <w:pPr>
        <w:spacing w:after="0" w:line="117" w:lineRule="exact"/>
        <w:rPr>
          <w:sz w:val="20"/>
          <w:szCs w:val="20"/>
          <w:color w:val="auto"/>
        </w:rPr>
      </w:pPr>
    </w:p>
    <w:p>
      <w:pPr>
        <w:ind w:left="7" w:right="120" w:firstLine="360"/>
        <w:spacing w:after="0" w:line="283" w:lineRule="auto"/>
        <w:rPr>
          <w:sz w:val="20"/>
          <w:szCs w:val="20"/>
          <w:color w:val="auto"/>
        </w:rPr>
      </w:pPr>
      <w:r>
        <w:rPr>
          <w:rFonts w:ascii="Arial" w:cs="Arial" w:eastAsia="Arial" w:hAnsi="Arial"/>
          <w:sz w:val="16"/>
          <w:szCs w:val="16"/>
          <w:color w:val="auto"/>
        </w:rPr>
        <w:t>MAR, which came into effect on July 3, 2016, updated and strengthened the previous EU market abuse framework by extending its scope to new markets and by introducing new requirements. MAR’s scope was extended to MiFID financial instruments traded on an EU multilateral trading facility and (with effect from MiFID II implementation on January 3, 2018) on an EU organized trading facility as well as other financial instruments the price or value of which depends on, or has an effect on the price or value of financial instruments. The previous EU market abuse framework applied only to financial instruments admitted to trading on formally designated EU regulated markets and their related financial instruments. Further, MAR extends the EU market abuse framework to include behavior in relation to certain EU emission allowances and to certain spot commodity contracts. MAR effectively prohibits market abuse concerning relevant EU securities, derivatives, emission allowance products and certain spot commodity markets. This includes (i) the prohibition of trading in MiFID financial instruments on the basis of inside information,</w:t>
      </w:r>
    </w:p>
    <w:p>
      <w:pPr>
        <w:spacing w:after="0" w:line="7" w:lineRule="exact"/>
        <w:rPr>
          <w:sz w:val="20"/>
          <w:szCs w:val="20"/>
          <w:color w:val="auto"/>
        </w:rPr>
      </w:pPr>
    </w:p>
    <w:p>
      <w:pPr>
        <w:ind w:left="7" w:right="420" w:hanging="7"/>
        <w:spacing w:after="0" w:line="277" w:lineRule="auto"/>
        <w:tabs>
          <w:tab w:leader="none" w:pos="27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improper disclosure of inside information relating to MiFID financial instruments, emission allowances or certain spot commodity contracts and (iii) the manipulation of prices of MiFID financial instruments, certain auctioned emission allowance products and certain spot commodity contracts using a number of prohibited behaviors or techniques.</w:t>
      </w:r>
    </w:p>
    <w:p>
      <w:pPr>
        <w:spacing w:after="0" w:line="16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Local Partners</w:t>
      </w:r>
    </w:p>
    <w:p>
      <w:pPr>
        <w:spacing w:after="0" w:line="121" w:lineRule="exact"/>
        <w:rPr>
          <w:sz w:val="20"/>
          <w:szCs w:val="20"/>
          <w:color w:val="auto"/>
        </w:rPr>
      </w:pPr>
    </w:p>
    <w:p>
      <w:pPr>
        <w:ind w:left="7" w:right="140" w:firstLine="360"/>
        <w:spacing w:after="0" w:line="259" w:lineRule="auto"/>
        <w:rPr>
          <w:sz w:val="20"/>
          <w:szCs w:val="20"/>
          <w:color w:val="auto"/>
        </w:rPr>
      </w:pPr>
      <w:r>
        <w:rPr>
          <w:rFonts w:ascii="Arial" w:cs="Arial" w:eastAsia="Arial" w:hAnsi="Arial"/>
          <w:sz w:val="18"/>
          <w:szCs w:val="18"/>
          <w:color w:val="auto"/>
        </w:rPr>
        <w:t>One of our subsidiaries, Atlantic Distribution Holdings SRL, has entered into a partnership framework agreement, dated as of August 23, 2017 (the “PFA”), with DevTech Environment Limited (“DevTech”). We have partnered with DevTech to pursue strategic investment opportunities related to energy, transportation and infrastructure projects in Jamaica with a total projected cost of development, construction or acquisition of no more than $5 million per project.</w:t>
      </w:r>
    </w:p>
    <w:p>
      <w:pPr>
        <w:spacing w:after="0" w:line="79" w:lineRule="exact"/>
        <w:rPr>
          <w:sz w:val="20"/>
          <w:szCs w:val="20"/>
          <w:color w:val="auto"/>
        </w:rPr>
      </w:pPr>
    </w:p>
    <w:p>
      <w:pPr>
        <w:ind w:left="367"/>
        <w:spacing w:after="0"/>
        <w:rPr>
          <w:sz w:val="20"/>
          <w:szCs w:val="20"/>
          <w:color w:val="auto"/>
        </w:rPr>
      </w:pPr>
      <w:r>
        <w:rPr>
          <w:rFonts w:ascii="Arial" w:cs="Arial" w:eastAsia="Arial" w:hAnsi="Arial"/>
          <w:sz w:val="16"/>
          <w:szCs w:val="16"/>
          <w:color w:val="auto"/>
        </w:rPr>
        <w:t>Pursuant to the terms of the PFA, when we make an investment related to services provided by DevTech, DevTech will receive</w:t>
      </w:r>
    </w:p>
    <w:p>
      <w:pPr>
        <w:spacing w:after="0" w:line="46" w:lineRule="exact"/>
        <w:rPr>
          <w:sz w:val="20"/>
          <w:szCs w:val="20"/>
          <w:color w:val="auto"/>
        </w:rPr>
      </w:pPr>
    </w:p>
    <w:p>
      <w:pPr>
        <w:jc w:val="both"/>
        <w:ind w:left="7" w:right="100"/>
        <w:spacing w:after="0" w:line="255" w:lineRule="auto"/>
        <w:rPr>
          <w:sz w:val="20"/>
          <w:szCs w:val="20"/>
          <w:color w:val="auto"/>
        </w:rPr>
      </w:pPr>
      <w:r>
        <w:rPr>
          <w:rFonts w:ascii="Arial" w:cs="Arial" w:eastAsia="Arial" w:hAnsi="Arial"/>
          <w:sz w:val="18"/>
          <w:szCs w:val="18"/>
          <w:color w:val="auto"/>
        </w:rPr>
        <w:t>10% of the equity capital in the new investment in exchange for a capital contribution in that proportion. In addition, DevTech will receive profits interests entitling DevTech to 5% of all future distributions once the parties have received a return on the investment equal to their capital contributions.</w:t>
      </w:r>
    </w:p>
    <w:p>
      <w:pPr>
        <w:spacing w:after="0" w:line="19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60" w:firstLine="360"/>
        <w:spacing w:after="0" w:line="308" w:lineRule="auto"/>
        <w:rPr>
          <w:sz w:val="20"/>
          <w:szCs w:val="20"/>
          <w:color w:val="auto"/>
        </w:rPr>
      </w:pPr>
      <w:r>
        <w:rPr>
          <w:rFonts w:ascii="Arial" w:cs="Arial" w:eastAsia="Arial" w:hAnsi="Arial"/>
          <w:sz w:val="17"/>
          <w:szCs w:val="17"/>
          <w:color w:val="auto"/>
        </w:rPr>
        <w:t>Because of our limited operating history and stage of development, a limited number of customers currently represent a large percentage of our income. During 2017, JPS, JPC and Jamalco each accounted for more than 10% of our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420" w:firstLine="360"/>
        <w:spacing w:after="0" w:line="279" w:lineRule="auto"/>
        <w:rPr>
          <w:sz w:val="20"/>
          <w:szCs w:val="20"/>
          <w:color w:val="auto"/>
        </w:rPr>
      </w:pPr>
      <w:r>
        <w:rPr>
          <w:rFonts w:ascii="Arial" w:cs="Arial" w:eastAsia="Arial" w:hAnsi="Arial"/>
          <w:sz w:val="17"/>
          <w:szCs w:val="17"/>
          <w:color w:val="auto"/>
        </w:rPr>
        <w:t>Activity in the Caribbean is often lower during the North Atlantic hurricane season of June through November, although following a hurricane, activity may decrease as there may be business interruptions as a result of damage or destruction to our facilities or the countries in which we operate. Due to these seasonal fluctuations, results of operations for individual quarterly periods may not be indicative of the results that may be realized on an annual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w:t>
      </w:r>
    </w:p>
    <w:p>
      <w:pPr>
        <w:spacing w:after="0" w:line="121"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We maintain customary insurance coverage for its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general liability, and the portion of workers’ compensation not covered under a governmental program and are in the process of obtaining environmental liability insurance.</w:t>
      </w:r>
    </w:p>
    <w:p>
      <w:pPr>
        <w:spacing w:after="0" w:line="64"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We maintain risk property insurance, including windstorm and flood, related to the operation of the Miami-Dade Facility and builders risk insurance at the Montego Bay Terminal. We also maintain pollution liability insurance in the U.S. and other policies in the U.S. and outside of the U.S. customary for our industry.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the ordinary course of business, various legal and regulatory claims and proceedings are pending or threatened against us. While the amounts may be substantial, we are unable to predict with certainty the ultimate outcome of such claims and proceedings. We believe that the ultimate outcome of any matter currently pending will not materially affect our business, financial condition, liquidity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129 full-time employees as of June 30, 2018.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NFE Financial Holdings LLC</w:t>
      </w:r>
    </w:p>
    <w:p>
      <w:pPr>
        <w:spacing w:after="0" w:line="121"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Upon consummation of this offering our operating agreement will provide that our board of directors shall consist of not less than three and not more than nine directors as the board of directors may from time to time determine. Our board of directors currently consists of two directors. Our board of directors will be divided into three classes that are, as nearly as possible, of equal size. Each class of directors will be elected for a three-year term of office, but the terms are staggered so that the term of only one class of directors expires at each annual general meeting. The initial terms of the Class I, Class II and Class III directors will expire in 2019, 2020 and 2021, respectively. All officers serve at the discretion of the board of directors.</w:t>
      </w:r>
    </w:p>
    <w:p>
      <w:pPr>
        <w:spacing w:after="0" w:line="57" w:lineRule="exact"/>
        <w:rPr>
          <w:sz w:val="20"/>
          <w:szCs w:val="20"/>
          <w:color w:val="auto"/>
        </w:rPr>
      </w:pPr>
    </w:p>
    <w:p>
      <w:pPr>
        <w:ind w:left="360"/>
        <w:spacing w:after="0"/>
        <w:tabs>
          <w:tab w:leader="none" w:pos="4200" w:val="left"/>
        </w:tabs>
        <w:rPr>
          <w:sz w:val="20"/>
          <w:szCs w:val="20"/>
          <w:color w:val="auto"/>
        </w:rPr>
      </w:pPr>
      <w:r>
        <w:rPr>
          <w:rFonts w:ascii="Arial" w:cs="Arial" w:eastAsia="Arial" w:hAnsi="Arial"/>
          <w:sz w:val="18"/>
          <w:szCs w:val="18"/>
          <w:color w:val="auto"/>
        </w:rPr>
        <w:t>Upon consummation of this offering, we will have</w:t>
      </w:r>
      <w:r>
        <w:rPr>
          <w:sz w:val="20"/>
          <w:szCs w:val="20"/>
          <w:color w:val="auto"/>
        </w:rPr>
        <w:tab/>
      </w:r>
      <w:r>
        <w:rPr>
          <w:rFonts w:ascii="Arial" w:cs="Arial" w:eastAsia="Arial" w:hAnsi="Arial"/>
          <w:sz w:val="16"/>
          <w:szCs w:val="16"/>
          <w:color w:val="auto"/>
        </w:rPr>
        <w:t>directors. We expect our board of directors to determine that Messrs.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 qualify as independent directors under the corporate governance standards of the NYSE.</w:t>
      </w:r>
    </w:p>
    <w:p>
      <w:pPr>
        <w:spacing w:after="0" w:line="10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operating agreement does not provide for cumulative voting in the election of directors, which means that the holders of a majority of our issued and outstanding shares can elect all of the directors standing for election, and the holders of the remaining shares will not be able to elect any directors. New Fortress Energy Holdings’ beneficial ownership of greater than 50% of our voting shares means New Fortress Energy Holdings will be able to control matters requiring shareholder approval, which includes the election of directors.</w:t>
      </w:r>
    </w:p>
    <w:p>
      <w:pPr>
        <w:spacing w:after="0" w:line="80" w:lineRule="exact"/>
        <w:rPr>
          <w:sz w:val="20"/>
          <w:szCs w:val="20"/>
          <w:color w:val="auto"/>
        </w:rPr>
      </w:pPr>
    </w:p>
    <w:p>
      <w:pPr>
        <w:ind w:right="440" w:firstLine="360"/>
        <w:spacing w:after="0" w:line="312" w:lineRule="auto"/>
        <w:rPr>
          <w:sz w:val="20"/>
          <w:szCs w:val="20"/>
          <w:color w:val="auto"/>
        </w:rPr>
      </w:pPr>
      <w:r>
        <w:rPr>
          <w:rFonts w:ascii="Arial" w:cs="Arial" w:eastAsia="Arial" w:hAnsi="Arial"/>
          <w:sz w:val="16"/>
          <w:szCs w:val="16"/>
          <w:color w:val="auto"/>
        </w:rPr>
        <w:t>In evaluating director candidates, our board of directors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following table shows information for our executive officers and directors upon the consummation of this offering. Directors hold office until their successors have been elected or qualified or until the earlier of their death, resignation, removal or disqualification. Executive officers serve at the discretion of the board. There are no family relationships among any of our directors or executive officers. Some of our directors and our executive officers also serve as executive officers of New Fortress Energy Holdings.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5"/>
                <w:szCs w:val="15"/>
                <w:color w:val="auto"/>
              </w:rPr>
            </w:pPr>
          </w:p>
        </w:tc>
        <w:tc>
          <w:tcPr>
            <w:tcW w:w="5180" w:type="dxa"/>
            <w:vAlign w:val="bottom"/>
            <w:gridSpan w:val="2"/>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243"/>
        </w:trPr>
        <w:tc>
          <w:tcPr>
            <w:tcW w:w="20" w:type="dxa"/>
            <w:vAlign w:val="bottom"/>
          </w:tcPr>
          <w:p>
            <w:pPr>
              <w:spacing w:after="0"/>
              <w:rPr>
                <w:sz w:val="21"/>
                <w:szCs w:val="21"/>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Wesley R. Edens</w:t>
            </w:r>
          </w:p>
        </w:tc>
        <w:tc>
          <w:tcPr>
            <w:tcW w:w="180" w:type="dxa"/>
            <w:vAlign w:val="bottom"/>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60" w:type="dxa"/>
            <w:vAlign w:val="bottom"/>
            <w:shd w:val="clear" w:color="auto" w:fill="CCEEFF"/>
          </w:tcPr>
          <w:p>
            <w:pPr>
              <w:spacing w:after="0"/>
              <w:rPr>
                <w:sz w:val="21"/>
                <w:szCs w:val="21"/>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Director</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Christopher S. Guinta</w:t>
            </w:r>
          </w:p>
        </w:tc>
        <w:tc>
          <w:tcPr>
            <w:tcW w:w="8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35</w:t>
            </w: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256"/>
        </w:trPr>
        <w:tc>
          <w:tcPr>
            <w:tcW w:w="20" w:type="dxa"/>
            <w:vAlign w:val="bottom"/>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Jay Leitstein</w:t>
            </w:r>
          </w:p>
        </w:tc>
        <w:tc>
          <w:tcPr>
            <w:tcW w:w="8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43</w:t>
            </w:r>
          </w:p>
        </w:tc>
        <w:tc>
          <w:tcPr>
            <w:tcW w:w="53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Accounting Officer</w:t>
            </w: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Randal A. Nardone</w:t>
            </w:r>
          </w:p>
        </w:tc>
        <w:tc>
          <w:tcPr>
            <w:tcW w:w="8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63</w:t>
            </w:r>
          </w:p>
        </w:tc>
        <w:tc>
          <w:tcPr>
            <w:tcW w:w="53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bl>
    <w:p>
      <w:pPr>
        <w:spacing w:after="0" w:line="106"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b w:val="1"/>
          <w:bCs w:val="1"/>
          <w:i w:val="1"/>
          <w:iCs w:val="1"/>
          <w:color w:val="auto"/>
        </w:rPr>
        <w:t>Wesley R. Edens</w:t>
      </w:r>
      <w:r>
        <w:rPr>
          <w:rFonts w:ascii="Arial" w:cs="Arial" w:eastAsia="Arial" w:hAnsi="Arial"/>
          <w:sz w:val="16"/>
          <w:szCs w:val="16"/>
          <w:color w:val="auto"/>
        </w:rPr>
        <w:t>— Mr. Edens has been our Chief Executive Officer and a member of our board of directors since August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 member of the board of directors of New Fortress Energy Holdings since November 2006. He is the Co-Chief Executive Officer of Fortress and has been a member of the board of directors of Fortress since November 2006. Mr. Edens has been a member of the Management Committee of Fortress since co-founding Fortress in May 1998. Fortress Equity Partners (A) LP, a private equity fund managed by an affiliate of Fortress, currently owns a substantial majority of the equity of New Fortress Energy Holdings. Mr. Edens is responsible for oversight of Fortress’ private equity and publicly traded alternative investment businesses. He is the Chairman of the board of directors of each of New Media Investment Group Inc. (a publisher of print and online media), New Senior Investment Group Inc. (a real estate investment trust with a diversified portfolio of senior housing properties located across the United States), and Drive Shack Inc. (an owner and operator of golf-related leisure and entertainment business). He is a director of Mapeley Limited (a large full service real estate outsourcing and investment company in the United Kingdom).</w:t>
      </w:r>
    </w:p>
    <w:p>
      <w:pPr>
        <w:spacing w:after="0" w:line="6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Mr. Edens previously served on the board of the following publicly traded companies and registered investment companies: OneMain Holdings, Inc. (a leading consumer finance company) from November 2010 to June 2018, Fortress Transportation and Infrastructure Investors LLC (which owns and acquires high quality infrastructure and equipment essential for the transportation of goods and people globally) from May 2015 to May 2016; Intrawest Resorts Holdings Inc. (a resort and adventure company) from January 2014 to July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Gaming and Leisure Properties, Inc. (an owner and operator in the gaming and racing industry) from October 2013 to October 2016; Nationstar Mortgage Holdings Inc. (a residential mortgage loan originator and servicer) from 2012 to July 2016; New Residential (a real estate investment trust primarily focused on investing in residential real estate related assets) from April 2013 to May 2016; Brookdale Senior Living Inc., from September 2005 to June 2014; GAGFAH S.A. from September 2006 to June 2014; PENN National Gaming Inc. from October 2008 to November 2013; GateHouse Media Inc. from June 2005 to November 2013; Aircastle Limited from August 2006 to August 2012; RailAmerica Inc. from November 2006 to October 2012; Eurocastle Investment Limited, from August 2003 to November 2011; Whistler Blackcomb Holdings Inc., from October 2010 to November 2012; Fortress Registered Investment Trust, from December 1999 until deregistered with the SEC in September 2011; and FRIT PINN LLC, from November 2001 until deregistered with the SEC in September 2011.</w:t>
      </w:r>
    </w:p>
    <w:p>
      <w:pPr>
        <w:spacing w:after="0" w:line="74"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w:t>
      </w:r>
    </w:p>
    <w:p>
      <w:pPr>
        <w:spacing w:after="0" w:line="73"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Mr. Edens’ extensive credit, private equity finance and management expertise, extensive experience as an officer and director of public companies and his deep familiarity with our Company led the Board to conclude that Mr. Edens should serve as a director.</w:t>
      </w:r>
    </w:p>
    <w:p>
      <w:pPr>
        <w:spacing w:after="0" w:line="16"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 xml:space="preserve">Christopher S. Guinta </w:t>
      </w:r>
      <w:r>
        <w:rPr>
          <w:rFonts w:ascii="Arial" w:cs="Arial" w:eastAsia="Arial" w:hAnsi="Arial"/>
          <w:sz w:val="18"/>
          <w:szCs w:val="18"/>
          <w:color w:val="auto"/>
        </w:rPr>
        <w:t>— Mr. Guinta has been our Chief Financial Officer since August 2018, and the Chief Financial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New Fortress Energy Holdings since April 2017. Prior to joining NFE, Mr. Guinta served as Chief 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 Mr. Guinta graduated from The University of Texas at Austin with a Bachelor of Business Administration and a Masters in Professional Accounting.</w:t>
      </w:r>
    </w:p>
    <w:p>
      <w:pPr>
        <w:spacing w:after="0" w:line="85" w:lineRule="exact"/>
        <w:rPr>
          <w:sz w:val="20"/>
          <w:szCs w:val="20"/>
          <w:color w:val="auto"/>
        </w:rPr>
      </w:pPr>
    </w:p>
    <w:p>
      <w:pPr>
        <w:ind w:right="180" w:firstLine="360"/>
        <w:spacing w:after="0" w:line="272" w:lineRule="auto"/>
        <w:rPr>
          <w:sz w:val="20"/>
          <w:szCs w:val="20"/>
          <w:color w:val="auto"/>
        </w:rPr>
      </w:pPr>
      <w:r>
        <w:rPr>
          <w:rFonts w:ascii="Arial" w:cs="Arial" w:eastAsia="Arial" w:hAnsi="Arial"/>
          <w:sz w:val="17"/>
          <w:szCs w:val="17"/>
          <w:b w:val="1"/>
          <w:bCs w:val="1"/>
          <w:i w:val="1"/>
          <w:iCs w:val="1"/>
          <w:color w:val="auto"/>
        </w:rPr>
        <w:t>Jay Leitstein</w:t>
      </w:r>
      <w:r>
        <w:rPr>
          <w:rFonts w:ascii="Arial" w:cs="Arial" w:eastAsia="Arial" w:hAnsi="Arial"/>
          <w:sz w:val="17"/>
          <w:szCs w:val="17"/>
          <w:color w:val="auto"/>
        </w:rPr>
        <w:t>— Mr. Leitstein has been our Chief Accounting Officer since August 2018, and the Chief Accounting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Fortress Energy Holdings since October 25, 2017. He is responsible for financial and operational accounting and financial reporting. Mr. Leitstein has over 15 years of experience in the energy industry. Prior to joining NFE, Mr. Leitstein served as Controller for Kindle Energy, a portfolio company of Blackstone, from November 2015 to October 2017 and various accounting roles with PSEG Corporation from April 2011 to November 2015 and Exelon Corporation from March 2004 to April 2011 as well as several years in public accounting with Arthur Andersen. Mr. Leitstein graduated from Kean University with a Bachelor’s of Science in Accounting and is a Certified Public Accountant in the state of New Jersey.</w:t>
      </w:r>
    </w:p>
    <w:p>
      <w:pPr>
        <w:spacing w:after="0" w:line="70"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b w:val="1"/>
          <w:bCs w:val="1"/>
          <w:i w:val="1"/>
          <w:iCs w:val="1"/>
          <w:color w:val="auto"/>
        </w:rPr>
        <w:t>Randal A. Nardone</w:t>
      </w:r>
      <w:r>
        <w:rPr>
          <w:rFonts w:ascii="Arial" w:cs="Arial" w:eastAsia="Arial" w:hAnsi="Arial"/>
          <w:sz w:val="17"/>
          <w:szCs w:val="17"/>
          <w:color w:val="auto"/>
        </w:rPr>
        <w:t>— Mr. Nardone has been a member of our board of directors since August 2018. He has also been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of directors of Fortress since November 2006 and has been a member of the Management Committee of Fortress since he co-founded it in 1998. Mr. Nardone served as Fortress’s Chief Executive Officer from July 2013 through December 2017, after serving as its Interim Chief Executive Officer from December 2011 to July 2013. Mr. Nardone is a director of Eurocastle Investment Limited. Mr. Nardone also previously served on the board of directors of Alea Group Holdings (Bermuda) Ltd. from July 2007 to September 2014; GAGFAH S.A. from September 2006 to June 2014; and Brookdale Senior Living, Inc. from January 2011 to June 2014. Mr. Nardone was previously a managing director of UBS from May 1997 to May 1998. Prior to joining UBS in 1997, Mr. Nardone was a principal of BlackRock. Prior to joining BlackRock, Mr. Nardone was a partner and a member of the executive committee at the law firm of Thacher Proffitt &amp; Wood. Mr. Nardone received a Bachelor of Arts in English and Biology from the University of Connecticut and a Juris Doctorate from Boston University School of Law. We believe that Mr. Nardone’s leadership, management experience and experience with corporate and securities law bring valuable experience to our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Controlled Company</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Because New Fortress Energy Holdings will initially hold approximately % of the voting power of our shares following the completion of this offering, we expect to be a controlled company as of the completion of the offering under the Sarbanes-Oxley Act and NYSE corporate governance standards. A controlled company does not need its board of directors to have a majority of independent directors or to form independent compensation and nominating and governance committees. As a controlled company, we will remain subject to rules of the Sarbanes-Oxley Act and the NYSE that require us to have an audit committee composed entirely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independent directors. Under these rules, we must have at least one independent director on our audit committee by the date our Class A shares are listed on the NYSE, at least two independent directors on our audit committee within 90 days of the listing date, and at least three independent directors on our audit committee within one year of the listing date.</w:t>
      </w:r>
    </w:p>
    <w:p>
      <w:pPr>
        <w:spacing w:after="0" w:line="5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If at any time we cease to be a controlled company, we will take all action necessary to comply with the Sarbanes-Oxley Act and NYSE corporate governance standards, including by appointing a majority of independent directors to our board of directors and ensuring we have a compensation committee and a nominating and corporate governance committee, each composed entirely of independent directors, subject to a permitted “phase-in”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Board is in the process of reviewing the independence of our directors using the independence standards of the NYSE and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the consummation of this offering, we will establish the following committees of our board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60" w:firstLine="360"/>
        <w:spacing w:after="0" w:line="285" w:lineRule="auto"/>
        <w:rPr>
          <w:sz w:val="20"/>
          <w:szCs w:val="20"/>
          <w:color w:val="auto"/>
        </w:rPr>
      </w:pPr>
      <w:r>
        <w:rPr>
          <w:rFonts w:ascii="Arial" w:cs="Arial" w:eastAsia="Arial" w:hAnsi="Arial"/>
          <w:sz w:val="16"/>
          <w:szCs w:val="16"/>
          <w:color w:val="auto"/>
        </w:rPr>
        <w:t>We are required to have an audit committee of at least three members, and all of its members are required to meet the independence and experience standards established by the NYSE and the Securities Exchange Act of 1934, as amended, subject to certain transitional relief during the one-year period following consummation of this offering as described above. We will establish an audit committee compliant with NYSE and SEC rules prior to the completion of this offering and expect will serve as members of such committee. SEC rules also require that a public company disclose whether or not its audit committee has an “audit</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committee financial expert” as a member. will satisfy the definition of “audit committee financial expert.” We expect to adopt an audit committee charter defining the committee’s primary duties in a manner consistent with the rules of the SEC and NYSE standards.</w:t>
      </w:r>
    </w:p>
    <w:p>
      <w:pPr>
        <w:spacing w:after="0" w:line="82"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The audit committee will assist the board of directors in its oversight of the integrity of our financial statements and our compliance with legal and regulatory requirements and company policies and controls. The audit committee will have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will also be responsible for confirming the independence and objectivity of our independent registered public accounting firm. Our independent registered public accounting firm will be given unrestricted access to the audit committee and our management.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Because we will be a “controlled company” as of the closing of this offering within the meaning of NYSE corporate governance standards, we will not be required to, and do not currently expect to, have a compensation committee as of the closing of this offering.</w:t>
      </w:r>
    </w:p>
    <w:p>
      <w:pPr>
        <w:spacing w:after="0" w:line="73"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If and when we are no longer a “controlled company” within the meaning of NYSE corporate governance standards, we will be required to establish a compensation committee. We anticipate that such a compensation committee would consist of three directors who will be “independent” under the rules of the SEC and the NYSE. This committee would establish salaries, incentives and other forms of compensation for officers and other employees. Any compensation committee would also administer our incentive compensation and benefit plans. Upon formation of a compensation committee, we would expect to adopt a compensation committee charter defining the committee’s primary duties in a manner consistent with the rules of the SEC and the NYSE or market standards.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480" w:firstLine="360"/>
        <w:spacing w:after="0" w:line="264" w:lineRule="auto"/>
        <w:rPr>
          <w:sz w:val="20"/>
          <w:szCs w:val="20"/>
          <w:color w:val="auto"/>
        </w:rPr>
      </w:pPr>
      <w:r>
        <w:rPr>
          <w:rFonts w:ascii="Arial" w:cs="Arial" w:eastAsia="Arial" w:hAnsi="Arial"/>
          <w:sz w:val="18"/>
          <w:szCs w:val="18"/>
          <w:color w:val="auto"/>
        </w:rPr>
        <w:t>Because we will be a “controlled company” as of the closing of this offering within the meaning of NYSE corporate governance standards, we will not be required to, and do not currently expect to, have a nominating and corporate governance committee.</w:t>
      </w:r>
    </w:p>
    <w:p>
      <w:pPr>
        <w:spacing w:after="0" w:line="73"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If and when we are no longer a “controlled company” within the meaning of NYSE corporate governance standards, we will be required to establish a nominating and corporate governance committee. We anticipate that such a nominating and corporate governance committee would consist of three directors who will be “independent” under the rules of the SEC and the NYSE. This committee would identify, evaluate and recommend qualified nominees to serve on our board of directors, develop and oversee our internal corporate governance processes and maintain a management succession plan. Upon formation of a nominating and corporate governance committee, we would expect to adopt a nominating and corporate governance committee charter defining the committee’s primary duties in a manner consistent with the rules of the SEC and the NYSE or market standards.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As an “emerging growth company,” we are required to provide a Summary Compensation Table and an Outstanding Equity Awards at Fiscal Year End Table, as well as limited narrative disclosures regarding executive compensation for our last completed fiscal year. Further, our reporting obligations extend only to our “named executive officers,” who are the individuals who served as our principal executive officer and our two other most highly compensated officers who served as executive officers during the last completed fiscal year. In accordance with the foregoing, our named executive officers are:</w:t>
      </w:r>
    </w:p>
    <w:p>
      <w:pPr>
        <w:spacing w:after="0" w:line="29" w:lineRule="exact"/>
        <w:rPr>
          <w:sz w:val="20"/>
          <w:szCs w:val="20"/>
          <w:color w:val="auto"/>
        </w:rPr>
      </w:pPr>
    </w:p>
    <w:p>
      <w:pPr>
        <w:spacing w:after="0"/>
        <w:tabs>
          <w:tab w:leader="none" w:pos="66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Principal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062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62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169545</wp:posOffset>
            </wp:positionV>
            <wp:extent cx="6071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our named executive officers during the fiscal year ended December 31, 2017.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8"/>
              </w:rPr>
              <w:t>Nonqualified</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Non-Equity</w:t>
            </w:r>
          </w:p>
        </w:tc>
        <w:tc>
          <w:tcPr>
            <w:tcW w:w="1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Deferred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8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Salary</w:t>
            </w:r>
          </w:p>
        </w:tc>
        <w:tc>
          <w:tcPr>
            <w:tcW w:w="1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9"/>
              </w:rPr>
              <w:t>Bonus</w:t>
            </w:r>
          </w:p>
        </w:tc>
        <w:tc>
          <w:tcPr>
            <w:tcW w:w="1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1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1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Earnings</w:t>
            </w:r>
          </w:p>
        </w:tc>
        <w:tc>
          <w:tcPr>
            <w:tcW w:w="18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180" w:type="dxa"/>
            <w:vAlign w:val="bottom"/>
          </w:tcPr>
          <w:p>
            <w:pPr>
              <w:spacing w:after="0"/>
              <w:rPr>
                <w:sz w:val="11"/>
                <w:szCs w:val="11"/>
                <w:color w:val="auto"/>
              </w:rPr>
            </w:pPr>
          </w:p>
        </w:tc>
        <w:tc>
          <w:tcPr>
            <w:tcW w:w="5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60"/>
        </w:trPr>
        <w:tc>
          <w:tcPr>
            <w:tcW w:w="1940" w:type="dxa"/>
            <w:vAlign w:val="bottom"/>
          </w:tcPr>
          <w:p>
            <w:pPr>
              <w:spacing w:after="0"/>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3"/>
                <w:szCs w:val="13"/>
                <w:b w:val="1"/>
                <w:bCs w:val="1"/>
                <w:color w:val="auto"/>
              </w:rPr>
              <w:t>Year</w:t>
            </w:r>
          </w:p>
        </w:tc>
        <w:tc>
          <w:tcPr>
            <w:tcW w:w="66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87"/>
              </w:rPr>
              <w:t>($)</w:t>
            </w:r>
          </w:p>
        </w:tc>
        <w:tc>
          <w:tcPr>
            <w:tcW w:w="76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w w:val="87"/>
              </w:rPr>
              <w:t>($)</w:t>
            </w:r>
          </w:p>
        </w:tc>
        <w:tc>
          <w:tcPr>
            <w:tcW w:w="116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w w:val="87"/>
              </w:rPr>
              <w:t>($)</w:t>
            </w:r>
          </w:p>
        </w:tc>
        <w:tc>
          <w:tcPr>
            <w:tcW w:w="116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w w:val="87"/>
              </w:rPr>
              <w:t>($)</w:t>
            </w:r>
          </w:p>
        </w:tc>
        <w:tc>
          <w:tcPr>
            <w:tcW w:w="118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189"/>
        </w:trPr>
        <w:tc>
          <w:tcPr>
            <w:tcW w:w="19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named executive officers did not hold NFE equity-based awards as of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Prior to the completion of this offering, we anticipate that our board of directors will adopt a long-term incentive plan (our “LTIP”), pursuant to which our employees, consultants and directors (and those of our affiliates), including our named executive officers, will be eligible to receive awards. We anticipate that the LTIP will provide for the grant of options, restricted units, phantom units, distribution-equivalent rights, unit appreciation rights, other unit-based awards, or cash awards intended to align the interests of participants with those of our shareholders. Once the LTIP is finalized, the material terms will be summarized herein and a form of our LTIP will be filed as an exhibit to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implement a non-employee director compensation program in connection with this offering.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following table sets forth the beneficial ownership of our Class A shares and Class B shares that will be issued and outstanding upon the consummation of this offering and the related transactions, and assuming the underwriters do not exercise their option to purchase additional Class A shares and held by:</w:t>
      </w:r>
    </w:p>
    <w:p>
      <w:pPr>
        <w:spacing w:after="0" w:line="73" w:lineRule="exact"/>
        <w:rPr>
          <w:sz w:val="20"/>
          <w:szCs w:val="20"/>
          <w:color w:val="auto"/>
        </w:rPr>
      </w:pPr>
    </w:p>
    <w:p>
      <w:pPr>
        <w:ind w:left="700" w:hanging="35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beneficial owners of 5% or more of any class of our shares;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director and named executive officer;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07" w:lineRule="exact"/>
        <w:rPr>
          <w:sz w:val="20"/>
          <w:szCs w:val="20"/>
          <w:color w:val="auto"/>
        </w:rPr>
      </w:pPr>
    </w:p>
    <w:p>
      <w:pPr>
        <w:ind w:right="360" w:firstLine="360"/>
        <w:spacing w:after="0" w:line="211" w:lineRule="auto"/>
        <w:rPr>
          <w:sz w:val="20"/>
          <w:szCs w:val="20"/>
          <w:color w:val="auto"/>
        </w:rPr>
      </w:pPr>
      <w:r>
        <w:rPr>
          <w:rFonts w:ascii="Arial" w:cs="Arial" w:eastAsia="Arial" w:hAnsi="Arial"/>
          <w:sz w:val="18"/>
          <w:szCs w:val="18"/>
          <w:color w:val="auto"/>
        </w:rPr>
        <w:t>Unless otherwise noted, the address for each beneficial owner listed below is 111 W. 19</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Street, 8</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Floor, New York, New York 10011.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Total Class 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Percentage of</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left="28"/>
              <w:spacing w:after="0"/>
              <w:rPr>
                <w:sz w:val="20"/>
                <w:szCs w:val="20"/>
                <w:color w:val="auto"/>
              </w:rPr>
            </w:pPr>
            <w:r>
              <w:rPr>
                <w:rFonts w:ascii="Arial" w:cs="Arial" w:eastAsia="Arial" w:hAnsi="Arial"/>
                <w:sz w:val="14"/>
                <w:szCs w:val="14"/>
                <w:b w:val="1"/>
                <w:bCs w:val="1"/>
                <w:color w:val="auto"/>
                <w:w w:val="88"/>
              </w:rPr>
              <w:t>Percentage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Shares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Class A Shares</w:t>
            </w: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Class A 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Class B Shares</w:t>
            </w:r>
          </w:p>
        </w:tc>
        <w:tc>
          <w:tcPr>
            <w:tcW w:w="180" w:type="dxa"/>
            <w:vAlign w:val="bottom"/>
          </w:tcPr>
          <w:p>
            <w:pPr>
              <w:spacing w:after="0"/>
              <w:rPr>
                <w:sz w:val="14"/>
                <w:szCs w:val="14"/>
                <w:color w:val="auto"/>
              </w:rPr>
            </w:pPr>
          </w:p>
        </w:tc>
        <w:tc>
          <w:tcPr>
            <w:tcW w:w="1040" w:type="dxa"/>
            <w:vAlign w:val="bottom"/>
          </w:tcPr>
          <w:p>
            <w:pPr>
              <w:jc w:val="center"/>
              <w:ind w:left="28"/>
              <w:spacing w:after="0"/>
              <w:rPr>
                <w:sz w:val="20"/>
                <w:szCs w:val="20"/>
                <w:color w:val="auto"/>
              </w:rPr>
            </w:pPr>
            <w:r>
              <w:rPr>
                <w:rFonts w:ascii="Arial" w:cs="Arial" w:eastAsia="Arial" w:hAnsi="Arial"/>
                <w:sz w:val="14"/>
                <w:szCs w:val="14"/>
                <w:b w:val="1"/>
                <w:bCs w:val="1"/>
                <w:color w:val="auto"/>
                <w:w w:val="88"/>
              </w:rPr>
              <w:t>Class B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Class B Shares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Beneficially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4"/>
                <w:szCs w:val="14"/>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Beneficially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Owned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Pr>
          <w:p>
            <w:pPr>
              <w:spacing w:after="0"/>
              <w:rPr>
                <w:sz w:val="14"/>
                <w:szCs w:val="14"/>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New Fortress Energy Holdings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Wesley R. Edens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Chris Guinta</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Jay Leitstein</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Randal A. Nardone</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8"/>
              </w:rPr>
              <w:t>All executive officers and directors as a</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group (  persons)</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gridSpan w:val="2"/>
          </w:tcPr>
          <w:p>
            <w:pPr>
              <w:jc w:val="right"/>
              <w:ind w:right="628"/>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jc w:val="both"/>
        <w:ind w:right="240" w:firstLine="360"/>
        <w:spacing w:after="0" w:line="312" w:lineRule="auto"/>
        <w:rPr>
          <w:sz w:val="20"/>
          <w:szCs w:val="20"/>
          <w:color w:val="auto"/>
        </w:rPr>
      </w:pPr>
      <w:r>
        <w:rPr>
          <w:rFonts w:ascii="Arial" w:cs="Arial" w:eastAsia="Arial" w:hAnsi="Arial"/>
          <w:sz w:val="16"/>
          <w:szCs w:val="16"/>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Affiliates in Connection with the Transactions</w:t>
      </w:r>
    </w:p>
    <w:p>
      <w:pPr>
        <w:spacing w:after="0" w:line="121"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In connection with this offering, we will enter into certain agreements with New Fortress Energy Holdings, as described in more detail below.</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connection with the closing of this offering, we will enter into a contribution agreement that will effect the Transactions, including the transfer of the ownership interests in NFI to us, and the use of the net proceeds of this offering. While we believe this agreement is on terms no less favorable to any party than those that could have been negotiated with an unaffiliated third party, it will not be the result of arm’s-length negotiations. All of the transaction expenses incurred in connection with these transactions will be paid from the proceeds of this offering.</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connection with this offering, we will enter into a registration rights agreement with New Fortress Energy Holdings pursuant to which we may be required to register the sale of the Class A shares held by or issued (or issuable upon exercise of the Redemption Right) to New Fortress Energy Holdings pursuant to the contribution agreement (the “Registrable Securities”). Under the registration rights agreement, New Fortress Energy Holdings will have the right to request that we register the sale of Registrable Securities held by it, and New Fortress Energy Holdings will have the right to require us to make available shelf registration statements permitting sales of Registrable Securities into the market from time to time over an extended period, subject to certain limitations. In addition, the registration rights agreement gives New Fortress Energy Holdings piggyback registration rights under certain circumstances. The registration rights agreement also includes provisions dealing with indemnification and contribution and allocation of expenses. All of the Registrable Securities held by New Fortress Energy Holdings and any permitted transferee will be entitled to these registration rights.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Amended and Restated Limited Liability Company Agreement of NFI</w:t>
      </w:r>
    </w:p>
    <w:p>
      <w:pPr>
        <w:spacing w:after="0" w:line="11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form of NFI LLC Agreement is filed as an exhibit to the registration statement of which this prospectus forms a part, and the following description of the NFI LLC Agreement is qualified in its entirety by reference thereto.</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Redemption Rights</w:t>
      </w:r>
    </w:p>
    <w:p>
      <w:pPr>
        <w:spacing w:after="0" w:line="117"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Following this offering, under the NFI LLC Agreement, New Fortress Energy Holdings and any permitted transferees of their NFI LLC Units will, subject to certain limitations, have the right, pursuant to the Redemption Right, to cause NFI to acquire all or a portion of its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NFI will determine whether to issue Class A shares or cash based on facts in existence at the time of the decision, which we expect would include the relative value of the Class A shares (including trading prices for the Class A shares at the time), the cash purchase price, the availability of other sources of liquidity to acquire the NFI LLC Units and alternative uses for such cash. Alternatively, upon the exercise of the Redemption Right, NFE (instead of NFI) will have the right, pursuant to the Call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In addition, upon a change of control of NFE, NFE will have the right to require each holder of NFI LLC Units (other than NFE) to exercise its Redemption Right with respect to some or all of such unitholder’s NFI LLC Units. In connection with any redemption of NFI LLC Units pursuant to the Redemption Right or our Call Right, the corresponding number of Class B shares will be cancelled.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0" w:name="page81"/>
    <w:bookmarkEnd w:id="8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60" w:firstLine="360"/>
        <w:spacing w:after="0" w:line="259" w:lineRule="auto"/>
        <w:rPr>
          <w:sz w:val="20"/>
          <w:szCs w:val="20"/>
          <w:color w:val="auto"/>
        </w:rPr>
      </w:pPr>
      <w:r>
        <w:rPr>
          <w:rFonts w:ascii="Arial" w:cs="Arial" w:eastAsia="Arial" w:hAnsi="Arial"/>
          <w:sz w:val="18"/>
          <w:szCs w:val="18"/>
          <w:color w:val="auto"/>
        </w:rPr>
        <w:t>For purposes of any transfer or exchange of NFI LLC Units initially owned by New Fortress Energy Holdings and our Class B shares, the NFI LLC Agreement and our operating agreement will contain provisions effectively linking each NFI LLC Unit with one of our Class B shares. Class B shares cannot be transferred without transferring an equal number of NFI LLC Units and vice versa.</w:t>
      </w:r>
    </w:p>
    <w:p>
      <w:pPr>
        <w:spacing w:after="0" w:line="187"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Distributions and Allocations</w:t>
      </w:r>
    </w:p>
    <w:p>
      <w:pPr>
        <w:spacing w:after="0" w:line="117" w:lineRule="exact"/>
        <w:rPr>
          <w:sz w:val="20"/>
          <w:szCs w:val="20"/>
          <w:color w:val="auto"/>
        </w:rPr>
      </w:pPr>
    </w:p>
    <w:p>
      <w:pPr>
        <w:ind w:left="7" w:firstLine="360"/>
        <w:spacing w:after="0" w:line="273" w:lineRule="auto"/>
        <w:rPr>
          <w:sz w:val="20"/>
          <w:szCs w:val="20"/>
          <w:color w:val="auto"/>
        </w:rPr>
      </w:pPr>
      <w:r>
        <w:rPr>
          <w:rFonts w:ascii="Arial" w:cs="Arial" w:eastAsia="Arial" w:hAnsi="Arial"/>
          <w:sz w:val="17"/>
          <w:szCs w:val="17"/>
          <w:color w:val="auto"/>
        </w:rPr>
        <w:t>In accordance with the NFI LLC Agreement, we will have the right to determine when distributions will be made to the holders of NFI LLC Units and the amount of any such distributions. Following this offering, if we authorize a distribution, such distribution will be made to the holders of NFI LLC Units generally on a pro rata basis in accordance with their respective percentage ownership of NFI LLC Units. NFI will allocate its net income or net loss for each year to the holders of NFI LLC Units pursuant to the terms of the NFI LLC Agreement, and the holders of NFI LLC Units, including NFE, will generally incur U.S. federal, state and local income taxes on their share of any taxable income of NFI.</w:t>
      </w:r>
    </w:p>
    <w:p>
      <w:pPr>
        <w:spacing w:after="0" w:line="70" w:lineRule="exact"/>
        <w:rPr>
          <w:sz w:val="20"/>
          <w:szCs w:val="20"/>
          <w:color w:val="auto"/>
        </w:rPr>
      </w:pPr>
    </w:p>
    <w:p>
      <w:pPr>
        <w:ind w:left="7" w:right="120" w:firstLine="360"/>
        <w:spacing w:after="0" w:line="286" w:lineRule="auto"/>
        <w:rPr>
          <w:sz w:val="20"/>
          <w:szCs w:val="20"/>
          <w:color w:val="auto"/>
        </w:rPr>
      </w:pPr>
      <w:r>
        <w:rPr>
          <w:rFonts w:ascii="Arial" w:cs="Arial" w:eastAsia="Arial" w:hAnsi="Arial"/>
          <w:sz w:val="16"/>
          <w:szCs w:val="16"/>
          <w:color w:val="auto"/>
        </w:rPr>
        <w:t>Net income and losses of NFI generally will be allocated to the holders of NFI LLC Units on a pro rata basis in accordance with their respective percentage ownership of NFI LLC Units, subject to requirements under U.S. federal income tax law that certain items of income, gain, loss or deduction be allocated disproportionately in certain circumstances. To the extent NFI has available cash and subject to the terms of NFE’s credit agreements and any other debt instruments, we intend to cause NFI to make</w:t>
      </w:r>
    </w:p>
    <w:p>
      <w:pPr>
        <w:spacing w:after="0" w:line="2" w:lineRule="exact"/>
        <w:rPr>
          <w:sz w:val="20"/>
          <w:szCs w:val="20"/>
          <w:color w:val="auto"/>
        </w:rPr>
      </w:pPr>
    </w:p>
    <w:p>
      <w:pPr>
        <w:ind w:left="7" w:right="260" w:hanging="7"/>
        <w:spacing w:after="0" w:line="323" w:lineRule="auto"/>
        <w:tabs>
          <w:tab w:leader="none" w:pos="222" w:val="left"/>
        </w:tabs>
        <w:numPr>
          <w:ilvl w:val="0"/>
          <w:numId w:val="45"/>
        </w:numPr>
        <w:rPr>
          <w:rFonts w:ascii="Arial" w:cs="Arial" w:eastAsia="Arial" w:hAnsi="Arial"/>
          <w:sz w:val="16"/>
          <w:szCs w:val="16"/>
          <w:color w:val="auto"/>
        </w:rPr>
      </w:pPr>
      <w:r>
        <w:rPr>
          <w:rFonts w:ascii="Arial" w:cs="Arial" w:eastAsia="Arial" w:hAnsi="Arial"/>
          <w:sz w:val="16"/>
          <w:szCs w:val="16"/>
          <w:color w:val="auto"/>
        </w:rPr>
        <w:t>generally pro rata distributions to its unitholders, including NFE, in an amount sufficient to allow NFE to pay its taxes and (ii) non-pro rata distributions to NFE in an amount at least sufficient to reimburse it for its corporate and other overhead expenses.</w:t>
      </w:r>
    </w:p>
    <w:p>
      <w:pPr>
        <w:spacing w:after="0" w:line="139"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Issuance of Equity</w:t>
      </w:r>
    </w:p>
    <w:p>
      <w:pPr>
        <w:spacing w:after="0" w:line="117" w:lineRule="exact"/>
        <w:rPr>
          <w:sz w:val="20"/>
          <w:szCs w:val="20"/>
          <w:color w:val="auto"/>
        </w:rPr>
      </w:pPr>
    </w:p>
    <w:p>
      <w:pPr>
        <w:ind w:left="7" w:right="40" w:firstLine="360"/>
        <w:spacing w:after="0" w:line="255" w:lineRule="auto"/>
        <w:rPr>
          <w:sz w:val="20"/>
          <w:szCs w:val="20"/>
          <w:color w:val="auto"/>
        </w:rPr>
      </w:pPr>
      <w:r>
        <w:rPr>
          <w:rFonts w:ascii="Arial" w:cs="Arial" w:eastAsia="Arial" w:hAnsi="Arial"/>
          <w:sz w:val="18"/>
          <w:szCs w:val="18"/>
          <w:color w:val="auto"/>
        </w:rPr>
        <w:t>The NFI LLC Agreement will provide that, except as otherwise determined by us, at any time NFE issues a Class A share or any other equity security, the net proceeds received by NFE with respect to such issuance, if any, shall be concurrently invested in NFI, and NFI shall issue to NFE one NFI LLC Unit or other economically equivalent equity interest. Conversely, if at any time, any of NFE’s Class A shares are redeemed, repurchased or otherwise acquired, NFI shall redeem, repurchase or otherwise acquire an equal number of NFI LLC Units held by NFE, upon the same terms and for the same price, as our Class A shares are redeemed, repurchased or otherwise acquired.</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Other Transactions with Related Persons</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b w:val="1"/>
          <w:bCs w:val="1"/>
          <w:i w:val="1"/>
          <w:iCs w:val="1"/>
          <w:color w:val="auto"/>
        </w:rPr>
        <w:t>Miami-Dade Ground Lease</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We lease the property for our Miami-Dade Facility from an affiliate of Fortress.</w:t>
      </w:r>
    </w:p>
    <w:p>
      <w:pPr>
        <w:spacing w:after="0" w:line="117" w:lineRule="exact"/>
        <w:rPr>
          <w:sz w:val="20"/>
          <w:szCs w:val="20"/>
          <w:color w:val="auto"/>
        </w:rPr>
      </w:pPr>
    </w:p>
    <w:p>
      <w:pPr>
        <w:ind w:left="7" w:right="180" w:firstLine="360"/>
        <w:spacing w:after="0" w:line="257" w:lineRule="auto"/>
        <w:rPr>
          <w:sz w:val="20"/>
          <w:szCs w:val="20"/>
          <w:color w:val="auto"/>
        </w:rPr>
      </w:pPr>
      <w:r>
        <w:rPr>
          <w:rFonts w:ascii="Arial" w:cs="Arial" w:eastAsia="Arial" w:hAnsi="Arial"/>
          <w:sz w:val="18"/>
          <w:szCs w:val="18"/>
          <w:i w:val="1"/>
          <w:iCs w:val="1"/>
          <w:color w:val="auto"/>
        </w:rPr>
        <w:t>The Lease</w:t>
      </w:r>
      <w:r>
        <w:rPr>
          <w:rFonts w:ascii="Arial" w:cs="Arial" w:eastAsia="Arial" w:hAnsi="Arial"/>
          <w:sz w:val="18"/>
          <w:szCs w:val="18"/>
          <w:color w:val="auto"/>
        </w:rPr>
        <w:t>. Our subsidiary, LNG Holdings (Florida) LLC (“Florida Holdings”), is the owner and operator of the Miami-Dade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Florida Holdings holds rights to the real property on which the Miami-Dade Facility is located pursuant to that certain Ground Lease Agreement dated November 20, 2014 (the “Miami Lease”), by and between FDG LR 7 LLC, as landlord (“Miami Landlord”), and Florida Holdings, as tenant (in such capacity, “Miami Tenant”). The Miami Landlord is owned by certain funds managed by an affiliate of Fortress.</w:t>
      </w:r>
    </w:p>
    <w:p>
      <w:pPr>
        <w:spacing w:after="0" w:line="80" w:lineRule="exact"/>
        <w:rPr>
          <w:sz w:val="20"/>
          <w:szCs w:val="20"/>
          <w:color w:val="auto"/>
        </w:rPr>
      </w:pPr>
    </w:p>
    <w:p>
      <w:pPr>
        <w:ind w:left="7" w:right="200" w:firstLine="360"/>
        <w:spacing w:after="0" w:line="264"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term of the Miami Lease commenced November 20, 2014, and expires November 19, 2019. The term will</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extend for five additional periods of five years each (unless Miami Tenant notifies Miami Landlord otherwise as set forth in the Miami Lease).</w:t>
      </w:r>
    </w:p>
    <w:p>
      <w:pPr>
        <w:spacing w:after="0" w:line="73" w:lineRule="exact"/>
        <w:rPr>
          <w:sz w:val="20"/>
          <w:szCs w:val="20"/>
          <w:color w:val="auto"/>
        </w:rPr>
      </w:pPr>
    </w:p>
    <w:p>
      <w:pPr>
        <w:ind w:left="7" w:right="60" w:firstLine="360"/>
        <w:spacing w:after="0" w:line="302" w:lineRule="auto"/>
        <w:rPr>
          <w:sz w:val="20"/>
          <w:szCs w:val="20"/>
          <w:color w:val="auto"/>
        </w:rPr>
      </w:pPr>
      <w:r>
        <w:rPr>
          <w:rFonts w:ascii="Arial" w:cs="Arial" w:eastAsia="Arial" w:hAnsi="Arial"/>
          <w:sz w:val="16"/>
          <w:szCs w:val="16"/>
          <w:i w:val="1"/>
          <w:iCs w:val="1"/>
          <w:color w:val="auto"/>
        </w:rPr>
        <w:t>Rent; Security</w:t>
      </w:r>
      <w:r>
        <w:rPr>
          <w:rFonts w:ascii="Arial" w:cs="Arial" w:eastAsia="Arial" w:hAnsi="Arial"/>
          <w:sz w:val="16"/>
          <w:szCs w:val="16"/>
          <w:color w:val="auto"/>
        </w:rPr>
        <w:t>. Miami Tenant pays base rent in the amount of $270,000 per year, which amount shall escalate by 2.5% on each</w:t>
      </w:r>
      <w:r>
        <w:rPr>
          <w:rFonts w:ascii="Arial" w:cs="Arial" w:eastAsia="Arial" w:hAnsi="Arial"/>
          <w:sz w:val="16"/>
          <w:szCs w:val="16"/>
          <w:i w:val="1"/>
          <w:iCs w:val="1"/>
          <w:color w:val="auto"/>
        </w:rPr>
        <w:t xml:space="preserve"> </w:t>
      </w:r>
      <w:r>
        <w:rPr>
          <w:rFonts w:ascii="Arial" w:cs="Arial" w:eastAsia="Arial" w:hAnsi="Arial"/>
          <w:sz w:val="16"/>
          <w:szCs w:val="16"/>
          <w:color w:val="auto"/>
        </w:rPr>
        <w:t>anniversary of the commencement date. Miami Tenant has delivered a security deposit in the amount of $135,000, which will be reduced to $70,000 upon commencement of the first renewal term, and further reduced to $0 upon commencement of the second renewal term. Miami Tenant has the right to provide the security deposit in the form of letter of credit.</w:t>
      </w:r>
    </w:p>
    <w:p>
      <w:pPr>
        <w:spacing w:after="0" w:line="46" w:lineRule="exact"/>
        <w:rPr>
          <w:sz w:val="20"/>
          <w:szCs w:val="20"/>
          <w:color w:val="auto"/>
        </w:rPr>
      </w:pPr>
    </w:p>
    <w:p>
      <w:pPr>
        <w:ind w:left="7" w:right="60" w:firstLine="360"/>
        <w:spacing w:after="0" w:line="308" w:lineRule="auto"/>
        <w:rPr>
          <w:sz w:val="20"/>
          <w:szCs w:val="20"/>
          <w:color w:val="auto"/>
        </w:rPr>
      </w:pPr>
      <w:r>
        <w:rPr>
          <w:rFonts w:ascii="Arial" w:cs="Arial" w:eastAsia="Arial" w:hAnsi="Arial"/>
          <w:sz w:val="17"/>
          <w:szCs w:val="17"/>
          <w:i w:val="1"/>
          <w:iCs w:val="1"/>
          <w:color w:val="auto"/>
        </w:rPr>
        <w:t>Net Lease</w:t>
      </w:r>
      <w:r>
        <w:rPr>
          <w:rFonts w:ascii="Arial" w:cs="Arial" w:eastAsia="Arial" w:hAnsi="Arial"/>
          <w:sz w:val="17"/>
          <w:szCs w:val="17"/>
          <w:color w:val="auto"/>
        </w:rPr>
        <w:t>. Miami Tenant is responsible for all other costs attributable to the Miami Leased Premises and Miami-Dade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all property taxes, insurance, and utilities, as well as all maintenance, repair, and replacement costs.</w:t>
      </w:r>
    </w:p>
    <w:p>
      <w:pPr>
        <w:spacing w:after="0" w:line="14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Private Aircraft</w:t>
      </w:r>
    </w:p>
    <w:p>
      <w:pPr>
        <w:spacing w:after="0" w:line="11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Mr. Edens owns or leases an aircraft that we charter from a third-party aircraft operator for business purposes in the ordinary course of operations. We incurred $2.9 million and $1.6 million for the year ended December 31, 2017 and 2016, respectively, and such amounts are included within Selling, general and administrative charges reimbursed to FIG LLC pursuant to the management services agreement described below. We paid the aircraft operator market rates for the charters. The operator remits a portion of these amounts to Mr. Edens.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are party to a management services agreement with FIG LLC, an affiliate of Fortress, pursuant to which FIG LLC provides us with certain back-office services and charges us for Selling, general and administrative expenses incurred. For the years ended December 31, 2017 and 2016, we paid FIG LLC $3.9 million and $2.2 million, respectively, for services provided under the management services agreement.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Procedures for Review, Approval and Ratification of Transactions with Related Persons</w:t>
      </w:r>
    </w:p>
    <w:p>
      <w:pPr>
        <w:spacing w:after="0" w:line="11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We expect that our Board will adopt a written policy that outlines procedures for approving transactions with related persons, and that any such transactions will be reviewed and approved or ratified by a majority of our disinterested and independent directors pursuant to the procedures outlined in any such policy. In determining whether to approve or ratify a transaction with a related person, we expect that the independent and disinterested directors will consider a variety of factors they deem relevant, such as: the terms of the transaction; the terms available to unrelated third parties; the benefits to the Company; and the availability of other sources for comparable assets, products or services.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Shares</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Class A shares are entitled to one vote per share held of record on all matters to be voted upon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A shares do not have cumulative voting rights in the election of directors.</w:t>
      </w:r>
    </w:p>
    <w:p>
      <w:pPr>
        <w:spacing w:after="0" w:line="70"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Holders of our Class A shares are entitled to ratably receive dividends when and if declared by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out of funds legally available for that purpose, subject to any statutory or contractual restrictions on the payment of dividends and to any prior rights and preferences that may be applicable to any outstanding preferred stock.</w:t>
      </w:r>
    </w:p>
    <w:p>
      <w:pPr>
        <w:spacing w:after="0" w:line="57"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our liquidation, dissolution, distribution of assets or other winding up, the holders of Class A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are entitled to receive ratably the assets available for distribution to the shareholders after payment of liabilities and the liquidation preference of any of our outstanding shares of preferred stock.</w:t>
      </w:r>
    </w:p>
    <w:p>
      <w:pPr>
        <w:spacing w:after="0" w:line="73"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The Class A shares have no preemptive or conversion rights and are not subject to further calls or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by us. There are no redemption or sinking fund provisions applicable to the Class A shares. All outstanding Class A shares, including the Class A shares offered in this offering, are fully paid and non-assessable.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Shares</w:t>
      </w:r>
    </w:p>
    <w:p>
      <w:pPr>
        <w:spacing w:after="0" w:line="121"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In connection with the reorganization and this offering, the NFI unitholders will receive one Class B share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NFI LLC Unit that they hold. Accordingly, the NFI unitholders will have a number of votes in NFE equal to the aggregate number of NFI LLC Units that they hold. Class B shares cannot be transferred without transferring an equal number of NFI LLC Units and vice versa.</w:t>
      </w:r>
    </w:p>
    <w:p>
      <w:pPr>
        <w:spacing w:after="0" w:line="79"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our Class B shares are entitled to one vote per share held of record on all matters to be voted upon by</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shareholders. 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B shares do not have cumulative voting rights in the election of directors.</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Dividend and Liquidation Rights</w:t>
      </w:r>
      <w:r>
        <w:rPr>
          <w:rFonts w:ascii="Arial" w:cs="Arial" w:eastAsia="Arial" w:hAnsi="Arial"/>
          <w:sz w:val="18"/>
          <w:szCs w:val="18"/>
          <w:color w:val="auto"/>
        </w:rPr>
        <w:t>. Holders of our Class B shares do not have any right to receive dividends, unless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our Class B shares or of rights, options, warrants or other securities convertible or 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Pursuant to our operating agreement,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The rights with respect to a series of preferred shares may be more favorable to the holder(s) thereof than the rights attached to our Class A shares. It is not possible to state the actual effect of the issuance of any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preferred shares on the rights of holders of our Class A shares until our board of directors determines the specific rights attached to such preference share. The effect of issuing preferred shares may include, among other things, one or more of the following:</w:t>
      </w:r>
    </w:p>
    <w:p>
      <w:pPr>
        <w:spacing w:after="0" w:line="16" w:lineRule="exact"/>
        <w:rPr>
          <w:sz w:val="20"/>
          <w:szCs w:val="20"/>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restricting any dividends in respect of our Class A shares;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diluting the voting power of our Class A shares or providing that holders of preferred shares have the right to vote on matters as a class;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impairing the liquidation rights of our Class A shares;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delaying or preventing a change of control of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Duties</w:t>
      </w:r>
    </w:p>
    <w:p>
      <w:pPr>
        <w:spacing w:after="0" w:line="117" w:lineRule="exact"/>
        <w:rPr>
          <w:sz w:val="20"/>
          <w:szCs w:val="20"/>
          <w:color w:val="auto"/>
        </w:rPr>
      </w:pPr>
    </w:p>
    <w:p>
      <w:pPr>
        <w:ind w:right="180" w:firstLine="900"/>
        <w:spacing w:after="0" w:line="277" w:lineRule="auto"/>
        <w:rPr>
          <w:sz w:val="20"/>
          <w:szCs w:val="20"/>
          <w:color w:val="auto"/>
        </w:rPr>
      </w:pPr>
      <w:r>
        <w:rPr>
          <w:rFonts w:ascii="Arial" w:cs="Arial" w:eastAsia="Arial" w:hAnsi="Arial"/>
          <w:sz w:val="18"/>
          <w:szCs w:val="18"/>
          <w:color w:val="auto"/>
        </w:rPr>
        <w:t>will serve as the registrar and transfer agent for the Class A shares. We will pay all fees charged by the transfer agent for transfers of Class A shares except the following, which must be paid by our Class A shareholders:</w:t>
      </w:r>
    </w:p>
    <w:p>
      <w:pPr>
        <w:spacing w:after="0" w:line="62" w:lineRule="exact"/>
        <w:rPr>
          <w:sz w:val="20"/>
          <w:szCs w:val="20"/>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There will be no charge to our Class A shareholders for disbursements of any dividends. We will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may resign, by notice to us, or be removed by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Upon the transfer of a Class A share or a Class B share in accordance with our operating agreement, the transferee of the Class A share or Class B share shall be admitted as a member with respect to the class of shares transferred when such transfer and admission are reflected in our books and records. Each transferee:</w:t>
      </w:r>
    </w:p>
    <w:p>
      <w:pPr>
        <w:spacing w:after="0" w:line="73" w:lineRule="exact"/>
        <w:rPr>
          <w:sz w:val="20"/>
          <w:szCs w:val="20"/>
          <w:color w:val="auto"/>
        </w:rPr>
      </w:pPr>
    </w:p>
    <w:p>
      <w:pPr>
        <w:ind w:left="700" w:hanging="35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automatically becomes bound by the terms and conditions of our operating agreement;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that the transferee has the capacity, power and authority to enter into our operating agreement; and</w:t>
      </w:r>
    </w:p>
    <w:p>
      <w:pPr>
        <w:spacing w:after="0" w:line="128" w:lineRule="exact"/>
        <w:rPr>
          <w:rFonts w:ascii="Arial" w:cs="Arial" w:eastAsia="Arial" w:hAnsi="Arial"/>
          <w:sz w:val="17"/>
          <w:szCs w:val="17"/>
          <w:color w:val="auto"/>
        </w:rPr>
      </w:pPr>
    </w:p>
    <w:p>
      <w:pPr>
        <w:ind w:left="700" w:right="300" w:hanging="356"/>
        <w:spacing w:after="0" w:line="342" w:lineRule="auto"/>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makes the consents, acknowledgements and waivers contained in our operating agreement, such as the approval of all transactions and agreements that we are entering into in connection with our formation and this offering.</w:t>
      </w:r>
    </w:p>
    <w:p>
      <w:pPr>
        <w:spacing w:after="0" w:line="16"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We will cause any transfers to be recorded on our books and records from time to time (or shall cause the transfer agent to do so, as applicable).</w:t>
      </w:r>
    </w:p>
    <w:p>
      <w:pPr>
        <w:spacing w:after="0" w:line="62"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Class A shares and Class B shares are securities and any transfers are subject to the laws governing the transfer of securities.</w:t>
      </w:r>
    </w:p>
    <w:p>
      <w:pPr>
        <w:spacing w:after="0" w:line="14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OPERATING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Our limited liability company was formed on August 6, 2018, and will remain in existence until dissolved in accordance with our operating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jc w:val="both"/>
        <w:ind w:right="460" w:firstLine="360"/>
        <w:spacing w:after="0" w:line="264" w:lineRule="auto"/>
        <w:rPr>
          <w:sz w:val="20"/>
          <w:szCs w:val="20"/>
          <w:color w:val="auto"/>
        </w:rPr>
      </w:pPr>
      <w:r>
        <w:rPr>
          <w:rFonts w:ascii="Arial" w:cs="Arial" w:eastAsia="Arial" w:hAnsi="Arial"/>
          <w:sz w:val="18"/>
          <w:szCs w:val="18"/>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be Bound by our Operating Agreement; Power of Attorney</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By purchasing our Class A shares, you will be admitted as a member of our limited liability company and will be deemed to have agreed to be bound by the terms of our operating agreement. Pursuant to this agreement, each Class A shareholder and each person who acquires Class A shares from a Class A shareholder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our operating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Our Operating Agreement</w:t>
      </w:r>
    </w:p>
    <w:p>
      <w:pPr>
        <w:spacing w:after="0" w:line="121"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Prohibited Amendments</w:t>
      </w:r>
      <w:r>
        <w:rPr>
          <w:rFonts w:ascii="Arial" w:cs="Arial" w:eastAsia="Arial" w:hAnsi="Arial"/>
          <w:sz w:val="18"/>
          <w:szCs w:val="18"/>
          <w:color w:val="auto"/>
        </w:rPr>
        <w:t>. No amendment may be made that would:</w:t>
      </w:r>
    </w:p>
    <w:p>
      <w:pPr>
        <w:spacing w:after="0" w:line="117" w:lineRule="exact"/>
        <w:rPr>
          <w:sz w:val="20"/>
          <w:szCs w:val="20"/>
          <w:color w:val="auto"/>
        </w:rPr>
      </w:pPr>
    </w:p>
    <w:p>
      <w:pPr>
        <w:ind w:left="700" w:right="200" w:hanging="356"/>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73"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provision of our operating agreement preventing the amendments having the effects described in any of the clauses above can be amended upon the approval of holders of at least two-thirds of the outstanding shares.</w:t>
      </w:r>
    </w:p>
    <w:p>
      <w:pPr>
        <w:spacing w:after="0" w:line="62"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i w:val="1"/>
          <w:iCs w:val="1"/>
          <w:color w:val="auto"/>
        </w:rPr>
        <w:t>No Shareholder Approval</w:t>
      </w:r>
      <w:r>
        <w:rPr>
          <w:rFonts w:ascii="Arial" w:cs="Arial" w:eastAsia="Arial" w:hAnsi="Arial"/>
          <w:sz w:val="18"/>
          <w:szCs w:val="18"/>
          <w:color w:val="auto"/>
        </w:rPr>
        <w:t>. Our board of directors may generally make amendments to our operating agreement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any shareholder or assignee to reflect:</w:t>
      </w:r>
    </w:p>
    <w:p>
      <w:pPr>
        <w:spacing w:after="0" w:line="62" w:lineRule="exact"/>
        <w:rPr>
          <w:sz w:val="20"/>
          <w:szCs w:val="20"/>
          <w:color w:val="auto"/>
        </w:rPr>
      </w:pPr>
    </w:p>
    <w:p>
      <w:pPr>
        <w:ind w:left="700" w:hanging="356"/>
        <w:spacing w:after="0"/>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change in our name, the location of our principal place of our business, our registered agent or our registered office;</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admission, substitution, withdrawal or removal of shareholders in accordance with our operating agreement;</w:t>
      </w:r>
    </w:p>
    <w:p>
      <w:pPr>
        <w:spacing w:after="0" w:line="128" w:lineRule="exact"/>
        <w:rPr>
          <w:rFonts w:ascii="Arial" w:cs="Arial" w:eastAsia="Arial" w:hAnsi="Arial"/>
          <w:sz w:val="17"/>
          <w:szCs w:val="17"/>
          <w:color w:val="auto"/>
        </w:rPr>
      </w:pPr>
    </w:p>
    <w:p>
      <w:pPr>
        <w:jc w:val="both"/>
        <w:ind w:left="700" w:right="80" w:hanging="356"/>
        <w:spacing w:after="0" w:line="264"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73" w:lineRule="exact"/>
        <w:rPr>
          <w:rFonts w:ascii="Arial" w:cs="Arial" w:eastAsia="Arial" w:hAnsi="Arial"/>
          <w:sz w:val="18"/>
          <w:szCs w:val="18"/>
          <w:color w:val="auto"/>
        </w:rPr>
      </w:pPr>
    </w:p>
    <w:p>
      <w:pPr>
        <w:ind w:left="700" w:right="860" w:hanging="356"/>
        <w:spacing w:after="0" w:line="342"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continue our qualification as a company in which our members have limited liability under the laws of any state;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change in our legal form from a limited liability company to a corporation;</w:t>
      </w:r>
    </w:p>
    <w:p>
      <w:pPr>
        <w:spacing w:after="0" w:line="117" w:lineRule="exact"/>
        <w:rPr>
          <w:rFonts w:ascii="Arial" w:cs="Arial" w:eastAsia="Arial" w:hAnsi="Arial"/>
          <w:sz w:val="18"/>
          <w:szCs w:val="18"/>
          <w:color w:val="auto"/>
        </w:rPr>
      </w:pPr>
    </w:p>
    <w:p>
      <w:pPr>
        <w:ind w:left="700" w:right="40" w:hanging="356"/>
        <w:spacing w:after="0" w:line="25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80"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amendment expressly permitted in our operating agreement to be made by our board of directors acting alone;</w:t>
      </w:r>
    </w:p>
    <w:p>
      <w:pPr>
        <w:spacing w:after="0" w:line="128" w:lineRule="exact"/>
        <w:rPr>
          <w:rFonts w:ascii="Arial" w:cs="Arial" w:eastAsia="Arial" w:hAnsi="Arial"/>
          <w:sz w:val="17"/>
          <w:szCs w:val="17"/>
          <w:color w:val="auto"/>
        </w:rPr>
      </w:pPr>
    </w:p>
    <w:p>
      <w:pPr>
        <w:ind w:left="700" w:right="200" w:hanging="356"/>
        <w:spacing w:after="0" w:line="27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operating agreement;</w:t>
      </w:r>
    </w:p>
    <w:p>
      <w:pPr>
        <w:spacing w:after="0" w:line="62" w:lineRule="exact"/>
        <w:rPr>
          <w:rFonts w:ascii="Arial" w:cs="Arial" w:eastAsia="Arial" w:hAnsi="Arial"/>
          <w:sz w:val="18"/>
          <w:szCs w:val="18"/>
          <w:color w:val="auto"/>
        </w:rPr>
      </w:pPr>
    </w:p>
    <w:p>
      <w:pPr>
        <w:ind w:left="700" w:right="280" w:hanging="356"/>
        <w:spacing w:after="0" w:line="342"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17"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62" w:lineRule="exact"/>
        <w:rPr>
          <w:sz w:val="20"/>
          <w:szCs w:val="20"/>
          <w:color w:val="auto"/>
        </w:rPr>
      </w:pPr>
    </w:p>
    <w:p>
      <w:pPr>
        <w:ind w:left="700" w:hanging="35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17" w:lineRule="exact"/>
        <w:rPr>
          <w:rFonts w:ascii="Arial" w:cs="Arial" w:eastAsia="Arial" w:hAnsi="Arial"/>
          <w:sz w:val="18"/>
          <w:szCs w:val="18"/>
          <w:color w:val="auto"/>
        </w:rPr>
      </w:pPr>
    </w:p>
    <w:p>
      <w:pPr>
        <w:ind w:left="700" w:right="180" w:hanging="356"/>
        <w:spacing w:after="0" w:line="342" w:lineRule="auto"/>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5" w:lineRule="exact"/>
        <w:rPr>
          <w:rFonts w:ascii="Arial" w:cs="Arial" w:eastAsia="Arial" w:hAnsi="Arial"/>
          <w:sz w:val="16"/>
          <w:szCs w:val="16"/>
          <w:color w:val="auto"/>
        </w:rPr>
      </w:pPr>
    </w:p>
    <w:p>
      <w:pPr>
        <w:ind w:left="700" w:hanging="356"/>
        <w:spacing w:after="0" w:line="264"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3"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operating agreement; or</w:t>
      </w:r>
    </w:p>
    <w:p>
      <w:pPr>
        <w:spacing w:after="0" w:line="62"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operating agreement or are otherwise contemplated by our operating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We will continue as a limited liability company until terminated under our operating agreement. We will dissolve upon: (1) the election of our board of directors to dissolve us, if approved by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Limited Liability Company Act (the “Delaware LLC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are required to keep appropriate books of our business at our principal offices. The books will be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provided, however, that we will only be required to provide access to our books and records to shareholders who</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have held over 1% of our total outstanding shares for a period of at least one year from the date of such request. We will use reasonable efforts to furnish to you an annual report containing audited consolidated financial statements and a report on those consolidated financial statements by our independent public accountants. We will be deemed to have made any such report available if we file such report with the SEC on EDGAR or make the report available on a publicly available website that we maintain.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121" w:lineRule="exact"/>
        <w:rPr>
          <w:sz w:val="20"/>
          <w:szCs w:val="20"/>
          <w:color w:val="auto"/>
        </w:rPr>
      </w:pPr>
    </w:p>
    <w:p>
      <w:pPr>
        <w:ind w:right="180" w:firstLine="360"/>
        <w:spacing w:after="0" w:line="312" w:lineRule="auto"/>
        <w:rPr>
          <w:sz w:val="20"/>
          <w:szCs w:val="20"/>
          <w:color w:val="auto"/>
        </w:rPr>
      </w:pPr>
      <w:r>
        <w:rPr>
          <w:rFonts w:ascii="Arial" w:cs="Arial" w:eastAsia="Arial" w:hAnsi="Arial"/>
          <w:sz w:val="16"/>
          <w:szCs w:val="16"/>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Additional Interests</w:t>
      </w:r>
    </w:p>
    <w:p>
      <w:pPr>
        <w:spacing w:after="0" w:line="117"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the NYSE.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Business Combination Statute—Section 203</w:t>
      </w:r>
    </w:p>
    <w:p>
      <w:pPr>
        <w:spacing w:after="0" w:line="117"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pacing w:after="0" w:line="62"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 For purposes of Section 203, a business combination includes a merger, asset sale or other transaction resulting in a financial benefit to the interested shareholder, and an interested shareholder is a person who, together with affiliates and associates, owns, or within three years prior, did own, 15% or more of voting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Provisions of Our Operating Agreement</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Our operating agreement provides that our board shall consist of not fewer than three and not more than nine directors as the board of directors may from time to time determine. Our board of directors will consist of directors and will be divided into three classes that are, as nearly as possible, of equal size. Each class of directors is elected for a three-year term of office, but the terms are staggered so that the term of only one class of directors expires at each annual general meeting. The current terms of the Class I, Class II and Class III directors will expire in 2019, 2020, and 2021, respectively.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59"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73"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In addition, our operating agreement provides that any director or the entire board of directors may be removed, with or without cause, at any time, by holders of a majority of the total combined voting power of all of our outstanding Class A shares and Class B shares then entitled to vote at an election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73"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Pursuant to our operating agreement, preferred shares may be issued from time to time, and the board of directors is authorized to determine and alter all designations, preferences, rights, powers and duties without limitation. See “Description of Shares— Preferred Shares.” Our operating agreement does not provide our shareholders with the ability to call a special meeting of the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of Our Shareholders to Act</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8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62"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date of the immediately preceding annual meeting of shareholders; provided, however, that in the event that the annual meeting is called for a date that is not within 25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Officers and Directors</w:t>
      </w:r>
    </w:p>
    <w:p>
      <w:pPr>
        <w:spacing w:after="0" w:line="121"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Our operating agreement provides that our business and affairs shall be managed under the direction of our board of directors, which shall have the power to appoint our officers. Our operating agreement further provides that the authority and function of our board of directors and officers shall be identical to the authority and functions of a board of directors and officers of a corporation organized under the Delaware General Corporation Law, or DGCL, except as expressly modified by the terms of the operating agreement. Finally, our operating agreement provides that except as specifically provided therein, the fiduciary duties and obligations owed to our limited liability company and to our members shall be the same as the respective duties and obligations owed by officers and directors of a corporation organized under the DGCL to their corporation and stockholders, respectively.</w:t>
      </w:r>
    </w:p>
    <w:p>
      <w:pPr>
        <w:spacing w:after="0" w:line="5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However, there are certain provisions in our operating agreement regarding exculpation and indemnification of our officers and directors that differ from the DGCL. First, 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stock or declaration of a dividend, or (iv) a transaction from which the director derived an improper personal benefit.</w:t>
      </w:r>
    </w:p>
    <w:p>
      <w:pPr>
        <w:spacing w:after="0" w:line="85" w:lineRule="exact"/>
        <w:rPr>
          <w:sz w:val="20"/>
          <w:szCs w:val="20"/>
          <w:color w:val="auto"/>
        </w:rPr>
      </w:pPr>
    </w:p>
    <w:p>
      <w:pPr>
        <w:ind w:right="400" w:firstLine="360"/>
        <w:spacing w:after="0" w:line="302" w:lineRule="auto"/>
        <w:rPr>
          <w:sz w:val="20"/>
          <w:szCs w:val="20"/>
          <w:color w:val="auto"/>
        </w:rPr>
      </w:pPr>
      <w:r>
        <w:rPr>
          <w:rFonts w:ascii="Arial" w:cs="Arial" w:eastAsia="Arial" w:hAnsi="Arial"/>
          <w:sz w:val="16"/>
          <w:szCs w:val="16"/>
          <w:color w:val="auto"/>
        </w:rPr>
        <w:t>Second, our operating agreement provides that we indemnify our directors and officers for acts or omissions to the fullest extent permitted by law. Under the DGCL, a corporation can only indemnify directors and officers for acts or omissions if the director or officer acted in good faith, in a manner he reasonably believed to be in the best interests of the corporation, and, in a criminal action, if the officer or director had no reasonable cause to believe his conduct was unlawful.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Third, our operating agreement provides that in the event a potential conflict of interest exists or arises between any of our principals, our directors or their respective affiliates, on the one hand, and us, any of our subsidiaries or any of our shareholders, on the other hand, a resolution or course of action by our board of directors shall be deemed approved by all of our shareholders, and shall not constitute a breach of the fiduciary duties of members of the board to us or our shareholders, if such resolution or course of action is (i) approved by our nominating, corporate governance and conflicts committee, which is composed of independent directors, (ii) approved by shareholders holding a majority of our shares that are disinterested parties, (iii) on terms no less favorable than those generally provided to or available from unrelated third parties, or (iv) fair and reasonable to us. Under the DGCL, a corporation is not permitted to automatically exempt board members from claims of breach of fiduciary duty under such circumstances.</w:t>
      </w:r>
    </w:p>
    <w:p>
      <w:pPr>
        <w:spacing w:after="0" w:line="89"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In addition, our operating agreement provides that all conflicts of interest described in this prospectus are deemed to have been specifically approved by all of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Members of Our Board of Directors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Beginning with our first annual meeting of shareholders following this offering, certain members of our board of directors will</w:t>
      </w:r>
    </w:p>
    <w:p>
      <w:pPr>
        <w:spacing w:after="0" w:line="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be elected by our shareholders on a staggered basis. Our board of directors will initially consist of directors. Our board is divided into three classes that are, as nearly as possible, of equal size. Each class of directors is elected for a three-year term of office, but the terms are staggered so that the term of only one class of directors expires at each annual general meeting. The current terms of the Class I, Class II and Class III directors will expire in 2019, 2020, and 2021, respectively. Any vacancy on the board of directors may be filled by a majority of the directors then in office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A director or the entire board of directors may be removed, with or without cause, at any time, by holders of a majority of the total combined voting power of all of our outstanding Class A shares and Class B shares then entitled to vote at an election of directors. The vacancy in the board of directors caused by any such removal will be filled by a vote of the majority of directors then in office.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 Under the Delaware LLC Act, an assignee who becomes a substituted member of a company is liable for the obligations of his assignor to make contributions to the company, except the assignee is not obligated for liabilities unknown to him at the time the assignee became a member and that could not be ascertained from the operating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12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Our operating agreement provides that our directors will not be personally liable to us or our shareholders for monetary damages for breach of a fiduciary duty as a director, except to the extent such exemption is not permitted under the Delaware LLC Act.</w:t>
      </w:r>
    </w:p>
    <w:p>
      <w:pPr>
        <w:spacing w:after="0" w:line="73"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Our operating agreement provides that we must indemnify our directors and officers to the fullest extent permitted by law. We are also expressly authorized to advance certain expenses (including attorneys’ fees and disbursements and court costs) to our directors and officers and carry directors’ and officers’ insurance providing indemnification for our directors and officers for some liabilities. We believe that these indemnification provisions and insurance are useful to attract and retain qualified directors and officers.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firstLine="360"/>
        <w:spacing w:after="0" w:line="290" w:lineRule="auto"/>
        <w:rPr>
          <w:sz w:val="20"/>
          <w:szCs w:val="20"/>
          <w:color w:val="auto"/>
        </w:rPr>
      </w:pPr>
      <w:r>
        <w:rPr>
          <w:rFonts w:ascii="Arial" w:cs="Arial" w:eastAsia="Arial" w:hAnsi="Arial"/>
          <w:sz w:val="16"/>
          <w:szCs w:val="16"/>
          <w:color w:val="auto"/>
        </w:rPr>
        <w:t>Prior to the completion of this offering, we intend to enter into separate indemnification agreements with each of our directors and executive officers. Each indemnification agreement will provide, among other things, for indemnification to the fullest extent permitted by law and our operating agreement against (i) any and all expenses and liabilities, including judgments, fines, penalties and amounts paid in settlement of any claim with our approval and counsel fees and disbursements, (ii) any liability pursuant to a loan guarantee, or otherwise, for any of our indebtedness, and (iii) any liabilities incurred as a result of acting on our behalf (as a fiduciary or otherwise) in connection with an employee benefit plan. The indemnification agreements will provide for the advancement or payment of all expenses to the indemnitee and for reimbursement to us if it is found that such indemnitee is not entitled to such indemnification under applicable law and our operating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117" w:lineRule="exact"/>
        <w:rPr>
          <w:sz w:val="20"/>
          <w:szCs w:val="20"/>
          <w:color w:val="auto"/>
        </w:rPr>
      </w:pPr>
    </w:p>
    <w:p>
      <w:pPr>
        <w:ind w:left="700" w:right="140" w:hanging="356"/>
        <w:spacing w:after="0" w:line="286" w:lineRule="auto"/>
        <w:tabs>
          <w:tab w:leader="none" w:pos="7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New Fortress Energy Holdings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57" w:lineRule="exact"/>
        <w:rPr>
          <w:rFonts w:ascii="Arial" w:cs="Arial" w:eastAsia="Arial" w:hAnsi="Arial"/>
          <w:sz w:val="17"/>
          <w:szCs w:val="17"/>
          <w:color w:val="auto"/>
        </w:rPr>
      </w:pPr>
    </w:p>
    <w:p>
      <w:pPr>
        <w:ind w:left="700" w:right="520" w:hanging="356"/>
        <w:spacing w:after="0" w:line="264"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New Fortress Energy Holdings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73" w:lineRule="exact"/>
        <w:rPr>
          <w:rFonts w:ascii="Arial" w:cs="Arial" w:eastAsia="Arial" w:hAnsi="Arial"/>
          <w:sz w:val="18"/>
          <w:szCs w:val="18"/>
          <w:color w:val="auto"/>
        </w:rPr>
      </w:pPr>
    </w:p>
    <w:p>
      <w:pPr>
        <w:ind w:left="700" w:right="500" w:hanging="356"/>
        <w:spacing w:after="0" w:line="277"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renounced any interest or expectancy in, or in being offered an opportunity to participate in, such corporate opportunities; and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that any of our directors and officers who is also a director, officer or employee of New Fortress Energy Holdings and their respective affiliates acquire knowledge of a corporate opportunity or is offered a corporate opportunity, provided that this knowledge was not acquired solely in such person’s capacity as our director or officer and such person acted in good faith, then such person is deemed to have fully satisfied such person’s fiduciary duty and is not liable to us if New Fortress Energy Holdings and their respective affiliates pursues or acquires the corporate opportunity or if such person did not present the corporate opportunity to 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121" w:lineRule="exact"/>
        <w:rPr>
          <w:sz w:val="20"/>
          <w:szCs w:val="20"/>
          <w:color w:val="auto"/>
        </w:rPr>
      </w:pPr>
    </w:p>
    <w:p>
      <w:pPr>
        <w:ind w:left="180" w:right="280" w:firstLine="180"/>
        <w:spacing w:after="0" w:line="291" w:lineRule="auto"/>
        <w:rPr>
          <w:sz w:val="20"/>
          <w:szCs w:val="20"/>
          <w:color w:val="auto"/>
        </w:rPr>
      </w:pPr>
      <w:r>
        <w:rPr>
          <w:rFonts w:ascii="Arial" w:cs="Arial" w:eastAsia="Arial" w:hAnsi="Arial"/>
          <w:sz w:val="16"/>
          <w:szCs w:val="16"/>
          <w:color w:val="auto"/>
        </w:rPr>
        <w:t>After the sale of the Class A shares offered by this prospectus, New Fortress Energy Holdings will hold an aggregate of Class B shares and no Class A shares. The sale of the Class A shares issuable upon exercise of the Redemption Right by New</w:t>
      </w:r>
    </w:p>
    <w:p>
      <w:pPr>
        <w:ind w:right="540"/>
        <w:spacing w:after="0" w:line="261" w:lineRule="auto"/>
        <w:rPr>
          <w:sz w:val="20"/>
          <w:szCs w:val="20"/>
          <w:color w:val="auto"/>
        </w:rPr>
      </w:pPr>
      <w:r>
        <w:rPr>
          <w:rFonts w:ascii="Arial" w:cs="Arial" w:eastAsia="Arial" w:hAnsi="Arial"/>
          <w:sz w:val="18"/>
          <w:szCs w:val="18"/>
          <w:color w:val="auto"/>
        </w:rPr>
        <w:t>Fortress Energy Holdings could have an adverse impact on the price of the Class A shares or on any trading market that may develop.</w:t>
      </w:r>
    </w:p>
    <w:p>
      <w:pPr>
        <w:spacing w:after="0" w:line="76"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Class A shares sold in this offering will generally be freely transferable without restriction or further registration under the Securities Act, except that any Class A shares held by an “affiliate” of ours may not be resold publicly except in compliance with the registration requirements of the Securities Act or under an exemption under Rule 144 or otherwise. Rule 144 permits securities acquired by an affiliate of the issuer to be sold into the market in an amount that does not exceed, during any three-month period, the greater of:</w:t>
      </w:r>
    </w:p>
    <w:p>
      <w:pPr>
        <w:spacing w:after="0" w:line="80" w:lineRule="exact"/>
        <w:rPr>
          <w:sz w:val="20"/>
          <w:szCs w:val="20"/>
          <w:color w:val="auto"/>
        </w:rPr>
      </w:pPr>
    </w:p>
    <w:p>
      <w:pPr>
        <w:ind w:left="700" w:hanging="35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 of the total number of the securities outstanding;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shares for the four weeks prior to the sale.</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Sales under Rule 144 are also subject to specific manner of sale provisions, holding period requirements, notice requirements and the availability of current public information about us. A person who is not deemed to have been an affiliate of ours at any time during the three months preceding a sale, and who has beneficially owned our Class A shares for at least six months (provided we are in compliance with the current public information requirement), or one year (regardless of whether we are in compliance with the current public information requirement), would be entitled to sell those Class A shares under Rule 144, subject only to the current public information requirement. After beneficially owning Rule 144 restricted shares for at least one year, a person who is not deemed to have been an affiliate of ours at any time during the 90 days preceding a sale would be entitled to freely sell those Class A shares without regard to the public information requirements, volume limitations, manner of sale provisions and notice requirements of Rule 144.</w:t>
      </w:r>
    </w:p>
    <w:p>
      <w:pPr>
        <w:spacing w:after="0" w:line="74"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Our operating agreement provides that we may issue an unlimited number of limited liability company interests of any type at any time without a vote of the shareholders, subject to the requirements of the NYSE. Any issuance of additional Class A shares or other limited liability company interests would result in a corresponding decrease in the proportionate ownership interest in us represented by, and could adversely affect the market price of, Class A shares then outstanding. Please read “Our Operating Agreement—Anti-Takeover Effects of Delaware Law and Our Operating Agreement—Issuance of Additional Interests.”</w:t>
      </w:r>
    </w:p>
    <w:p>
      <w:pPr>
        <w:spacing w:after="0" w:line="5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Under the registration rights agreement that we expect to enter into, New Fortress Energy Holdings and its affiliates will have the right to cause us to register under the Securities Act and applicable state securities laws the offer and sale of any shares that they hold. Subject to the terms and conditions of the registration rights agreement, these registration rights allow New Fortress Energy Holdings and its affiliates or their assignees holding any shares to require registration of any of these shares and to include any of these shares in a registration by us of other shares, including shares offered by us or by any shareholder. In connection with any registration of this kind, we will indemnify each shareholder participating in the registration and its officers, directors, and controlling persons from and against any liabilities under the Securities Act or any applicable state securities laws arising from the registration statement or prospectus. We will bear all costs and expenses incidental to any registration, excluding any underwriting discount. Except as described below, New Fortress Energy Holdings and its affiliates may sell their shares in private transactions at any time, subject to compliance with applicable laws.</w:t>
      </w:r>
    </w:p>
    <w:p>
      <w:pPr>
        <w:spacing w:after="0" w:line="70"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Our executive officers and directors and New Fortress Energy Holdings have agreed not to sell any Class A shares they beneficially own for a period of 180 days from the date of this prospectus. Please read “Underwriting” for a description of these lock-up provisions.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The following is a summary of the material U.S. federal income tax considerations related to the purchase, ownership and disposition of our Class A shares by a non-U.S. holder (as defined below),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possibly with retroactive effect. We cannot assure you that a change in law will not significantly alter the tax considerations that we describe in this summary. We have not sought any ruling from the Internal Revenue Services (the “IRS”) with respect to the statements made and the conclusions reached in the following summary, and there can be no assurance that the IRS or a court will agree with such statements and conclusions.</w:t>
      </w:r>
    </w:p>
    <w:p>
      <w:pPr>
        <w:spacing w:after="0" w:line="71"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46" w:lineRule="exact"/>
        <w:rPr>
          <w:sz w:val="20"/>
          <w:szCs w:val="20"/>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qualified foreign pension funds (or any entities all of the interests of which are held by a qualified foreign pension fund);</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 and</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58" w:lineRule="exact"/>
        <w:rPr>
          <w:sz w:val="20"/>
          <w:szCs w:val="20"/>
          <w:color w:val="auto"/>
        </w:rPr>
      </w:pPr>
    </w:p>
    <w:p>
      <w:pPr>
        <w:ind w:firstLine="360"/>
        <w:spacing w:after="0" w:line="277" w:lineRule="auto"/>
        <w:rPr>
          <w:sz w:val="20"/>
          <w:szCs w:val="20"/>
          <w:color w:val="auto"/>
        </w:rPr>
      </w:pPr>
      <w:r>
        <w:rPr>
          <w:rFonts w:ascii="Arial" w:cs="Arial" w:eastAsia="Arial" w:hAnsi="Arial"/>
          <w:sz w:val="17"/>
          <w:szCs w:val="17"/>
          <w:b w:val="1"/>
          <w:bCs w:val="1"/>
          <w:color w:val="auto"/>
        </w:rPr>
        <w:t>PROSPECTIVE INVESTORS ARE ENCOURAGED TO CONSULT THEIR TAX ADVISORS WITH RESPECT TO THE APPLICATION OF THE U.S. FEDERAL INCOME TAX LAWS TO THEIR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Class A shares that is not for U.S. federal income tax purposes a partnership or any of the following:</w:t>
      </w:r>
    </w:p>
    <w:p>
      <w:pPr>
        <w:spacing w:after="0" w:line="62" w:lineRule="exact"/>
        <w:rPr>
          <w:sz w:val="20"/>
          <w:szCs w:val="20"/>
          <w:color w:val="auto"/>
        </w:rPr>
      </w:pPr>
    </w:p>
    <w:p>
      <w:pPr>
        <w:ind w:left="700" w:hanging="3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700" w:right="400" w:hanging="356"/>
        <w:spacing w:after="0" w:line="27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73"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shares to consult their tax advisors regarding the U.S. federal income tax considerations of the purchase, ownership and disposition of our Class A shares by such partnership.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NFE U.S. Federal Income Taxation</w:t>
      </w:r>
    </w:p>
    <w:p>
      <w:pPr>
        <w:spacing w:after="0" w:line="12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Although NFE was formed as a limited liability company, we have elected to be taxed as a corporation for U.S. federal income tax purposes. Thus, NFE is obligated to pay U.S. federal income tax on our net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As described in the section entitled “Dividend Policy,” we do not plan to make any dividends on our Class A shares for the foreseeable future. However, in the event we do make distributions of cash or other property on our Class A shares,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Class A shares and thereafter as capital gain from the sale or exchange of such Class A shares. See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an IRS Form W-8BEN or IRS Form W-8BEN-E (or other applicable or successor form) certifying qualification for the reduced rate.</w:t>
      </w:r>
    </w:p>
    <w:p>
      <w:pPr>
        <w:spacing w:after="0" w:line="7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“—Additional Withholding Requirements under FATCA,” a non-U.S. holder generally will not be subject to U.S. federal income tax or withholding on any gain realized upon the sale or other disposition of our Class A shares unless:</w:t>
      </w:r>
    </w:p>
    <w:p>
      <w:pPr>
        <w:spacing w:after="0" w:line="73" w:lineRule="exact"/>
        <w:rPr>
          <w:sz w:val="20"/>
          <w:szCs w:val="20"/>
          <w:color w:val="auto"/>
        </w:rPr>
      </w:pPr>
    </w:p>
    <w:p>
      <w:pPr>
        <w:ind w:left="700" w:right="300" w:hanging="356"/>
        <w:spacing w:after="0" w:line="342" w:lineRule="auto"/>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5" w:lineRule="exact"/>
        <w:rPr>
          <w:rFonts w:ascii="Arial" w:cs="Arial" w:eastAsia="Arial" w:hAnsi="Arial"/>
          <w:sz w:val="16"/>
          <w:szCs w:val="16"/>
          <w:color w:val="auto"/>
        </w:rPr>
      </w:pPr>
    </w:p>
    <w:p>
      <w:pPr>
        <w:ind w:left="700" w:right="280" w:hanging="356"/>
        <w:spacing w:after="0" w:line="264"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73" w:lineRule="exact"/>
        <w:rPr>
          <w:rFonts w:ascii="Arial" w:cs="Arial" w:eastAsia="Arial" w:hAnsi="Arial"/>
          <w:sz w:val="18"/>
          <w:szCs w:val="18"/>
          <w:color w:val="auto"/>
        </w:rPr>
      </w:pPr>
    </w:p>
    <w:p>
      <w:pPr>
        <w:ind w:left="700" w:right="100" w:hanging="356"/>
        <w:spacing w:after="0" w:line="286" w:lineRule="auto"/>
        <w:tabs>
          <w:tab w:leader="none" w:pos="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Class A shares constitute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57"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73"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57"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 xml:space="preserve">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although we may become a USRPHC in the future depending on the manner in which we expand our business. In the event that we become a USRPHC, as long as our Class A shares are </w:t>
      </w:r>
      <w:r>
        <w:rPr>
          <w:rFonts w:ascii="Arial" w:cs="Arial" w:eastAsia="Arial" w:hAnsi="Arial"/>
          <w:sz w:val="17"/>
          <w:szCs w:val="17"/>
          <w:b w:val="1"/>
          <w:bCs w:val="1"/>
          <w:color w:val="auto"/>
        </w:rPr>
        <w:t>or</w:t>
      </w:r>
      <w:r>
        <w:rPr>
          <w:rFonts w:ascii="Arial" w:cs="Arial" w:eastAsia="Arial" w:hAnsi="Arial"/>
          <w:sz w:val="17"/>
          <w:szCs w:val="17"/>
          <w:color w:val="auto"/>
        </w:rPr>
        <w:t xml:space="preserve">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U.S. real property interest and will be taxable on gain realized on the disposition of our Class A shares as a result of our status as a USRPHC. If we were to become a USRPHC and our Class A shares were not considered to be regularly traded on an established securities market, such holder (regardless of the percentage of stock owned) would be treated as disposing of a U.S. real property interest and would be subject to U.S. federal income tax on a taxable disposition of our Class A shares (as described in the preceding paragraph), and a 15% withholding tax would apply to the gross proceeds from such disposition.</w:t>
      </w:r>
    </w:p>
    <w:p>
      <w:pPr>
        <w:spacing w:after="0" w:line="8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59"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121"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Sections 1471 through 1474 of the Code, and the U.S.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shares.</w:t>
      </w:r>
    </w:p>
    <w:p>
      <w:pPr>
        <w:spacing w:after="0" w:line="7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ERISA CONSIDERATIONS</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The following is a summary of certain considerations associated with the acquisition and holding of our Class A shares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ERISA)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59"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Fiduciary Matters</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50"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color w:val="auto"/>
        </w:rPr>
        <w:t>In considering an investment in our Class A shares with a portion of the assets of any Plan, a fiduciary should consider the Plan’s particular circumstances and all of the facts and circumstances of the investment and determine whether the acquisition and holding of such Class A shares is in accordance with the documents and instruments governing the Plan and the applicable provisions of ERISA, the Code, or any Similar Law relating to the fiduciary’s duties to the Plan, including, without limitation:</w:t>
      </w:r>
    </w:p>
    <w:p>
      <w:pPr>
        <w:spacing w:after="0" w:line="46" w:lineRule="exact"/>
        <w:rPr>
          <w:sz w:val="20"/>
          <w:szCs w:val="20"/>
          <w:color w:val="auto"/>
        </w:rPr>
      </w:pPr>
    </w:p>
    <w:p>
      <w:pPr>
        <w:ind w:left="700" w:hanging="35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other applicable Similar Laws;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in making the investment, the ERISA Plan will satisfy the diversification requirements of Section 404(a)(1)(C) of ERISA and any other applicable Similar Laws;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investment is permitted under the terms of the applicable documents governing the Plan;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in the future there may be no market in which to sell or otherwise dispose of the Class A shares;</w:t>
      </w:r>
    </w:p>
    <w:p>
      <w:pPr>
        <w:spacing w:after="0" w:line="117" w:lineRule="exact"/>
        <w:rPr>
          <w:rFonts w:ascii="Arial" w:cs="Arial" w:eastAsia="Arial" w:hAnsi="Arial"/>
          <w:sz w:val="18"/>
          <w:szCs w:val="18"/>
          <w:color w:val="auto"/>
        </w:rPr>
      </w:pPr>
    </w:p>
    <w:p>
      <w:pPr>
        <w:ind w:left="700" w:right="180" w:hanging="356"/>
        <w:spacing w:after="0" w:line="342" w:lineRule="auto"/>
        <w:tabs>
          <w:tab w:leader="none" w:pos="7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whether the acquisition or holding of such Class A shares will constitute a “prohibited transaction” under Section 406 of ERISA or Section 4975 of the Code (please see discussion under “—Prohibited Transaction Issues” below); and</w:t>
      </w:r>
    </w:p>
    <w:p>
      <w:pPr>
        <w:spacing w:after="0" w:line="15" w:lineRule="exact"/>
        <w:rPr>
          <w:rFonts w:ascii="Arial" w:cs="Arial" w:eastAsia="Arial" w:hAnsi="Arial"/>
          <w:sz w:val="16"/>
          <w:szCs w:val="16"/>
          <w:color w:val="auto"/>
        </w:rPr>
      </w:pPr>
    </w:p>
    <w:p>
      <w:pPr>
        <w:ind w:left="700" w:right="80" w:hanging="356"/>
        <w:spacing w:after="0" w:line="277"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Plan will be considered to hold, as plan assets, (i) only such Class A shares or (ii) an undivided interest in our underlying assets (please see the discussion under “—Plan Asset Issues”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 Issues</w:t>
      </w:r>
    </w:p>
    <w:p>
      <w:pPr>
        <w:spacing w:after="0" w:line="121"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liabilities under ERISA and the Code. The acquisition and/or holding of our Class A shares by an ERISA Plan with respect to which the issuer, the initial purchaser, or a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46"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Because of the foregoing, our Class A shares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Issues</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Additionally, a fiduciary of a Plan should consider whether the Plan will, by investing in our Class A shares,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7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Department of Labor (the “DOL”) regulations provide guidance with respect to whether the assets of an entity in which ERISA Plans acquire equity interests would be deemed “plan assets” under some circumstances. Under these regulations, an entity’s assets generally would not be considered to be “plan assets” if, among other things:</w:t>
      </w:r>
    </w:p>
    <w:p>
      <w:pPr>
        <w:spacing w:after="0" w:line="73" w:lineRule="exact"/>
        <w:rPr>
          <w:sz w:val="20"/>
          <w:szCs w:val="20"/>
          <w:color w:val="auto"/>
        </w:rPr>
      </w:pPr>
    </w:p>
    <w:p>
      <w:pPr>
        <w:ind w:left="700" w:right="200" w:hanging="356"/>
        <w:spacing w:after="0" w:line="302" w:lineRule="auto"/>
        <w:tabs>
          <w:tab w:leader="none" w:pos="7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46" w:lineRule="exact"/>
        <w:rPr>
          <w:rFonts w:ascii="Arial" w:cs="Arial" w:eastAsia="Arial" w:hAnsi="Arial"/>
          <w:sz w:val="16"/>
          <w:szCs w:val="16"/>
          <w:color w:val="auto"/>
        </w:rPr>
      </w:pPr>
    </w:p>
    <w:p>
      <w:pPr>
        <w:ind w:left="700" w:hanging="356"/>
        <w:spacing w:after="0" w:line="264"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73" w:lineRule="exact"/>
        <w:rPr>
          <w:rFonts w:ascii="Arial" w:cs="Arial" w:eastAsia="Arial" w:hAnsi="Arial"/>
          <w:sz w:val="18"/>
          <w:szCs w:val="18"/>
          <w:color w:val="auto"/>
        </w:rPr>
      </w:pPr>
    </w:p>
    <w:p>
      <w:pPr>
        <w:ind w:left="700" w:right="20" w:hanging="356"/>
        <w:spacing w:after="0" w:line="255" w:lineRule="auto"/>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81"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Class A shares on behalf of, or with the assets of, any Plan, consult with their counsel regarding the potential applicability of ERISA, Section 4975 of the Code and any Similar Laws to such investment and whether an exemption would be applicable to the acquisition and holding of such Class A shares. Purchasers of our Class A shares have the exclusive responsibility for ensuring that their acquisition and holding of such Class A shares complies with the fiduciary responsibility rules of ERISA and does not violate the prohibited transaction rules of ERISA, the Code or applicable Similar Laws. The sale of our Class A shares to a Plan is in no respect a representation by us or any of our respective affiliates or representatives that such an investment meets all relevant legal requirements with respect to investments by any such Plan or that such investment is appropriate for any such Plan.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7" w:name="page98"/>
    <w:bookmarkEnd w:id="97"/>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7" w:right="40" w:firstLine="360"/>
        <w:spacing w:after="0" w:line="255" w:lineRule="auto"/>
        <w:rPr>
          <w:sz w:val="20"/>
          <w:szCs w:val="20"/>
          <w:color w:val="auto"/>
        </w:rPr>
      </w:pPr>
      <w:r>
        <w:rPr>
          <w:rFonts w:ascii="Arial" w:cs="Arial" w:eastAsia="Arial" w:hAnsi="Arial"/>
          <w:sz w:val="18"/>
          <w:szCs w:val="18"/>
          <w:color w:val="auto"/>
        </w:rPr>
        <w:t>We are offering the Class A shares described in this prospectus through a number of underwriters. and are acting as joint bookrunning managers of the offering and as representatives of the underwriters. We have entered into an underwriting agreement with the representatives.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Class A shares listed next to its name in the following table:</w:t>
      </w:r>
    </w:p>
    <w:p>
      <w:pPr>
        <w:spacing w:after="0" w:line="50"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Number of</w:t>
            </w:r>
          </w:p>
        </w:tc>
      </w:tr>
      <w:tr>
        <w:trPr>
          <w:trHeight w:val="178"/>
        </w:trPr>
        <w:tc>
          <w:tcPr>
            <w:tcW w:w="798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18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Class A shares</w:t>
            </w:r>
          </w:p>
        </w:tc>
      </w:tr>
      <w:tr>
        <w:trPr>
          <w:trHeight w:val="243"/>
        </w:trPr>
        <w:tc>
          <w:tcPr>
            <w:tcW w:w="798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bl>
    <w:p>
      <w:pPr>
        <w:spacing w:after="0" w:line="13" w:lineRule="exact"/>
        <w:rPr>
          <w:sz w:val="20"/>
          <w:szCs w:val="20"/>
          <w:color w:val="auto"/>
        </w:rPr>
      </w:pPr>
    </w:p>
    <w:p>
      <w:pPr>
        <w:ind w:left="7"/>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6350</wp:posOffset>
            </wp:positionV>
            <wp:extent cx="8661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31750</wp:posOffset>
            </wp:positionV>
            <wp:extent cx="8661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1" w:lineRule="exact"/>
        <w:rPr>
          <w:sz w:val="20"/>
          <w:szCs w:val="20"/>
          <w:color w:val="auto"/>
        </w:rPr>
      </w:pPr>
    </w:p>
    <w:p>
      <w:pPr>
        <w:ind w:left="7" w:firstLine="360"/>
        <w:spacing w:after="0" w:line="285" w:lineRule="auto"/>
        <w:rPr>
          <w:sz w:val="20"/>
          <w:szCs w:val="20"/>
          <w:color w:val="auto"/>
        </w:rPr>
      </w:pPr>
      <w:r>
        <w:rPr>
          <w:rFonts w:ascii="Arial" w:cs="Arial" w:eastAsia="Arial" w:hAnsi="Arial"/>
          <w:sz w:val="16"/>
          <w:szCs w:val="16"/>
          <w:color w:val="auto"/>
        </w:rPr>
        <w:t>The underwriters are committed to purchase all the Class A shares offered by us if they purchase any Class A shares. The underwriting agreement also provides that if an underwriter defaults, the purchase commitments of non-defaulting underwriters may also be increased or the offering may be terminated. The underwriters propose to offer the Class A shares directly to the public at the initial public offering price set forth on the cover page of this prospectus and to certain dealers at that price less a concession not in excess of $ per Class A share. Any such dealers may resell Class A shares to certain other brokers or dealers at a discount of up to</w:t>
      </w:r>
    </w:p>
    <w:p>
      <w:pPr>
        <w:spacing w:after="0" w:line="2" w:lineRule="exact"/>
        <w:rPr>
          <w:sz w:val="20"/>
          <w:szCs w:val="20"/>
          <w:color w:val="auto"/>
        </w:rPr>
      </w:pPr>
    </w:p>
    <w:p>
      <w:pPr>
        <w:ind w:left="7" w:right="80" w:hanging="7"/>
        <w:spacing w:after="0" w:line="253" w:lineRule="auto"/>
        <w:tabs>
          <w:tab w:leader="none" w:pos="3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 Class A share from the initial public offering price. After the initial offering of the Class A shares to the public, if all of the Class A shares are not sold at the initial public offering price, the underwriters may change the offering price and the other selling terms. Sales of Class A shares made outside of the United States may be made by affiliates of the underwriters. The offering of the Class A shares by the underwriters is subject to receipt and acceptance and subject to the underwriters’ right to reject any order in whole or in part.</w:t>
      </w:r>
    </w:p>
    <w:p>
      <w:pPr>
        <w:spacing w:after="0" w:line="83" w:lineRule="exact"/>
        <w:rPr>
          <w:sz w:val="20"/>
          <w:szCs w:val="20"/>
          <w:color w:val="auto"/>
        </w:rPr>
      </w:pPr>
    </w:p>
    <w:p>
      <w:pPr>
        <w:ind w:left="7" w:right="20" w:firstLine="360"/>
        <w:spacing w:after="0" w:line="273" w:lineRule="auto"/>
        <w:rPr>
          <w:sz w:val="20"/>
          <w:szCs w:val="20"/>
          <w:color w:val="auto"/>
        </w:rPr>
      </w:pPr>
      <w:r>
        <w:rPr>
          <w:rFonts w:ascii="Arial" w:cs="Arial" w:eastAsia="Arial" w:hAnsi="Arial"/>
          <w:sz w:val="17"/>
          <w:szCs w:val="17"/>
          <w:color w:val="auto"/>
        </w:rPr>
        <w:t>The underwriters have an option to buy up to additional Class A shares from us to cover sales of Class A shares by the underwriters which exceed the number of Class A shares specified in the table above. The underwriters have 30 days from the date of this prospectus to exercise this option to purchase additional Class A shares. If any Class A shares are purchased with this option to purchase additional Class A shares, the underwriters will purchase Class A shares in approximately the same proportion as shown in the table above. If any additional Class A shares are purchased, the underwriters will offer the additional Class A shares on the same terms as those on which the Class A shares are being offered.</w:t>
      </w:r>
    </w:p>
    <w:p>
      <w:pPr>
        <w:spacing w:after="0" w:line="70" w:lineRule="exact"/>
        <w:rPr>
          <w:sz w:val="20"/>
          <w:szCs w:val="20"/>
          <w:color w:val="auto"/>
        </w:rPr>
      </w:pPr>
    </w:p>
    <w:p>
      <w:pPr>
        <w:ind w:left="7" w:right="180" w:firstLine="360"/>
        <w:spacing w:after="0" w:line="259" w:lineRule="auto"/>
        <w:rPr>
          <w:sz w:val="20"/>
          <w:szCs w:val="20"/>
          <w:color w:val="auto"/>
        </w:rPr>
      </w:pPr>
      <w:r>
        <w:rPr>
          <w:rFonts w:ascii="Arial" w:cs="Arial" w:eastAsia="Arial" w:hAnsi="Arial"/>
          <w:sz w:val="18"/>
          <w:szCs w:val="18"/>
          <w:color w:val="auto"/>
        </w:rPr>
        <w:t>The underwriting fee is equal to the public offering price per Class A share less the amount paid by the underwriters to us per Class A share. The underwriting fee is $ per Class A share. The following table shows the per Class A share and total underwriting discounts and commissions to be paid to the underwriters assuming both no exercise and full exercise of the underwriters’ option to purchase additional Class A shares.</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Without option</w:t>
            </w:r>
          </w:p>
        </w:tc>
        <w:tc>
          <w:tcPr>
            <w:tcW w:w="1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With full option</w:t>
            </w: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to purchase</w:t>
            </w:r>
          </w:p>
        </w:tc>
        <w:tc>
          <w:tcPr>
            <w:tcW w:w="1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to purchase</w:t>
            </w: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additional</w:t>
            </w:r>
          </w:p>
        </w:tc>
      </w:t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Class A shares</w:t>
            </w:r>
          </w:p>
        </w:tc>
        <w:tc>
          <w:tcPr>
            <w:tcW w:w="1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Class A shares</w:t>
            </w:r>
          </w:p>
        </w:tc>
      </w:tr>
      <w:tr>
        <w:trPr>
          <w:trHeight w:val="178"/>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w:t>
            </w:r>
          </w:p>
        </w:tc>
        <w:tc>
          <w:tcPr>
            <w:tcW w:w="180" w:type="dxa"/>
            <w:vAlign w:val="bottom"/>
          </w:tcPr>
          <w:p>
            <w:pPr>
              <w:spacing w:after="0"/>
              <w:rPr>
                <w:sz w:val="15"/>
                <w:szCs w:val="15"/>
                <w:color w:val="auto"/>
              </w:rPr>
            </w:pPr>
          </w:p>
        </w:tc>
        <w:tc>
          <w:tcPr>
            <w:tcW w:w="14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85"/>
              </w:rPr>
              <w:t>exercise</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340" w:type="dxa"/>
            <w:vAlign w:val="bottom"/>
            <w:shd w:val="clear" w:color="auto" w:fill="CCEEFF"/>
          </w:tcPr>
          <w:p>
            <w:pPr>
              <w:jc w:val="right"/>
              <w:ind w:right="1163"/>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jc w:val="right"/>
              <w:ind w:right="1163"/>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2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jc w:val="both"/>
        <w:ind w:left="7" w:right="320" w:firstLine="360"/>
        <w:spacing w:after="0" w:line="259"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 . We have agreed to reimburse the underwriters for expenses of up to $ related to clearance of this offering with the Financial Industry Regulatory Authority, Inc., or FINRA.</w:t>
      </w:r>
    </w:p>
    <w:p>
      <w:pPr>
        <w:spacing w:after="0" w:line="79" w:lineRule="exact"/>
        <w:rPr>
          <w:sz w:val="20"/>
          <w:szCs w:val="20"/>
          <w:color w:val="auto"/>
        </w:rPr>
      </w:pPr>
    </w:p>
    <w:p>
      <w:pPr>
        <w:ind w:left="7" w:right="20" w:firstLine="360"/>
        <w:spacing w:after="0" w:line="257"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this offering. The underwriters may agree to allocate a number of Class A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80" w:lineRule="exact"/>
        <w:rPr>
          <w:sz w:val="20"/>
          <w:szCs w:val="20"/>
          <w:color w:val="auto"/>
        </w:rPr>
      </w:pPr>
    </w:p>
    <w:p>
      <w:pPr>
        <w:ind w:left="7" w:right="40" w:firstLine="360"/>
        <w:spacing w:after="0" w:line="264" w:lineRule="auto"/>
        <w:rPr>
          <w:sz w:val="20"/>
          <w:szCs w:val="20"/>
          <w:color w:val="auto"/>
        </w:rPr>
      </w:pPr>
      <w:r>
        <w:rPr>
          <w:rFonts w:ascii="Arial" w:cs="Arial" w:eastAsia="Arial" w:hAnsi="Arial"/>
          <w:sz w:val="18"/>
          <w:szCs w:val="18"/>
          <w:color w:val="auto"/>
        </w:rPr>
        <w:t>We, all of our directors and executive officers and New Fortress Energy Holdings have agreed with the underwriters that, subject to certain exceptions, for 180 days after the date of this prospectus, without the prior written consent of , we and they will not directly or indirectly, (1) offer for sale, sell, pledge, or otherwise</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dispose of (or enter into any transaction or device that is designed to, or could be expected to, result in the disposition by any person at any time in the future of) any Class A shares (including, without limitation, Class A shares that may be deemed to be beneficially owned by us or them in accordance with the rules and regulations of the SEC and Class A shares that may be issued upon exercise of any options or warrants) or securities convertible into or exercisable or exchangeable for our Class A shares, (2) enter into any swap or other derivatives transaction that transfers to another, in whole or in part, any of the economic consequences of ownership of our Class A shares, or (3) make any demand for or exercise any right or file or cause to be filed a registration statement, including any amendments thereto, with respect to the registration of any of our Class A shares or securities convertible, exercisable or exchangeable into our Class A shares or any of our other securities.</w:t>
      </w:r>
    </w:p>
    <w:p>
      <w:pPr>
        <w:spacing w:after="0" w:line="7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We intend to apply to list our Class A shares on the NYSE under the symbol “NFE.”</w:t>
      </w:r>
    </w:p>
    <w:p>
      <w:pPr>
        <w:spacing w:after="0" w:line="62" w:lineRule="exact"/>
        <w:rPr>
          <w:sz w:val="20"/>
          <w:szCs w:val="20"/>
          <w:color w:val="auto"/>
        </w:rPr>
      </w:pPr>
    </w:p>
    <w:p>
      <w:pPr>
        <w:ind w:right="20" w:firstLine="360"/>
        <w:spacing w:after="0" w:line="284"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Class A shares in the open market for the purpose of preventing or retarding a decline in the market price of the Class A shares while this offering is in progress. These stabilizing transactions may include making short sales of the Class A shares, which involves the sale by the underwriters of a greater number of Class A shares than they are required to purchase in this offering.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Class A shares, in whole or in part, or by purchasing Class A shares in the open market. In making this determination, the underwriters will consider, among other things, the price of Class A shares available for purchase in the open market compared to the price at which the underwriters may purchase Class A shares through the option to purchase additional Class A shares. A naked short position is more likely to be created if the underwriters are concerned that there may be downward pressure on the price of the Class A shares in the open market that could adversely affect investors who purchase in this offering. To the extent that the underwriters create a naked short position, they will purchase Class A shares in the open market to cover the position. The underwriters have advised us that, pursuant to Regulation M of the Securities Act of 1933, they may also engage in other activities that stabilize, maintain or otherwise affect the price of the Class A shares, including the imposition of penalty bids. This means that if the representatives of the underwriters purchase Class A shares in the open market in stabilizing transactions or to cover short sales, the representatives can require the underwriters that sold those shares as part of this offering to repay the underwriting discount received by them. These activities may have the effect of raising or maintaining the market price of the Class A shares or preventing or retarding a decline in the market price of the Class A shares, and, as a result, the price of the Class A shares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74"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Prior to this offering, there has been no public market for our Class A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73" w:lineRule="exact"/>
        <w:rPr>
          <w:sz w:val="20"/>
          <w:szCs w:val="20"/>
          <w:color w:val="auto"/>
        </w:rPr>
      </w:pPr>
    </w:p>
    <w:p>
      <w:pPr>
        <w:ind w:left="700" w:hanging="3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recent market prices of, and demand for, publicly traded securities of generally comparable companies; and</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Class A shares, or that the Class A shares will trade in the public market at or above the initial public offering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affiliates have provided in the past to us and our affiliates, and may provide from time to time in the future, certain commercial banking, financial advisory or investment banking advice or other services in the ordinary course of their business, for which they have received and may continue to receive customary fees and commissions. In addition, from time to time, certain of the underwriters and their respective affiliates, officers, directors and employees may effect transactions for their own account or the account of customers, and hold on behalf of themselves or their customers, long or short positions in our debt or equity securities or loans, and may do so in the future. The underwriters and their respective affiliates may also communicate independent investment recommendations, market color or trading ideas and/or publish or express independent research views in respect of the company’s securities and may at any time hold, or recommend to clients that they should acquire, long and/or short positions our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 xml:space="preserve">The Class A shares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Any resale of the Class A shares must be made in accordance with an exemption from, or in a transaction not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representatives are not required to comply with the disclosure requirements of NI 33-105 regarding underwriter conflicts of interest in connection with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Relevant Member State</w:t>
      </w:r>
      <w:r>
        <w:rPr>
          <w:rFonts w:ascii="Arial" w:cs="Arial" w:eastAsia="Arial" w:hAnsi="Arial"/>
          <w:sz w:val="16"/>
          <w:szCs w:val="16"/>
          <w:color w:val="auto"/>
        </w:rPr>
        <w:t>”), an offer to the public of our Class A shares may not be made in that Relevant Member State, except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offer to the public in that Relevant Member State of our Class A shares may be made at any time under the following exemptions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Prospectus Directive:</w:t>
      </w:r>
    </w:p>
    <w:p>
      <w:pPr>
        <w:spacing w:after="0" w:line="103" w:lineRule="exact"/>
        <w:rPr>
          <w:sz w:val="20"/>
          <w:szCs w:val="20"/>
          <w:color w:val="auto"/>
        </w:rPr>
      </w:pPr>
    </w:p>
    <w:p>
      <w:pPr>
        <w:ind w:left="4680" w:right="2840" w:hanging="4336"/>
        <w:spacing w:after="0" w:line="528" w:lineRule="auto"/>
        <w:tabs>
          <w:tab w:leader="none" w:pos="69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07187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40" w:hanging="356"/>
        <w:spacing w:after="0" w:line="277"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62" w:lineRule="exact"/>
        <w:rPr>
          <w:rFonts w:ascii="Arial" w:cs="Arial" w:eastAsia="Arial" w:hAnsi="Arial"/>
          <w:sz w:val="18"/>
          <w:szCs w:val="18"/>
          <w:color w:val="auto"/>
        </w:rPr>
      </w:pPr>
    </w:p>
    <w:p>
      <w:pPr>
        <w:jc w:val="both"/>
        <w:ind w:left="700" w:right="80" w:hanging="356"/>
        <w:spacing w:after="0" w:line="264"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Class A shares shall result in a requirement for the publication by us or any underwriter of a prospectus pursuant to Article 3 of the Prospectus Directive.</w:t>
      </w:r>
    </w:p>
    <w:p>
      <w:pPr>
        <w:spacing w:after="0" w:line="73"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our Class A shares in any Relevant Member State means the communication in any form and by any means of sufficient information on the terms of the offer and our Class A shares to be offered so as to enable an investor to decide to purchase our Class A shares, as the same may be varied in that Member State by any measure implementing the Prospectus Directive in that Member State; and the expression “Prospectus Directive” means Directive 2003/71/EC (as amended), including by Directive 2010/73/EU, and includes any relevant implementing measure in the Relevant Member State.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The Class A shares may not be offered or sold by means of any document other than (i) in circumstances that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in this prospectus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Class A shares may not be circulated or distributed, nor may the Class A shares be offered or sold, or be made the subject of an invitation for subscription or purchase, whether directly or indirectly, to persons in Singapore other than (i) to an institutional investor under Section 274 of the Securities and Futures Act (“SFA”),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 Where the Class A shares are subscribed or purchased under Section 275 by a relevant person that is:</w:t>
      </w:r>
    </w:p>
    <w:p>
      <w:pPr>
        <w:spacing w:after="0" w:line="71" w:lineRule="exact"/>
        <w:rPr>
          <w:sz w:val="20"/>
          <w:szCs w:val="20"/>
          <w:color w:val="auto"/>
        </w:rPr>
      </w:pPr>
    </w:p>
    <w:p>
      <w:pPr>
        <w:ind w:left="700" w:right="240" w:hanging="356"/>
        <w:spacing w:after="0" w:line="277"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line="259"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under Section 275 except:</w:t>
      </w:r>
    </w:p>
    <w:p>
      <w:pPr>
        <w:spacing w:after="0" w:line="78" w:lineRule="exact"/>
        <w:rPr>
          <w:rFonts w:ascii="Arial" w:cs="Arial" w:eastAsia="Arial" w:hAnsi="Arial"/>
          <w:sz w:val="18"/>
          <w:szCs w:val="18"/>
          <w:color w:val="auto"/>
        </w:rPr>
      </w:pPr>
    </w:p>
    <w:p>
      <w:pPr>
        <w:ind w:left="1060" w:right="240" w:hanging="351"/>
        <w:spacing w:after="0" w:line="308" w:lineRule="auto"/>
        <w:tabs>
          <w:tab w:leader="none" w:pos="10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to an institutional investor under Section 274 of the SFA or to a relevant person, or any person pursuant to Section 275(1A), and in accordance with the conditions, specified in Section 275 of the SFA;</w:t>
      </w:r>
    </w:p>
    <w:p>
      <w:pPr>
        <w:spacing w:after="0" w:line="38" w:lineRule="exact"/>
        <w:rPr>
          <w:rFonts w:ascii="Arial" w:cs="Arial" w:eastAsia="Arial" w:hAnsi="Arial"/>
          <w:sz w:val="17"/>
          <w:szCs w:val="17"/>
          <w:color w:val="auto"/>
        </w:rPr>
      </w:pPr>
    </w:p>
    <w:p>
      <w:pPr>
        <w:ind w:left="1060" w:hanging="351"/>
        <w:spacing w:after="0"/>
        <w:tabs>
          <w:tab w:leader="none" w:pos="10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by operation of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The Class A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 Neither this document nor any other offering or marketing material relating to this offering, the Company, the Class A shares has been or will be filed with or approved by any Swiss regulatory authority. In particular, this document will not be filed with, and the offer of Class A shares will not be supervised by, the Swiss Financial Market Supervisory Authority FINMA, and the offer of Class A shares has not been and will not be authorized under the Swiss Federal Act on Collective Investment Schemes, or CISA. The investor protection afforded to acquirers of interests in collective investment schemes under the CISA does not extend to acquirers of Class A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right="140" w:firstLine="360"/>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Class A shares to which this prospectus relates may be illiquid and/or subject to restrictions on their resale. Prospective purchasers of the Class A shares offered should conduct their own due diligence on the Class A shares. If you do not understand the contents of this prospectus, you should consult an authorized financial advisor.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This document is only being distributed to and is only directed at (i) persons who are outside the United Kingdom or (ii) to investment professionals falling within Article 19(5) of the Financial Services and Markets Act 2000 (Financial Promotion) Order 2005, or the Order, or (iii) high net worth entities, and other persons to whom it may lawfully be communicated, falling with Article 49(2)(a) to (d) of the Order (all such persons together being referred to as “relevant persons”). The securities are only available to, and any invitation, offer or agreement to subscribe, purchase or otherwise acquire such securities will be engaged in only with, relevant persons. Any person who is not a relevant person should not act or rely on this document or any of its contents.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Certain legal matters in connection with our Class A shares offered hereby will be passed upon for the underwriters by , .</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right="100" w:firstLine="360"/>
        <w:spacing w:after="0" w:line="302" w:lineRule="auto"/>
        <w:rPr>
          <w:sz w:val="20"/>
          <w:szCs w:val="20"/>
          <w:color w:val="auto"/>
        </w:rPr>
      </w:pPr>
      <w:r>
        <w:rPr>
          <w:rFonts w:ascii="Arial" w:cs="Arial" w:eastAsia="Arial" w:hAnsi="Arial"/>
          <w:sz w:val="16"/>
          <w:szCs w:val="16"/>
          <w:color w:val="auto"/>
        </w:rPr>
        <w:t>The consolidated financial statements of New Fortress Energy Holdings LLC at December 31, 2017 and 2016, and for each of the two years in the period ended December 31, 2017,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We have filed with the SEC a registration statement on Form S-1 regarding our Class A shares. This prospectus does not contain all of the information found in the registration statement. For further information regarding us and the Class A shares offered by this prospectus, you may desire to review the full registration statement, including its exhibits and schedules, filed under the Securities Act. The registration statement of which this prospectus forms a part, including its exhibits and schedules, may be inspected and copied at the public reference room maintained by the SEC at 100 F Street, N.E., Room 1580, Washington, D.C. 20549. Copies of the materials may also be obtained from the SEC at prescribed rates by writing to the public reference room maintained by the SEC at 100 F Street, N.E., Room 1580, Washington, D.C. 20549. You may obtain information on the operation of the public reference room by calling the SEC at 1-800-SEC-0330.</w:t>
      </w:r>
    </w:p>
    <w:p>
      <w:pPr>
        <w:spacing w:after="0" w:line="71"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 xml:space="preserve">The SEC maintains a website on the internet at </w:t>
      </w:r>
      <w:r>
        <w:rPr>
          <w:rFonts w:ascii="Arial" w:cs="Arial" w:eastAsia="Arial" w:hAnsi="Arial"/>
          <w:sz w:val="18"/>
          <w:szCs w:val="18"/>
          <w:i w:val="1"/>
          <w:iCs w:val="1"/>
          <w:color w:val="auto"/>
        </w:rPr>
        <w:t>www.sec.gov</w:t>
      </w:r>
      <w:r>
        <w:rPr>
          <w:rFonts w:ascii="Arial" w:cs="Arial" w:eastAsia="Arial" w:hAnsi="Arial"/>
          <w:sz w:val="18"/>
          <w:szCs w:val="18"/>
          <w:color w:val="auto"/>
        </w:rPr>
        <w:t>. Our registration statement, of which this prospectus constitutes a part, can be downloaded from the SEC’s website and can also be inspected and copied at the offices of the New York Stock Exchange, Inc., 20 Broad Street, New York, New York 10005.</w:t>
      </w:r>
    </w:p>
    <w:p>
      <w:pPr>
        <w:spacing w:after="0" w:line="73"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 xml:space="preserve">Upon completion of this offering, we will file with or furnish to the SEC periodic reports and other information. These reports and other information may be inspected and copied at the public reference facilities maintained by the SEC or obtained from the SEC’s website as provided above. Our website on the Internet is located at </w:t>
      </w:r>
      <w:r>
        <w:rPr>
          <w:rFonts w:ascii="Arial" w:cs="Arial" w:eastAsia="Arial" w:hAnsi="Arial"/>
          <w:sz w:val="16"/>
          <w:szCs w:val="16"/>
          <w:i w:val="1"/>
          <w:iCs w:val="1"/>
          <w:color w:val="auto"/>
        </w:rPr>
        <w:t>www.newfortresenergy.com</w:t>
      </w:r>
      <w:r>
        <w:rPr>
          <w:rFonts w:ascii="Arial" w:cs="Arial" w:eastAsia="Arial" w:hAnsi="Arial"/>
          <w:sz w:val="16"/>
          <w:szCs w:val="16"/>
          <w:color w:val="auto"/>
        </w:rPr>
        <w:t xml:space="preserve"> and we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57"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We intend to furnish or make available to our shareholders annual reports containing our audited financial statements and furnish or make available to our shareholders quarterly reports containing our unaudited interim financial information, including the information required by Form 10-Q, for the first three fiscal quarters of each fiscal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This prospectus includes forward-looking statements regarding, among other things, our plans, strategies, prospects and projections, both business and financial. 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74" w:lineRule="exact"/>
        <w:rPr>
          <w:sz w:val="20"/>
          <w:szCs w:val="20"/>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inability to procure LNG on a fixed-price basis, or otherwise to manage LNG price risks, including hedging arrangements;</w:t>
      </w:r>
    </w:p>
    <w:p>
      <w:pPr>
        <w:spacing w:after="0" w:line="140" w:lineRule="exact"/>
        <w:rPr>
          <w:rFonts w:ascii="Arial" w:cs="Arial" w:eastAsia="Arial" w:hAnsi="Arial"/>
          <w:sz w:val="16"/>
          <w:szCs w:val="16"/>
          <w:color w:val="auto"/>
        </w:rPr>
      </w:pPr>
    </w:p>
    <w:p>
      <w:pPr>
        <w:ind w:left="700" w:right="40" w:hanging="356"/>
        <w:spacing w:after="0" w:line="277" w:lineRule="auto"/>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power plants or liquefaction facilities, as well as difficulties in obtaining sufficient financing to pay for such costs and delays;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failure to produce or purchase sufficient amounts of LNG or natural gas at favorable prices to meet customer demand;</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117"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failure of natural gas to be a competitive source of energy in the markets in which we operate, and seek to operate;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increased labor costs, and the unavailability of skilled workers or our failure to attract and retain qualified personnel; and</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risks related to the jurisdictions in which we do, or seek to do business, particularly Florida, Jamaica and the Caribbean.</w:t>
      </w:r>
    </w:p>
    <w:p>
      <w:pPr>
        <w:spacing w:after="0" w:line="140"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When considering forward-looking statements, you should keep in mind the risks set forth under the heading “Risk Factors” and other cautionary statements included in this prospectus.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1"/>
        </w:trPr>
        <w:tc>
          <w:tcPr>
            <w:tcW w:w="8160" w:type="dxa"/>
            <w:vAlign w:val="bottom"/>
            <w:gridSpan w:val="9"/>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080" w:type="dxa"/>
            <w:vAlign w:val="bottom"/>
            <w:gridSpan w:val="6"/>
          </w:tcPr>
          <w:p>
            <w:pPr>
              <w:jc w:val="center"/>
              <w:ind w:right="680"/>
              <w:spacing w:after="0"/>
              <w:rPr>
                <w:sz w:val="20"/>
                <w:szCs w:val="20"/>
                <w:color w:val="auto"/>
              </w:rPr>
            </w:pPr>
            <w:r>
              <w:rPr>
                <w:rFonts w:ascii="Arial" w:cs="Arial" w:eastAsia="Arial" w:hAnsi="Arial"/>
                <w:sz w:val="18"/>
                <w:szCs w:val="18"/>
                <w:b w:val="1"/>
                <w:bCs w:val="1"/>
                <w:color w:val="auto"/>
              </w:rPr>
              <w:t>INDEX TO CONSOLIDATED FINANCIAL STATEMENTS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4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NEW FORTRESS ENERGY HOLDINGS LLC</w:t>
            </w: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40" w:type="dxa"/>
            <w:vAlign w:val="bottom"/>
            <w:gridSpan w:val="8"/>
          </w:tcPr>
          <w:p>
            <w:pPr>
              <w:spacing w:after="0" w:line="189" w:lineRule="exact"/>
              <w:rPr>
                <w:rFonts w:ascii="Arial" w:cs="Arial" w:eastAsia="Arial" w:hAnsi="Arial"/>
                <w:sz w:val="18"/>
                <w:szCs w:val="18"/>
                <w:color w:val="0000EE"/>
              </w:rPr>
            </w:pPr>
            <w:hyperlink w:anchor="page106">
              <w:r>
                <w:rPr>
                  <w:rFonts w:ascii="Arial" w:cs="Arial" w:eastAsia="Arial" w:hAnsi="Arial"/>
                  <w:sz w:val="18"/>
                  <w:szCs w:val="18"/>
                  <w:color w:val="0000EE"/>
                </w:rPr>
                <w:t>Report of Independent Registered Public Accounting Firm</w:t>
              </w:r>
            </w:hyperlink>
          </w:p>
        </w:tc>
        <w:tc>
          <w:tcPr>
            <w:tcW w:w="1400" w:type="dxa"/>
            <w:vAlign w:val="bottom"/>
            <w:gridSpan w:val="3"/>
          </w:tcPr>
          <w:p>
            <w:pPr>
              <w:ind w:left="1060"/>
              <w:spacing w:after="0" w:line="189" w:lineRule="exact"/>
              <w:rPr>
                <w:rFonts w:ascii="Arial" w:cs="Arial" w:eastAsia="Arial" w:hAnsi="Arial"/>
                <w:sz w:val="18"/>
                <w:szCs w:val="18"/>
                <w:color w:val="0000EE"/>
              </w:rPr>
            </w:pPr>
            <w:hyperlink w:anchor="page106">
              <w:r>
                <w:rPr>
                  <w:rFonts w:ascii="Arial" w:cs="Arial" w:eastAsia="Arial" w:hAnsi="Arial"/>
                  <w:sz w:val="18"/>
                  <w:szCs w:val="18"/>
                  <w:color w:val="0000EE"/>
                </w:rPr>
                <w:t>F-2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40" w:type="dxa"/>
            <w:vAlign w:val="bottom"/>
            <w:gridSpan w:val="8"/>
            <w:shd w:val="clear" w:color="auto" w:fill="CCEEFF"/>
          </w:tcPr>
          <w:p>
            <w:pPr>
              <w:spacing w:after="0" w:line="189"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Balance Sheets</w:t>
              </w:r>
            </w:hyperlink>
          </w:p>
        </w:tc>
        <w:tc>
          <w:tcPr>
            <w:tcW w:w="1400" w:type="dxa"/>
            <w:vAlign w:val="bottom"/>
            <w:gridSpan w:val="3"/>
            <w:shd w:val="clear" w:color="auto" w:fill="CCEEFF"/>
          </w:tcPr>
          <w:p>
            <w:pPr>
              <w:ind w:left="1060"/>
              <w:spacing w:after="0" w:line="189" w:lineRule="exact"/>
              <w:rPr>
                <w:rFonts w:ascii="Arial" w:cs="Arial" w:eastAsia="Arial" w:hAnsi="Arial"/>
                <w:sz w:val="18"/>
                <w:szCs w:val="18"/>
                <w:color w:val="0000EE"/>
              </w:rPr>
            </w:pPr>
            <w:hyperlink w:anchor="page107">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4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40" w:type="dxa"/>
            <w:vAlign w:val="bottom"/>
            <w:gridSpan w:val="8"/>
          </w:tcPr>
          <w:p>
            <w:pPr>
              <w:spacing w:after="0" w:line="189"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Statements of Operations and Comprehensive Loss</w:t>
              </w:r>
            </w:hyperlink>
          </w:p>
        </w:tc>
        <w:tc>
          <w:tcPr>
            <w:tcW w:w="1400" w:type="dxa"/>
            <w:vAlign w:val="bottom"/>
            <w:gridSpan w:val="3"/>
          </w:tcPr>
          <w:p>
            <w:pPr>
              <w:ind w:left="1060"/>
              <w:spacing w:after="0" w:line="189" w:lineRule="exact"/>
              <w:rPr>
                <w:rFonts w:ascii="Arial" w:cs="Arial" w:eastAsia="Arial" w:hAnsi="Arial"/>
                <w:sz w:val="18"/>
                <w:szCs w:val="18"/>
                <w:color w:val="0000EE"/>
              </w:rPr>
            </w:pPr>
            <w:hyperlink w:anchor="page108">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20" w:type="dxa"/>
            <w:vAlign w:val="bottom"/>
            <w:gridSpan w:val="5"/>
            <w:shd w:val="clear" w:color="auto" w:fill="CCEEFF"/>
          </w:tcPr>
          <w:p>
            <w:pPr>
              <w:spacing w:after="0" w:line="189"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Consolidated Statements of Changes in Members’ Equity</w:t>
              </w:r>
            </w:hyperlink>
          </w:p>
        </w:tc>
        <w:tc>
          <w:tcPr>
            <w:tcW w:w="4020" w:type="dxa"/>
            <w:vAlign w:val="bottom"/>
            <w:gridSpan w:val="3"/>
            <w:shd w:val="clear" w:color="auto" w:fill="CCEEFF"/>
          </w:tcPr>
          <w:p>
            <w:pPr>
              <w:spacing w:after="0"/>
              <w:rPr>
                <w:sz w:val="16"/>
                <w:szCs w:val="16"/>
                <w:color w:val="auto"/>
              </w:rPr>
            </w:pPr>
          </w:p>
        </w:tc>
        <w:tc>
          <w:tcPr>
            <w:tcW w:w="1400" w:type="dxa"/>
            <w:vAlign w:val="bottom"/>
            <w:gridSpan w:val="3"/>
            <w:shd w:val="clear" w:color="auto" w:fill="CCEEFF"/>
          </w:tcPr>
          <w:p>
            <w:pPr>
              <w:ind w:left="1060"/>
              <w:spacing w:after="0" w:line="189" w:lineRule="exact"/>
              <w:rPr>
                <w:rFonts w:ascii="Arial" w:cs="Arial" w:eastAsia="Arial" w:hAnsi="Arial"/>
                <w:sz w:val="18"/>
                <w:szCs w:val="18"/>
                <w:color w:val="0000EE"/>
              </w:rPr>
            </w:pPr>
            <w:hyperlink w:anchor="page109">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4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20" w:type="dxa"/>
            <w:vAlign w:val="bottom"/>
            <w:gridSpan w:val="5"/>
          </w:tcPr>
          <w:p>
            <w:pPr>
              <w:spacing w:after="0" w:line="189" w:lineRule="exact"/>
              <w:rPr>
                <w:rFonts w:ascii="Arial" w:cs="Arial" w:eastAsia="Arial" w:hAnsi="Arial"/>
                <w:sz w:val="18"/>
                <w:szCs w:val="18"/>
                <w:color w:val="0000EE"/>
              </w:rPr>
            </w:pPr>
            <w:hyperlink w:anchor="page110">
              <w:r>
                <w:rPr>
                  <w:rFonts w:ascii="Arial" w:cs="Arial" w:eastAsia="Arial" w:hAnsi="Arial"/>
                  <w:sz w:val="18"/>
                  <w:szCs w:val="18"/>
                  <w:color w:val="0000EE"/>
                </w:rPr>
                <w:t>Consolidated Statements of Cash Flows</w:t>
              </w:r>
            </w:hyperlink>
          </w:p>
        </w:tc>
        <w:tc>
          <w:tcPr>
            <w:tcW w:w="4020" w:type="dxa"/>
            <w:vAlign w:val="bottom"/>
            <w:gridSpan w:val="3"/>
          </w:tcPr>
          <w:p>
            <w:pPr>
              <w:spacing w:after="0"/>
              <w:rPr>
                <w:sz w:val="16"/>
                <w:szCs w:val="16"/>
                <w:color w:val="auto"/>
              </w:rPr>
            </w:pPr>
          </w:p>
        </w:tc>
        <w:tc>
          <w:tcPr>
            <w:tcW w:w="1400" w:type="dxa"/>
            <w:vAlign w:val="bottom"/>
            <w:gridSpan w:val="3"/>
          </w:tcPr>
          <w:p>
            <w:pPr>
              <w:ind w:left="1060"/>
              <w:spacing w:after="0" w:line="189" w:lineRule="exact"/>
              <w:rPr>
                <w:rFonts w:ascii="Arial" w:cs="Arial" w:eastAsia="Arial" w:hAnsi="Arial"/>
                <w:sz w:val="18"/>
                <w:szCs w:val="18"/>
                <w:color w:val="0000EE"/>
              </w:rPr>
            </w:pPr>
            <w:hyperlink w:anchor="page110">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40" w:type="dxa"/>
            <w:vAlign w:val="bottom"/>
            <w:gridSpan w:val="8"/>
            <w:shd w:val="clear" w:color="auto" w:fill="CCEEFF"/>
          </w:tcPr>
          <w:p>
            <w:pPr>
              <w:spacing w:after="0" w:line="189" w:lineRule="exact"/>
              <w:rPr>
                <w:rFonts w:ascii="Arial" w:cs="Arial" w:eastAsia="Arial" w:hAnsi="Arial"/>
                <w:sz w:val="18"/>
                <w:szCs w:val="18"/>
                <w:color w:val="0000EE"/>
              </w:rPr>
            </w:pPr>
            <w:hyperlink w:anchor="page111">
              <w:r>
                <w:rPr>
                  <w:rFonts w:ascii="Arial" w:cs="Arial" w:eastAsia="Arial" w:hAnsi="Arial"/>
                  <w:sz w:val="18"/>
                  <w:szCs w:val="18"/>
                  <w:color w:val="0000EE"/>
                </w:rPr>
                <w:t>Notes to Consolidated Financial Statements</w:t>
              </w:r>
            </w:hyperlink>
          </w:p>
        </w:tc>
        <w:tc>
          <w:tcPr>
            <w:tcW w:w="1400" w:type="dxa"/>
            <w:vAlign w:val="bottom"/>
            <w:gridSpan w:val="3"/>
            <w:shd w:val="clear" w:color="auto" w:fill="CCEEFF"/>
          </w:tcPr>
          <w:p>
            <w:pPr>
              <w:ind w:left="1060"/>
              <w:spacing w:after="0" w:line="189" w:lineRule="exact"/>
              <w:rPr>
                <w:rFonts w:ascii="Arial" w:cs="Arial" w:eastAsia="Arial" w:hAnsi="Arial"/>
                <w:sz w:val="18"/>
                <w:szCs w:val="18"/>
                <w:color w:val="0000EE"/>
              </w:rPr>
            </w:pPr>
            <w:hyperlink w:anchor="page111">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432"/>
        </w:trPr>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gridSpan w:val="2"/>
          </w:tcPr>
          <w:p>
            <w:pPr>
              <w:jc w:val="center"/>
              <w:ind w:right="2840"/>
              <w:spacing w:after="0"/>
              <w:rPr>
                <w:sz w:val="20"/>
                <w:szCs w:val="20"/>
                <w:color w:val="auto"/>
              </w:rPr>
            </w:pPr>
            <w:r>
              <w:rPr>
                <w:rFonts w:ascii="Arial" w:cs="Arial" w:eastAsia="Arial" w:hAnsi="Arial"/>
                <w:sz w:val="18"/>
                <w:szCs w:val="18"/>
                <w:color w:val="auto"/>
                <w:w w:val="96"/>
              </w:rPr>
              <w:t>F-1</w:t>
            </w:r>
          </w:p>
        </w:tc>
        <w:tc>
          <w:tcPr>
            <w:tcW w:w="1060" w:type="dxa"/>
            <w:vAlign w:val="bottom"/>
            <w:tcBorders>
              <w:top w:val="single" w:sz="8" w:color="CCEEFF"/>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34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6" w:right="115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right="2540" w:firstLine="2528"/>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Members of New Fortress Energy Holdings LLC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New Fortress Energy Holdings LLC (the “Company”) as of December 31, 2017 and 2016, the related consolidated statements of operations and comprehensive loss, changes in members’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the years then ended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auto"/>
        <w:rPr>
          <w:sz w:val="20"/>
          <w:szCs w:val="20"/>
          <w:color w:val="auto"/>
        </w:rPr>
      </w:pPr>
      <w:r>
        <w:rPr>
          <w:rFonts w:ascii="Arial" w:cs="Arial" w:eastAsia="Arial" w:hAnsi="Arial"/>
          <w:sz w:val="18"/>
          <w:szCs w:val="18"/>
          <w:b w:val="1"/>
          <w:bCs w:val="1"/>
          <w:color w:val="auto"/>
        </w:rPr>
        <w:t>As of December 31,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718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84,708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Finance leases, net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94,077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381,190</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389,054</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 payable</w:t>
            </w:r>
          </w:p>
        </w:tc>
        <w:tc>
          <w:tcPr>
            <w:tcW w:w="1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Due to affiliates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69,425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99,684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contingences (Note 16)</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1"/>
              </w:rPr>
              <w:t>Members’ capital, no par value, 500,000,000 shares authorized, 65,665,037 shares issued and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w w:val="97"/>
              </w:rPr>
              <w:t>outstanding as of December 31, 2017; 65,000,000 shares issued and outstanding as of</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December 31, 2016</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406,591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Stock subscription receivable</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(80,347)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(48,676)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278,910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381,190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300" w:type="dxa"/>
            <w:vAlign w:val="bottom"/>
            <w:gridSpan w:val="5"/>
          </w:tcPr>
          <w:p>
            <w:pPr>
              <w:jc w:val="center"/>
              <w:ind w:left="113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940" w:type="dxa"/>
            <w:vAlign w:val="bottom"/>
          </w:tcPr>
          <w:p>
            <w:pPr>
              <w:jc w:val="center"/>
              <w:ind w:left="2470"/>
              <w:spacing w:after="0"/>
              <w:rPr>
                <w:sz w:val="20"/>
                <w:szCs w:val="20"/>
                <w:color w:val="auto"/>
              </w:rPr>
            </w:pPr>
            <w:r>
              <w:rPr>
                <w:rFonts w:ascii="Arial" w:cs="Arial" w:eastAsia="Arial" w:hAnsi="Arial"/>
                <w:sz w:val="18"/>
                <w:szCs w:val="18"/>
                <w:color w:val="auto"/>
                <w:w w:val="96"/>
              </w:rPr>
              <w:t>F-3</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967"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6" w:lineRule="exact"/>
        <w:rPr>
          <w:sz w:val="20"/>
          <w:szCs w:val="20"/>
          <w:color w:val="auto"/>
        </w:rPr>
      </w:pPr>
    </w:p>
    <w:p>
      <w:pPr>
        <w:ind w:right="4580"/>
        <w:spacing w:after="0" w:line="248" w:lineRule="auto"/>
        <w:rPr>
          <w:sz w:val="20"/>
          <w:szCs w:val="20"/>
          <w:color w:val="auto"/>
        </w:rPr>
      </w:pPr>
      <w:r>
        <w:rPr>
          <w:rFonts w:ascii="Arial" w:cs="Arial" w:eastAsia="Arial" w:hAnsi="Arial"/>
          <w:sz w:val="17"/>
          <w:szCs w:val="17"/>
          <w:b w:val="1"/>
          <w:bCs w:val="1"/>
          <w:color w:val="auto"/>
        </w:rPr>
        <w:t>Consolidated Statements of Operations and Comprehensive Loss For the years ended December 31,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718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82,104</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78,692</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Operations and maintenance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33,343</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122,252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(24,990)</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(27,058)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(31,145)</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(33,287)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Net loss per share – 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2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65,006,140</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58,753,425</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available-for-sale investment</w:t>
            </w:r>
          </w:p>
        </w:tc>
        <w:tc>
          <w:tcPr>
            <w:tcW w:w="24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(30,368)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(31,563)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Pro forma information (unaudited):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(31,671)</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Pro forma income tax (expense) benefit</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34" w:lineRule="auto"/>
        <w:rPr>
          <w:sz w:val="20"/>
          <w:szCs w:val="20"/>
          <w:color w:val="auto"/>
        </w:rPr>
      </w:pPr>
      <w:r>
        <w:rPr>
          <w:rFonts w:ascii="Arial" w:cs="Arial" w:eastAsia="Arial" w:hAnsi="Arial"/>
          <w:sz w:val="18"/>
          <w:szCs w:val="18"/>
          <w:b w:val="1"/>
          <w:bCs w:val="1"/>
          <w:color w:val="auto"/>
        </w:rPr>
        <w:t>For the years ended December 31,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718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Members’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subscription</w:t>
            </w: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1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receivable</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deficit</w:t>
            </w:r>
          </w:p>
        </w:tc>
        <w:tc>
          <w:tcPr>
            <w:tcW w:w="18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equity</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36,983</w:t>
            </w:r>
          </w:p>
        </w:tc>
        <w:tc>
          <w:tcPr>
            <w:tcW w:w="1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300,776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300,776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20" w:type="dxa"/>
            <w:vAlign w:val="bottom"/>
            <w:gridSpan w:val="2"/>
          </w:tcPr>
          <w:p>
            <w:pPr>
              <w:spacing w:after="0"/>
              <w:rPr>
                <w:sz w:val="20"/>
                <w:szCs w:val="20"/>
                <w:color w:val="auto"/>
              </w:rPr>
            </w:pPr>
            <w:r>
              <w:rPr>
                <w:rFonts w:ascii="Arial" w:cs="Arial" w:eastAsia="Arial" w:hAnsi="Arial"/>
                <w:sz w:val="18"/>
                <w:szCs w:val="18"/>
                <w:color w:val="auto"/>
              </w:rPr>
              <w:t>Costs of issuing capital</w:t>
            </w: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Balance as of December 31, 2016</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336,683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(48,676)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289,370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(31,671)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(31,671)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1,303</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Capital contributions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Costs of issuing capital</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7"/>
        </w:trPr>
        <w:tc>
          <w:tcPr>
            <w:tcW w:w="3520" w:type="dxa"/>
            <w:vAlign w:val="bottom"/>
            <w:gridSpan w:val="2"/>
          </w:tcPr>
          <w:p>
            <w:pPr>
              <w:spacing w:after="0"/>
              <w:rPr>
                <w:sz w:val="20"/>
                <w:szCs w:val="20"/>
                <w:color w:val="auto"/>
              </w:rPr>
            </w:pPr>
            <w:r>
              <w:rPr>
                <w:rFonts w:ascii="Arial" w:cs="Arial" w:eastAsia="Arial" w:hAnsi="Arial"/>
                <w:sz w:val="18"/>
                <w:szCs w:val="18"/>
                <w:color w:val="auto"/>
              </w:rPr>
              <w:t>Stock subscription receivable</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406,591</w:t>
            </w:r>
          </w:p>
        </w:tc>
        <w:tc>
          <w:tcPr>
            <w:tcW w:w="1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(80,347)</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2,666</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278,910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340" w:type="dxa"/>
            <w:vAlign w:val="bottom"/>
            <w:gridSpan w:val="14"/>
          </w:tcPr>
          <w:p>
            <w:pPr>
              <w:jc w:val="right"/>
              <w:ind w:right="354"/>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F-5</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auto"/>
        <w:rPr>
          <w:sz w:val="20"/>
          <w:szCs w:val="20"/>
          <w:color w:val="auto"/>
        </w:rPr>
      </w:pPr>
      <w:r>
        <w:rPr>
          <w:rFonts w:ascii="Arial" w:cs="Arial" w:eastAsia="Arial" w:hAnsi="Arial"/>
          <w:sz w:val="18"/>
          <w:szCs w:val="18"/>
          <w:b w:val="1"/>
          <w:bCs w:val="1"/>
          <w:color w:val="auto"/>
        </w:rPr>
        <w:t>For the years ended December 31, 2017 and 2016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0718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(31,671)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(32,926)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Accretion on asset retirement obligations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Abandoned project cost</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(Increase) in receivables</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(3,114)</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(16,149)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(3,496)</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(Increase) in other assets</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(21,738)</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payable/accrued liabilities</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(Decrease) increase in property taxes payable</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(1,204)</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amounts due to/from affiliates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8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(Decrease) increase in other liabilities</w:t>
            </w: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(54,892)</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(43,493)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Purchase of available-for-sale investment</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(1,667)</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(22,538)</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Principal receivable for finance lease, net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(28,727)</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(52,396)</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(104,040)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28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(2,614)</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Proceeds from borrowings of debt</w:t>
            </w:r>
          </w:p>
        </w:tc>
        <w:tc>
          <w:tcPr>
            <w:tcW w:w="2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(5,828)</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Payment of deferred financing costs</w:t>
            </w:r>
          </w:p>
        </w:tc>
        <w:tc>
          <w:tcPr>
            <w:tcW w:w="2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and (repayment of) Member’s note</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Capital contributed from Members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Payment of stock issuance costs</w:t>
            </w:r>
          </w:p>
        </w:tc>
        <w:tc>
          <w:tcPr>
            <w:tcW w:w="2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11,346</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(95,942)</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180,650</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Changes in accrued construction in progress costs and property, plant and equipment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8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Changes in accrued costs for assets subject to finance lease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Amortized debt issuance cost capitalized</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Principal receivable for finance lease, net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5,725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gridSpan w:val="4"/>
          </w:tcPr>
          <w:p>
            <w:pPr>
              <w:jc w:val="right"/>
              <w:ind w:righ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940" w:type="dxa"/>
            <w:vAlign w:val="bottom"/>
          </w:tcPr>
          <w:p>
            <w:pPr>
              <w:ind w:left="4620"/>
              <w:spacing w:after="0"/>
              <w:rPr>
                <w:sz w:val="20"/>
                <w:szCs w:val="20"/>
                <w:color w:val="auto"/>
              </w:rPr>
            </w:pPr>
            <w:r>
              <w:rPr>
                <w:rFonts w:ascii="Arial" w:cs="Arial" w:eastAsia="Arial" w:hAnsi="Arial"/>
                <w:sz w:val="18"/>
                <w:szCs w:val="18"/>
                <w:color w:val="auto"/>
              </w:rPr>
              <w:t>F-6</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9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10" w:name="page111"/>
    <w:bookmarkEnd w:id="11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New Fortress Energy Holdings LLC</w:t>
      </w:r>
    </w:p>
    <w:p>
      <w:pPr>
        <w:ind w:left="7"/>
        <w:spacing w:after="0" w:line="221" w:lineRule="auto"/>
        <w:rPr>
          <w:sz w:val="20"/>
          <w:szCs w:val="20"/>
          <w:color w:val="auto"/>
        </w:rPr>
      </w:pPr>
      <w:r>
        <w:rPr>
          <w:rFonts w:ascii="Arial" w:cs="Arial" w:eastAsia="Arial" w:hAnsi="Arial"/>
          <w:sz w:val="18"/>
          <w:szCs w:val="18"/>
          <w:b w:val="1"/>
          <w:bCs w:val="1"/>
          <w:color w:val="auto"/>
        </w:rPr>
        <w:t>Notes to Consolidated Financial Statements</w:t>
      </w:r>
    </w:p>
    <w:p>
      <w:pPr>
        <w:ind w:left="7"/>
        <w:spacing w:after="0" w:line="219" w:lineRule="auto"/>
        <w:rPr>
          <w:sz w:val="20"/>
          <w:szCs w:val="20"/>
          <w:color w:val="auto"/>
        </w:rPr>
      </w:pPr>
      <w:r>
        <w:rPr>
          <w:rFonts w:ascii="Arial" w:cs="Arial" w:eastAsia="Arial" w:hAnsi="Arial"/>
          <w:sz w:val="18"/>
          <w:szCs w:val="18"/>
          <w:b w:val="1"/>
          <w:bCs w:val="1"/>
          <w:color w:val="auto"/>
        </w:rPr>
        <w:t>December 31, 2017</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6071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0" w:lineRule="exact"/>
        <w:rPr>
          <w:sz w:val="20"/>
          <w:szCs w:val="20"/>
          <w:color w:val="auto"/>
        </w:rPr>
      </w:pPr>
    </w:p>
    <w:p>
      <w:pPr>
        <w:ind w:left="347" w:hanging="347"/>
        <w:spacing w:after="0"/>
        <w:tabs>
          <w:tab w:leader="none" w:pos="347"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ind w:left="367" w:right="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New Fortress Energy Holdings LLC (“NFE,” together with its subsidiaries, the “Company”) is a Delaware limited liability company formed on September 11, 2015. The Company is an established and growing energy infrastructure company with contracted current cash flows from existing customers and plans for future growth. The Company is engaged in providing energy, logistical services, and financing capital investment to end users worldwide, seeking to convert their operating assets from diesel or heavy fuel oil to Liquefied Natural Gas (“LNG”). The Company currently sources LNG from a combination of its own liquefaction facility in Miami, Florida and purchases on the open market. The Company has liquefaction and regasification operations in the United States and Jamaica. The Company is majority-owned by a private equity fund managed by an affiliate of Fortress Investment Group LLC (“Fortress”).</w:t>
      </w:r>
    </w:p>
    <w:p>
      <w:pPr>
        <w:spacing w:after="0" w:line="70" w:lineRule="exact"/>
        <w:rPr>
          <w:rFonts w:ascii="Arial" w:cs="Arial" w:eastAsia="Arial" w:hAnsi="Arial"/>
          <w:sz w:val="18"/>
          <w:szCs w:val="18"/>
          <w:b w:val="1"/>
          <w:bCs w:val="1"/>
          <w:color w:val="auto"/>
        </w:rPr>
      </w:pPr>
    </w:p>
    <w:p>
      <w:pPr>
        <w:ind w:left="367" w:right="2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manages, analyzes and reports on its business and results of operations on the basis of one operating segment. The chief operating decision maker makes resource allocation decisions and assesses performance based on financial information presented on a consolidated basis on the delivery of an integrated solution to our customers.</w:t>
      </w:r>
    </w:p>
    <w:p>
      <w:pPr>
        <w:spacing w:after="0" w:line="53" w:lineRule="exact"/>
        <w:rPr>
          <w:rFonts w:ascii="Arial" w:cs="Arial" w:eastAsia="Arial" w:hAnsi="Arial"/>
          <w:sz w:val="18"/>
          <w:szCs w:val="18"/>
          <w:b w:val="1"/>
          <w:bCs w:val="1"/>
          <w:color w:val="auto"/>
        </w:rPr>
      </w:pPr>
    </w:p>
    <w:p>
      <w:pPr>
        <w:ind w:left="347" w:hanging="347"/>
        <w:spacing w:after="0"/>
        <w:tabs>
          <w:tab w:leader="none" w:pos="347"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The principal accounting policies adopted are set out below.</w:t>
      </w:r>
    </w:p>
    <w:p>
      <w:pPr>
        <w:spacing w:after="0" w:line="113" w:lineRule="exact"/>
        <w:rPr>
          <w:rFonts w:ascii="Arial" w:cs="Arial" w:eastAsia="Arial" w:hAnsi="Arial"/>
          <w:sz w:val="18"/>
          <w:szCs w:val="18"/>
          <w:b w:val="1"/>
          <w:bCs w:val="1"/>
          <w:color w:val="auto"/>
        </w:rPr>
      </w:pPr>
    </w:p>
    <w:p>
      <w:pPr>
        <w:ind w:left="707" w:hanging="356"/>
        <w:spacing w:after="0"/>
        <w:tabs>
          <w:tab w:leader="none" w:pos="707"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21" w:lineRule="exact"/>
        <w:rPr>
          <w:rFonts w:ascii="Arial" w:cs="Arial" w:eastAsia="Arial" w:hAnsi="Arial"/>
          <w:sz w:val="18"/>
          <w:szCs w:val="18"/>
          <w:color w:val="auto"/>
        </w:rPr>
      </w:pPr>
    </w:p>
    <w:p>
      <w:pPr>
        <w:ind w:left="727" w:right="120"/>
        <w:spacing w:after="0" w:line="259" w:lineRule="auto"/>
        <w:rPr>
          <w:rFonts w:ascii="Arial" w:cs="Arial" w:eastAsia="Arial" w:hAnsi="Arial"/>
          <w:sz w:val="18"/>
          <w:szCs w:val="18"/>
          <w:color w:val="auto"/>
        </w:rPr>
      </w:pPr>
      <w:r>
        <w:rPr>
          <w:rFonts w:ascii="Arial" w:cs="Arial" w:eastAsia="Arial" w:hAnsi="Arial"/>
          <w:sz w:val="18"/>
          <w:szCs w:val="18"/>
          <w:color w:val="auto"/>
        </w:rPr>
        <w:t>The consolidated financial statements were prepared in accordance with US generally accepted accounting principles (“GAAP”). The consolidated financial statements include the accounts of the Company and its consolidated subsidiaries. All consolidated subsidiary entities are wholly-owned. All significant intercompany transactions and balances have been eliminated on consolidation.</w:t>
      </w:r>
    </w:p>
    <w:p>
      <w:pPr>
        <w:spacing w:after="0" w:line="74" w:lineRule="exact"/>
        <w:rPr>
          <w:rFonts w:ascii="Arial" w:cs="Arial" w:eastAsia="Arial" w:hAnsi="Arial"/>
          <w:sz w:val="18"/>
          <w:szCs w:val="18"/>
          <w:color w:val="auto"/>
        </w:rPr>
      </w:pPr>
    </w:p>
    <w:p>
      <w:pPr>
        <w:ind w:left="707" w:hanging="356"/>
        <w:spacing w:after="0"/>
        <w:tabs>
          <w:tab w:leader="none" w:pos="707"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color w:val="auto"/>
        </w:rPr>
      </w:pPr>
    </w:p>
    <w:p>
      <w:pPr>
        <w:ind w:left="727" w:right="140"/>
        <w:spacing w:after="0" w:line="297" w:lineRule="auto"/>
        <w:rPr>
          <w:rFonts w:ascii="Arial" w:cs="Arial" w:eastAsia="Arial" w:hAnsi="Arial"/>
          <w:sz w:val="18"/>
          <w:szCs w:val="18"/>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Management evaluates its estimates and related assumptions regularly. Changes in facts and circumstances or additional information may result in revised estimates, and actual results may differ from these estimates.</w:t>
      </w:r>
    </w:p>
    <w:p>
      <w:pPr>
        <w:spacing w:after="0" w:line="46" w:lineRule="exact"/>
        <w:rPr>
          <w:rFonts w:ascii="Arial" w:cs="Arial" w:eastAsia="Arial" w:hAnsi="Arial"/>
          <w:sz w:val="18"/>
          <w:szCs w:val="18"/>
          <w:color w:val="auto"/>
        </w:rPr>
      </w:pPr>
    </w:p>
    <w:p>
      <w:pPr>
        <w:ind w:left="707" w:hanging="356"/>
        <w:spacing w:after="0"/>
        <w:tabs>
          <w:tab w:leader="none" w:pos="707"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Foreign currencies</w:t>
      </w:r>
    </w:p>
    <w:p>
      <w:pPr>
        <w:spacing w:after="0" w:line="121" w:lineRule="exact"/>
        <w:rPr>
          <w:rFonts w:ascii="Arial" w:cs="Arial" w:eastAsia="Arial" w:hAnsi="Arial"/>
          <w:sz w:val="18"/>
          <w:szCs w:val="18"/>
          <w:color w:val="auto"/>
        </w:rPr>
      </w:pPr>
    </w:p>
    <w:p>
      <w:pPr>
        <w:ind w:left="727"/>
        <w:spacing w:after="0" w:line="257" w:lineRule="auto"/>
        <w:rPr>
          <w:rFonts w:ascii="Arial" w:cs="Arial" w:eastAsia="Arial" w:hAnsi="Arial"/>
          <w:sz w:val="18"/>
          <w:szCs w:val="18"/>
          <w:color w:val="auto"/>
        </w:rPr>
      </w:pPr>
      <w:r>
        <w:rPr>
          <w:rFonts w:ascii="Arial" w:cs="Arial" w:eastAsia="Arial" w:hAnsi="Arial"/>
          <w:sz w:val="18"/>
          <w:szCs w:val="18"/>
          <w:color w:val="auto"/>
        </w:rPr>
        <w:t>The Company’s functional and reporting currency is the U.S. dollar. Purchases and sales of assets and income and expense items denominated in foreign currencies are translated into U.S. dollar amounts on the respective dates of such transactions. Net realized foreign currency gains or losses relating to the differences between these recorded amounts and the U.S. dollar equivalent actually received or paid are included within Other (income), net in the consolidated statements of operations and comprehensive loss.</w:t>
      </w:r>
    </w:p>
    <w:p>
      <w:pPr>
        <w:spacing w:after="0" w:line="76" w:lineRule="exact"/>
        <w:rPr>
          <w:rFonts w:ascii="Arial" w:cs="Arial" w:eastAsia="Arial" w:hAnsi="Arial"/>
          <w:sz w:val="18"/>
          <w:szCs w:val="18"/>
          <w:color w:val="auto"/>
        </w:rPr>
      </w:pPr>
    </w:p>
    <w:p>
      <w:pPr>
        <w:ind w:left="707" w:hanging="356"/>
        <w:spacing w:after="0"/>
        <w:tabs>
          <w:tab w:leader="none" w:pos="707"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color w:val="auto"/>
        </w:rPr>
      </w:pPr>
    </w:p>
    <w:p>
      <w:pPr>
        <w:ind w:left="727" w:right="460"/>
        <w:spacing w:after="0" w:line="277" w:lineRule="auto"/>
        <w:rPr>
          <w:rFonts w:ascii="Arial" w:cs="Arial" w:eastAsia="Arial" w:hAnsi="Arial"/>
          <w:sz w:val="18"/>
          <w:szCs w:val="18"/>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w:t>
      </w:r>
    </w:p>
    <w:p>
      <w:pPr>
        <w:spacing w:after="0" w:line="58" w:lineRule="exact"/>
        <w:rPr>
          <w:rFonts w:ascii="Arial" w:cs="Arial" w:eastAsia="Arial" w:hAnsi="Arial"/>
          <w:sz w:val="18"/>
          <w:szCs w:val="18"/>
          <w:color w:val="auto"/>
        </w:rPr>
      </w:pPr>
    </w:p>
    <w:p>
      <w:pPr>
        <w:ind w:left="707" w:hanging="356"/>
        <w:spacing w:after="0"/>
        <w:tabs>
          <w:tab w:leader="none" w:pos="707"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color w:val="auto"/>
        </w:rPr>
      </w:pPr>
    </w:p>
    <w:p>
      <w:pPr>
        <w:ind w:left="727" w:right="500"/>
        <w:spacing w:after="0" w:line="277" w:lineRule="auto"/>
        <w:rPr>
          <w:rFonts w:ascii="Arial" w:cs="Arial" w:eastAsia="Arial" w:hAnsi="Arial"/>
          <w:sz w:val="18"/>
          <w:szCs w:val="18"/>
          <w:color w:val="auto"/>
        </w:rPr>
      </w:pPr>
      <w:r>
        <w:rPr>
          <w:rFonts w:ascii="Arial" w:cs="Arial" w:eastAsia="Arial" w:hAnsi="Arial"/>
          <w:sz w:val="18"/>
          <w:szCs w:val="18"/>
          <w:color w:val="auto"/>
        </w:rPr>
        <w:t>Restricted cash consists of funds that are contractually restricted as to usage or withdrawal and have been presented separately from cash and cash equivalents on the consolidated balance sheets.</w:t>
      </w:r>
    </w:p>
    <w:p>
      <w:pPr>
        <w:spacing w:after="0" w:line="58" w:lineRule="exact"/>
        <w:rPr>
          <w:rFonts w:ascii="Arial" w:cs="Arial" w:eastAsia="Arial" w:hAnsi="Arial"/>
          <w:sz w:val="18"/>
          <w:szCs w:val="18"/>
          <w:color w:val="auto"/>
        </w:rPr>
      </w:pPr>
    </w:p>
    <w:p>
      <w:pPr>
        <w:ind w:left="707" w:hanging="356"/>
        <w:spacing w:after="0"/>
        <w:tabs>
          <w:tab w:leader="none" w:pos="707"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Receivables</w:t>
      </w:r>
    </w:p>
    <w:p>
      <w:pPr>
        <w:spacing w:after="0" w:line="121" w:lineRule="exact"/>
        <w:rPr>
          <w:rFonts w:ascii="Arial" w:cs="Arial" w:eastAsia="Arial" w:hAnsi="Arial"/>
          <w:sz w:val="18"/>
          <w:szCs w:val="18"/>
          <w:color w:val="auto"/>
        </w:rPr>
      </w:pPr>
    </w:p>
    <w:p>
      <w:pPr>
        <w:ind w:left="727" w:right="380"/>
        <w:spacing w:after="0" w:line="277" w:lineRule="auto"/>
        <w:rPr>
          <w:rFonts w:ascii="Arial" w:cs="Arial" w:eastAsia="Arial" w:hAnsi="Arial"/>
          <w:sz w:val="18"/>
          <w:szCs w:val="18"/>
          <w:color w:val="auto"/>
        </w:rPr>
      </w:pPr>
      <w:r>
        <w:rPr>
          <w:rFonts w:ascii="Arial" w:cs="Arial" w:eastAsia="Arial" w:hAnsi="Arial"/>
          <w:sz w:val="18"/>
          <w:szCs w:val="18"/>
          <w:color w:val="auto"/>
        </w:rPr>
        <w:t>Receivables are reported net of allowances for doubtful accounts. Impaired receivables are specifically identified and evaluated for expected losses. The expected loss on impaired receivables is primarily</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0"/>
        <w:spacing w:after="0" w:line="259" w:lineRule="auto"/>
        <w:rPr>
          <w:sz w:val="20"/>
          <w:szCs w:val="20"/>
          <w:color w:val="auto"/>
        </w:rPr>
      </w:pPr>
      <w:r>
        <w:rPr>
          <w:rFonts w:ascii="Arial" w:cs="Arial" w:eastAsia="Arial" w:hAnsi="Arial"/>
          <w:sz w:val="18"/>
          <w:szCs w:val="18"/>
          <w:color w:val="auto"/>
        </w:rPr>
        <w:t>determined based on the debtor’s ability to pay and the estimated value of any collateral, and such losses are recorded as Selling, general and administrative within the consolidated statements of operations and comprehensive loss. For the years ended December 31, 2017 and 2016, no bad debt expense was recognized with respect to receivables, and there is no recorded allowance for doubtful accounts.</w:t>
      </w:r>
    </w:p>
    <w:p>
      <w:pPr>
        <w:spacing w:after="0" w:line="75" w:lineRule="exact"/>
        <w:rPr>
          <w:sz w:val="20"/>
          <w:szCs w:val="20"/>
          <w:color w:val="auto"/>
        </w:rPr>
      </w:pPr>
    </w:p>
    <w:p>
      <w:pPr>
        <w:ind w:left="700" w:hanging="35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color w:val="auto"/>
        </w:rPr>
      </w:pPr>
    </w:p>
    <w:p>
      <w:pPr>
        <w:ind w:left="720" w:right="40"/>
        <w:spacing w:after="0" w:line="264" w:lineRule="auto"/>
        <w:rPr>
          <w:rFonts w:ascii="Arial" w:cs="Arial" w:eastAsia="Arial" w:hAnsi="Arial"/>
          <w:sz w:val="18"/>
          <w:szCs w:val="18"/>
          <w:color w:val="auto"/>
        </w:rPr>
      </w:pPr>
      <w:r>
        <w:rPr>
          <w:rFonts w:ascii="Arial" w:cs="Arial" w:eastAsia="Arial" w:hAnsi="Arial"/>
          <w:sz w:val="18"/>
          <w:szCs w:val="18"/>
          <w:color w:val="auto"/>
        </w:rPr>
        <w:t>LNG and natural gas inventories are recorded at weighted average cost, and materials and other inventory are recorded at cost. The Company’s cost to convert from natural gas to LNG, which primarily consists of depreciation of the liquefaction facilities, is reflected in Inventory on the consolidated balance sheets.</w:t>
      </w:r>
    </w:p>
    <w:p>
      <w:pPr>
        <w:spacing w:after="0" w:line="73" w:lineRule="exact"/>
        <w:rPr>
          <w:rFonts w:ascii="Arial" w:cs="Arial" w:eastAsia="Arial" w:hAnsi="Arial"/>
          <w:sz w:val="18"/>
          <w:szCs w:val="18"/>
          <w:color w:val="auto"/>
        </w:rPr>
      </w:pPr>
    </w:p>
    <w:p>
      <w:pPr>
        <w:ind w:left="720"/>
        <w:spacing w:after="0" w:line="277" w:lineRule="auto"/>
        <w:rPr>
          <w:rFonts w:ascii="Arial" w:cs="Arial" w:eastAsia="Arial" w:hAnsi="Arial"/>
          <w:sz w:val="18"/>
          <w:szCs w:val="18"/>
          <w:color w:val="auto"/>
        </w:rPr>
      </w:pPr>
      <w:r>
        <w:rPr>
          <w:rFonts w:ascii="Arial" w:cs="Arial" w:eastAsia="Arial" w:hAnsi="Arial"/>
          <w:sz w:val="18"/>
          <w:szCs w:val="18"/>
          <w:color w:val="auto"/>
        </w:rPr>
        <w:t>Inventory is subject to the lower of cost or net realizable value each month. Changes in the value of inventory are recorded within Cost of sales in the consolidated statements of operations and comprehensive loss.</w:t>
      </w:r>
    </w:p>
    <w:p>
      <w:pPr>
        <w:spacing w:after="0" w:line="62" w:lineRule="exact"/>
        <w:rPr>
          <w:rFonts w:ascii="Arial" w:cs="Arial" w:eastAsia="Arial" w:hAnsi="Arial"/>
          <w:sz w:val="18"/>
          <w:szCs w:val="18"/>
          <w:color w:val="auto"/>
        </w:rPr>
      </w:pPr>
    </w:p>
    <w:p>
      <w:pPr>
        <w:ind w:left="720" w:right="260"/>
        <w:spacing w:after="0" w:line="259" w:lineRule="auto"/>
        <w:rPr>
          <w:rFonts w:ascii="Arial" w:cs="Arial" w:eastAsia="Arial" w:hAnsi="Arial"/>
          <w:sz w:val="18"/>
          <w:szCs w:val="18"/>
          <w:color w:val="auto"/>
        </w:rPr>
      </w:pPr>
      <w:r>
        <w:rPr>
          <w:rFonts w:ascii="Arial" w:cs="Arial" w:eastAsia="Arial" w:hAnsi="Arial"/>
          <w:sz w:val="18"/>
          <w:szCs w:val="18"/>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loss in instances where gas cannot be contained and recycled back into the production process in the period in which the loss occurs.</w:t>
      </w:r>
    </w:p>
    <w:p>
      <w:pPr>
        <w:spacing w:after="0" w:line="74" w:lineRule="exact"/>
        <w:rPr>
          <w:rFonts w:ascii="Arial" w:cs="Arial" w:eastAsia="Arial" w:hAnsi="Arial"/>
          <w:sz w:val="18"/>
          <w:szCs w:val="18"/>
          <w:color w:val="auto"/>
        </w:rPr>
      </w:pPr>
    </w:p>
    <w:p>
      <w:pPr>
        <w:ind w:left="700" w:hanging="35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Construction in progress</w:t>
      </w:r>
    </w:p>
    <w:p>
      <w:pPr>
        <w:spacing w:after="0" w:line="121" w:lineRule="exact"/>
        <w:rPr>
          <w:rFonts w:ascii="Arial" w:cs="Arial" w:eastAsia="Arial" w:hAnsi="Arial"/>
          <w:sz w:val="18"/>
          <w:szCs w:val="18"/>
          <w:color w:val="auto"/>
        </w:rPr>
      </w:pPr>
    </w:p>
    <w:p>
      <w:pPr>
        <w:jc w:val="both"/>
        <w:ind w:left="720" w:right="120"/>
        <w:spacing w:after="0" w:line="312" w:lineRule="auto"/>
        <w:rPr>
          <w:rFonts w:ascii="Arial" w:cs="Arial" w:eastAsia="Arial" w:hAnsi="Arial"/>
          <w:sz w:val="18"/>
          <w:szCs w:val="18"/>
          <w:color w:val="auto"/>
        </w:rPr>
      </w:pPr>
      <w:r>
        <w:rPr>
          <w:rFonts w:ascii="Arial" w:cs="Arial" w:eastAsia="Arial" w:hAnsi="Arial"/>
          <w:sz w:val="16"/>
          <w:szCs w:val="16"/>
          <w:color w:val="auto"/>
        </w:rPr>
        <w:t>Construction in progress is recorded at cost, and at the point at which the constructed asset in progress is put into use, the full cost of the asset is reclassified from Construction in progress to Property, plant and equipment, net or Finance leases, net on the face of the consolidated balance sheets. Depreciation is not recognized during the construction period.</w:t>
      </w:r>
    </w:p>
    <w:p>
      <w:pPr>
        <w:spacing w:after="0" w:line="38" w:lineRule="exact"/>
        <w:rPr>
          <w:rFonts w:ascii="Arial" w:cs="Arial" w:eastAsia="Arial" w:hAnsi="Arial"/>
          <w:sz w:val="18"/>
          <w:szCs w:val="18"/>
          <w:color w:val="auto"/>
        </w:rPr>
      </w:pPr>
    </w:p>
    <w:p>
      <w:pPr>
        <w:ind w:left="720" w:right="40"/>
        <w:spacing w:after="0" w:line="259" w:lineRule="auto"/>
        <w:rPr>
          <w:rFonts w:ascii="Arial" w:cs="Arial" w:eastAsia="Arial" w:hAnsi="Arial"/>
          <w:sz w:val="18"/>
          <w:szCs w:val="18"/>
          <w:color w:val="auto"/>
        </w:rPr>
      </w:pPr>
      <w:r>
        <w:rPr>
          <w:rFonts w:ascii="Arial" w:cs="Arial" w:eastAsia="Arial" w:hAnsi="Arial"/>
          <w:sz w:val="18"/>
          <w:szCs w:val="18"/>
          <w:color w:val="auto"/>
        </w:rPr>
        <w:t>The interest cost associated with major development and construction projects is capitalized during the construction period and included in the cost of the project in Construction in progress. Interest expense of $0 and $3,517 was capitalized during the years ended December 31, 2017 and 2016, respectively, in addition to amortized debt issuance costs disclosed in Note 2(m).</w:t>
      </w:r>
    </w:p>
    <w:p>
      <w:pPr>
        <w:spacing w:after="0" w:line="74" w:lineRule="exact"/>
        <w:rPr>
          <w:rFonts w:ascii="Arial" w:cs="Arial" w:eastAsia="Arial" w:hAnsi="Arial"/>
          <w:sz w:val="18"/>
          <w:szCs w:val="18"/>
          <w:color w:val="auto"/>
        </w:rPr>
      </w:pPr>
    </w:p>
    <w:p>
      <w:pPr>
        <w:ind w:left="700" w:hanging="35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Property, plant and equipment, net</w:t>
      </w:r>
    </w:p>
    <w:p>
      <w:pPr>
        <w:spacing w:after="0" w:line="121" w:lineRule="exact"/>
        <w:rPr>
          <w:rFonts w:ascii="Arial" w:cs="Arial" w:eastAsia="Arial" w:hAnsi="Arial"/>
          <w:sz w:val="18"/>
          <w:szCs w:val="18"/>
          <w:color w:val="auto"/>
        </w:rPr>
      </w:pPr>
    </w:p>
    <w:p>
      <w:pPr>
        <w:ind w:left="720" w:right="100"/>
        <w:spacing w:after="0" w:line="257" w:lineRule="auto"/>
        <w:rPr>
          <w:rFonts w:ascii="Arial" w:cs="Arial" w:eastAsia="Arial" w:hAnsi="Arial"/>
          <w:sz w:val="18"/>
          <w:szCs w:val="18"/>
          <w:color w:val="auto"/>
        </w:rPr>
      </w:pPr>
      <w:r>
        <w:rPr>
          <w:rFonts w:ascii="Arial" w:cs="Arial" w:eastAsia="Arial" w:hAnsi="Arial"/>
          <w:sz w:val="18"/>
          <w:szCs w:val="18"/>
          <w:color w:val="auto"/>
        </w:rPr>
        <w:t>Property, plant and equipment is recorded at cost. Expenditures for construction activities, betterments that extend the useful life of the asset are capitalized, while expenditures for maintenance and repairs are charged to expense as incurred within Operations and maintenance in the consolidated statements of operations and comprehensive loss. The Company depreciates property, plant and equipment using the straight-line depreciation method over the estimated economic useful life of the asset.</w:t>
      </w:r>
    </w:p>
    <w:p>
      <w:pPr>
        <w:spacing w:after="0" w:line="45"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Useful life (Yrs)</w:t>
            </w:r>
          </w:p>
        </w:tc>
      </w:tr>
      <w:tr>
        <w:trPr>
          <w:trHeight w:val="23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1380" w:type="dxa"/>
            <w:vAlign w:val="bottom"/>
            <w:tcBorders>
              <w:top w:val="single" w:sz="8" w:color="auto"/>
            </w:tcBorders>
            <w:shd w:val="clear" w:color="auto" w:fill="CCEEFF"/>
          </w:tcPr>
          <w:p>
            <w:pPr>
              <w:jc w:val="center"/>
              <w:ind w:left="34"/>
              <w:spacing w:after="0"/>
              <w:rPr>
                <w:sz w:val="20"/>
                <w:szCs w:val="20"/>
                <w:color w:val="auto"/>
              </w:rPr>
            </w:pPr>
            <w:r>
              <w:rPr>
                <w:rFonts w:ascii="Arial" w:cs="Arial" w:eastAsia="Arial" w:hAnsi="Arial"/>
                <w:sz w:val="18"/>
                <w:szCs w:val="18"/>
                <w:color w:val="auto"/>
                <w:w w:val="91"/>
              </w:rPr>
              <w:t>20-30</w:t>
            </w:r>
          </w:p>
        </w:tc>
        <w:tc>
          <w:tcPr>
            <w:tcW w:w="80" w:type="dxa"/>
            <w:vAlign w:val="bottom"/>
            <w:shd w:val="clear" w:color="auto" w:fill="CCEEFF"/>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ISO containers</w:t>
            </w:r>
          </w:p>
        </w:tc>
        <w:tc>
          <w:tcPr>
            <w:tcW w:w="1380" w:type="dxa"/>
            <w:vAlign w:val="bottom"/>
          </w:tcPr>
          <w:p>
            <w:pPr>
              <w:jc w:val="center"/>
              <w:ind w:left="34"/>
              <w:spacing w:after="0"/>
              <w:rPr>
                <w:sz w:val="20"/>
                <w:szCs w:val="20"/>
                <w:color w:val="auto"/>
              </w:rPr>
            </w:pPr>
            <w:r>
              <w:rPr>
                <w:rFonts w:ascii="Arial" w:cs="Arial" w:eastAsia="Arial" w:hAnsi="Arial"/>
                <w:sz w:val="18"/>
                <w:szCs w:val="18"/>
                <w:color w:val="auto"/>
                <w:w w:val="89"/>
              </w:rPr>
              <w:t>15</w:t>
            </w:r>
          </w:p>
        </w:tc>
        <w:tc>
          <w:tcPr>
            <w:tcW w:w="80" w:type="dxa"/>
            <w:vAlign w:val="bottom"/>
          </w:tcPr>
          <w:p>
            <w:pPr>
              <w:spacing w:after="0"/>
              <w:rPr>
                <w:sz w:val="20"/>
                <w:szCs w:val="20"/>
                <w:color w:val="auto"/>
              </w:rPr>
            </w:pPr>
          </w:p>
        </w:tc>
      </w:tr>
      <w:tr>
        <w:trPr>
          <w:trHeight w:val="24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3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89"/>
              </w:rPr>
              <w:t>10</w:t>
            </w:r>
          </w:p>
        </w:tc>
        <w:tc>
          <w:tcPr>
            <w:tcW w:w="80" w:type="dxa"/>
            <w:vAlign w:val="bottom"/>
            <w:shd w:val="clear" w:color="auto" w:fill="CCEEFF"/>
          </w:tcPr>
          <w:p>
            <w:pPr>
              <w:spacing w:after="0"/>
              <w:rPr>
                <w:sz w:val="21"/>
                <w:szCs w:val="2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Computer equipment</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20"/>
                <w:szCs w:val="20"/>
                <w:color w:val="auto"/>
              </w:rPr>
            </w:pPr>
          </w:p>
        </w:tc>
      </w:tr>
    </w:tbl>
    <w:p>
      <w:pPr>
        <w:spacing w:after="0" w:line="106" w:lineRule="exact"/>
        <w:rPr>
          <w:sz w:val="20"/>
          <w:szCs w:val="20"/>
          <w:color w:val="auto"/>
        </w:rPr>
      </w:pPr>
    </w:p>
    <w:p>
      <w:pPr>
        <w:ind w:left="720" w:right="200"/>
        <w:spacing w:after="0" w:line="277" w:lineRule="auto"/>
        <w:rPr>
          <w:sz w:val="20"/>
          <w:szCs w:val="20"/>
          <w:color w:val="auto"/>
        </w:rPr>
      </w:pPr>
      <w:r>
        <w:rPr>
          <w:rFonts w:ascii="Arial" w:cs="Arial" w:eastAsia="Arial" w:hAnsi="Arial"/>
          <w:sz w:val="18"/>
          <w:szCs w:val="18"/>
          <w:color w:val="auto"/>
        </w:rPr>
        <w:t>The Company reviews the remaining useful life of its assets on a regular basis to determine whether changes have taken place that would suggest that a change in its depreciation policies is warranted.</w:t>
      </w:r>
    </w:p>
    <w:p>
      <w:pPr>
        <w:spacing w:after="0" w:line="62" w:lineRule="exact"/>
        <w:rPr>
          <w:sz w:val="20"/>
          <w:szCs w:val="20"/>
          <w:color w:val="auto"/>
        </w:rPr>
      </w:pPr>
    </w:p>
    <w:p>
      <w:pPr>
        <w:ind w:left="720" w:right="120"/>
        <w:spacing w:after="0" w:line="264" w:lineRule="auto"/>
        <w:rPr>
          <w:sz w:val="20"/>
          <w:szCs w:val="20"/>
          <w:color w:val="auto"/>
        </w:rPr>
      </w:pPr>
      <w:r>
        <w:rPr>
          <w:rFonts w:ascii="Arial" w:cs="Arial" w:eastAsia="Arial" w:hAnsi="Arial"/>
          <w:sz w:val="18"/>
          <w:szCs w:val="18"/>
          <w:color w:val="auto"/>
        </w:rPr>
        <w:t>Upon retirement or disposal of property, plant and equipment, the cost and related accumulated depreciation are removed from the account, and the resulting gains or losses, if any, are recorded in the consolidated statements of operations and comprehensive loss.</w:t>
      </w:r>
    </w:p>
    <w:p>
      <w:pPr>
        <w:spacing w:after="0" w:line="69" w:lineRule="exact"/>
        <w:rPr>
          <w:sz w:val="20"/>
          <w:szCs w:val="20"/>
          <w:color w:val="auto"/>
        </w:rPr>
      </w:pPr>
    </w:p>
    <w:p>
      <w:pPr>
        <w:ind w:left="700" w:hanging="35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Asset retirement obligations (“AROs”)</w:t>
      </w:r>
    </w:p>
    <w:p>
      <w:pPr>
        <w:spacing w:after="0" w:line="121" w:lineRule="exact"/>
        <w:rPr>
          <w:rFonts w:ascii="Arial" w:cs="Arial" w:eastAsia="Arial" w:hAnsi="Arial"/>
          <w:sz w:val="18"/>
          <w:szCs w:val="18"/>
          <w:color w:val="auto"/>
        </w:rPr>
      </w:pPr>
    </w:p>
    <w:p>
      <w:pPr>
        <w:ind w:left="720" w:right="140"/>
        <w:spacing w:after="0" w:line="259" w:lineRule="auto"/>
        <w:rPr>
          <w:rFonts w:ascii="Arial" w:cs="Arial" w:eastAsia="Arial" w:hAnsi="Arial"/>
          <w:sz w:val="18"/>
          <w:szCs w:val="18"/>
          <w:color w:val="auto"/>
        </w:rPr>
      </w:pPr>
      <w:r>
        <w:rPr>
          <w:rFonts w:ascii="Arial" w:cs="Arial" w:eastAsia="Arial" w:hAnsi="Arial"/>
          <w:sz w:val="18"/>
          <w:szCs w:val="18"/>
          <w:color w:val="auto"/>
        </w:rPr>
        <w:t>AROs are recognized for legal obligations associated with the retirement of long-lived assets that result from the acquisition, leasing, construction, development and/or normal use of the assets and for conditional AROs in which the timing or method of settlement are conditional on a future event. The fair value of a liability for an ARO is recognized in the period in which it is incurred if a reasonable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20"/>
        <w:spacing w:after="0" w:line="264" w:lineRule="auto"/>
        <w:rPr>
          <w:sz w:val="20"/>
          <w:szCs w:val="20"/>
          <w:color w:val="auto"/>
        </w:rPr>
      </w:pPr>
      <w:r>
        <w:rPr>
          <w:rFonts w:ascii="Arial" w:cs="Arial" w:eastAsia="Arial" w:hAnsi="Arial"/>
          <w:sz w:val="18"/>
          <w:szCs w:val="18"/>
          <w:color w:val="auto"/>
        </w:rPr>
        <w:t>estimate of fair value can be made and is accreted to its final value over the life of the liability. The initial fair value of the liability is added to the carrying amount of the associated asset. This additional carrying amount is depreciated over the estimated useful life of the asset.</w:t>
      </w:r>
    </w:p>
    <w:p>
      <w:pPr>
        <w:spacing w:after="0" w:line="73" w:lineRule="exact"/>
        <w:rPr>
          <w:sz w:val="20"/>
          <w:szCs w:val="20"/>
          <w:color w:val="auto"/>
        </w:rPr>
      </w:pPr>
    </w:p>
    <w:p>
      <w:pPr>
        <w:ind w:left="720" w:right="100"/>
        <w:spacing w:after="0" w:line="264" w:lineRule="auto"/>
        <w:rPr>
          <w:sz w:val="20"/>
          <w:szCs w:val="20"/>
          <w:color w:val="auto"/>
        </w:rPr>
      </w:pPr>
      <w:r>
        <w:rPr>
          <w:rFonts w:ascii="Arial" w:cs="Arial" w:eastAsia="Arial" w:hAnsi="Arial"/>
          <w:sz w:val="18"/>
          <w:szCs w:val="18"/>
          <w:color w:val="auto"/>
        </w:rPr>
        <w:t>The Company estimates the fair value of the ARO liability based on the present value of expected cash flows using a credit-adjusted risk-free rate. Liabilities for AROs may be incurred over more than one reporting period if the events that create the obligation occur over more than one period or if estimates change.</w:t>
      </w:r>
    </w:p>
    <w:p>
      <w:pPr>
        <w:spacing w:after="0" w:line="69" w:lineRule="exact"/>
        <w:rPr>
          <w:sz w:val="20"/>
          <w:szCs w:val="20"/>
          <w:color w:val="auto"/>
        </w:rPr>
      </w:pPr>
    </w:p>
    <w:p>
      <w:pPr>
        <w:ind w:left="700" w:hanging="35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color w:val="auto"/>
        </w:rPr>
      </w:pPr>
    </w:p>
    <w:p>
      <w:pPr>
        <w:ind w:left="720"/>
        <w:spacing w:after="0" w:line="257" w:lineRule="auto"/>
        <w:rPr>
          <w:rFonts w:ascii="Arial" w:cs="Arial" w:eastAsia="Arial" w:hAnsi="Arial"/>
          <w:sz w:val="18"/>
          <w:szCs w:val="18"/>
          <w:color w:val="auto"/>
        </w:rPr>
      </w:pPr>
      <w:r>
        <w:rPr>
          <w:rFonts w:ascii="Arial" w:cs="Arial" w:eastAsia="Arial" w:hAnsi="Arial"/>
          <w:sz w:val="18"/>
          <w:szCs w:val="18"/>
          <w:color w:val="auto"/>
        </w:rPr>
        <w:t>The Company performs a recoverability assessment of each of its long-lived assets whenever events or changes in circumstances, or indicators, indicate that the carrying amount of an asset may not be recoverable. Indicators may include, but are not limited to, a significant supply contract restructuring or early termination; significant decrease in LNG and natural gas demand; a decision to discontinue the development of a long-lived asset; or the introduction of newer technology.</w:t>
      </w:r>
    </w:p>
    <w:p>
      <w:pPr>
        <w:spacing w:after="0" w:line="80" w:lineRule="exact"/>
        <w:rPr>
          <w:rFonts w:ascii="Arial" w:cs="Arial" w:eastAsia="Arial" w:hAnsi="Arial"/>
          <w:sz w:val="18"/>
          <w:szCs w:val="18"/>
          <w:color w:val="auto"/>
        </w:rPr>
      </w:pPr>
    </w:p>
    <w:p>
      <w:pPr>
        <w:ind w:left="720"/>
        <w:spacing w:after="0" w:line="312" w:lineRule="auto"/>
        <w:rPr>
          <w:rFonts w:ascii="Arial" w:cs="Arial" w:eastAsia="Arial" w:hAnsi="Arial"/>
          <w:sz w:val="18"/>
          <w:szCs w:val="18"/>
          <w:color w:val="auto"/>
        </w:rPr>
      </w:pPr>
      <w:r>
        <w:rPr>
          <w:rFonts w:ascii="Arial" w:cs="Arial" w:eastAsia="Arial" w:hAnsi="Arial"/>
          <w:sz w:val="16"/>
          <w:szCs w:val="16"/>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38" w:lineRule="exact"/>
        <w:rPr>
          <w:rFonts w:ascii="Arial" w:cs="Arial" w:eastAsia="Arial" w:hAnsi="Arial"/>
          <w:sz w:val="18"/>
          <w:szCs w:val="18"/>
          <w:color w:val="auto"/>
        </w:rPr>
      </w:pPr>
    </w:p>
    <w:p>
      <w:pPr>
        <w:ind w:left="720" w:right="40"/>
        <w:spacing w:after="0" w:line="312" w:lineRule="auto"/>
        <w:rPr>
          <w:rFonts w:ascii="Arial" w:cs="Arial" w:eastAsia="Arial" w:hAnsi="Arial"/>
          <w:sz w:val="18"/>
          <w:szCs w:val="18"/>
          <w:color w:val="auto"/>
        </w:rPr>
      </w:pPr>
      <w:r>
        <w:rPr>
          <w:rFonts w:ascii="Arial" w:cs="Arial" w:eastAsia="Arial" w:hAnsi="Arial"/>
          <w:sz w:val="16"/>
          <w:szCs w:val="16"/>
          <w:color w:val="auto"/>
        </w:rPr>
        <w:t>Management develops the assumptions used in the recoverability assessment based on active contracts, current and future expectations of the global demand for LNG and natural gas as well as information received from third party industry sources. The Company did not record an impairment during the years ended December 31, 2017 and 2016.</w:t>
      </w:r>
    </w:p>
    <w:p>
      <w:pPr>
        <w:spacing w:after="0" w:line="34" w:lineRule="exact"/>
        <w:rPr>
          <w:rFonts w:ascii="Arial" w:cs="Arial" w:eastAsia="Arial" w:hAnsi="Arial"/>
          <w:sz w:val="18"/>
          <w:szCs w:val="18"/>
          <w:color w:val="auto"/>
        </w:rPr>
      </w:pPr>
    </w:p>
    <w:p>
      <w:pPr>
        <w:ind w:left="700" w:hanging="35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Available-for-sale investment</w:t>
      </w:r>
    </w:p>
    <w:p>
      <w:pPr>
        <w:spacing w:after="0" w:line="121" w:lineRule="exact"/>
        <w:rPr>
          <w:rFonts w:ascii="Arial" w:cs="Arial" w:eastAsia="Arial" w:hAnsi="Arial"/>
          <w:sz w:val="18"/>
          <w:szCs w:val="18"/>
          <w:color w:val="auto"/>
        </w:rPr>
      </w:pPr>
    </w:p>
    <w:p>
      <w:pPr>
        <w:ind w:left="720" w:right="20"/>
        <w:spacing w:after="0" w:line="273" w:lineRule="auto"/>
        <w:rPr>
          <w:rFonts w:ascii="Arial" w:cs="Arial" w:eastAsia="Arial" w:hAnsi="Arial"/>
          <w:sz w:val="18"/>
          <w:szCs w:val="18"/>
          <w:color w:val="auto"/>
        </w:rPr>
      </w:pPr>
      <w:r>
        <w:rPr>
          <w:rFonts w:ascii="Arial" w:cs="Arial" w:eastAsia="Arial" w:hAnsi="Arial"/>
          <w:sz w:val="17"/>
          <w:szCs w:val="17"/>
          <w:color w:val="auto"/>
        </w:rPr>
        <w:t>The Company considers listed equity securities as available-for-sale securities recorded at fair value with unrealized gains or losses recorded in Other comprehensive (loss) and realized gains or losses recorded in earnings in Other (income), net in the statements of operations and comprehensive loss. The Company’s basis on which the cost of the security sold or the amount reclassified out of other comprehensive income into earnings is determined using specific identification. At each balance sheet date, the Company evaluates its available-for-sale securities with unrealized losses to determine if an other-than-temporary impairment has occurred (see Note 9).</w:t>
      </w:r>
    </w:p>
    <w:p>
      <w:pPr>
        <w:spacing w:after="0" w:line="66" w:lineRule="exact"/>
        <w:rPr>
          <w:rFonts w:ascii="Arial" w:cs="Arial" w:eastAsia="Arial" w:hAnsi="Arial"/>
          <w:sz w:val="18"/>
          <w:szCs w:val="18"/>
          <w:color w:val="auto"/>
        </w:rPr>
      </w:pPr>
    </w:p>
    <w:p>
      <w:pPr>
        <w:ind w:left="700" w:hanging="35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Long-term debt and debt issuance costs</w:t>
      </w:r>
    </w:p>
    <w:p>
      <w:pPr>
        <w:spacing w:after="0" w:line="121" w:lineRule="exact"/>
        <w:rPr>
          <w:rFonts w:ascii="Arial" w:cs="Arial" w:eastAsia="Arial" w:hAnsi="Arial"/>
          <w:sz w:val="18"/>
          <w:szCs w:val="18"/>
          <w:color w:val="auto"/>
        </w:rPr>
      </w:pPr>
    </w:p>
    <w:p>
      <w:pPr>
        <w:ind w:left="720" w:right="100"/>
        <w:spacing w:after="0" w:line="297" w:lineRule="auto"/>
        <w:rPr>
          <w:rFonts w:ascii="Arial" w:cs="Arial" w:eastAsia="Arial" w:hAnsi="Arial"/>
          <w:sz w:val="18"/>
          <w:szCs w:val="18"/>
          <w:color w:val="auto"/>
        </w:rPr>
      </w:pPr>
      <w:r>
        <w:rPr>
          <w:rFonts w:ascii="Arial" w:cs="Arial" w:eastAsia="Arial" w:hAnsi="Arial"/>
          <w:sz w:val="16"/>
          <w:szCs w:val="16"/>
          <w:color w:val="auto"/>
        </w:rPr>
        <w:t>The Company’s debt consists of credit facilities with banks. Costs directly related to the issuance of debt are reported in the consolidated balance sheets as a reduction from the carrying amount of the recognized debt liability and amortized over the term of the debt. Interest and related amortization of debt issuance costs recognized during major development and construction projects are capitalized and included in the cost of the project. Amortization of debt issuance costs were $696 and $1,464 for the years ended December 31, 2017 and 2016, respectively, of which $0 and $689 were capitalized.</w:t>
      </w:r>
    </w:p>
    <w:p>
      <w:pPr>
        <w:spacing w:after="0" w:line="46" w:lineRule="exact"/>
        <w:rPr>
          <w:rFonts w:ascii="Arial" w:cs="Arial" w:eastAsia="Arial" w:hAnsi="Arial"/>
          <w:sz w:val="18"/>
          <w:szCs w:val="18"/>
          <w:color w:val="auto"/>
        </w:rPr>
      </w:pPr>
    </w:p>
    <w:p>
      <w:pPr>
        <w:ind w:left="700" w:hanging="35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Legal and other contingencies</w:t>
      </w:r>
    </w:p>
    <w:p>
      <w:pPr>
        <w:spacing w:after="0" w:line="121" w:lineRule="exact"/>
        <w:rPr>
          <w:rFonts w:ascii="Arial" w:cs="Arial" w:eastAsia="Arial" w:hAnsi="Arial"/>
          <w:sz w:val="18"/>
          <w:szCs w:val="18"/>
          <w:color w:val="auto"/>
        </w:rPr>
      </w:pPr>
    </w:p>
    <w:p>
      <w:pPr>
        <w:ind w:left="720" w:right="60"/>
        <w:spacing w:after="0" w:line="273" w:lineRule="auto"/>
        <w:rPr>
          <w:rFonts w:ascii="Arial" w:cs="Arial" w:eastAsia="Arial" w:hAnsi="Arial"/>
          <w:sz w:val="18"/>
          <w:szCs w:val="18"/>
          <w:color w:val="auto"/>
        </w:rPr>
      </w:pPr>
      <w:r>
        <w:rPr>
          <w:rFonts w:ascii="Arial" w:cs="Arial" w:eastAsia="Arial" w:hAnsi="Arial"/>
          <w:sz w:val="17"/>
          <w:szCs w:val="17"/>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statements of operations and comprehensive loss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66" w:lineRule="exact"/>
        <w:rPr>
          <w:rFonts w:ascii="Arial" w:cs="Arial" w:eastAsia="Arial" w:hAnsi="Arial"/>
          <w:sz w:val="18"/>
          <w:szCs w:val="18"/>
          <w:color w:val="auto"/>
        </w:rPr>
      </w:pPr>
    </w:p>
    <w:p>
      <w:pPr>
        <w:ind w:left="700" w:hanging="356"/>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color w:val="auto"/>
        </w:rPr>
      </w:pPr>
    </w:p>
    <w:p>
      <w:pPr>
        <w:ind w:left="720" w:right="40"/>
        <w:spacing w:after="0" w:line="277" w:lineRule="auto"/>
        <w:rPr>
          <w:rFonts w:ascii="Arial" w:cs="Arial" w:eastAsia="Arial" w:hAnsi="Arial"/>
          <w:sz w:val="18"/>
          <w:szCs w:val="18"/>
          <w:color w:val="auto"/>
        </w:rPr>
      </w:pPr>
      <w:r>
        <w:rPr>
          <w:rFonts w:ascii="Arial" w:cs="Arial" w:eastAsia="Arial" w:hAnsi="Arial"/>
          <w:sz w:val="18"/>
          <w:szCs w:val="18"/>
          <w:color w:val="auto"/>
        </w:rPr>
        <w:t>Operating revenues from the sales of LNG and natural gas are recognized when the LNG or natural gas is delivered to the customer, either when the natural gas arrives at the customer’s flange or at the time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620"/>
        <w:spacing w:after="0" w:line="264" w:lineRule="auto"/>
        <w:rPr>
          <w:sz w:val="20"/>
          <w:szCs w:val="20"/>
          <w:color w:val="auto"/>
        </w:rPr>
      </w:pPr>
      <w:r>
        <w:rPr>
          <w:rFonts w:ascii="Arial" w:cs="Arial" w:eastAsia="Arial" w:hAnsi="Arial"/>
          <w:sz w:val="18"/>
          <w:szCs w:val="18"/>
          <w:color w:val="auto"/>
        </w:rPr>
        <w:t>that title to the LNG is transferred to the customer. Title typically transfers either when shipped or delivered to the customers’ storage facilities, depending on the terms of the contract. Shipping and handling costs related to the Company’s sales of LNG and natural gas are included in Cost of sales.</w:t>
      </w:r>
    </w:p>
    <w:p>
      <w:pPr>
        <w:spacing w:after="0" w:line="73" w:lineRule="exact"/>
        <w:rPr>
          <w:sz w:val="20"/>
          <w:szCs w:val="20"/>
          <w:color w:val="auto"/>
        </w:rPr>
      </w:pPr>
    </w:p>
    <w:p>
      <w:pPr>
        <w:ind w:left="720" w:right="520"/>
        <w:spacing w:after="0" w:line="286" w:lineRule="auto"/>
        <w:rPr>
          <w:sz w:val="20"/>
          <w:szCs w:val="20"/>
          <w:color w:val="auto"/>
        </w:rPr>
      </w:pPr>
      <w:r>
        <w:rPr>
          <w:rFonts w:ascii="Arial" w:cs="Arial" w:eastAsia="Arial" w:hAnsi="Arial"/>
          <w:sz w:val="17"/>
          <w:szCs w:val="17"/>
          <w:color w:val="auto"/>
        </w:rPr>
        <w:t>The Company collects sales taxes from its customers on sales of taxable products and remits such collections to the appropriate taxing authority. Sales tax collections are presented in the consolidated statements of operations and comprehensive loss on a net basis and, accordingly, are excluded from reported revenues.</w:t>
      </w:r>
    </w:p>
    <w:p>
      <w:pPr>
        <w:spacing w:after="0" w:line="57" w:lineRule="exact"/>
        <w:rPr>
          <w:sz w:val="20"/>
          <w:szCs w:val="20"/>
          <w:color w:val="auto"/>
        </w:rPr>
      </w:pPr>
    </w:p>
    <w:p>
      <w:pPr>
        <w:ind w:left="720" w:right="40"/>
        <w:spacing w:after="0" w:line="255" w:lineRule="auto"/>
        <w:rPr>
          <w:sz w:val="20"/>
          <w:szCs w:val="20"/>
          <w:color w:val="auto"/>
        </w:rPr>
      </w:pPr>
      <w:r>
        <w:rPr>
          <w:rFonts w:ascii="Arial" w:cs="Arial" w:eastAsia="Arial" w:hAnsi="Arial"/>
          <w:sz w:val="18"/>
          <w:szCs w:val="18"/>
          <w:color w:val="auto"/>
        </w:rPr>
        <w:t>The Company leases certain facilities and equipment to its customers which are accounted for as direct financing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is recorded within Other revenue in the consolidated statements of operations and comprehensive loss. The principal components of the lease payment are reflected as a reduction to the net investment in the finance lease.</w:t>
      </w:r>
    </w:p>
    <w:p>
      <w:pPr>
        <w:spacing w:after="0" w:line="85" w:lineRule="exact"/>
        <w:rPr>
          <w:sz w:val="20"/>
          <w:szCs w:val="20"/>
          <w:color w:val="auto"/>
        </w:rPr>
      </w:pPr>
    </w:p>
    <w:p>
      <w:pPr>
        <w:ind w:left="720" w:right="200"/>
        <w:spacing w:after="0" w:line="264" w:lineRule="auto"/>
        <w:rPr>
          <w:sz w:val="20"/>
          <w:szCs w:val="20"/>
          <w:color w:val="auto"/>
        </w:rPr>
      </w:pPr>
      <w:r>
        <w:rPr>
          <w:rFonts w:ascii="Arial" w:cs="Arial" w:eastAsia="Arial" w:hAnsi="Arial"/>
          <w:sz w:val="18"/>
          <w:szCs w:val="18"/>
          <w:color w:val="auto"/>
        </w:rPr>
        <w:t>The Company’s contracts with customers to supply LNG may contain a lease of equipment. The Company allocates consideration received from customers between lease and non-lease components based on the relative fair value of each component.</w:t>
      </w:r>
    </w:p>
    <w:p>
      <w:pPr>
        <w:spacing w:after="0" w:line="69" w:lineRule="exact"/>
        <w:rPr>
          <w:sz w:val="20"/>
          <w:szCs w:val="20"/>
          <w:color w:val="auto"/>
        </w:rPr>
      </w:pPr>
    </w:p>
    <w:p>
      <w:pPr>
        <w:ind w:left="700" w:hanging="35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Leases, as lessee</w:t>
      </w:r>
    </w:p>
    <w:p>
      <w:pPr>
        <w:spacing w:after="0" w:line="121" w:lineRule="exact"/>
        <w:rPr>
          <w:rFonts w:ascii="Arial" w:cs="Arial" w:eastAsia="Arial" w:hAnsi="Arial"/>
          <w:sz w:val="18"/>
          <w:szCs w:val="18"/>
          <w:color w:val="auto"/>
        </w:rPr>
      </w:pPr>
    </w:p>
    <w:p>
      <w:pPr>
        <w:ind w:left="720" w:right="60"/>
        <w:spacing w:after="0" w:line="312" w:lineRule="auto"/>
        <w:rPr>
          <w:rFonts w:ascii="Arial" w:cs="Arial" w:eastAsia="Arial" w:hAnsi="Arial"/>
          <w:sz w:val="18"/>
          <w:szCs w:val="18"/>
          <w:color w:val="auto"/>
        </w:rPr>
      </w:pPr>
      <w:r>
        <w:rPr>
          <w:rFonts w:ascii="Arial" w:cs="Arial" w:eastAsia="Arial" w:hAnsi="Arial"/>
          <w:sz w:val="16"/>
          <w:szCs w:val="16"/>
          <w:color w:val="auto"/>
        </w:rPr>
        <w:t>Lease agreements are evaluated to determine whether they are capital or operating leases. When substantially all of the risks and benefits of property ownership have been transferred to the Company, as determined by the test criteria in the current authoritative guidance, the lease is recognized as a capital lease. All other leases are classified as operating leases.</w:t>
      </w:r>
    </w:p>
    <w:p>
      <w:pPr>
        <w:spacing w:after="0" w:line="38" w:lineRule="exact"/>
        <w:rPr>
          <w:rFonts w:ascii="Arial" w:cs="Arial" w:eastAsia="Arial" w:hAnsi="Arial"/>
          <w:sz w:val="18"/>
          <w:szCs w:val="18"/>
          <w:color w:val="auto"/>
        </w:rPr>
      </w:pPr>
    </w:p>
    <w:p>
      <w:pPr>
        <w:ind w:left="720" w:right="100"/>
        <w:spacing w:after="0" w:line="277" w:lineRule="auto"/>
        <w:rPr>
          <w:rFonts w:ascii="Arial" w:cs="Arial" w:eastAsia="Arial" w:hAnsi="Arial"/>
          <w:sz w:val="18"/>
          <w:szCs w:val="18"/>
          <w:color w:val="auto"/>
        </w:rPr>
      </w:pPr>
      <w:r>
        <w:rPr>
          <w:rFonts w:ascii="Arial" w:cs="Arial" w:eastAsia="Arial" w:hAnsi="Arial"/>
          <w:sz w:val="18"/>
          <w:szCs w:val="18"/>
          <w:color w:val="auto"/>
        </w:rPr>
        <w:t>Rents payable under operating leases are charged to the consolidated statements of operations and comprehensive loss on a straight-line basis over the term of the relevant lease.</w:t>
      </w:r>
    </w:p>
    <w:p>
      <w:pPr>
        <w:spacing w:after="0" w:line="58" w:lineRule="exact"/>
        <w:rPr>
          <w:rFonts w:ascii="Arial" w:cs="Arial" w:eastAsia="Arial" w:hAnsi="Arial"/>
          <w:sz w:val="18"/>
          <w:szCs w:val="18"/>
          <w:color w:val="auto"/>
        </w:rPr>
      </w:pPr>
    </w:p>
    <w:p>
      <w:pPr>
        <w:ind w:left="700" w:hanging="35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22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Federal and state income taxes</w:t>
      </w:r>
    </w:p>
    <w:p>
      <w:pPr>
        <w:spacing w:after="0" w:line="117" w:lineRule="exact"/>
        <w:rPr>
          <w:rFonts w:ascii="Arial" w:cs="Arial" w:eastAsia="Arial" w:hAnsi="Arial"/>
          <w:sz w:val="18"/>
          <w:szCs w:val="18"/>
          <w:color w:val="auto"/>
        </w:rPr>
      </w:pPr>
    </w:p>
    <w:p>
      <w:pPr>
        <w:jc w:val="both"/>
        <w:ind w:left="720" w:right="180"/>
        <w:spacing w:after="0" w:line="288" w:lineRule="auto"/>
        <w:rPr>
          <w:rFonts w:ascii="Arial" w:cs="Arial" w:eastAsia="Arial" w:hAnsi="Arial"/>
          <w:sz w:val="18"/>
          <w:szCs w:val="18"/>
          <w:color w:val="auto"/>
        </w:rPr>
      </w:pPr>
      <w:r>
        <w:rPr>
          <w:rFonts w:ascii="Arial" w:cs="Arial" w:eastAsia="Arial" w:hAnsi="Arial"/>
          <w:sz w:val="16"/>
          <w:szCs w:val="16"/>
          <w:color w:val="auto"/>
        </w:rPr>
        <w:t>New Fortress Energy Holdings LLC is a limited liability company, which is considered a pass-through entity for federal income tax purposes, and thus no provision for federal income taxes has been recognized in these consolidated financial statements. The Company files tax returns in the U.S. federal jurisdiction and various state jurisdictions, as applicable.</w:t>
      </w:r>
    </w:p>
    <w:p>
      <w:pPr>
        <w:ind w:left="720" w:right="720"/>
        <w:spacing w:after="0" w:line="261" w:lineRule="auto"/>
        <w:rPr>
          <w:rFonts w:ascii="Arial" w:cs="Arial" w:eastAsia="Arial" w:hAnsi="Arial"/>
          <w:sz w:val="18"/>
          <w:szCs w:val="18"/>
          <w:color w:val="auto"/>
        </w:rPr>
      </w:pPr>
      <w:r>
        <w:rPr>
          <w:rFonts w:ascii="Arial" w:cs="Arial" w:eastAsia="Arial" w:hAnsi="Arial"/>
          <w:sz w:val="18"/>
          <w:szCs w:val="18"/>
          <w:color w:val="auto"/>
        </w:rPr>
        <w:t>The tax returns filed by the Company since inception are subject to examination by the U.S. federal and state tax authorities.</w:t>
      </w:r>
    </w:p>
    <w:p>
      <w:pPr>
        <w:spacing w:after="0" w:line="75" w:lineRule="exact"/>
        <w:rPr>
          <w:rFonts w:ascii="Arial" w:cs="Arial" w:eastAsia="Arial" w:hAnsi="Arial"/>
          <w:sz w:val="18"/>
          <w:szCs w:val="18"/>
          <w:color w:val="auto"/>
        </w:rPr>
      </w:pPr>
    </w:p>
    <w:p>
      <w:pPr>
        <w:ind w:left="720"/>
        <w:spacing w:after="0" w:line="255" w:lineRule="auto"/>
        <w:rPr>
          <w:rFonts w:ascii="Arial" w:cs="Arial" w:eastAsia="Arial" w:hAnsi="Arial"/>
          <w:sz w:val="18"/>
          <w:szCs w:val="18"/>
          <w:color w:val="auto"/>
        </w:rPr>
      </w:pPr>
      <w:r>
        <w:rPr>
          <w:rFonts w:ascii="Arial" w:cs="Arial" w:eastAsia="Arial" w:hAnsi="Arial"/>
          <w:sz w:val="18"/>
          <w:szCs w:val="18"/>
          <w:color w:val="auto"/>
        </w:rPr>
        <w:t>On December 22, 2017, the U.S. government enacted comprehensive tax legislation commonly referred to as the Tax Cuts and Jobs Act (the “Tax Act”), which significantly changed the U.S. tax code. The Tax Act makes broad and complex changes to the U.S. tax code that will impact many areas of taxation. Additionally, there are numerous interpretive issues and ambiguities that are not clearly addressed in current Tax Act guidance. Due to the complex nature of the Tax Act, including whether U.S. states will conform to the Tax Act in full or in part, the Company has not yet completed its accounting for the income tax effects of the Tax Act, and is not able to determine at this time the impact on the Company’s consolidated financial statements.</w:t>
      </w:r>
    </w:p>
    <w:p>
      <w:pPr>
        <w:spacing w:after="0" w:line="18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Foreign taxes</w:t>
      </w:r>
    </w:p>
    <w:p>
      <w:pPr>
        <w:spacing w:after="0" w:line="117" w:lineRule="exact"/>
        <w:rPr>
          <w:rFonts w:ascii="Arial" w:cs="Arial" w:eastAsia="Arial" w:hAnsi="Arial"/>
          <w:sz w:val="18"/>
          <w:szCs w:val="18"/>
          <w:color w:val="auto"/>
        </w:rPr>
      </w:pPr>
    </w:p>
    <w:p>
      <w:pPr>
        <w:ind w:left="720" w:right="380"/>
        <w:spacing w:after="0" w:line="277" w:lineRule="auto"/>
        <w:rPr>
          <w:rFonts w:ascii="Arial" w:cs="Arial" w:eastAsia="Arial" w:hAnsi="Arial"/>
          <w:sz w:val="18"/>
          <w:szCs w:val="18"/>
          <w:color w:val="auto"/>
        </w:rPr>
      </w:pPr>
      <w:r>
        <w:rPr>
          <w:rFonts w:ascii="Arial" w:cs="Arial" w:eastAsia="Arial" w:hAnsi="Arial"/>
          <w:sz w:val="18"/>
          <w:szCs w:val="18"/>
          <w:color w:val="auto"/>
        </w:rPr>
        <w:t>Certain subsidiaries of NFE are subject to income tax in the local jurisdiction in which they operate; foreign taxes are computed based on the taxable income computed at the local jurisdictional tax rate.</w:t>
      </w:r>
    </w:p>
    <w:p>
      <w:pPr>
        <w:spacing w:after="0" w:line="170"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i w:val="1"/>
          <w:iCs w:val="1"/>
          <w:color w:val="auto"/>
        </w:rPr>
        <w:t>Other taxes</w:t>
      </w:r>
    </w:p>
    <w:p>
      <w:pPr>
        <w:spacing w:after="0" w:line="117" w:lineRule="exact"/>
        <w:rPr>
          <w:rFonts w:ascii="Arial" w:cs="Arial" w:eastAsia="Arial" w:hAnsi="Arial"/>
          <w:sz w:val="18"/>
          <w:szCs w:val="18"/>
          <w:color w:val="auto"/>
        </w:rPr>
      </w:pPr>
    </w:p>
    <w:p>
      <w:pPr>
        <w:ind w:left="720" w:right="160"/>
        <w:spacing w:after="0" w:line="302" w:lineRule="auto"/>
        <w:rPr>
          <w:rFonts w:ascii="Arial" w:cs="Arial" w:eastAsia="Arial" w:hAnsi="Arial"/>
          <w:sz w:val="18"/>
          <w:szCs w:val="18"/>
          <w:color w:val="auto"/>
        </w:rPr>
      </w:pPr>
      <w:r>
        <w:rPr>
          <w:rFonts w:ascii="Arial" w:cs="Arial" w:eastAsia="Arial" w:hAnsi="Arial"/>
          <w:sz w:val="16"/>
          <w:szCs w:val="16"/>
          <w:color w:val="auto"/>
        </w:rPr>
        <w:t>Certain subsidiaries of New Fortress Energy Holdings LLC may be subject to payroll taxes, excise taxes, property taxes, sales and use taxes, as well as income taxes in foreign countries in which they conduct business. In addition, certain subsidiaries are exposed to local state taxes such as franchise taxes. Local state taxes that are not income taxes are recorded within Other (income), net in the consolidated statements of operations and comprehensive loss.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4" w:name="page115"/>
    <w:bookmarkEnd w:id="11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07" w:hanging="356"/>
        <w:spacing w:after="0"/>
        <w:tabs>
          <w:tab w:leader="none" w:pos="707" w:val="left"/>
        </w:tabs>
        <w:numPr>
          <w:ilvl w:val="1"/>
          <w:numId w:val="72"/>
        </w:numPr>
        <w:rPr>
          <w:rFonts w:ascii="Arial" w:cs="Arial" w:eastAsia="Arial" w:hAnsi="Arial"/>
          <w:sz w:val="18"/>
          <w:szCs w:val="18"/>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color w:val="auto"/>
        </w:rPr>
      </w:pPr>
    </w:p>
    <w:p>
      <w:pPr>
        <w:ind w:left="727"/>
        <w:spacing w:after="0" w:line="255" w:lineRule="auto"/>
        <w:rPr>
          <w:rFonts w:ascii="Arial" w:cs="Arial" w:eastAsia="Arial" w:hAnsi="Arial"/>
          <w:sz w:val="18"/>
          <w:szCs w:val="18"/>
          <w:color w:val="auto"/>
        </w:rPr>
      </w:pPr>
      <w:r>
        <w:rPr>
          <w:rFonts w:ascii="Arial" w:cs="Arial" w:eastAsia="Arial" w:hAnsi="Arial"/>
          <w:sz w:val="18"/>
          <w:szCs w:val="18"/>
          <w:color w:val="auto"/>
        </w:rPr>
        <w:t>Net loss per share (“EPS”) is computed in accordance with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For the years-ended December 31, 2017 and 2016 there were no potentially dilutive shares outstanding.</w:t>
      </w:r>
    </w:p>
    <w:p>
      <w:pPr>
        <w:spacing w:after="0" w:line="81" w:lineRule="exact"/>
        <w:rPr>
          <w:rFonts w:ascii="Arial" w:cs="Arial" w:eastAsia="Arial" w:hAnsi="Arial"/>
          <w:sz w:val="18"/>
          <w:szCs w:val="18"/>
          <w:color w:val="auto"/>
        </w:rPr>
      </w:pPr>
    </w:p>
    <w:p>
      <w:pPr>
        <w:ind w:left="347" w:hanging="347"/>
        <w:spacing w:after="0"/>
        <w:tabs>
          <w:tab w:leader="none" w:pos="347"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and revised standards</w:t>
      </w:r>
    </w:p>
    <w:p>
      <w:pPr>
        <w:spacing w:after="0" w:line="121" w:lineRule="exact"/>
        <w:rPr>
          <w:rFonts w:ascii="Arial" w:cs="Arial" w:eastAsia="Arial" w:hAnsi="Arial"/>
          <w:sz w:val="18"/>
          <w:szCs w:val="18"/>
          <w:b w:val="1"/>
          <w:bCs w:val="1"/>
          <w:color w:val="auto"/>
        </w:rPr>
      </w:pPr>
    </w:p>
    <w:p>
      <w:pPr>
        <w:ind w:left="367"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79" w:lineRule="exact"/>
        <w:rPr>
          <w:sz w:val="20"/>
          <w:szCs w:val="20"/>
          <w:color w:val="auto"/>
        </w:rPr>
      </w:pPr>
    </w:p>
    <w:p>
      <w:pPr>
        <w:ind w:left="727" w:right="120"/>
        <w:spacing w:after="0" w:line="255" w:lineRule="auto"/>
        <w:rPr>
          <w:sz w:val="20"/>
          <w:szCs w:val="20"/>
          <w:color w:val="auto"/>
        </w:rPr>
      </w:pPr>
      <w:r>
        <w:rPr>
          <w:rFonts w:ascii="Arial" w:cs="Arial" w:eastAsia="Arial" w:hAnsi="Arial"/>
          <w:sz w:val="18"/>
          <w:szCs w:val="18"/>
          <w:color w:val="auto"/>
        </w:rPr>
        <w:t xml:space="preserve">In July 2015, the Financial Accounting Standrards Board (“FASB”) issued Accounting Standard Update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changes the measurement principle for inventory from the lower of cost or market to the lower of cost and net realizable value. ASU 2015-11 is effective for the Company for annual periods in fiscal years beginning after December 15, 2016, and the Company adopted the new standard beginning January 1, 2017. Adoption of this guidance did not have a material effect on the Company’s consolidated financial statements.</w:t>
      </w:r>
    </w:p>
    <w:p>
      <w:pPr>
        <w:spacing w:after="0" w:line="85" w:lineRule="exact"/>
        <w:rPr>
          <w:sz w:val="20"/>
          <w:szCs w:val="20"/>
          <w:color w:val="auto"/>
        </w:rPr>
      </w:pPr>
    </w:p>
    <w:p>
      <w:pPr>
        <w:ind w:left="727" w:right="160"/>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which requires management of an entity to evaluate whether there are conditions or events, considered in the aggregate, that raise substantial doubt about the entity’s ability to continue as a going concern within one year after the date that the financial statements are issued or available to be issued. This update is effective for annual periods ending after December 15, 2016. Adoption of this guidance did not have a material impact on the Company’s consolidated financial statements.</w:t>
      </w:r>
    </w:p>
    <w:p>
      <w:pPr>
        <w:spacing w:after="0" w:line="46" w:lineRule="exact"/>
        <w:rPr>
          <w:sz w:val="20"/>
          <w:szCs w:val="20"/>
          <w:color w:val="auto"/>
        </w:rPr>
      </w:pPr>
    </w:p>
    <w:p>
      <w:pPr>
        <w:ind w:left="707" w:right="160" w:hanging="356"/>
        <w:spacing w:after="0" w:line="282" w:lineRule="auto"/>
        <w:tabs>
          <w:tab w:leader="none" w:pos="707"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New standards, amendments and interpretations issued but not effective for the financial year beginning January 1, 2017 and not early adopted:</w:t>
      </w:r>
    </w:p>
    <w:p>
      <w:pPr>
        <w:spacing w:after="0" w:line="57" w:lineRule="exact"/>
        <w:rPr>
          <w:rFonts w:ascii="Arial" w:cs="Arial" w:eastAsia="Arial" w:hAnsi="Arial"/>
          <w:sz w:val="18"/>
          <w:szCs w:val="18"/>
          <w:color w:val="auto"/>
        </w:rPr>
      </w:pPr>
    </w:p>
    <w:p>
      <w:pPr>
        <w:ind w:left="727" w:right="10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a statement of cash flows explain the change during the period in the total of cash, cash equivalents, and amounts generally described as restricted cash and restricted cash equivalents. This is intended to limit the treatment of restricted cash in the statement of cash flows as the FASB acknowledged there is currently diversity in practice regarding the presentation of restricted cash within the statement of cash flows. The Company will adopt ASU 2016-18 during the year beginning January 1, 2019 and is currently evaluating the effect that ASU 2016-18 will have on its consolidated financial statements.</w:t>
      </w:r>
    </w:p>
    <w:p>
      <w:pPr>
        <w:spacing w:after="0" w:line="81" w:lineRule="exact"/>
        <w:rPr>
          <w:rFonts w:ascii="Arial" w:cs="Arial" w:eastAsia="Arial" w:hAnsi="Arial"/>
          <w:sz w:val="18"/>
          <w:szCs w:val="18"/>
          <w:color w:val="auto"/>
        </w:rPr>
      </w:pPr>
    </w:p>
    <w:p>
      <w:pPr>
        <w:ind w:left="727" w:right="8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w:t>
      </w:r>
      <w:r>
        <w:rPr>
          <w:rFonts w:ascii="Arial" w:cs="Arial" w:eastAsia="Arial" w:hAnsi="Arial"/>
          <w:sz w:val="18"/>
          <w:szCs w:val="18"/>
          <w:color w:val="auto"/>
        </w:rPr>
        <w:t xml:space="preserve"> </w:t>
      </w:r>
      <w:r>
        <w:rPr>
          <w:rFonts w:ascii="Arial" w:cs="Arial" w:eastAsia="Arial" w:hAnsi="Arial"/>
          <w:sz w:val="18"/>
          <w:szCs w:val="18"/>
          <w:i w:val="1"/>
          <w:iCs w:val="1"/>
          <w:color w:val="auto"/>
        </w:rPr>
        <w:t>Receipts and Cash Payments</w:t>
      </w:r>
      <w:r>
        <w:rPr>
          <w:rFonts w:ascii="Arial" w:cs="Arial" w:eastAsia="Arial" w:hAnsi="Arial"/>
          <w:sz w:val="18"/>
          <w:szCs w:val="18"/>
          <w:color w:val="auto"/>
        </w:rPr>
        <w:t>, which provides guidance on eight specific cash flow issues with an intention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diversity in practice. The Company will adopt ASU 2016-15 during the year beginning January 1, 2019 and does not expect a material effect on its consolidated financial statements.</w:t>
      </w:r>
    </w:p>
    <w:p>
      <w:pPr>
        <w:spacing w:after="0" w:line="78" w:lineRule="exact"/>
        <w:rPr>
          <w:rFonts w:ascii="Arial" w:cs="Arial" w:eastAsia="Arial" w:hAnsi="Arial"/>
          <w:sz w:val="18"/>
          <w:szCs w:val="18"/>
          <w:color w:val="auto"/>
        </w:rPr>
      </w:pPr>
    </w:p>
    <w:p>
      <w:pPr>
        <w:ind w:left="727"/>
        <w:spacing w:after="0" w:line="272" w:lineRule="auto"/>
        <w:rPr>
          <w:rFonts w:ascii="Arial" w:cs="Arial" w:eastAsia="Arial" w:hAnsi="Arial"/>
          <w:sz w:val="18"/>
          <w:szCs w:val="18"/>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for annual reporting periods beginning after December 15, 2019, and interim periods beginning after December 15, 2020, with early adoption permitted. ASU 2016-02 requires a modified 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15" w:name="page116"/>
    <w:bookmarkEnd w:id="11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07" w:hanging="356"/>
        <w:spacing w:after="0"/>
        <w:tabs>
          <w:tab w:leader="none" w:pos="707" w:val="left"/>
        </w:tabs>
        <w:numPr>
          <w:ilvl w:val="1"/>
          <w:numId w:val="75"/>
        </w:numPr>
        <w:rPr>
          <w:rFonts w:ascii="Arial" w:cs="Arial" w:eastAsia="Arial" w:hAnsi="Arial"/>
          <w:sz w:val="18"/>
          <w:szCs w:val="18"/>
          <w:color w:val="auto"/>
        </w:rPr>
      </w:pPr>
      <w:r>
        <w:rPr>
          <w:rFonts w:ascii="Arial" w:cs="Arial" w:eastAsia="Arial" w:hAnsi="Arial"/>
          <w:sz w:val="18"/>
          <w:szCs w:val="18"/>
          <w:b w:val="1"/>
          <w:bCs w:val="1"/>
          <w:color w:val="auto"/>
        </w:rPr>
        <w:t>New and amended standards adopted by the Company:</w:t>
      </w:r>
    </w:p>
    <w:p>
      <w:pPr>
        <w:spacing w:after="0" w:line="121" w:lineRule="exact"/>
        <w:rPr>
          <w:rFonts w:ascii="Arial" w:cs="Arial" w:eastAsia="Arial" w:hAnsi="Arial"/>
          <w:sz w:val="18"/>
          <w:szCs w:val="18"/>
          <w:color w:val="auto"/>
        </w:rPr>
      </w:pPr>
    </w:p>
    <w:p>
      <w:pPr>
        <w:ind w:left="727" w:right="140"/>
        <w:spacing w:after="0" w:line="270" w:lineRule="auto"/>
        <w:rPr>
          <w:rFonts w:ascii="Arial" w:cs="Arial" w:eastAsia="Arial" w:hAnsi="Arial"/>
          <w:sz w:val="18"/>
          <w:szCs w:val="18"/>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Financial Assets and Financial Liabilities</w:t>
      </w:r>
      <w:r>
        <w:rPr>
          <w:rFonts w:ascii="Arial" w:cs="Arial" w:eastAsia="Arial" w:hAnsi="Arial"/>
          <w:sz w:val="17"/>
          <w:szCs w:val="17"/>
          <w:color w:val="auto"/>
        </w:rPr>
        <w:t>, which makes targeted improvements to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and presentation and disclosure of, financial instruments. ASU 2016-01 requires that most equity investments be measured at fair value, with subsequent changes in fair value recognized in net income. ASU 2016-01 does not affect the accounting for investments that would otherwise be consolidated or accounted for under the equity method. The new standard also impacts financial liabilities under the fair value option and the presentation and disclosure requirements for financial instruments. Most of the provisions of ASU 2016-01 are effective for the Company for annual periods in fiscal years beginning after December 15, 2018. The Company will adopt ASU 2016-01 during the year beginning January 1, 2019 and is currently evaluating the effect that ASU 2016-01 will have on the Company’s consolidated financial statements.</w:t>
      </w:r>
    </w:p>
    <w:p>
      <w:pPr>
        <w:spacing w:after="0" w:line="69" w:lineRule="exact"/>
        <w:rPr>
          <w:rFonts w:ascii="Arial" w:cs="Arial" w:eastAsia="Arial" w:hAnsi="Arial"/>
          <w:sz w:val="18"/>
          <w:szCs w:val="18"/>
          <w:color w:val="auto"/>
        </w:rPr>
      </w:pPr>
    </w:p>
    <w:p>
      <w:pPr>
        <w:ind w:left="727" w:right="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November 2015, the FASB issued accounting guidance that is designed to improve the way deferred taxes are classified on organizations’ balance sheets. ASU 2015-17, </w:t>
      </w:r>
      <w:r>
        <w:rPr>
          <w:rFonts w:ascii="Arial" w:cs="Arial" w:eastAsia="Arial" w:hAnsi="Arial"/>
          <w:sz w:val="18"/>
          <w:szCs w:val="18"/>
          <w:i w:val="1"/>
          <w:iCs w:val="1"/>
          <w:color w:val="auto"/>
        </w:rPr>
        <w:t>Income Taxes (Topic 740): Balance Sheet Classification of 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is part of the FASB’s simplification initiative designed to reduce complexity in financial reporting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sacrificing the quality of information provided to users. The new standard requires deferred tax liabilities and assets to be classified as non-current. The standard applies to all organizations that present a balance sheet. The Company adopted this guidance for the year beginning January 1, 2018 and the adoption of this guidance will not have a material impact on the consolidated financial statements.</w:t>
      </w:r>
    </w:p>
    <w:p>
      <w:pPr>
        <w:spacing w:after="0" w:line="81" w:lineRule="exact"/>
        <w:rPr>
          <w:rFonts w:ascii="Arial" w:cs="Arial" w:eastAsia="Arial" w:hAnsi="Arial"/>
          <w:sz w:val="18"/>
          <w:szCs w:val="18"/>
          <w:color w:val="auto"/>
        </w:rPr>
      </w:pPr>
    </w:p>
    <w:p>
      <w:pPr>
        <w:ind w:left="727" w:right="20"/>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(“ASU 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consideration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Arial" w:cs="Arial" w:eastAsia="Arial" w:hAnsi="Arial"/>
          <w:sz w:val="17"/>
          <w:szCs w:val="17"/>
          <w:i w:val="1"/>
          <w:iCs w:val="1"/>
          <w:color w:val="auto"/>
        </w:rPr>
        <w:t>Revenue from Contracts with Customers (Topic 606): Deferral of the Effective Date</w:t>
      </w:r>
      <w:r>
        <w:rPr>
          <w:rFonts w:ascii="Arial" w:cs="Arial" w:eastAsia="Arial" w:hAnsi="Arial"/>
          <w:sz w:val="17"/>
          <w:szCs w:val="17"/>
          <w:color w:val="auto"/>
        </w:rPr>
        <w:t>, to defer the effective date of ASU 2014-09 by one year, making it effective for annual reporting periods beginning after December 15, 2018, and interim periods within annual periods beginning after December 15, 2019, while also providing for early adoption but not before the original effective date. The Company is currently evaluating the impact of adopting this new guidance on its consolidated financial statements.</w:t>
      </w:r>
    </w:p>
    <w:p>
      <w:pPr>
        <w:spacing w:after="0" w:line="75" w:lineRule="exact"/>
        <w:rPr>
          <w:rFonts w:ascii="Arial" w:cs="Arial" w:eastAsia="Arial" w:hAnsi="Arial"/>
          <w:sz w:val="18"/>
          <w:szCs w:val="18"/>
          <w:color w:val="auto"/>
        </w:rPr>
      </w:pPr>
    </w:p>
    <w:p>
      <w:pPr>
        <w:ind w:left="347" w:hanging="347"/>
        <w:spacing w:after="0"/>
        <w:tabs>
          <w:tab w:leader="none" w:pos="347"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21" w:lineRule="exact"/>
        <w:rPr>
          <w:rFonts w:ascii="Arial" w:cs="Arial" w:eastAsia="Arial" w:hAnsi="Arial"/>
          <w:sz w:val="18"/>
          <w:szCs w:val="18"/>
          <w:b w:val="1"/>
          <w:bCs w:val="1"/>
          <w:color w:val="auto"/>
        </w:rPr>
      </w:pPr>
    </w:p>
    <w:p>
      <w:pPr>
        <w:ind w:left="367"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the normal course of business, the Company encounters several significant types of economic risks including credit, market and capital market risks. Credit risk arises from cash and cash equivalents and restricted cash held with banks and financial institutions, as well as credit exposures to customers, including outstanding receivables and committed transactions.</w:t>
      </w:r>
    </w:p>
    <w:p>
      <w:pPr>
        <w:spacing w:after="0" w:line="38" w:lineRule="exact"/>
        <w:rPr>
          <w:rFonts w:ascii="Arial" w:cs="Arial" w:eastAsia="Arial" w:hAnsi="Arial"/>
          <w:sz w:val="18"/>
          <w:szCs w:val="18"/>
          <w:b w:val="1"/>
          <w:bCs w:val="1"/>
          <w:color w:val="auto"/>
        </w:rPr>
      </w:pPr>
    </w:p>
    <w:p>
      <w:pPr>
        <w:ind w:left="367"/>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All of the Company’s cash and cash equivalents and restricted cash is held with banks and financial institutions with high credit ratings assigned by international credit-rating agencies. For customers and other counterparties, the credit quality is assessed by taking into account its external ratings published by international credit-rating agencies, if any, or its financial position, past experience and other factors. Transactions are entered into with customers and counterparties that are deemed to be of adequate credit quality by management.</w:t>
      </w:r>
    </w:p>
    <w:p>
      <w:pPr>
        <w:spacing w:after="0" w:line="80" w:lineRule="exact"/>
        <w:rPr>
          <w:rFonts w:ascii="Arial" w:cs="Arial" w:eastAsia="Arial" w:hAnsi="Arial"/>
          <w:sz w:val="18"/>
          <w:szCs w:val="18"/>
          <w:b w:val="1"/>
          <w:bCs w:val="1"/>
          <w:color w:val="auto"/>
        </w:rPr>
      </w:pPr>
    </w:p>
    <w:p>
      <w:pPr>
        <w:ind w:left="367"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a concentration of credit with a key customer, a company incorporated in Jamaica, West Indies. See Note 21 for additional details about the Company’s customer concentrations.</w:t>
      </w:r>
    </w:p>
    <w:p>
      <w:pPr>
        <w:spacing w:after="0" w:line="62" w:lineRule="exact"/>
        <w:rPr>
          <w:rFonts w:ascii="Arial" w:cs="Arial" w:eastAsia="Arial" w:hAnsi="Arial"/>
          <w:sz w:val="18"/>
          <w:szCs w:val="18"/>
          <w:b w:val="1"/>
          <w:bCs w:val="1"/>
          <w:color w:val="auto"/>
        </w:rPr>
      </w:pPr>
    </w:p>
    <w:p>
      <w:pPr>
        <w:jc w:val="both"/>
        <w:ind w:left="367"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16" w:name="page117"/>
    <w:bookmarkEnd w:id="11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67" w:right="260"/>
        <w:spacing w:after="0" w:line="264" w:lineRule="auto"/>
        <w:rPr>
          <w:sz w:val="20"/>
          <w:szCs w:val="20"/>
          <w:color w:val="auto"/>
        </w:rPr>
      </w:pPr>
      <w:r>
        <w:rPr>
          <w:rFonts w:ascii="Arial" w:cs="Arial" w:eastAsia="Arial" w:hAnsi="Arial"/>
          <w:sz w:val="18"/>
          <w:szCs w:val="18"/>
          <w:color w:val="auto"/>
        </w:rPr>
        <w:t>political and economic instability, potentially adverse tax consequences and the burden of complying with foreign laws. The Company is also exposed to foreign currency risk attributable to cash flows received or paid in currencies other than the US dollar.</w:t>
      </w:r>
    </w:p>
    <w:p>
      <w:pPr>
        <w:spacing w:after="0" w:line="73" w:lineRule="exact"/>
        <w:rPr>
          <w:sz w:val="20"/>
          <w:szCs w:val="20"/>
          <w:color w:val="auto"/>
        </w:rPr>
      </w:pPr>
    </w:p>
    <w:p>
      <w:pPr>
        <w:ind w:left="367" w:right="20"/>
        <w:spacing w:after="0" w:line="342" w:lineRule="auto"/>
        <w:rPr>
          <w:sz w:val="20"/>
          <w:szCs w:val="20"/>
          <w:color w:val="auto"/>
        </w:rPr>
      </w:pPr>
      <w:r>
        <w:rPr>
          <w:rFonts w:ascii="Arial" w:cs="Arial" w:eastAsia="Arial" w:hAnsi="Arial"/>
          <w:sz w:val="16"/>
          <w:szCs w:val="16"/>
          <w:color w:val="auto"/>
        </w:rPr>
        <w:t>The Company is also exposed to interest rate risk on its variable rate borrowings, primarily the Miami Loan (defined in Note 14). Increases in the market rate of interest could impact the Company’s results of operations and that impact could be material.</w:t>
      </w:r>
    </w:p>
    <w:p>
      <w:pPr>
        <w:spacing w:after="0" w:line="12" w:lineRule="exact"/>
        <w:rPr>
          <w:sz w:val="20"/>
          <w:szCs w:val="20"/>
          <w:color w:val="auto"/>
        </w:rPr>
      </w:pPr>
    </w:p>
    <w:p>
      <w:pPr>
        <w:ind w:left="347" w:hanging="347"/>
        <w:spacing w:after="0"/>
        <w:tabs>
          <w:tab w:leader="none" w:pos="347"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1" w:lineRule="exact"/>
        <w:rPr>
          <w:rFonts w:ascii="Arial" w:cs="Arial" w:eastAsia="Arial" w:hAnsi="Arial"/>
          <w:sz w:val="18"/>
          <w:szCs w:val="18"/>
          <w:b w:val="1"/>
          <w:bCs w:val="1"/>
          <w:color w:val="auto"/>
        </w:rPr>
      </w:pPr>
    </w:p>
    <w:p>
      <w:pPr>
        <w:ind w:left="367" w:right="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38" w:lineRule="exact"/>
        <w:rPr>
          <w:rFonts w:ascii="Arial" w:cs="Arial" w:eastAsia="Arial" w:hAnsi="Arial"/>
          <w:sz w:val="18"/>
          <w:szCs w:val="18"/>
          <w:b w:val="1"/>
          <w:bCs w:val="1"/>
          <w:color w:val="auto"/>
        </w:rPr>
      </w:pPr>
    </w:p>
    <w:p>
      <w:pPr>
        <w:ind w:left="1067" w:hanging="351"/>
        <w:spacing w:after="0"/>
        <w:tabs>
          <w:tab w:leader="none" w:pos="1067"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067" w:hanging="351"/>
        <w:spacing w:after="0" w:line="277" w:lineRule="auto"/>
        <w:tabs>
          <w:tab w:leader="none" w:pos="1067"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included within Level 1 that are observable, either directly or indirectly,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quoted prices for similar assets or liabilities or market corroborated inputs.</w:t>
      </w:r>
    </w:p>
    <w:p>
      <w:pPr>
        <w:spacing w:after="0" w:line="62" w:lineRule="exact"/>
        <w:rPr>
          <w:rFonts w:ascii="Arial" w:cs="Arial" w:eastAsia="Arial" w:hAnsi="Arial"/>
          <w:sz w:val="18"/>
          <w:szCs w:val="18"/>
          <w:color w:val="auto"/>
        </w:rPr>
      </w:pPr>
    </w:p>
    <w:p>
      <w:pPr>
        <w:ind w:left="1067" w:right="20" w:hanging="351"/>
        <w:spacing w:after="0" w:line="277" w:lineRule="auto"/>
        <w:tabs>
          <w:tab w:leader="none" w:pos="1067" w:val="left"/>
        </w:tabs>
        <w:numPr>
          <w:ilvl w:val="1"/>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for which there is little or no market data and which require the Company to develop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assumptions about how market participants price the asset or liability.</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1067" w:right="40" w:hanging="351"/>
        <w:spacing w:after="0" w:line="277" w:lineRule="auto"/>
        <w:tabs>
          <w:tab w:leader="none" w:pos="1067"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Market approach </w:t>
      </w:r>
      <w:r>
        <w:rPr>
          <w:rFonts w:ascii="Arial" w:cs="Arial" w:eastAsia="Arial" w:hAnsi="Arial"/>
          <w:sz w:val="18"/>
          <w:szCs w:val="18"/>
          <w:color w:val="auto"/>
        </w:rPr>
        <w:t>– uses prices and other relevant information generated by market transactions involving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assets or liabilities.</w:t>
      </w:r>
    </w:p>
    <w:p>
      <w:pPr>
        <w:spacing w:after="0" w:line="62" w:lineRule="exact"/>
        <w:rPr>
          <w:rFonts w:ascii="Arial" w:cs="Arial" w:eastAsia="Arial" w:hAnsi="Arial"/>
          <w:sz w:val="18"/>
          <w:szCs w:val="18"/>
          <w:color w:val="auto"/>
        </w:rPr>
      </w:pPr>
    </w:p>
    <w:p>
      <w:pPr>
        <w:ind w:left="1067" w:right="160" w:hanging="351"/>
        <w:spacing w:after="0" w:line="277" w:lineRule="auto"/>
        <w:tabs>
          <w:tab w:leader="none" w:pos="1067"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 uses valuation techniques to convert future amounts to a single present amount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expectations about those future amounts.</w:t>
      </w:r>
    </w:p>
    <w:p>
      <w:pPr>
        <w:spacing w:after="0" w:line="62" w:lineRule="exact"/>
        <w:rPr>
          <w:rFonts w:ascii="Arial" w:cs="Arial" w:eastAsia="Arial" w:hAnsi="Arial"/>
          <w:sz w:val="18"/>
          <w:szCs w:val="18"/>
          <w:color w:val="auto"/>
        </w:rPr>
      </w:pPr>
    </w:p>
    <w:p>
      <w:pPr>
        <w:ind w:left="1067" w:right="400" w:hanging="351"/>
        <w:spacing w:after="0" w:line="277" w:lineRule="auto"/>
        <w:tabs>
          <w:tab w:leader="none" w:pos="1067"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Cost approach </w:t>
      </w:r>
      <w:r>
        <w:rPr>
          <w:rFonts w:ascii="Arial" w:cs="Arial" w:eastAsia="Arial" w:hAnsi="Arial"/>
          <w:sz w:val="18"/>
          <w:szCs w:val="18"/>
          <w:color w:val="auto"/>
        </w:rPr>
        <w:t>– based on the amount that currently would be required to replace the service capacity of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cost).</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presents the Company’s financial assets that are measured at fair value at December 31, 2017:</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December 31, 2017</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Level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4"/>
          </w:tcPr>
          <w:p>
            <w:pPr>
              <w:spacing w:after="0" w:line="160" w:lineRule="exact"/>
              <w:rPr>
                <w:sz w:val="20"/>
                <w:szCs w:val="20"/>
                <w:color w:val="auto"/>
              </w:rPr>
            </w:pPr>
            <w:r>
              <w:rPr>
                <w:rFonts w:ascii="Arial" w:cs="Arial" w:eastAsia="Arial" w:hAnsi="Arial"/>
                <w:sz w:val="14"/>
                <w:szCs w:val="14"/>
                <w:b w:val="1"/>
                <w:bCs w:val="1"/>
                <w:color w:val="auto"/>
              </w:rPr>
              <w:t>Level</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5"/>
              </w:rPr>
              <w:t>Valuation</w:t>
            </w:r>
          </w:p>
        </w:tc>
      </w:tr>
      <w:tr>
        <w:trPr>
          <w:trHeight w:val="185"/>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technique</w:t>
            </w:r>
          </w:p>
        </w:tc>
      </w:tr>
      <w:tr>
        <w:trPr>
          <w:trHeight w:val="237"/>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84,708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w w:val="88"/>
              </w:rPr>
              <w:t>—</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84,708</w:t>
            </w:r>
          </w:p>
        </w:tc>
        <w:tc>
          <w:tcPr>
            <w:tcW w:w="160" w:type="dxa"/>
            <w:vAlign w:val="bottom"/>
          </w:tcPr>
          <w:p>
            <w:pPr>
              <w:spacing w:after="0"/>
              <w:rPr>
                <w:sz w:val="20"/>
                <w:szCs w:val="20"/>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5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33,623</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33,623</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6,333</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6,333</w:t>
            </w:r>
          </w:p>
        </w:tc>
        <w:tc>
          <w:tcPr>
            <w:tcW w:w="160" w:type="dxa"/>
            <w:vAlign w:val="bottom"/>
          </w:tcPr>
          <w:p>
            <w:pPr>
              <w:spacing w:after="0"/>
              <w:rPr>
                <w:sz w:val="21"/>
                <w:szCs w:val="21"/>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71"/>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124,664</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124,664</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presents the Company’s financial assets that are measured at fair value at December 31, 2016:</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December 31, 2016</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Level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4"/>
          </w:tcPr>
          <w:p>
            <w:pPr>
              <w:spacing w:after="0" w:line="160" w:lineRule="exact"/>
              <w:rPr>
                <w:sz w:val="20"/>
                <w:szCs w:val="20"/>
                <w:color w:val="auto"/>
              </w:rPr>
            </w:pPr>
            <w:r>
              <w:rPr>
                <w:rFonts w:ascii="Arial" w:cs="Arial" w:eastAsia="Arial" w:hAnsi="Arial"/>
                <w:sz w:val="14"/>
                <w:szCs w:val="14"/>
                <w:b w:val="1"/>
                <w:bCs w:val="1"/>
                <w:color w:val="auto"/>
              </w:rPr>
              <w:t>Level</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5"/>
              </w:rPr>
              <w:t>Valuation</w:t>
            </w:r>
          </w:p>
        </w:tc>
      </w:tr>
      <w:tr>
        <w:trPr>
          <w:trHeight w:val="185"/>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technique</w:t>
            </w:r>
          </w:p>
        </w:tc>
      </w:tr>
      <w:tr>
        <w:trPr>
          <w:trHeight w:val="237"/>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180,650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w w:val="88"/>
              </w:rPr>
              <w:t>—</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180,650</w:t>
            </w:r>
          </w:p>
        </w:tc>
        <w:tc>
          <w:tcPr>
            <w:tcW w:w="160" w:type="dxa"/>
            <w:vAlign w:val="bottom"/>
          </w:tcPr>
          <w:p>
            <w:pPr>
              <w:spacing w:after="0"/>
              <w:rPr>
                <w:sz w:val="20"/>
                <w:szCs w:val="20"/>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5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8,471</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3,363</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3,363</w:t>
            </w:r>
          </w:p>
        </w:tc>
        <w:tc>
          <w:tcPr>
            <w:tcW w:w="160" w:type="dxa"/>
            <w:vAlign w:val="bottom"/>
          </w:tcPr>
          <w:p>
            <w:pPr>
              <w:spacing w:after="0"/>
              <w:rPr>
                <w:sz w:val="21"/>
                <w:szCs w:val="21"/>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Market</w:t>
            </w:r>
          </w:p>
        </w:tc>
      </w:tr>
      <w:tr>
        <w:trPr>
          <w:trHeight w:val="271"/>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192,484</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192,484</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left="367" w:right="380"/>
        <w:spacing w:after="0" w:line="277" w:lineRule="auto"/>
        <w:rPr>
          <w:sz w:val="20"/>
          <w:szCs w:val="20"/>
          <w:color w:val="auto"/>
        </w:rPr>
      </w:pPr>
      <w:r>
        <w:rPr>
          <w:rFonts w:ascii="Arial" w:cs="Arial" w:eastAsia="Arial" w:hAnsi="Arial"/>
          <w:sz w:val="18"/>
          <w:szCs w:val="18"/>
          <w:color w:val="auto"/>
        </w:rPr>
        <w:t>At December 31, 2017 and 2016, the Company had no liabilities that were measured at fair value on a recurring basis. The Company estimates fair value of outstanding debt using a discounted cash flows method</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17" w:name="page118"/>
    <w:bookmarkEnd w:id="117"/>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180"/>
        <w:spacing w:after="0" w:line="259" w:lineRule="auto"/>
        <w:rPr>
          <w:sz w:val="20"/>
          <w:szCs w:val="20"/>
          <w:color w:val="auto"/>
        </w:rPr>
      </w:pPr>
      <w:r>
        <w:rPr>
          <w:rFonts w:ascii="Arial" w:cs="Arial" w:eastAsia="Arial" w:hAnsi="Arial"/>
          <w:sz w:val="18"/>
          <w:szCs w:val="18"/>
          <w:color w:val="auto"/>
        </w:rPr>
        <w:t>based on current market interest rates for debt issuances with similar remaining years to maturity and adjusted for credit risk. The Company has estimated that the carrying value of the outstanding Miami Loan (defined in Note 14) and the outstanding MoBay Loan (defined in Note 14) approximates fair value. The fair value estimate is classified as Level 3 in the fair value hierarchy.</w:t>
      </w:r>
    </w:p>
    <w:p>
      <w:pPr>
        <w:spacing w:after="0" w:line="75" w:lineRule="exact"/>
        <w:rPr>
          <w:sz w:val="20"/>
          <w:szCs w:val="20"/>
          <w:color w:val="auto"/>
        </w:rPr>
      </w:pPr>
    </w:p>
    <w:p>
      <w:pPr>
        <w:ind w:left="347" w:hanging="347"/>
        <w:spacing w:after="0"/>
        <w:tabs>
          <w:tab w:leader="none" w:pos="347"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restricted cash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 for performance under customer agreements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Collateral for LNG purchases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service reserve accounts (Note 14)</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Customs and performance bonds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restricted cash</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840" w:type="dxa"/>
            <w:vAlign w:val="bottom"/>
            <w:gridSpan w:val="3"/>
          </w:tcPr>
          <w:p>
            <w:pPr>
              <w:spacing w:after="0"/>
              <w:rPr>
                <w:sz w:val="20"/>
                <w:szCs w:val="20"/>
                <w:color w:val="auto"/>
              </w:rPr>
            </w:pPr>
            <w:r>
              <w:rPr>
                <w:rFonts w:ascii="Arial" w:cs="Arial" w:eastAsia="Arial" w:hAnsi="Arial"/>
                <w:sz w:val="18"/>
                <w:szCs w:val="18"/>
                <w:color w:val="auto"/>
              </w:rPr>
              <w:t>Total restricted cash</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33,623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8,471</w:t>
            </w:r>
          </w:p>
        </w:tc>
        <w:tc>
          <w:tcPr>
            <w:tcW w:w="1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restricted cash</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Non-current restricted cash</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r>
    </w:tbl>
    <w:p>
      <w:pPr>
        <w:spacing w:after="0" w:line="102" w:lineRule="exact"/>
        <w:rPr>
          <w:sz w:val="20"/>
          <w:szCs w:val="20"/>
          <w:color w:val="auto"/>
        </w:rPr>
      </w:pPr>
    </w:p>
    <w:p>
      <w:pPr>
        <w:ind w:left="347" w:hanging="347"/>
        <w:spacing w:after="0"/>
        <w:tabs>
          <w:tab w:leader="none" w:pos="347"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inventory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LNG and natural gas inventory</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100" w:type="dxa"/>
            <w:vAlign w:val="bottom"/>
            <w:shd w:val="clear" w:color="auto" w:fill="CCEEFF"/>
          </w:tcPr>
          <w:p>
            <w:pPr>
              <w:spacing w:after="0"/>
              <w:rPr>
                <w:sz w:val="20"/>
                <w:szCs w:val="20"/>
                <w:color w:val="auto"/>
              </w:rPr>
            </w:pP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Materials, supplies and other</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r>
      <w:tr>
        <w:trPr>
          <w:trHeight w:val="271"/>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0" w:lineRule="exact"/>
        <w:rPr>
          <w:sz w:val="20"/>
          <w:szCs w:val="20"/>
          <w:color w:val="auto"/>
        </w:rPr>
      </w:pPr>
    </w:p>
    <w:p>
      <w:pPr>
        <w:ind w:left="347" w:hanging="347"/>
        <w:spacing w:after="0"/>
        <w:tabs>
          <w:tab w:leader="none" w:pos="347"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prepaid expenses and other current assets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LNG</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Prepaid charter costs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0"/>
                <w:szCs w:val="20"/>
                <w:color w:val="auto"/>
              </w:rPr>
            </w:pPr>
          </w:p>
        </w:tc>
      </w:tr>
      <w:tr>
        <w:trPr>
          <w:trHeight w:val="25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22"/>
                <w:szCs w:val="22"/>
                <w:color w:val="auto"/>
              </w:rPr>
            </w:pPr>
          </w:p>
        </w:tc>
      </w:tr>
      <w:tr>
        <w:trPr>
          <w:trHeight w:val="237"/>
        </w:trPr>
        <w:tc>
          <w:tcPr>
            <w:tcW w:w="684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0"/>
                <w:szCs w:val="20"/>
                <w:color w:val="auto"/>
              </w:rPr>
            </w:pPr>
          </w:p>
        </w:tc>
      </w:tr>
      <w:tr>
        <w:trPr>
          <w:trHeight w:val="249"/>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24,875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9"/>
                <w:szCs w:val="19"/>
                <w:color w:val="auto"/>
              </w:rPr>
            </w:pPr>
          </w:p>
        </w:tc>
      </w:tr>
      <w:tr>
        <w:trPr>
          <w:trHeight w:val="21"/>
        </w:trPr>
        <w:tc>
          <w:tcPr>
            <w:tcW w:w="6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7"/>
        <w:spacing w:after="0" w:line="277" w:lineRule="auto"/>
        <w:rPr>
          <w:sz w:val="20"/>
          <w:szCs w:val="20"/>
          <w:color w:val="auto"/>
        </w:rPr>
      </w:pPr>
      <w:r>
        <w:rPr>
          <w:rFonts w:ascii="Arial" w:cs="Arial" w:eastAsia="Arial" w:hAnsi="Arial"/>
          <w:sz w:val="18"/>
          <w:szCs w:val="18"/>
          <w:color w:val="auto"/>
        </w:rPr>
        <w:t>Prepaid LNG consists of payments for 2,808,587 MMBtus of LNG that have been prepaid by the Company as of December 31, 2017. The Company took delivery of these volumes in February 2018.</w:t>
      </w:r>
    </w:p>
    <w:p>
      <w:pPr>
        <w:spacing w:after="0" w:line="62" w:lineRule="exact"/>
        <w:rPr>
          <w:sz w:val="20"/>
          <w:szCs w:val="20"/>
          <w:color w:val="auto"/>
        </w:rPr>
      </w:pPr>
    </w:p>
    <w:p>
      <w:pPr>
        <w:ind w:left="367" w:right="20"/>
        <w:spacing w:after="0" w:line="312" w:lineRule="auto"/>
        <w:rPr>
          <w:sz w:val="20"/>
          <w:szCs w:val="20"/>
          <w:color w:val="auto"/>
        </w:rPr>
      </w:pPr>
      <w:r>
        <w:rPr>
          <w:rFonts w:ascii="Arial" w:cs="Arial" w:eastAsia="Arial" w:hAnsi="Arial"/>
          <w:sz w:val="16"/>
          <w:szCs w:val="16"/>
          <w:color w:val="auto"/>
        </w:rPr>
        <w:t>The Company has entered into ship time charter commitments in order to transport LNG from suppliers to the Company’s terminal facility at the Port of Montego Bay, Jamaica. In order to secure the vessel charters, charter hire costs are required to be paid in advance and are recorded within ‘Prepaid expenses and other current assets’ on the consolidated balance sheets.</w:t>
      </w:r>
    </w:p>
    <w:p>
      <w:pPr>
        <w:spacing w:after="0" w:line="39" w:lineRule="exact"/>
        <w:rPr>
          <w:sz w:val="20"/>
          <w:szCs w:val="20"/>
          <w:color w:val="auto"/>
        </w:rPr>
      </w:pPr>
    </w:p>
    <w:p>
      <w:pPr>
        <w:ind w:left="367" w:right="340"/>
        <w:spacing w:after="0" w:line="277" w:lineRule="auto"/>
        <w:rPr>
          <w:sz w:val="20"/>
          <w:szCs w:val="20"/>
          <w:color w:val="auto"/>
        </w:rPr>
      </w:pPr>
      <w:r>
        <w:rPr>
          <w:rFonts w:ascii="Arial" w:cs="Arial" w:eastAsia="Arial" w:hAnsi="Arial"/>
          <w:sz w:val="18"/>
          <w:szCs w:val="18"/>
          <w:color w:val="auto"/>
        </w:rPr>
        <w:t>The balances of deposits as of December 31, 2017 and 2016 primarily consists of $900 attributed to gas supply reservation deposit and $135 attributed to a land lease deposit with a related party (See Note 20).</w:t>
      </w:r>
    </w:p>
    <w:p>
      <w:pPr>
        <w:spacing w:after="0" w:line="170"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18" w:name="page119"/>
    <w:bookmarkEnd w:id="118"/>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w:t>
      </w:r>
    </w:p>
    <w:p>
      <w:pPr>
        <w:spacing w:after="0" w:line="121" w:lineRule="exact"/>
        <w:rPr>
          <w:rFonts w:ascii="Arial" w:cs="Arial" w:eastAsia="Arial" w:hAnsi="Arial"/>
          <w:sz w:val="18"/>
          <w:szCs w:val="18"/>
          <w:b w:val="1"/>
          <w:bCs w:val="1"/>
          <w:color w:val="auto"/>
        </w:rPr>
      </w:pPr>
    </w:p>
    <w:p>
      <w:pPr>
        <w:ind w:left="367"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2016 and 2017, the Company invested in equity securities of an international oil and gas drilling contractor. The following tables present the number of shares, cost and fair value of the investment:</w:t>
      </w:r>
    </w:p>
    <w:p>
      <w:pPr>
        <w:spacing w:after="0" w:line="27"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Borders>
              <w:bottom w:val="single" w:sz="8" w:color="auto"/>
            </w:tcBorders>
            <w:gridSpan w:val="6"/>
          </w:tcPr>
          <w:p>
            <w:pPr>
              <w:jc w:val="center"/>
              <w:ind w:left="843"/>
              <w:spacing w:after="0"/>
              <w:rPr>
                <w:sz w:val="20"/>
                <w:szCs w:val="20"/>
                <w:color w:val="auto"/>
              </w:rPr>
            </w:pPr>
            <w:r>
              <w:rPr>
                <w:rFonts w:ascii="Arial" w:cs="Arial" w:eastAsia="Arial" w:hAnsi="Arial"/>
                <w:sz w:val="14"/>
                <w:szCs w:val="14"/>
                <w:b w:val="1"/>
                <w:bCs w:val="1"/>
                <w:color w:val="auto"/>
                <w:w w:val="91"/>
              </w:rPr>
              <w:t>December 31, 2017</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(in thousands of U.S. dollars except number of shares)</w:t>
            </w: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1,476,280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3,667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tcBorders>
              <w:bottom w:val="single" w:sz="8" w:color="auto"/>
            </w:tcBorders>
            <w:gridSpan w:val="6"/>
          </w:tcPr>
          <w:p>
            <w:pPr>
              <w:jc w:val="center"/>
              <w:ind w:left="843"/>
              <w:spacing w:after="0"/>
              <w:rPr>
                <w:sz w:val="20"/>
                <w:szCs w:val="20"/>
                <w:color w:val="auto"/>
              </w:rPr>
            </w:pPr>
            <w:r>
              <w:rPr>
                <w:rFonts w:ascii="Arial" w:cs="Arial" w:eastAsia="Arial" w:hAnsi="Arial"/>
                <w:sz w:val="14"/>
                <w:szCs w:val="14"/>
                <w:b w:val="1"/>
                <w:bCs w:val="1"/>
                <w:color w:val="auto"/>
                <w:w w:val="91"/>
              </w:rPr>
              <w:t>December 31, 2016</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3"/>
                <w:szCs w:val="13"/>
                <w:color w:val="auto"/>
              </w:rPr>
            </w:pPr>
          </w:p>
        </w:tc>
        <w:tc>
          <w:tcPr>
            <w:tcW w:w="74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3"/>
                <w:szCs w:val="13"/>
                <w:color w:val="auto"/>
              </w:rPr>
            </w:pPr>
          </w:p>
        </w:tc>
        <w:tc>
          <w:tcPr>
            <w:tcW w:w="90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85"/>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(in thousands of U.S. dollars except number of shares)</w:t>
            </w: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5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investment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movement of available-for-sale financial assets is summarized below:</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At January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r>
      <w:tr>
        <w:trPr>
          <w:trHeight w:val="249"/>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At December 31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6,333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19"/>
                <w:szCs w:val="19"/>
                <w:color w:val="auto"/>
              </w:rPr>
            </w:pPr>
          </w:p>
        </w:tc>
      </w:tr>
      <w:tr>
        <w:trPr>
          <w:trHeight w:val="21"/>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in progress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The Company’s construction in progress activity during 2017 and 2016, is detailed below:</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70,792</w:t>
            </w:r>
          </w:p>
        </w:tc>
        <w:tc>
          <w:tcPr>
            <w:tcW w:w="100" w:type="dxa"/>
            <w:vAlign w:val="bottom"/>
            <w:shd w:val="clear" w:color="auto" w:fill="CCEEFF"/>
          </w:tcPr>
          <w:p>
            <w:pPr>
              <w:spacing w:after="0"/>
              <w:rPr>
                <w:sz w:val="20"/>
                <w:szCs w:val="20"/>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36,017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88,825</w:t>
            </w:r>
          </w:p>
        </w:tc>
        <w:tc>
          <w:tcPr>
            <w:tcW w:w="100" w:type="dxa"/>
            <w:vAlign w:val="bottom"/>
          </w:tcPr>
          <w:p>
            <w:pPr>
              <w:spacing w:after="0"/>
              <w:rPr>
                <w:sz w:val="20"/>
                <w:szCs w:val="20"/>
                <w:color w:val="auto"/>
              </w:rPr>
            </w:pPr>
          </w:p>
        </w:tc>
      </w:tr>
      <w:tr>
        <w:trPr>
          <w:trHeight w:val="25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Transferred to finance leases, net (Note 12)</w:t>
            </w:r>
          </w:p>
        </w:tc>
        <w:tc>
          <w:tcPr>
            <w:tcW w:w="2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(3,033)</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(92,828)</w:t>
            </w: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Transferred to property, plant and equipment, net (Note 11)</w:t>
            </w:r>
          </w:p>
        </w:tc>
        <w:tc>
          <w:tcPr>
            <w:tcW w:w="22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(62,121)</w:t>
            </w:r>
          </w:p>
        </w:tc>
      </w:tr>
      <w:tr>
        <w:trPr>
          <w:trHeight w:val="24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Abandoned project</w:t>
            </w: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(1,289)</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As of December 31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35,413</w:t>
            </w: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Borders>
              <w:top w:val="single" w:sz="8" w:color="CCEEFF"/>
            </w:tcBorders>
          </w:tcPr>
          <w:p>
            <w:pPr>
              <w:spacing w:after="0"/>
              <w:rPr>
                <w:sz w:val="19"/>
                <w:szCs w:val="19"/>
                <w:color w:val="auto"/>
              </w:rPr>
            </w:pPr>
          </w:p>
        </w:tc>
      </w:tr>
      <w:tr>
        <w:trPr>
          <w:trHeight w:val="21"/>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7"/>
        <w:spacing w:after="0"/>
        <w:rPr>
          <w:sz w:val="20"/>
          <w:szCs w:val="20"/>
          <w:color w:val="auto"/>
        </w:rPr>
      </w:pPr>
      <w:r>
        <w:rPr>
          <w:rFonts w:ascii="Arial" w:cs="Arial" w:eastAsia="Arial" w:hAnsi="Arial"/>
          <w:sz w:val="16"/>
          <w:szCs w:val="16"/>
          <w:color w:val="auto"/>
        </w:rPr>
        <w:t>Management determined it appropriate to expense $1,289 in 2017 as the decision was made to abandon the related project.</w:t>
      </w:r>
    </w:p>
    <w:p>
      <w:pPr>
        <w:spacing w:after="0" w:line="136" w:lineRule="exact"/>
        <w:rPr>
          <w:sz w:val="20"/>
          <w:szCs w:val="20"/>
          <w:color w:val="auto"/>
        </w:rPr>
      </w:pPr>
    </w:p>
    <w:p>
      <w:pPr>
        <w:ind w:left="347" w:hanging="347"/>
        <w:spacing w:after="0"/>
        <w:tabs>
          <w:tab w:leader="none" w:pos="347"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At December 31, the Company’s property, plant and equipment, net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66,203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65,452</w:t>
            </w:r>
          </w:p>
        </w:tc>
        <w:tc>
          <w:tcPr>
            <w:tcW w:w="100" w:type="dxa"/>
            <w:vAlign w:val="bottom"/>
            <w:shd w:val="clear" w:color="auto" w:fill="CCEEFF"/>
          </w:tcPr>
          <w:p>
            <w:pPr>
              <w:spacing w:after="0"/>
              <w:rPr>
                <w:sz w:val="20"/>
                <w:szCs w:val="20"/>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ISO containers</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7,899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Pr>
          <w:p>
            <w:pPr>
              <w:spacing w:after="0"/>
              <w:rPr>
                <w:sz w:val="20"/>
                <w:szCs w:val="20"/>
                <w:color w:val="auto"/>
              </w:rPr>
            </w:pPr>
          </w:p>
        </w:tc>
      </w:tr>
      <w:tr>
        <w:trPr>
          <w:trHeight w:val="25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r>
      <w:tr>
        <w:trPr>
          <w:trHeight w:val="24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(5,592)</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w:t>
            </w:r>
          </w:p>
        </w:tc>
      </w:tr>
      <w:tr>
        <w:trPr>
          <w:trHeight w:val="223"/>
        </w:trPr>
        <w:tc>
          <w:tcPr>
            <w:tcW w:w="6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69,350</w:t>
            </w: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tcBorders>
              <w:top w:val="single" w:sz="8" w:color="CCEEFF"/>
            </w:tcBorders>
          </w:tcPr>
          <w:p>
            <w:pPr>
              <w:spacing w:after="0"/>
              <w:rPr>
                <w:sz w:val="19"/>
                <w:szCs w:val="19"/>
                <w:color w:val="auto"/>
              </w:rPr>
            </w:pPr>
          </w:p>
        </w:tc>
      </w:tr>
      <w:tr>
        <w:trPr>
          <w:trHeight w:val="21"/>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7"/>
        <w:spacing w:after="0" w:line="342" w:lineRule="auto"/>
        <w:rPr>
          <w:sz w:val="20"/>
          <w:szCs w:val="20"/>
          <w:color w:val="auto"/>
        </w:rPr>
      </w:pPr>
      <w:r>
        <w:rPr>
          <w:rFonts w:ascii="Arial" w:cs="Arial" w:eastAsia="Arial" w:hAnsi="Arial"/>
          <w:sz w:val="16"/>
          <w:szCs w:val="16"/>
          <w:color w:val="auto"/>
        </w:rPr>
        <w:t>Depreciation for the years ended December 31, 2017 and 2016 totaled $3,214 and $2,389, respectively, of which $453 and $48 is respectively included within Cost of sales in the consolidated statements of operations and comprehensive loss.</w:t>
      </w:r>
    </w:p>
    <w:p>
      <w:pPr>
        <w:spacing w:after="0" w:line="124" w:lineRule="exact"/>
        <w:rPr>
          <w:sz w:val="20"/>
          <w:szCs w:val="20"/>
          <w:color w:val="auto"/>
        </w:rPr>
      </w:pPr>
    </w:p>
    <w:p>
      <w:pPr>
        <w:jc w:val="center"/>
        <w:ind w:right="-66"/>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7"/>
          </w:cols>
          <w:pgMar w:left="1173" w:top="279" w:right="1239" w:bottom="1440" w:gutter="0" w:footer="0" w:header="0"/>
        </w:sectPr>
      </w:pPr>
    </w:p>
    <w:bookmarkStart w:id="119" w:name="page120"/>
    <w:bookmarkEnd w:id="11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leases, net</w:t>
      </w:r>
    </w:p>
    <w:p>
      <w:pPr>
        <w:spacing w:after="0" w:line="121" w:lineRule="exact"/>
        <w:rPr>
          <w:rFonts w:ascii="Arial" w:cs="Arial" w:eastAsia="Arial" w:hAnsi="Arial"/>
          <w:sz w:val="18"/>
          <w:szCs w:val="18"/>
          <w:b w:val="1"/>
          <w:bCs w:val="1"/>
          <w:color w:val="auto"/>
        </w:rPr>
      </w:pPr>
    </w:p>
    <w:p>
      <w:pPr>
        <w:ind w:left="367"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placed its Montego Bay LNG terminal into service on October 30, 2016, which has been accounted for as a direct finance lease. In addition, the Company also has entered into other arrangements to lease equipment to customers during the year which are accounted for as direct finance leases. The components of the direct finance leases at December 31, 2017 and 2016 are as follows:</w:t>
      </w:r>
    </w:p>
    <w:p>
      <w:pPr>
        <w:spacing w:after="0" w:line="43"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323,281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335,558</w:t>
            </w:r>
          </w:p>
        </w:tc>
        <w:tc>
          <w:tcPr>
            <w:tcW w:w="100" w:type="dxa"/>
            <w:vAlign w:val="bottom"/>
            <w:shd w:val="clear" w:color="auto" w:fill="CCEEFF"/>
          </w:tcPr>
          <w:p>
            <w:pPr>
              <w:spacing w:after="0"/>
              <w:rPr>
                <w:sz w:val="20"/>
                <w:szCs w:val="20"/>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Unearned income</w:t>
            </w:r>
          </w:p>
        </w:tc>
        <w:tc>
          <w:tcPr>
            <w:tcW w:w="20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(228,026)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(242,730)</w:t>
            </w:r>
          </w:p>
        </w:tc>
      </w:tr>
      <w:tr>
        <w:trPr>
          <w:trHeight w:val="271"/>
        </w:trPr>
        <w:tc>
          <w:tcPr>
            <w:tcW w:w="20" w:type="dxa"/>
            <w:vAlign w:val="bottom"/>
          </w:tcPr>
          <w:p>
            <w:pPr>
              <w:spacing w:after="0"/>
              <w:rPr>
                <w:sz w:val="23"/>
                <w:szCs w:val="23"/>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95,255</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portion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2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94,077</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92,320</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ind w:left="367" w:right="240"/>
        <w:spacing w:after="0" w:line="264" w:lineRule="auto"/>
        <w:rPr>
          <w:sz w:val="20"/>
          <w:szCs w:val="20"/>
          <w:color w:val="auto"/>
        </w:rPr>
      </w:pPr>
      <w:r>
        <w:rPr>
          <w:rFonts w:ascii="Arial" w:cs="Arial" w:eastAsia="Arial" w:hAnsi="Arial"/>
          <w:sz w:val="18"/>
          <w:szCs w:val="18"/>
          <w:color w:val="auto"/>
        </w:rPr>
        <w:t>Receivables related to the Company’s direct finance leases are primarily with a national utility that generates consistent cash flow. Therefore, the Company does not expect a material impact to the results of operations or financial position due to nonperformance from such counterparty.</w:t>
      </w:r>
    </w:p>
    <w:p>
      <w:pPr>
        <w:spacing w:after="0" w:line="73" w:lineRule="exact"/>
        <w:rPr>
          <w:sz w:val="20"/>
          <w:szCs w:val="20"/>
          <w:color w:val="auto"/>
        </w:rPr>
      </w:pPr>
    </w:p>
    <w:p>
      <w:pPr>
        <w:ind w:left="367" w:right="400"/>
        <w:spacing w:after="0" w:line="277" w:lineRule="auto"/>
        <w:rPr>
          <w:sz w:val="20"/>
          <w:szCs w:val="20"/>
          <w:color w:val="auto"/>
        </w:rPr>
      </w:pPr>
      <w:r>
        <w:rPr>
          <w:rFonts w:ascii="Arial" w:cs="Arial" w:eastAsia="Arial" w:hAnsi="Arial"/>
          <w:sz w:val="18"/>
          <w:szCs w:val="18"/>
          <w:color w:val="auto"/>
        </w:rPr>
        <w:t>At December 31, 2017, future minimum lease payments to be received under direct finance leases for the remainder of the respective lease terms is as follows:</w:t>
      </w:r>
    </w:p>
    <w:p>
      <w:pPr>
        <w:spacing w:after="0" w:line="23" w:lineRule="exact"/>
        <w:rPr>
          <w:sz w:val="20"/>
          <w:szCs w:val="20"/>
          <w:color w:val="auto"/>
        </w:rPr>
      </w:pPr>
    </w:p>
    <w:tbl>
      <w:tblPr>
        <w:tblLayout w:type="fixed"/>
        <w:tblInd w:w="387" w:type="dxa"/>
        <w:tblCellMar>
          <w:top w:w="0" w:type="dxa"/>
          <w:left w:w="0" w:type="dxa"/>
          <w:bottom w:w="0" w:type="dxa"/>
          <w:right w:w="0" w:type="dxa"/>
        </w:tblCellMar>
      </w:tblPr>
      <w:tr>
        <w:trPr>
          <w:trHeight w:val="243"/>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2018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16,157</w:t>
            </w:r>
          </w:p>
        </w:tc>
        <w:tc>
          <w:tcPr>
            <w:tcW w:w="100" w:type="dxa"/>
            <w:vAlign w:val="bottom"/>
          </w:tcPr>
          <w:p>
            <w:pPr>
              <w:spacing w:after="0"/>
              <w:rPr>
                <w:sz w:val="20"/>
                <w:szCs w:val="20"/>
                <w:color w:val="auto"/>
              </w:rPr>
            </w:pPr>
          </w:p>
        </w:tc>
      </w:tr>
      <w:tr>
        <w:trPr>
          <w:trHeight w:val="25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16,157</w:t>
            </w:r>
          </w:p>
        </w:tc>
        <w:tc>
          <w:tcPr>
            <w:tcW w:w="100" w:type="dxa"/>
            <w:vAlign w:val="bottom"/>
            <w:shd w:val="clear" w:color="auto" w:fill="CCEEFF"/>
          </w:tcPr>
          <w:p>
            <w:pPr>
              <w:spacing w:after="0"/>
              <w:rPr>
                <w:sz w:val="22"/>
                <w:szCs w:val="22"/>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16,156</w:t>
            </w:r>
          </w:p>
        </w:tc>
        <w:tc>
          <w:tcPr>
            <w:tcW w:w="100" w:type="dxa"/>
            <w:vAlign w:val="bottom"/>
          </w:tcPr>
          <w:p>
            <w:pPr>
              <w:spacing w:after="0"/>
              <w:rPr>
                <w:sz w:val="20"/>
                <w:szCs w:val="20"/>
                <w:color w:val="auto"/>
              </w:rPr>
            </w:pPr>
          </w:p>
        </w:tc>
      </w:tr>
      <w:tr>
        <w:trPr>
          <w:trHeight w:val="25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16,156</w:t>
            </w:r>
          </w:p>
        </w:tc>
        <w:tc>
          <w:tcPr>
            <w:tcW w:w="100" w:type="dxa"/>
            <w:vAlign w:val="bottom"/>
            <w:shd w:val="clear" w:color="auto" w:fill="CCEEFF"/>
          </w:tcPr>
          <w:p>
            <w:pPr>
              <w:spacing w:after="0"/>
              <w:rPr>
                <w:sz w:val="22"/>
                <w:szCs w:val="22"/>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16,101</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323,281</w:t>
            </w:r>
          </w:p>
        </w:tc>
        <w:tc>
          <w:tcPr>
            <w:tcW w:w="100" w:type="dxa"/>
            <w:vAlign w:val="bottom"/>
          </w:tcPr>
          <w:p>
            <w:pPr>
              <w:spacing w:after="0"/>
              <w:rPr>
                <w:sz w:val="19"/>
                <w:szCs w:val="19"/>
                <w:color w:val="auto"/>
              </w:rPr>
            </w:pPr>
          </w:p>
        </w:tc>
      </w:tr>
      <w:tr>
        <w:trPr>
          <w:trHeight w:val="21"/>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7" w:hanging="347"/>
        <w:spacing w:after="0"/>
        <w:tabs>
          <w:tab w:leader="none" w:pos="347"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accrued liabilities consisted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shd w:val="clear" w:color="auto" w:fill="CCEEFF"/>
          </w:tcPr>
          <w:p>
            <w:pPr>
              <w:spacing w:after="0"/>
              <w:rPr>
                <w:sz w:val="20"/>
                <w:szCs w:val="20"/>
                <w:color w:val="auto"/>
              </w:rPr>
            </w:pPr>
          </w:p>
        </w:tc>
      </w:tr>
      <w:tr>
        <w:trPr>
          <w:trHeight w:val="243"/>
        </w:trPr>
        <w:tc>
          <w:tcPr>
            <w:tcW w:w="6300" w:type="dxa"/>
            <w:vAlign w:val="bottom"/>
          </w:tcPr>
          <w:p>
            <w:pPr>
              <w:spacing w:after="0"/>
              <w:rPr>
                <w:sz w:val="20"/>
                <w:szCs w:val="20"/>
                <w:color w:val="auto"/>
              </w:rPr>
            </w:pPr>
            <w:r>
              <w:rPr>
                <w:rFonts w:ascii="Arial" w:cs="Arial" w:eastAsia="Arial" w:hAnsi="Arial"/>
                <w:sz w:val="18"/>
                <w:szCs w:val="18"/>
                <w:color w:val="auto"/>
              </w:rPr>
              <w:t>Accrued bonuses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r>
      <w:tr>
        <w:trPr>
          <w:trHeight w:val="271"/>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0" w:lineRule="exact"/>
        <w:rPr>
          <w:sz w:val="20"/>
          <w:szCs w:val="20"/>
          <w:color w:val="auto"/>
        </w:rPr>
      </w:pPr>
    </w:p>
    <w:p>
      <w:pPr>
        <w:ind w:left="347" w:hanging="347"/>
        <w:spacing w:after="0"/>
        <w:tabs>
          <w:tab w:leader="none" w:pos="347"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As of December 31, long-term debt consisted of the following:</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7"/>
        </w:trPr>
        <w:tc>
          <w:tcPr>
            <w:tcW w:w="38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Miami Loan, due November 2019</w:t>
            </w:r>
          </w:p>
        </w:tc>
        <w:tc>
          <w:tcPr>
            <w:tcW w:w="3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38,749</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38,688</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860" w:type="dxa"/>
            <w:vAlign w:val="bottom"/>
            <w:gridSpan w:val="2"/>
          </w:tcPr>
          <w:p>
            <w:pPr>
              <w:ind w:left="380"/>
              <w:spacing w:after="0"/>
              <w:rPr>
                <w:sz w:val="20"/>
                <w:szCs w:val="20"/>
                <w:color w:val="auto"/>
              </w:rPr>
            </w:pPr>
            <w:r>
              <w:rPr>
                <w:rFonts w:ascii="Arial" w:cs="Arial" w:eastAsia="Arial" w:hAnsi="Arial"/>
                <w:sz w:val="18"/>
                <w:szCs w:val="18"/>
                <w:color w:val="auto"/>
              </w:rPr>
              <w:t>Montego Bay Loan, due June 2023</w:t>
            </w:r>
          </w:p>
        </w:tc>
        <w:tc>
          <w:tcPr>
            <w:tcW w:w="28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36,504</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1"/>
        </w:trPr>
        <w:tc>
          <w:tcPr>
            <w:tcW w:w="380" w:type="dxa"/>
            <w:vAlign w:val="bottom"/>
          </w:tcPr>
          <w:p>
            <w:pPr>
              <w:spacing w:after="0"/>
              <w:rPr>
                <w:sz w:val="23"/>
                <w:szCs w:val="23"/>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8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75,253</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Pr>
          <w:p>
            <w:pPr>
              <w:spacing w:after="0"/>
              <w:rPr>
                <w:sz w:val="23"/>
                <w:szCs w:val="23"/>
                <w:color w:val="auto"/>
              </w:rPr>
            </w:pPr>
          </w:p>
        </w:tc>
      </w:tr>
      <w:tr>
        <w:trPr>
          <w:trHeight w:val="230"/>
        </w:trPr>
        <w:tc>
          <w:tcPr>
            <w:tcW w:w="38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1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5,828</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380" w:type="dxa"/>
            <w:vAlign w:val="bottom"/>
          </w:tcPr>
          <w:p>
            <w:pPr>
              <w:spacing w:after="0"/>
              <w:rPr>
                <w:sz w:val="22"/>
                <w:szCs w:val="22"/>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long-term debt</w:t>
            </w:r>
          </w:p>
        </w:tc>
        <w:tc>
          <w:tcPr>
            <w:tcW w:w="2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69,425</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74,557</w:t>
            </w:r>
          </w:p>
        </w:tc>
        <w:tc>
          <w:tcPr>
            <w:tcW w:w="10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r>
      <w:tr>
        <w:trPr>
          <w:trHeight w:val="432"/>
        </w:trPr>
        <w:tc>
          <w:tcPr>
            <w:tcW w:w="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100" w:type="dxa"/>
            <w:vAlign w:val="bottom"/>
            <w:gridSpan w:val="2"/>
          </w:tcPr>
          <w:p>
            <w:pPr>
              <w:jc w:val="right"/>
              <w:ind w:right="1930"/>
              <w:spacing w:after="0"/>
              <w:rPr>
                <w:sz w:val="20"/>
                <w:szCs w:val="20"/>
                <w:color w:val="auto"/>
              </w:rPr>
            </w:pPr>
            <w:r>
              <w:rPr>
                <w:rFonts w:ascii="Arial" w:cs="Arial" w:eastAsia="Arial" w:hAnsi="Arial"/>
                <w:sz w:val="18"/>
                <w:szCs w:val="18"/>
                <w:color w:val="auto"/>
              </w:rPr>
              <w:t>F-16</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8"/>
        </w:trPr>
        <w:tc>
          <w:tcPr>
            <w:tcW w:w="380" w:type="dxa"/>
            <w:vAlign w:val="bottom"/>
            <w:shd w:val="clear" w:color="auto" w:fill="000000"/>
          </w:tcPr>
          <w:p>
            <w:pPr>
              <w:spacing w:after="0"/>
              <w:rPr>
                <w:sz w:val="5"/>
                <w:szCs w:val="5"/>
                <w:color w:val="auto"/>
              </w:rPr>
            </w:pPr>
          </w:p>
        </w:tc>
        <w:tc>
          <w:tcPr>
            <w:tcW w:w="3480" w:type="dxa"/>
            <w:vAlign w:val="bottom"/>
            <w:shd w:val="clear" w:color="auto" w:fill="000000"/>
          </w:tcPr>
          <w:p>
            <w:pPr>
              <w:spacing w:after="0"/>
              <w:rPr>
                <w:sz w:val="5"/>
                <w:szCs w:val="5"/>
                <w:color w:val="auto"/>
              </w:rPr>
            </w:pPr>
          </w:p>
        </w:tc>
        <w:tc>
          <w:tcPr>
            <w:tcW w:w="28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right="180"/>
        <w:spacing w:after="0" w:line="277" w:lineRule="auto"/>
        <w:rPr>
          <w:sz w:val="20"/>
          <w:szCs w:val="20"/>
          <w:color w:val="auto"/>
        </w:rPr>
      </w:pPr>
      <w:r>
        <w:rPr>
          <w:rFonts w:ascii="Arial" w:cs="Arial" w:eastAsia="Arial" w:hAnsi="Arial"/>
          <w:sz w:val="18"/>
          <w:szCs w:val="18"/>
          <w:color w:val="auto"/>
        </w:rPr>
        <w:t>Below is a schedule of future principal payments that the Company is obligated to make on the outstanding long-term debt as of December 31, 2017:</w:t>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2018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43,777</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Total future principal payments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77,027</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financing costs</w:t>
            </w:r>
          </w:p>
        </w:tc>
        <w:tc>
          <w:tcPr>
            <w:tcW w:w="3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(1,774)</w:t>
            </w:r>
          </w:p>
        </w:tc>
      </w:tr>
      <w:tr>
        <w:trPr>
          <w:trHeight w:val="20"/>
        </w:trPr>
        <w:tc>
          <w:tcPr>
            <w:tcW w:w="20" w:type="dxa"/>
            <w:vAlign w:val="bottom"/>
          </w:tcPr>
          <w:p>
            <w:pPr>
              <w:spacing w:after="0" w:line="20" w:lineRule="exact"/>
              <w:rPr>
                <w:sz w:val="1"/>
                <w:szCs w:val="1"/>
                <w:color w:val="auto"/>
              </w:rPr>
            </w:pPr>
          </w:p>
        </w:tc>
        <w:tc>
          <w:tcPr>
            <w:tcW w:w="77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75,253</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Miami Loan</w:t>
      </w:r>
    </w:p>
    <w:p>
      <w:pPr>
        <w:spacing w:after="0" w:line="117" w:lineRule="exact"/>
        <w:rPr>
          <w:sz w:val="20"/>
          <w:szCs w:val="20"/>
          <w:color w:val="auto"/>
        </w:rPr>
      </w:pPr>
    </w:p>
    <w:p>
      <w:pPr>
        <w:ind w:left="360" w:right="80"/>
        <w:spacing w:after="0" w:line="287" w:lineRule="auto"/>
        <w:rPr>
          <w:sz w:val="20"/>
          <w:szCs w:val="20"/>
          <w:color w:val="auto"/>
        </w:rPr>
      </w:pPr>
      <w:r>
        <w:rPr>
          <w:rFonts w:ascii="Arial" w:cs="Arial" w:eastAsia="Arial" w:hAnsi="Arial"/>
          <w:sz w:val="16"/>
          <w:szCs w:val="16"/>
          <w:color w:val="auto"/>
        </w:rPr>
        <w:t>In November 2014, LNG Holdings (Florida) LLC (“LHFL”), a controlled subsidiary, entered into a Credit Agreement (the “Miami Loan”) with a bank for an initial aggregate amount of $40,000, maturing on May 24, 2018, in connection with the construction of an LNG facility in Hialeah, Florida. Borrowings under the loan bear interest at a rate selected by LHFL of either (i) a LIBOR based rate, with a floor of 1.00%, plus a spread of 5.00%, or (ii) subject to a floor of 2%, a Base Rate equal to the higher of (a) the Prime Rate, (b) the Federal Funds Rate plus ½ of 1% or (c) the 1-month LIBOR rate plus the difference between the applicable LIBOR margin and Base Rate margin, plus a spread of 4.00%. Subject to certain conditions, the Miami Loan can be extended for an additional term of up to 18 months. If the Miami Loan is extended past the original maturity date, the spread on LIBOR and Base Rate increases to 5.50% and 4.50%, respectively. The Miami Loan also requires unused commitment fees of 1.25% per annum on undrawn amounts. The Miami Loan is secured by all of the assets of LHFL, which consists primarily of the Miami-Dade Facility. In connection with the Miami Loan, the Company paid origination and other fees of $1,363, of which $158 and $619 are unamortized as of December 31, 2017 and 2016, respectively. These costs are capitalized as deferred financing costs and recorded as a reduction in Long-term debt on the consolidated balance sheets.</w:t>
      </w:r>
    </w:p>
    <w:p>
      <w:pPr>
        <w:spacing w:after="0" w:line="61" w:lineRule="exact"/>
        <w:rPr>
          <w:sz w:val="20"/>
          <w:szCs w:val="20"/>
          <w:color w:val="auto"/>
        </w:rPr>
      </w:pPr>
    </w:p>
    <w:p>
      <w:pPr>
        <w:ind w:left="360" w:right="20"/>
        <w:spacing w:after="0" w:line="271" w:lineRule="auto"/>
        <w:rPr>
          <w:sz w:val="20"/>
          <w:szCs w:val="20"/>
          <w:color w:val="auto"/>
        </w:rPr>
      </w:pPr>
      <w:r>
        <w:rPr>
          <w:rFonts w:ascii="Arial" w:cs="Arial" w:eastAsia="Arial" w:hAnsi="Arial"/>
          <w:sz w:val="17"/>
          <w:szCs w:val="17"/>
          <w:color w:val="auto"/>
        </w:rPr>
        <w:t>The Miami Loan requires periodic payments of interest on either a monthly, quarterly or semi-annual basis, depending upon the interest rate option selected by LHFL. In addition, with respect to LIBOR based borrowings, LHFL, at its option, may elect to defer up to ten interest periods outstanding at any point in time. The Miami Loan also requires annual amortization in an amount equal to 1% of the amount outstanding. The Miami Loan can be prepaid without penalty after the first anniversary of the closing of the Miami Loan. At December 31, 2017 and 2016, interest was calculated on the borrowing based on a three-month LIBOR rate (1% floor) plus a spread of 5%, bearing a total interest rate of 6.57% and 6.00%, respectively. Interest expense, inclusive of amortized debt fees for the years ended December 31, 2017 and 2016, totaled $2,845 and $2,740 respectively, of which $0 and $937 was capitalized.</w:t>
      </w:r>
    </w:p>
    <w:p>
      <w:pPr>
        <w:spacing w:after="0" w:line="71" w:lineRule="exact"/>
        <w:rPr>
          <w:sz w:val="20"/>
          <w:szCs w:val="20"/>
          <w:color w:val="auto"/>
        </w:rPr>
      </w:pPr>
    </w:p>
    <w:p>
      <w:pPr>
        <w:ind w:left="360" w:right="80"/>
        <w:spacing w:after="0" w:line="277" w:lineRule="auto"/>
        <w:rPr>
          <w:sz w:val="20"/>
          <w:szCs w:val="20"/>
          <w:color w:val="auto"/>
        </w:rPr>
      </w:pPr>
      <w:r>
        <w:rPr>
          <w:rFonts w:ascii="Arial" w:cs="Arial" w:eastAsia="Arial" w:hAnsi="Arial"/>
          <w:sz w:val="18"/>
          <w:szCs w:val="18"/>
          <w:color w:val="auto"/>
        </w:rPr>
        <w:t>On May 16, 2018, the Company extended the maturity to November 2019. To execute the extension option, the Company paid an extension fee of $388, equating to 1% of the outstanding principal at that time.</w:t>
      </w:r>
    </w:p>
    <w:p>
      <w:pPr>
        <w:spacing w:after="0" w:line="62"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Under the terms of the Miami Loan, LHFL is required to maintain a Debt Service Reserve Account (the “DSR Account”) in the amount of $912. Such amount is included as a component of Restricted cash on the Company’s consolidated balance sheets (see Note 6).</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2017 and 2016, LHFL was in compliance with all of the covenants under this agreement.</w:t>
      </w:r>
    </w:p>
    <w:p>
      <w:pPr>
        <w:spacing w:after="0" w:line="117" w:lineRule="exact"/>
        <w:rPr>
          <w:sz w:val="20"/>
          <w:szCs w:val="20"/>
          <w:color w:val="auto"/>
        </w:rPr>
      </w:pPr>
    </w:p>
    <w:p>
      <w:pPr>
        <w:ind w:left="360" w:right="160"/>
        <w:spacing w:after="0" w:line="277" w:lineRule="auto"/>
        <w:rPr>
          <w:sz w:val="20"/>
          <w:szCs w:val="20"/>
          <w:color w:val="auto"/>
        </w:rPr>
      </w:pPr>
      <w:r>
        <w:rPr>
          <w:rFonts w:ascii="Arial" w:cs="Arial" w:eastAsia="Arial" w:hAnsi="Arial"/>
          <w:sz w:val="18"/>
          <w:szCs w:val="18"/>
          <w:color w:val="auto"/>
        </w:rPr>
        <w:t>The Company intends to use the net proceeds of the Term Loan Facility entered into in August 2018 to repay the Miami Loan (defined and discussed in more detail in Note 22).</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Montego Bay Loan</w:t>
      </w:r>
    </w:p>
    <w:p>
      <w:pPr>
        <w:spacing w:after="0" w:line="117" w:lineRule="exact"/>
        <w:rPr>
          <w:sz w:val="20"/>
          <w:szCs w:val="20"/>
          <w:color w:val="auto"/>
        </w:rPr>
      </w:pPr>
    </w:p>
    <w:p>
      <w:pPr>
        <w:ind w:left="360" w:right="140"/>
        <w:spacing w:after="0" w:line="277" w:lineRule="auto"/>
        <w:rPr>
          <w:sz w:val="20"/>
          <w:szCs w:val="20"/>
          <w:color w:val="auto"/>
        </w:rPr>
      </w:pPr>
      <w:r>
        <w:rPr>
          <w:rFonts w:ascii="Arial" w:cs="Arial" w:eastAsia="Arial" w:hAnsi="Arial"/>
          <w:sz w:val="18"/>
          <w:szCs w:val="18"/>
          <w:color w:val="auto"/>
        </w:rPr>
        <w:t>In June 2016, NFE North Holdings Limited (“NNHL”), a subsidiary, entered into a Syndicated Loan Agreement (the “MoBay Loan”) with National Commercial Bank Jamaica Limited for an aggregate amount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1" w:name="page122"/>
    <w:bookmarkEnd w:id="12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right="60"/>
        <w:spacing w:after="0" w:line="259" w:lineRule="auto"/>
        <w:rPr>
          <w:sz w:val="20"/>
          <w:szCs w:val="20"/>
          <w:color w:val="auto"/>
        </w:rPr>
      </w:pPr>
      <w:r>
        <w:rPr>
          <w:rFonts w:ascii="Arial" w:cs="Arial" w:eastAsia="Arial" w:hAnsi="Arial"/>
          <w:sz w:val="18"/>
          <w:szCs w:val="18"/>
          <w:color w:val="auto"/>
        </w:rPr>
        <w:t>of $44,000, maturing on June 5, 2023, in connection with the construction of the LNG Terminal in Montego Bay, Jamaica. The MoBay Loan is to be repaid in 77 monthly payments of $452 commencing from December 6, 2016, and a final balloon payment of $9,172 due on the maturity date. Borrowings under the loan bear interest at 8.1%. The MoBay loan is secured by the LNG Terminal in Montego Bay, Jamaica.</w:t>
      </w:r>
    </w:p>
    <w:p>
      <w:pPr>
        <w:spacing w:after="0" w:line="79" w:lineRule="exact"/>
        <w:rPr>
          <w:sz w:val="20"/>
          <w:szCs w:val="20"/>
          <w:color w:val="auto"/>
        </w:rPr>
      </w:pPr>
    </w:p>
    <w:p>
      <w:pPr>
        <w:ind w:left="367" w:right="40"/>
        <w:spacing w:after="0" w:line="259" w:lineRule="auto"/>
        <w:rPr>
          <w:sz w:val="20"/>
          <w:szCs w:val="20"/>
          <w:color w:val="auto"/>
        </w:rPr>
      </w:pPr>
      <w:r>
        <w:rPr>
          <w:rFonts w:ascii="Arial" w:cs="Arial" w:eastAsia="Arial" w:hAnsi="Arial"/>
          <w:sz w:val="18"/>
          <w:szCs w:val="18"/>
          <w:color w:val="auto"/>
        </w:rPr>
        <w:t>Under the terms of the MoBay Loan, NNHL is required to maintain a DSR account in an amount equivalent to principal and interest due in the next six months. During the years ended December 31, 2017 and 2016 $2,615 and $1,812, respectively, was deposited in the DSR account and is included as a component of Restricted cash on the Company’s consolidated balance sheets (see Note 6).</w:t>
      </w:r>
    </w:p>
    <w:p>
      <w:pPr>
        <w:spacing w:after="0" w:line="79" w:lineRule="exact"/>
        <w:rPr>
          <w:sz w:val="20"/>
          <w:szCs w:val="20"/>
          <w:color w:val="auto"/>
        </w:rPr>
      </w:pPr>
    </w:p>
    <w:p>
      <w:pPr>
        <w:ind w:left="367"/>
        <w:spacing w:after="0" w:line="264" w:lineRule="auto"/>
        <w:rPr>
          <w:sz w:val="20"/>
          <w:szCs w:val="20"/>
          <w:color w:val="auto"/>
        </w:rPr>
      </w:pPr>
      <w:r>
        <w:rPr>
          <w:rFonts w:ascii="Arial" w:cs="Arial" w:eastAsia="Arial" w:hAnsi="Arial"/>
          <w:sz w:val="18"/>
          <w:szCs w:val="18"/>
          <w:color w:val="auto"/>
        </w:rPr>
        <w:t>In connection with the MoBay Loan, the Company paid origination and other fees of $2,031. These costs are capitalized as deferred financing costs and recorded as a reduction in Long-term debt on the consolidated balance sheets, of which $1,616 and $1,851 are unamortized as of December 31, 2017 and 2016, respectively.</w:t>
      </w:r>
    </w:p>
    <w:p>
      <w:pPr>
        <w:spacing w:after="0" w:line="73" w:lineRule="exact"/>
        <w:rPr>
          <w:sz w:val="20"/>
          <w:szCs w:val="20"/>
          <w:color w:val="auto"/>
        </w:rPr>
      </w:pPr>
    </w:p>
    <w:p>
      <w:pPr>
        <w:ind w:left="367" w:right="20"/>
        <w:spacing w:after="0" w:line="257" w:lineRule="auto"/>
        <w:rPr>
          <w:sz w:val="20"/>
          <w:szCs w:val="20"/>
          <w:color w:val="auto"/>
        </w:rPr>
      </w:pPr>
      <w:r>
        <w:rPr>
          <w:rFonts w:ascii="Arial" w:cs="Arial" w:eastAsia="Arial" w:hAnsi="Arial"/>
          <w:sz w:val="18"/>
          <w:szCs w:val="18"/>
          <w:color w:val="auto"/>
        </w:rPr>
        <w:t>During the construction period of certain projects in 2016, related interest expense and borrowings costs were capitalized as such costs were directly attributed to the construction. The capitalized interest is amortized as part of the capitalized cost of the asset that is subject to a direct finance lease upon its completion. Interest expense, inclusive of amortized debt fees for the years ended December 31, 2017 and 2016, totaled $3,611 and $1,990 respectively, of which $0 and $1,347 was capitalized and accounted for as a finance lease (See Note 12).</w:t>
      </w:r>
    </w:p>
    <w:p>
      <w:pPr>
        <w:spacing w:after="0" w:line="80" w:lineRule="exact"/>
        <w:rPr>
          <w:sz w:val="20"/>
          <w:szCs w:val="20"/>
          <w:color w:val="auto"/>
        </w:rPr>
      </w:pPr>
    </w:p>
    <w:p>
      <w:pPr>
        <w:ind w:left="367" w:right="360"/>
        <w:spacing w:after="0" w:line="277" w:lineRule="auto"/>
        <w:rPr>
          <w:sz w:val="20"/>
          <w:szCs w:val="20"/>
          <w:color w:val="auto"/>
        </w:rPr>
      </w:pPr>
      <w:r>
        <w:rPr>
          <w:rFonts w:ascii="Arial" w:cs="Arial" w:eastAsia="Arial" w:hAnsi="Arial"/>
          <w:sz w:val="18"/>
          <w:szCs w:val="18"/>
          <w:color w:val="auto"/>
        </w:rPr>
        <w:t>Financial covenants stipulated by the Syndicated Loan Agreement did not come into effect until December 31, 2017. As of December 31, 2017, NNHL was in compliance with all covenants under this agreement.</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Company intends to use the net proceeds of the Term Loan Facility entered into in August 2018 to repay the MoBay Loan.</w:t>
      </w:r>
    </w:p>
    <w:p>
      <w:pPr>
        <w:spacing w:after="0" w:line="46"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Company is subject to a prepayment fee of 1% on the MoBay Loan.</w:t>
      </w:r>
    </w:p>
    <w:p>
      <w:pPr>
        <w:spacing w:after="0" w:line="211"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Corporate Loan</w:t>
      </w:r>
    </w:p>
    <w:p>
      <w:pPr>
        <w:spacing w:after="0" w:line="117" w:lineRule="exact"/>
        <w:rPr>
          <w:sz w:val="20"/>
          <w:szCs w:val="20"/>
          <w:color w:val="auto"/>
        </w:rPr>
      </w:pPr>
    </w:p>
    <w:p>
      <w:pPr>
        <w:ind w:left="367" w:right="40"/>
        <w:spacing w:after="0" w:line="312" w:lineRule="auto"/>
        <w:rPr>
          <w:sz w:val="20"/>
          <w:szCs w:val="20"/>
          <w:color w:val="auto"/>
        </w:rPr>
      </w:pPr>
      <w:r>
        <w:rPr>
          <w:rFonts w:ascii="Arial" w:cs="Arial" w:eastAsia="Arial" w:hAnsi="Arial"/>
          <w:sz w:val="16"/>
          <w:szCs w:val="16"/>
          <w:color w:val="auto"/>
        </w:rPr>
        <w:t>On December 21, 2015, NFE Atlantic Holdings LLC (“NAHL”), a subsidiary, entered into a Credit Agreement (the “Corporate Loan”) with a bank for an initial aggregate amount of $65,000, which matured on December 20, 2016. The Corporate Loan was for general corporate purposes, including present and future construction projects under development in various locations.</w:t>
      </w:r>
    </w:p>
    <w:p>
      <w:pPr>
        <w:spacing w:after="0" w:line="39" w:lineRule="exact"/>
        <w:rPr>
          <w:sz w:val="20"/>
          <w:szCs w:val="20"/>
          <w:color w:val="auto"/>
        </w:rPr>
      </w:pPr>
    </w:p>
    <w:p>
      <w:pPr>
        <w:ind w:left="367" w:right="120"/>
        <w:spacing w:after="0" w:line="272" w:lineRule="auto"/>
        <w:rPr>
          <w:sz w:val="20"/>
          <w:szCs w:val="20"/>
          <w:color w:val="auto"/>
        </w:rPr>
      </w:pPr>
      <w:r>
        <w:rPr>
          <w:rFonts w:ascii="Arial" w:cs="Arial" w:eastAsia="Arial" w:hAnsi="Arial"/>
          <w:sz w:val="17"/>
          <w:szCs w:val="17"/>
          <w:color w:val="auto"/>
        </w:rPr>
        <w:t>The Corporate Loan provided for an exit fee of 2% of the aggregate principal amounts repaid, whether by prepayment, scheduled repayment or repayment at maturity. An exit fee of $1,297 was accrued ratably over the term of the Corporate Loan and recorded as a component of Accrued liabilities and Interest expense in the Company’s consolidated balance sheets and consolidated statements of operations and comprehensive loss, respectively. In connection with the Corporate Loan, NAHL paid origination fees of $2,118 which had been recorded as a reduction to debt principal and were amortized over the term of the loan. Total interest expense of $0 and $3,892 was incurred during the years ended December 31, 2017 and 2016, of which $0 and $1,233, respectively, was capitalized.</w:t>
      </w:r>
    </w:p>
    <w:p>
      <w:pPr>
        <w:spacing w:after="0" w:line="7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Under the terms of the Corporate Loan, NAHL was required to maintain a DSR Account in the amount of $3,576.</w:t>
      </w:r>
    </w:p>
    <w:p>
      <w:pPr>
        <w:spacing w:after="0" w:line="117" w:lineRule="exact"/>
        <w:rPr>
          <w:sz w:val="20"/>
          <w:szCs w:val="20"/>
          <w:color w:val="auto"/>
        </w:rPr>
      </w:pPr>
    </w:p>
    <w:p>
      <w:pPr>
        <w:jc w:val="both"/>
        <w:ind w:left="367" w:right="160"/>
        <w:spacing w:after="0" w:line="264" w:lineRule="auto"/>
        <w:rPr>
          <w:sz w:val="20"/>
          <w:szCs w:val="20"/>
          <w:color w:val="auto"/>
        </w:rPr>
      </w:pPr>
      <w:r>
        <w:rPr>
          <w:rFonts w:ascii="Arial" w:cs="Arial" w:eastAsia="Arial" w:hAnsi="Arial"/>
          <w:sz w:val="18"/>
          <w:szCs w:val="18"/>
          <w:color w:val="auto"/>
        </w:rPr>
        <w:t>The Corporate Loan was fully repaid together with the applicable accrued interest of $119 and exit fee of $1,297 for a total of $1,416 on June 3, 2016. Loss on extinguishment of debt of $1,177 was recognized during the year ended December 31, 2016 within the consolidated statements of operations and comprehensive loss.</w:t>
      </w:r>
    </w:p>
    <w:p>
      <w:pPr>
        <w:spacing w:after="0" w:line="69" w:lineRule="exact"/>
        <w:rPr>
          <w:sz w:val="20"/>
          <w:szCs w:val="20"/>
          <w:color w:val="auto"/>
        </w:rPr>
      </w:pPr>
    </w:p>
    <w:p>
      <w:pPr>
        <w:ind w:left="347" w:hanging="347"/>
        <w:spacing w:after="0"/>
        <w:tabs>
          <w:tab w:leader="none" w:pos="347"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367"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the U.S. and the Caribbean. As a pass-through entity for U.S. federal tax purposes, no income tax provision or benefit for U.S. income taxes has been recorded for the periods presented.</w:t>
      </w:r>
    </w:p>
    <w:p>
      <w:pPr>
        <w:spacing w:after="0" w:line="170"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Jamaica</w:t>
      </w:r>
    </w:p>
    <w:p>
      <w:pPr>
        <w:spacing w:after="0" w:line="117" w:lineRule="exact"/>
        <w:rPr>
          <w:rFonts w:ascii="Arial" w:cs="Arial" w:eastAsia="Arial" w:hAnsi="Arial"/>
          <w:sz w:val="18"/>
          <w:szCs w:val="18"/>
          <w:b w:val="1"/>
          <w:bCs w:val="1"/>
          <w:color w:val="auto"/>
        </w:rPr>
      </w:pPr>
    </w:p>
    <w:p>
      <w:pPr>
        <w:ind w:left="367"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subsidiaries incorporated in Jamaica are subject to income tax which is computed at 25% of the relevant subsidiaries’ results for the year, adjusted for tax purposes.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2" w:name="page123"/>
    <w:bookmarkEnd w:id="122"/>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provision / (benefit) for the taxes on income consists of the following:</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Deferred income tax</w:t>
            </w:r>
          </w:p>
        </w:tc>
        <w:tc>
          <w:tcPr>
            <w:tcW w:w="6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521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0"/>
        </w:trPr>
        <w:tc>
          <w:tcPr>
            <w:tcW w:w="6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526</w:t>
            </w:r>
          </w:p>
        </w:tc>
        <w:tc>
          <w:tcPr>
            <w:tcW w:w="16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r>
      <w:tr>
        <w:trPr>
          <w:trHeight w:val="27"/>
        </w:trPr>
        <w:tc>
          <w:tcPr>
            <w:tcW w:w="68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left="367" w:right="220"/>
        <w:spacing w:after="0" w:line="264" w:lineRule="auto"/>
        <w:rPr>
          <w:sz w:val="20"/>
          <w:szCs w:val="20"/>
          <w:color w:val="auto"/>
        </w:rPr>
      </w:pPr>
      <w:r>
        <w:rPr>
          <w:rFonts w:ascii="Arial" w:cs="Arial" w:eastAsia="Arial" w:hAnsi="Arial"/>
          <w:sz w:val="18"/>
          <w:szCs w:val="18"/>
          <w:color w:val="auto"/>
        </w:rPr>
        <w:t>The effective tax rate for the year-ended December 31, 2017 and 2016 was 1.7% and (1.1%), respectively. As a pass through entity, the Company’s statutory rate is 0% and the entire difference between the statutory and effective rate is attributable to foreign taxes.</w:t>
      </w:r>
    </w:p>
    <w:p>
      <w:pPr>
        <w:spacing w:after="0" w:line="73" w:lineRule="exact"/>
        <w:rPr>
          <w:sz w:val="20"/>
          <w:szCs w:val="20"/>
          <w:color w:val="auto"/>
        </w:rPr>
      </w:pPr>
    </w:p>
    <w:p>
      <w:pPr>
        <w:ind w:left="367" w:right="200"/>
        <w:spacing w:after="0" w:line="297" w:lineRule="auto"/>
        <w:rPr>
          <w:sz w:val="20"/>
          <w:szCs w:val="20"/>
          <w:color w:val="auto"/>
        </w:rPr>
      </w:pPr>
      <w:r>
        <w:rPr>
          <w:rFonts w:ascii="Arial" w:cs="Arial" w:eastAsia="Arial" w:hAnsi="Arial"/>
          <w:sz w:val="16"/>
          <w:szCs w:val="16"/>
          <w:color w:val="auto"/>
        </w:rPr>
        <w:t>Deferred income tax assets are recognized for tax loss carry-forwards in certain of the Company’s foreign subsidiaries to the extent that it is more likely than not that the Company will realize the related tax benefit through future taxable profits. Management, through tax-planning assessment and consideration of the relevant subsidiaries fixed revenue streams, believes that it is more likely than not that tax loss carry-forwards will be fully utilized by the subsidiary in future reporting periods. These tax loss carry-forwards do not expire, but will become subject to certain limitations in 2020.</w:t>
      </w:r>
    </w:p>
    <w:p>
      <w:pPr>
        <w:spacing w:after="0" w:line="5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deferred taxes were as follows for the period ended December 31, 2017 and 2016:</w:t>
      </w:r>
    </w:p>
    <w:p>
      <w:pPr>
        <w:spacing w:after="0" w:line="82"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3"/>
              </w:rPr>
              <w:t>Accelerated tax depreciation taken on property, plant and equipment underlying the finance</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receivables, and other temporary differences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(2,179)</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Taxable losses available for offsetting against future taxable income</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r>
      <w:tr>
        <w:trPr>
          <w:trHeight w:val="244"/>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asset, net at December 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1"/>
                <w:szCs w:val="21"/>
                <w:color w:val="auto"/>
              </w:rPr>
            </w:pPr>
          </w:p>
        </w:tc>
      </w:tr>
      <w:tr>
        <w:trPr>
          <w:trHeight w:val="27"/>
        </w:trPr>
        <w:tc>
          <w:tcPr>
            <w:tcW w:w="68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bl>
    <w:p>
      <w:pPr>
        <w:spacing w:after="0" w:line="94" w:lineRule="exact"/>
        <w:rPr>
          <w:sz w:val="20"/>
          <w:szCs w:val="20"/>
          <w:color w:val="auto"/>
        </w:rPr>
      </w:pPr>
    </w:p>
    <w:p>
      <w:pPr>
        <w:jc w:val="both"/>
        <w:ind w:left="367" w:right="200"/>
        <w:spacing w:after="0" w:line="342" w:lineRule="auto"/>
        <w:rPr>
          <w:sz w:val="20"/>
          <w:szCs w:val="20"/>
          <w:color w:val="auto"/>
        </w:rPr>
      </w:pPr>
      <w:r>
        <w:rPr>
          <w:rFonts w:ascii="Arial" w:cs="Arial" w:eastAsia="Arial" w:hAnsi="Arial"/>
          <w:sz w:val="16"/>
          <w:szCs w:val="16"/>
          <w:color w:val="auto"/>
        </w:rPr>
        <w:t>The Company has not recorded a liability for uncertain tax positions as of December 31, 2017 or 2016. We remain subject to periodic audits and reviews by the taxing authority; our returns since our formation remain open for examination.</w:t>
      </w:r>
    </w:p>
    <w:p>
      <w:pPr>
        <w:spacing w:after="0" w:line="124"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Bermuda</w:t>
      </w:r>
    </w:p>
    <w:p>
      <w:pPr>
        <w:spacing w:after="0" w:line="117" w:lineRule="exact"/>
        <w:rPr>
          <w:sz w:val="20"/>
          <w:szCs w:val="20"/>
          <w:color w:val="auto"/>
        </w:rPr>
      </w:pPr>
    </w:p>
    <w:p>
      <w:pPr>
        <w:ind w:left="367"/>
        <w:spacing w:after="0" w:line="312" w:lineRule="auto"/>
        <w:rPr>
          <w:sz w:val="20"/>
          <w:szCs w:val="20"/>
          <w:color w:val="auto"/>
        </w:rPr>
      </w:pPr>
      <w:r>
        <w:rPr>
          <w:rFonts w:ascii="Arial" w:cs="Arial" w:eastAsia="Arial" w:hAnsi="Arial"/>
          <w:sz w:val="16"/>
          <w:szCs w:val="16"/>
          <w:color w:val="auto"/>
        </w:rPr>
        <w:t>The Company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the period 2035.</w:t>
      </w:r>
    </w:p>
    <w:p>
      <w:pPr>
        <w:spacing w:after="0" w:line="35" w:lineRule="exact"/>
        <w:rPr>
          <w:sz w:val="20"/>
          <w:szCs w:val="20"/>
          <w:color w:val="auto"/>
        </w:rPr>
      </w:pPr>
    </w:p>
    <w:p>
      <w:pPr>
        <w:ind w:left="347" w:hanging="347"/>
        <w:spacing w:after="0"/>
        <w:tabs>
          <w:tab w:leader="none" w:pos="347"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367"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conjunction with its principal business activities, the Company enters into various firm commitments in the purchase, production and transportation of LNG and natural gas. Such agreements may include options related to the price of quantities of natural gas under gas purchase and sale agreements, LNG purchase agreements, or options related to the duration of time charters for shipping cargoes. The exercise of these options is dependent upon conditions being fulfilled by the option’s holder and future LNG market levels.</w:t>
      </w:r>
    </w:p>
    <w:p>
      <w:pPr>
        <w:spacing w:after="0" w:line="80" w:lineRule="exact"/>
        <w:rPr>
          <w:rFonts w:ascii="Arial" w:cs="Arial" w:eastAsia="Arial" w:hAnsi="Arial"/>
          <w:sz w:val="18"/>
          <w:szCs w:val="18"/>
          <w:b w:val="1"/>
          <w:bCs w:val="1"/>
          <w:color w:val="auto"/>
        </w:rPr>
      </w:pPr>
    </w:p>
    <w:p>
      <w:pPr>
        <w:ind w:left="367"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the balance sheet date, the estimated future cash payments related to outstanding contractual commitments, at market prices as of December 31, 2017, is summarized as follows:</w:t>
      </w:r>
    </w:p>
    <w:p>
      <w:pPr>
        <w:spacing w:after="0" w:line="27" w:lineRule="exact"/>
        <w:rPr>
          <w:sz w:val="20"/>
          <w:szCs w:val="20"/>
          <w:color w:val="auto"/>
        </w:rPr>
      </w:pPr>
    </w:p>
    <w:tbl>
      <w:tblPr>
        <w:tblLayout w:type="fixed"/>
        <w:tblInd w:w="387"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Natural gas supply purchase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1,155</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  $</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LNG inventory purchases</w:t>
            </w: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50,461</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r>
    </w:tbl>
    <w:p>
      <w:pPr>
        <w:spacing w:after="0" w:line="106" w:lineRule="exact"/>
        <w:rPr>
          <w:sz w:val="20"/>
          <w:szCs w:val="20"/>
          <w:color w:val="auto"/>
        </w:rPr>
      </w:pPr>
    </w:p>
    <w:p>
      <w:pPr>
        <w:ind w:left="367" w:right="40"/>
        <w:spacing w:after="0" w:line="259" w:lineRule="auto"/>
        <w:rPr>
          <w:sz w:val="20"/>
          <w:szCs w:val="20"/>
          <w:color w:val="auto"/>
        </w:rPr>
      </w:pPr>
      <w:r>
        <w:rPr>
          <w:rFonts w:ascii="Arial" w:cs="Arial" w:eastAsia="Arial" w:hAnsi="Arial"/>
          <w:sz w:val="18"/>
          <w:szCs w:val="18"/>
          <w:color w:val="auto"/>
        </w:rPr>
        <w:t>The future cash payments summarized above represent the Company’s minimum firm purchase commitment as of December 31, 2017. The 2018 commitment for LNG inventory purchases was partially prepaid as of December 31, 2017 in the amount of $16,665. During the years ended December 31, 2017 and 2016, the Company made purchases of $57,613 and $25,800 under unconditional purchase agreements.</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23" w:name="page124"/>
    <w:bookmarkEnd w:id="123"/>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Natural gas supply purchase obligations</w:t>
      </w:r>
    </w:p>
    <w:p>
      <w:pPr>
        <w:spacing w:after="0" w:line="117" w:lineRule="exact"/>
        <w:rPr>
          <w:sz w:val="20"/>
          <w:szCs w:val="20"/>
          <w:color w:val="auto"/>
        </w:rPr>
      </w:pPr>
    </w:p>
    <w:p>
      <w:pPr>
        <w:ind w:left="367"/>
        <w:spacing w:after="0" w:line="302" w:lineRule="auto"/>
        <w:rPr>
          <w:sz w:val="20"/>
          <w:szCs w:val="20"/>
          <w:color w:val="auto"/>
        </w:rPr>
      </w:pPr>
      <w:r>
        <w:rPr>
          <w:rFonts w:ascii="Arial" w:cs="Arial" w:eastAsia="Arial" w:hAnsi="Arial"/>
          <w:sz w:val="16"/>
          <w:szCs w:val="16"/>
          <w:color w:val="auto"/>
        </w:rPr>
        <w:t>The Company is a party to contractual purchase commitments with terms of 38 months and 60 months. These commitments are designed to assure sources of supply and are not expected to be in excess of normal requirements. For agreements for supply where there is an active markets, such agreements qualify for and the Company elected the normal purchase exception under the derivatives guidance; therefore, the purchases under these contracts are included in Inventory and Cost of sales as incurred.</w:t>
      </w:r>
    </w:p>
    <w:p>
      <w:pPr>
        <w:spacing w:after="0" w:line="154"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LNG inventory purchases and other</w:t>
      </w:r>
    </w:p>
    <w:p>
      <w:pPr>
        <w:spacing w:after="0" w:line="117" w:lineRule="exact"/>
        <w:rPr>
          <w:sz w:val="20"/>
          <w:szCs w:val="20"/>
          <w:color w:val="auto"/>
        </w:rPr>
      </w:pPr>
    </w:p>
    <w:p>
      <w:pPr>
        <w:ind w:left="367" w:right="920"/>
        <w:spacing w:after="0" w:line="277" w:lineRule="auto"/>
        <w:rPr>
          <w:sz w:val="20"/>
          <w:szCs w:val="20"/>
          <w:color w:val="auto"/>
        </w:rPr>
      </w:pPr>
      <w:r>
        <w:rPr>
          <w:rFonts w:ascii="Arial" w:cs="Arial" w:eastAsia="Arial" w:hAnsi="Arial"/>
          <w:sz w:val="18"/>
          <w:szCs w:val="18"/>
          <w:color w:val="auto"/>
        </w:rPr>
        <w:t>On December 20, 2016, the Company committed to the purchase of 756,000 cubic meters of LNG, with half of the commitment delivered in 2017 and half in 2018.</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Company’s lease obligations are discussed in Note 19, Leases, as lessee.</w:t>
      </w:r>
    </w:p>
    <w:p>
      <w:pPr>
        <w:spacing w:after="0" w:line="117" w:lineRule="exact"/>
        <w:rPr>
          <w:sz w:val="20"/>
          <w:szCs w:val="20"/>
          <w:color w:val="auto"/>
        </w:rPr>
      </w:pPr>
    </w:p>
    <w:p>
      <w:pPr>
        <w:ind w:left="367" w:right="100"/>
        <w:spacing w:after="0" w:line="257" w:lineRule="auto"/>
        <w:rPr>
          <w:sz w:val="20"/>
          <w:szCs w:val="20"/>
          <w:color w:val="auto"/>
        </w:rPr>
      </w:pPr>
      <w:r>
        <w:rPr>
          <w:rFonts w:ascii="Arial" w:cs="Arial" w:eastAsia="Arial" w:hAnsi="Arial"/>
          <w:sz w:val="18"/>
          <w:szCs w:val="18"/>
          <w:color w:val="auto"/>
        </w:rPr>
        <w:t>In addition to the above disclosed commitments, in September 2016 the Company made a commitment of up to an estimated $180,000 to build a gas-fired combined heat and power plant in Jamaica under a Joint Development Agreement with a third party prior to commercial agreements being finalized. In August and October 2017 respectively, a Power Purchase Agreement and Steam Supply Agreement were executed, obligating the Company to complete the development subject to the conditions set forth in those agreements.</w:t>
      </w:r>
    </w:p>
    <w:p>
      <w:pPr>
        <w:spacing w:after="0" w:line="188"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left="367" w:right="20"/>
        <w:spacing w:after="0" w:line="276" w:lineRule="auto"/>
        <w:rPr>
          <w:sz w:val="20"/>
          <w:szCs w:val="20"/>
          <w:color w:val="auto"/>
        </w:rPr>
      </w:pPr>
      <w:r>
        <w:rPr>
          <w:rFonts w:ascii="Arial" w:cs="Arial" w:eastAsia="Arial" w:hAnsi="Arial"/>
          <w:sz w:val="17"/>
          <w:szCs w:val="17"/>
          <w:color w:val="auto"/>
        </w:rPr>
        <w:t>As of December 31, 2016, the Company had accrued for $1,204 of tangible personal property tax levied in the State of Florida in respect of the LNG Plant in Hialeah. During 2017, the Company paid this amount in full and subsequently took legal proceedings to challenge the tax amount for a full or partial rebate. The Company successfully challenged the tax amount, including penalties, and received a full rebate. The State of Florida has appealed the determination and the Company repaid the rebate amount in order to avoid penalties and charges while the appeal is under consideration.</w:t>
      </w:r>
    </w:p>
    <w:p>
      <w:pPr>
        <w:spacing w:after="0" w:line="64" w:lineRule="exact"/>
        <w:rPr>
          <w:sz w:val="20"/>
          <w:szCs w:val="20"/>
          <w:color w:val="auto"/>
        </w:rPr>
      </w:pPr>
    </w:p>
    <w:p>
      <w:pPr>
        <w:jc w:val="both"/>
        <w:ind w:left="367" w:right="120"/>
        <w:spacing w:after="0" w:line="264" w:lineRule="auto"/>
        <w:rPr>
          <w:sz w:val="20"/>
          <w:szCs w:val="20"/>
          <w:color w:val="auto"/>
        </w:rPr>
      </w:pPr>
      <w:r>
        <w:rPr>
          <w:rFonts w:ascii="Arial" w:cs="Arial" w:eastAsia="Arial" w:hAnsi="Arial"/>
          <w:sz w:val="18"/>
          <w:szCs w:val="18"/>
          <w:color w:val="auto"/>
        </w:rPr>
        <w:t>As at the date at which these consolidated financial statements were available to be issued, the appeal has not been concluded. Should the State of Florida lose the appeal the Company expects a full refund which will be recognized as a gain contingency recognized in earnings when the cash is received.</w:t>
      </w:r>
    </w:p>
    <w:p>
      <w:pPr>
        <w:spacing w:after="0" w:line="69" w:lineRule="exact"/>
        <w:rPr>
          <w:sz w:val="20"/>
          <w:szCs w:val="20"/>
          <w:color w:val="auto"/>
        </w:rPr>
      </w:pPr>
    </w:p>
    <w:p>
      <w:pPr>
        <w:ind w:left="347" w:hanging="347"/>
        <w:spacing w:after="0"/>
        <w:tabs>
          <w:tab w:leader="none" w:pos="347"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In May 2016, the Company received capital contributions of $271 from Fortress Equity Partners (A) LP (“FEP”).</w:t>
      </w:r>
    </w:p>
    <w:p>
      <w:pPr>
        <w:spacing w:after="0" w:line="117" w:lineRule="exact"/>
        <w:rPr>
          <w:rFonts w:ascii="Arial" w:cs="Arial" w:eastAsia="Arial" w:hAnsi="Arial"/>
          <w:sz w:val="18"/>
          <w:szCs w:val="18"/>
          <w:b w:val="1"/>
          <w:bCs w:val="1"/>
          <w:color w:val="auto"/>
        </w:rPr>
      </w:pPr>
    </w:p>
    <w:p>
      <w:pPr>
        <w:ind w:left="367"/>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June 2, 2016, the Company entered into a Limited Liability Company Agreement with its shareholders. Under the agreement, the Company is authorized to issue up to 500,000,000 common shares. On June 2, 2016, the Company issued 65,000,000 common shares (no par value) to Members in proportion to their respective ownership interests, receiving $300,505 of capital contributions. The Company incurred costs of $1,076 in raising capital which was recorded as a reduction of equity on the consolidated balance sheets.</w:t>
      </w:r>
    </w:p>
    <w:p>
      <w:pPr>
        <w:spacing w:after="0" w:line="80"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In February 2017, an existing Member purchased 2,500 additional shares for $50.</w:t>
      </w:r>
    </w:p>
    <w:p>
      <w:pPr>
        <w:spacing w:after="0" w:line="117" w:lineRule="exact"/>
        <w:rPr>
          <w:rFonts w:ascii="Arial" w:cs="Arial" w:eastAsia="Arial" w:hAnsi="Arial"/>
          <w:sz w:val="18"/>
          <w:szCs w:val="18"/>
          <w:b w:val="1"/>
          <w:bCs w:val="1"/>
          <w:color w:val="auto"/>
        </w:rPr>
      </w:pPr>
    </w:p>
    <w:p>
      <w:pPr>
        <w:ind w:left="367" w:right="1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 December 29, 2017, 2,314,752 common shares (no par value) were subscribed for consideration of $70,050 and recorded within Members’ capital on the consolidated balance sheets. Of the total amount subscribed, $20,050 was received during the period and $50,000 was received after December 31, 2017 which was recorded as Stock subscriptions receivable offsetting Members’ capital on the consolidated balance sheets. The Company incurred costs in raising capital of $192 which was recorded as a reduction of equity on the consolidated balance sheets.</w:t>
      </w:r>
    </w:p>
    <w:p>
      <w:pPr>
        <w:spacing w:after="0" w:line="60" w:lineRule="exact"/>
        <w:rPr>
          <w:rFonts w:ascii="Arial" w:cs="Arial" w:eastAsia="Arial" w:hAnsi="Arial"/>
          <w:sz w:val="18"/>
          <w:szCs w:val="18"/>
          <w:b w:val="1"/>
          <w:bCs w:val="1"/>
          <w:color w:val="auto"/>
        </w:rPr>
      </w:pPr>
    </w:p>
    <w:p>
      <w:pPr>
        <w:ind w:left="347" w:hanging="347"/>
        <w:spacing w:after="0"/>
        <w:tabs>
          <w:tab w:leader="none" w:pos="347"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ind w:left="367"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operates a defined contribution plan through a Jamaican service provider for Jamaican employees. For the year ended December 31, 2017 and 2016, expense for the defined contribution plan totaled $46 and $27, respectively, and is included within Cost of sales in the consolidated statements of operations and comprehensive loss.</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124" w:name="page125"/>
    <w:bookmarkEnd w:id="124"/>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47" w:hanging="347"/>
        <w:spacing w:after="0"/>
        <w:tabs>
          <w:tab w:leader="none" w:pos="347"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Leases, as lessee</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7"/>
          <w:szCs w:val="17"/>
          <w:color w:val="auto"/>
        </w:rPr>
        <w:t>During the year ended December 31, 2017 and 2016, the Company recognized rental expense for all operating leases of</w:t>
      </w:r>
    </w:p>
    <w:p>
      <w:pPr>
        <w:spacing w:after="0" w:line="34" w:lineRule="exact"/>
        <w:rPr>
          <w:rFonts w:ascii="Arial" w:cs="Arial" w:eastAsia="Arial" w:hAnsi="Arial"/>
          <w:sz w:val="18"/>
          <w:szCs w:val="18"/>
          <w:b w:val="1"/>
          <w:bCs w:val="1"/>
          <w:color w:val="auto"/>
        </w:rPr>
      </w:pPr>
    </w:p>
    <w:p>
      <w:pPr>
        <w:ind w:left="367" w:right="4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$17,369 and $3,539, respectively, related primarily to LNG vessel time charters, office space, a land site lease, and a marine port berth lease. The land site lease is held with an affiliate (see Note 20) of the Company and has an initial term up to 5 years, and the marine port berth lease had an initial term up to 10 years. Both leases contain renewal options.</w:t>
      </w:r>
    </w:p>
    <w:p>
      <w:pPr>
        <w:spacing w:after="0" w:line="65" w:lineRule="exact"/>
        <w:rPr>
          <w:sz w:val="20"/>
          <w:szCs w:val="20"/>
          <w:color w:val="auto"/>
        </w:rPr>
      </w:pPr>
    </w:p>
    <w:tbl>
      <w:tblPr>
        <w:tblLayout w:type="fixed"/>
        <w:tblInd w:w="367" w:type="dxa"/>
        <w:tblCellMar>
          <w:top w:w="0" w:type="dxa"/>
          <w:left w:w="0" w:type="dxa"/>
          <w:bottom w:w="0" w:type="dxa"/>
          <w:right w:w="0" w:type="dxa"/>
        </w:tblCellMar>
      </w:tblP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non-cancellable operating leases are as follows: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2018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67" w:right="7120" w:hanging="367"/>
        <w:spacing w:after="0" w:line="425" w:lineRule="auto"/>
        <w:tabs>
          <w:tab w:leader="none" w:pos="358"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i w:val="1"/>
          <w:iCs w:val="1"/>
          <w:color w:val="auto"/>
        </w:rPr>
        <w:t>Management services</w:t>
      </w:r>
    </w:p>
    <w:p>
      <w:pPr>
        <w:ind w:left="367" w:right="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In the ordinary course of business, Fortress, through affiliated entities, charges the Company for administrative and general expenses incurred. The portion of such charges that are attributable to the Company totaled $3,866 and $2,214 for the years ended December 31, 2017 and 2016, respectively, and are included within Selling, general and administrative in the consolidated statements of operations and comprehensive loss. As of December 31, 2017 and 2016, $2,054 and $621 were due to Fortress, respectively.</w:t>
      </w:r>
    </w:p>
    <w:p>
      <w:pPr>
        <w:spacing w:after="0" w:line="80" w:lineRule="exact"/>
        <w:rPr>
          <w:rFonts w:ascii="Arial" w:cs="Arial" w:eastAsia="Arial" w:hAnsi="Arial"/>
          <w:sz w:val="16"/>
          <w:szCs w:val="16"/>
          <w:b w:val="1"/>
          <w:bCs w:val="1"/>
          <w:color w:val="auto"/>
        </w:rPr>
      </w:pPr>
    </w:p>
    <w:p>
      <w:pPr>
        <w:ind w:left="367"/>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Company is controlled by a Member who owned or leased aircraft that the Company chartered from a third-party aircraft operator for business purposes in the course of operations. The Company paid the aircraft operator market rates for the charters of $2,917 and $1,592 for the years ended December 31, 2017 and 2016, respectively, and these amounts are included in the activity and balances disclosed above.</w:t>
      </w:r>
    </w:p>
    <w:p>
      <w:pPr>
        <w:spacing w:after="0" w:line="186" w:lineRule="exact"/>
        <w:rPr>
          <w:rFonts w:ascii="Arial" w:cs="Arial" w:eastAsia="Arial" w:hAnsi="Arial"/>
          <w:sz w:val="16"/>
          <w:szCs w:val="16"/>
          <w:b w:val="1"/>
          <w:bCs w:val="1"/>
          <w:color w:val="auto"/>
        </w:rPr>
      </w:pPr>
    </w:p>
    <w:p>
      <w:pPr>
        <w:ind w:left="367"/>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Land lease</w:t>
      </w:r>
    </w:p>
    <w:p>
      <w:pPr>
        <w:spacing w:after="0" w:line="117" w:lineRule="exact"/>
        <w:rPr>
          <w:rFonts w:ascii="Arial" w:cs="Arial" w:eastAsia="Arial" w:hAnsi="Arial"/>
          <w:sz w:val="16"/>
          <w:szCs w:val="16"/>
          <w:b w:val="1"/>
          <w:bCs w:val="1"/>
          <w:color w:val="auto"/>
        </w:rPr>
      </w:pPr>
    </w:p>
    <w:p>
      <w:pPr>
        <w:ind w:left="367" w:right="18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As disclosed in Note 19, the Company has a land and office lease with Florida East Coast Industries, LLC (“FECI”). The expense for the year ended December 31, 2017 and 2016 totaled $285 and $302, respectively, and is included within Operations and maintenance in the consolidated statements of operations and comprehensive loss. As of December 31, 2017 and 2016, $37 and $554 were due to FECI, respectively.</w:t>
      </w:r>
    </w:p>
    <w:p>
      <w:pPr>
        <w:spacing w:after="0" w:line="186" w:lineRule="exact"/>
        <w:rPr>
          <w:rFonts w:ascii="Arial" w:cs="Arial" w:eastAsia="Arial" w:hAnsi="Arial"/>
          <w:sz w:val="16"/>
          <w:szCs w:val="16"/>
          <w:b w:val="1"/>
          <w:bCs w:val="1"/>
          <w:color w:val="auto"/>
        </w:rPr>
      </w:pPr>
    </w:p>
    <w:p>
      <w:pPr>
        <w:ind w:left="367"/>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Florida East Coast Railway (“FECR”)</w:t>
      </w:r>
    </w:p>
    <w:p>
      <w:pPr>
        <w:spacing w:after="0" w:line="117" w:lineRule="exact"/>
        <w:rPr>
          <w:rFonts w:ascii="Arial" w:cs="Arial" w:eastAsia="Arial" w:hAnsi="Arial"/>
          <w:sz w:val="16"/>
          <w:szCs w:val="16"/>
          <w:b w:val="1"/>
          <w:bCs w:val="1"/>
          <w:color w:val="auto"/>
        </w:rPr>
      </w:pPr>
    </w:p>
    <w:p>
      <w:pPr>
        <w:ind w:left="367" w:right="8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Company was affiliated with FECR, an entity previously majority-owned by an affiliate of Fortress, and sells LNG to FECR under a purchase and sale agreement entered into in December 2016. FECR was sold by Fortress on June 30, 2017, the date from which FECR was no longer considered affiliated with the Company.</w:t>
      </w:r>
    </w:p>
    <w:p>
      <w:pPr>
        <w:spacing w:after="0" w:line="73" w:lineRule="exact"/>
        <w:rPr>
          <w:rFonts w:ascii="Arial" w:cs="Arial" w:eastAsia="Arial" w:hAnsi="Arial"/>
          <w:sz w:val="16"/>
          <w:szCs w:val="16"/>
          <w:b w:val="1"/>
          <w:bCs w:val="1"/>
          <w:color w:val="auto"/>
        </w:rPr>
      </w:pPr>
    </w:p>
    <w:p>
      <w:pPr>
        <w:ind w:left="367" w:right="24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During the years ended December 31, 2017 and 2016, the Company made sales of LNG to FECR totaling $1,618 and $329, respectively, for the periods FECR was affiliated with the Company. As of December 31, 2016, $22 were due to FECR.</w:t>
      </w:r>
    </w:p>
    <w:p>
      <w:pPr>
        <w:spacing w:after="0" w:line="123" w:lineRule="exact"/>
        <w:rPr>
          <w:rFonts w:ascii="Arial" w:cs="Arial" w:eastAsia="Arial" w:hAnsi="Arial"/>
          <w:sz w:val="16"/>
          <w:szCs w:val="16"/>
          <w:b w:val="1"/>
          <w:bCs w:val="1"/>
          <w:color w:val="auto"/>
        </w:rPr>
      </w:pPr>
    </w:p>
    <w:p>
      <w:pPr>
        <w:ind w:left="367"/>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Due to/from Affiliates</w:t>
      </w:r>
    </w:p>
    <w:p>
      <w:pPr>
        <w:spacing w:after="0" w:line="117" w:lineRule="exact"/>
        <w:rPr>
          <w:rFonts w:ascii="Arial" w:cs="Arial" w:eastAsia="Arial" w:hAnsi="Arial"/>
          <w:sz w:val="16"/>
          <w:szCs w:val="16"/>
          <w:b w:val="1"/>
          <w:bCs w:val="1"/>
          <w:color w:val="auto"/>
        </w:rPr>
      </w:pPr>
    </w:p>
    <w:p>
      <w:pPr>
        <w:ind w:left="367"/>
        <w:spacing w:after="0"/>
        <w:rPr>
          <w:rFonts w:ascii="Arial" w:cs="Arial" w:eastAsia="Arial" w:hAnsi="Arial"/>
          <w:sz w:val="16"/>
          <w:szCs w:val="16"/>
          <w:b w:val="1"/>
          <w:bCs w:val="1"/>
          <w:color w:val="auto"/>
        </w:rPr>
      </w:pPr>
      <w:r>
        <w:rPr>
          <w:rFonts w:ascii="Arial" w:cs="Arial" w:eastAsia="Arial" w:hAnsi="Arial"/>
          <w:sz w:val="18"/>
          <w:szCs w:val="18"/>
          <w:color w:val="auto"/>
        </w:rPr>
        <w:t>The tables below summarizes the balances outstanding with affiliates at December 31, 2017 and 2016:</w:t>
      </w:r>
    </w:p>
    <w:p>
      <w:pPr>
        <w:spacing w:after="0" w:line="82" w:lineRule="exact"/>
        <w:rPr>
          <w:sz w:val="20"/>
          <w:szCs w:val="20"/>
          <w:color w:val="auto"/>
        </w:rPr>
      </w:pPr>
    </w:p>
    <w:p>
      <w:pPr>
        <w:ind w:left="7547"/>
        <w:spacing w:after="0"/>
        <w:tabs>
          <w:tab w:leader="none" w:pos="8706"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15240</wp:posOffset>
            </wp:positionV>
            <wp:extent cx="1294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7" w:lineRule="exact"/>
        <w:rPr>
          <w:sz w:val="20"/>
          <w:szCs w:val="20"/>
          <w:color w:val="auto"/>
        </w:rPr>
      </w:pPr>
    </w:p>
    <w:p>
      <w:pPr>
        <w:ind w:left="387"/>
        <w:spacing w:after="0"/>
        <w:tabs>
          <w:tab w:leader="none" w:pos="7206" w:val="left"/>
          <w:tab w:leader="none" w:pos="7726" w:val="left"/>
          <w:tab w:leader="none" w:pos="8306" w:val="left"/>
          <w:tab w:leader="none" w:pos="8846" w:val="left"/>
        </w:tabs>
        <w:rPr>
          <w:sz w:val="20"/>
          <w:szCs w:val="20"/>
          <w:color w:val="auto"/>
        </w:rPr>
      </w:pPr>
      <w:r>
        <w:rPr>
          <w:rFonts w:ascii="Arial" w:cs="Arial" w:eastAsia="Arial" w:hAnsi="Arial"/>
          <w:sz w:val="18"/>
          <w:szCs w:val="18"/>
          <w:color w:val="auto"/>
        </w:rPr>
        <w:t>Amounts due to affiliates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2,091</w:t>
        <w:tab/>
        <w:t>$</w:t>
      </w:r>
      <w:r>
        <w:rPr>
          <w:sz w:val="20"/>
          <w:szCs w:val="20"/>
          <w:color w:val="auto"/>
        </w:rPr>
        <w:tab/>
      </w:r>
      <w:r>
        <w:rPr>
          <w:rFonts w:ascii="Arial" w:cs="Arial" w:eastAsia="Arial" w:hAnsi="Arial"/>
          <w:sz w:val="15"/>
          <w:szCs w:val="15"/>
          <w:color w:val="auto"/>
        </w:rPr>
        <w:t>1,197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-130175</wp:posOffset>
            </wp:positionV>
            <wp:extent cx="570293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2935" cy="154305"/>
                    </a:xfrm>
                    <a:prstGeom prst="rect">
                      <a:avLst/>
                    </a:prstGeom>
                    <a:noFill/>
                  </pic:spPr>
                </pic:pic>
              </a:graphicData>
            </a:graphic>
          </wp:anchor>
        </w:drawing>
      </w:r>
    </w:p>
    <w:p>
      <w:pPr>
        <w:spacing w:after="0" w:line="219"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7"/>
          </w:cols>
          <w:pgMar w:left="1173" w:top="279" w:right="1219" w:bottom="1440" w:gutter="0" w:footer="0" w:header="0"/>
        </w:sectPr>
      </w:pPr>
    </w:p>
    <w:bookmarkStart w:id="125" w:name="page126"/>
    <w:bookmarkEnd w:id="125"/>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During the year ended December 31, 2016, the Company received a promissory note from FEP for a principal amount of $120.</w:t>
      </w:r>
    </w:p>
    <w:p>
      <w:pPr>
        <w:spacing w:after="0" w:line="46"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note did not require interest and was repaid in full in February 2017.</w:t>
      </w:r>
    </w:p>
    <w:p>
      <w:pPr>
        <w:spacing w:after="0" w:line="99" w:lineRule="exact"/>
        <w:rPr>
          <w:sz w:val="20"/>
          <w:szCs w:val="20"/>
          <w:color w:val="auto"/>
        </w:rPr>
      </w:pPr>
    </w:p>
    <w:p>
      <w:pPr>
        <w:ind w:left="347" w:hanging="347"/>
        <w:spacing w:after="0"/>
        <w:tabs>
          <w:tab w:leader="none" w:pos="347"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Customer concentrations</w:t>
      </w:r>
    </w:p>
    <w:p>
      <w:pPr>
        <w:spacing w:after="0" w:line="121" w:lineRule="exact"/>
        <w:rPr>
          <w:rFonts w:ascii="Arial" w:cs="Arial" w:eastAsia="Arial" w:hAnsi="Arial"/>
          <w:sz w:val="18"/>
          <w:szCs w:val="18"/>
          <w:b w:val="1"/>
          <w:bCs w:val="1"/>
          <w:color w:val="auto"/>
        </w:rPr>
      </w:pPr>
    </w:p>
    <w:p>
      <w:pPr>
        <w:ind w:left="367"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years ended and as of December 31, 2017 and 2016, revenue from a significant customer constituted 92% and 61% of total revenues, respectively, and 92% and 96% of total receivables, respectively. In addition to trade receivables, the Company has primarily leased facilities under direct financing leases to this customer. As of December 31, 2017 and 2016, 97% and 100% of the Finance leases, net balance was attributed to this customer.</w:t>
      </w:r>
    </w:p>
    <w:p>
      <w:pPr>
        <w:spacing w:after="0" w:line="78" w:lineRule="exact"/>
        <w:rPr>
          <w:rFonts w:ascii="Arial" w:cs="Arial" w:eastAsia="Arial" w:hAnsi="Arial"/>
          <w:sz w:val="18"/>
          <w:szCs w:val="18"/>
          <w:b w:val="1"/>
          <w:bCs w:val="1"/>
          <w:color w:val="auto"/>
        </w:rPr>
      </w:pPr>
    </w:p>
    <w:p>
      <w:pPr>
        <w:ind w:left="367" w:right="2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During the years ended December 31, 2017 and 2016, revenues from external customers that were derived from customers located in the United States was $4,935 and $319, respectively and from customers outside of the United States was $92,327 and $21,076, respectively, all of which was derived from customers in the Caribbean. The Company attributes revenues from external customers to the country in which the party to the applicable agreement has its principal place of business.</w:t>
      </w:r>
    </w:p>
    <w:p>
      <w:pPr>
        <w:spacing w:after="0" w:line="46" w:lineRule="exact"/>
        <w:rPr>
          <w:rFonts w:ascii="Arial" w:cs="Arial" w:eastAsia="Arial" w:hAnsi="Arial"/>
          <w:sz w:val="18"/>
          <w:szCs w:val="18"/>
          <w:b w:val="1"/>
          <w:bCs w:val="1"/>
          <w:color w:val="auto"/>
        </w:rPr>
      </w:pPr>
    </w:p>
    <w:p>
      <w:pPr>
        <w:ind w:left="367"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of December 31, 2017 and 2016, long lived assets, which are all non-current assets excluding deferred tax assets and available-for-sale securities, located in the United States were $88,604 and $76,591, respectively and long lived assets located outside of the United States was $131,300 and $96,859, respectively, all of which were located in the Caribbean.</w:t>
      </w:r>
    </w:p>
    <w:p>
      <w:pPr>
        <w:spacing w:after="0" w:line="34" w:lineRule="exact"/>
        <w:rPr>
          <w:rFonts w:ascii="Arial" w:cs="Arial" w:eastAsia="Arial" w:hAnsi="Arial"/>
          <w:sz w:val="18"/>
          <w:szCs w:val="18"/>
          <w:b w:val="1"/>
          <w:bCs w:val="1"/>
          <w:color w:val="auto"/>
        </w:rPr>
      </w:pPr>
    </w:p>
    <w:p>
      <w:pPr>
        <w:ind w:left="347" w:hanging="347"/>
        <w:spacing w:after="0"/>
        <w:tabs>
          <w:tab w:leader="none" w:pos="347"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Purchase and other commitments</w:t>
      </w:r>
    </w:p>
    <w:p>
      <w:pPr>
        <w:spacing w:after="0" w:line="117" w:lineRule="exact"/>
        <w:rPr>
          <w:rFonts w:ascii="Arial" w:cs="Arial" w:eastAsia="Arial" w:hAnsi="Arial"/>
          <w:sz w:val="18"/>
          <w:szCs w:val="18"/>
          <w:b w:val="1"/>
          <w:bCs w:val="1"/>
          <w:color w:val="auto"/>
        </w:rPr>
      </w:pPr>
    </w:p>
    <w:p>
      <w:pPr>
        <w:ind w:left="367"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January 18, 2018, the Company signed a timecharter party agreement for a 125,000 cubic meter floating storage and regasification unit commencing from the point at which the vessel is delivered, for an initial term of 15 years, with the option to extend for one additional period of 5 years. Charter costs are charged at a capital rate of $50 per day, and operating expense rate of $22 per day with annual escalation clauses.</w:t>
      </w:r>
    </w:p>
    <w:p>
      <w:pPr>
        <w:spacing w:after="0" w:line="78" w:lineRule="exact"/>
        <w:rPr>
          <w:rFonts w:ascii="Arial" w:cs="Arial" w:eastAsia="Arial" w:hAnsi="Arial"/>
          <w:sz w:val="18"/>
          <w:szCs w:val="18"/>
          <w:b w:val="1"/>
          <w:bCs w:val="1"/>
          <w:color w:val="auto"/>
        </w:rPr>
      </w:pPr>
    </w:p>
    <w:p>
      <w:pPr>
        <w:ind w:left="367"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February 21, 2018, the Company committed to purchase an LNG terminal support vessel for $498. The vessel was delivered on April 17, 2018.</w:t>
      </w:r>
    </w:p>
    <w:p>
      <w:pPr>
        <w:spacing w:after="0" w:line="62" w:lineRule="exact"/>
        <w:rPr>
          <w:rFonts w:ascii="Arial" w:cs="Arial" w:eastAsia="Arial" w:hAnsi="Arial"/>
          <w:sz w:val="18"/>
          <w:szCs w:val="18"/>
          <w:b w:val="1"/>
          <w:bCs w:val="1"/>
          <w:color w:val="auto"/>
        </w:rPr>
      </w:pPr>
    </w:p>
    <w:p>
      <w:pPr>
        <w:jc w:val="both"/>
        <w:ind w:left="367"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March 2, 2018, the Company entered into a gas purchase agreement with a major Marcellus Shale producer to supply approximately 160 mcf/d or equivalent of approximately 2,000,000 LNG gallons per day to the Company effective upon fulfillment of certain conditions precedent.</w:t>
      </w:r>
    </w:p>
    <w:p>
      <w:pPr>
        <w:spacing w:after="0" w:line="73" w:lineRule="exact"/>
        <w:rPr>
          <w:rFonts w:ascii="Arial" w:cs="Arial" w:eastAsia="Arial" w:hAnsi="Arial"/>
          <w:sz w:val="18"/>
          <w:szCs w:val="18"/>
          <w:b w:val="1"/>
          <w:bCs w:val="1"/>
          <w:color w:val="auto"/>
        </w:rPr>
      </w:pPr>
    </w:p>
    <w:p>
      <w:pPr>
        <w:ind w:left="367"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March 14, 2018, the Company extended an existing time charter party agreement expiring May 2018 for continued charter of a 140,500 cubic meter LNG carrier to January 2019. All other conditions to the time charter party agreement remain the same.</w:t>
      </w:r>
    </w:p>
    <w:p>
      <w:pPr>
        <w:spacing w:after="0" w:line="73" w:lineRule="exact"/>
        <w:rPr>
          <w:rFonts w:ascii="Arial" w:cs="Arial" w:eastAsia="Arial" w:hAnsi="Arial"/>
          <w:sz w:val="18"/>
          <w:szCs w:val="18"/>
          <w:b w:val="1"/>
          <w:bCs w:val="1"/>
          <w:color w:val="auto"/>
        </w:rPr>
      </w:pPr>
    </w:p>
    <w:p>
      <w:pPr>
        <w:ind w:left="367"/>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had previously committed to a call option agreement to charter a 15,600 cubic meter LNG carrier for a minimum period of 24 months, and to a maximum period of 27 months. The option is priced at $100 per month and was exercised on March 16, 2018.</w:t>
      </w:r>
    </w:p>
    <w:p>
      <w:pPr>
        <w:spacing w:after="0" w:line="73" w:lineRule="exact"/>
        <w:rPr>
          <w:rFonts w:ascii="Arial" w:cs="Arial" w:eastAsia="Arial" w:hAnsi="Arial"/>
          <w:sz w:val="18"/>
          <w:szCs w:val="18"/>
          <w:b w:val="1"/>
          <w:bCs w:val="1"/>
          <w:color w:val="auto"/>
        </w:rPr>
      </w:pPr>
    </w:p>
    <w:p>
      <w:pPr>
        <w:ind w:left="367"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Subsequent to December 31, 2017, the Company has entered into multiple agreements to acquire land. Total purchases since December 31, 2017 were $9,956.</w:t>
      </w:r>
    </w:p>
    <w:p>
      <w:pPr>
        <w:spacing w:after="0" w:line="170"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Leases, as lessee</w:t>
      </w:r>
    </w:p>
    <w:p>
      <w:pPr>
        <w:spacing w:after="0" w:line="117" w:lineRule="exact"/>
        <w:rPr>
          <w:rFonts w:ascii="Arial" w:cs="Arial" w:eastAsia="Arial" w:hAnsi="Arial"/>
          <w:sz w:val="18"/>
          <w:szCs w:val="18"/>
          <w:b w:val="1"/>
          <w:bCs w:val="1"/>
          <w:color w:val="auto"/>
        </w:rPr>
      </w:pPr>
    </w:p>
    <w:p>
      <w:pPr>
        <w:ind w:left="367"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several lease agreements during 2018 in Latin America.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$19,000. Fixed lease payments under these leases are expected to be approximately $1,200 and some of these lease contain variable components based on LNG processed. The Company has also restricted funds of approximately $2,200 as collateral for these leases.</w:t>
      </w:r>
    </w:p>
    <w:p>
      <w:pPr>
        <w:spacing w:after="0" w:line="193"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Members’ Equity</w:t>
      </w:r>
    </w:p>
    <w:p>
      <w:pPr>
        <w:spacing w:after="0" w:line="117" w:lineRule="exact"/>
        <w:rPr>
          <w:rFonts w:ascii="Arial" w:cs="Arial" w:eastAsia="Arial" w:hAnsi="Arial"/>
          <w:sz w:val="18"/>
          <w:szCs w:val="18"/>
          <w:b w:val="1"/>
          <w:bCs w:val="1"/>
          <w:color w:val="auto"/>
        </w:rPr>
      </w:pPr>
    </w:p>
    <w:p>
      <w:pPr>
        <w:ind w:left="367"/>
        <w:spacing w:after="0"/>
        <w:rPr>
          <w:rFonts w:ascii="Arial" w:cs="Arial" w:eastAsia="Arial" w:hAnsi="Arial"/>
          <w:sz w:val="18"/>
          <w:szCs w:val="18"/>
          <w:b w:val="1"/>
          <w:bCs w:val="1"/>
          <w:color w:val="auto"/>
        </w:rPr>
      </w:pPr>
      <w:r>
        <w:rPr>
          <w:rFonts w:ascii="Arial" w:cs="Arial" w:eastAsia="Arial" w:hAnsi="Arial"/>
          <w:sz w:val="18"/>
          <w:szCs w:val="18"/>
          <w:color w:val="auto"/>
        </w:rPr>
        <w:t>On January 26, 2018, 665,843 common shares (no par value) were issued for consideration of $20,150.</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360"/>
        <w:spacing w:after="0" w:line="274" w:lineRule="auto"/>
        <w:rPr>
          <w:sz w:val="20"/>
          <w:szCs w:val="20"/>
          <w:color w:val="auto"/>
        </w:rPr>
      </w:pPr>
      <w:r>
        <w:rPr>
          <w:rFonts w:ascii="Arial" w:cs="Arial" w:eastAsia="Arial" w:hAnsi="Arial"/>
          <w:sz w:val="16"/>
          <w:szCs w:val="16"/>
          <w:color w:val="auto"/>
        </w:rPr>
        <w:t xml:space="preserve">On August 16, 2018, the Company entered into a Term Loan Facility (the “Term Loan Facility”) to borrow term loans, available in three draws, up to an aggregate principal amount of $240,000. Borrowings under the Term Loan Facility bear interest at a rate selected by the Company of either (i) a LIBOR based rate, plus a spread of 4.0%, or (ii) subject to a floor of 1%, a Base Rate equal to the higher of (a) the Prime Rate, (b) the Federal Funds Rate plus </w:t>
      </w:r>
      <w:r>
        <w:rPr>
          <w:rFonts w:ascii="Arial" w:cs="Arial" w:eastAsia="Arial" w:hAnsi="Arial"/>
          <w:sz w:val="24"/>
          <w:szCs w:val="24"/>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2</w:t>
      </w:r>
      <w:r>
        <w:rPr>
          <w:rFonts w:ascii="Arial" w:cs="Arial" w:eastAsia="Arial" w:hAnsi="Arial"/>
          <w:sz w:val="16"/>
          <w:szCs w:val="16"/>
          <w:color w:val="auto"/>
        </w:rPr>
        <w:t xml:space="preserve"> of 1% or (c) the 1-month LIBOR rate plus the difference between the applicable LIBOR margin and Base Rate margin, plus a spread of 3.0%. The Term Loan Facility is set to mature on August 14, 2019 and is repayable in quarterly installments of $600, with a balloon payment due on the maturity date. The Company has the option to extend the maturity date for two additional six 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71" w:lineRule="exact"/>
        <w:rPr>
          <w:sz w:val="20"/>
          <w:szCs w:val="20"/>
          <w:color w:val="auto"/>
        </w:rPr>
      </w:pPr>
    </w:p>
    <w:p>
      <w:pPr>
        <w:ind w:left="360" w:right="20"/>
        <w:spacing w:after="0" w:line="302" w:lineRule="auto"/>
        <w:rPr>
          <w:sz w:val="20"/>
          <w:szCs w:val="20"/>
          <w:color w:val="auto"/>
        </w:rPr>
      </w:pPr>
      <w:r>
        <w:rPr>
          <w:rFonts w:ascii="Arial" w:cs="Arial" w:eastAsia="Arial" w:hAnsi="Arial"/>
          <w:sz w:val="16"/>
          <w:szCs w:val="16"/>
          <w:color w:val="auto"/>
        </w:rPr>
        <w:t>The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in indebtedness, liens, acquisitions and investments, restricted payments and dispositions. The Term Loan Facility also provides for customary events of default, prepayment and cure provisions.</w:t>
      </w:r>
    </w:p>
    <w:p>
      <w:pPr>
        <w:spacing w:after="0" w:line="46" w:lineRule="exact"/>
        <w:rPr>
          <w:sz w:val="20"/>
          <w:szCs w:val="20"/>
          <w:color w:val="auto"/>
        </w:rPr>
      </w:pPr>
    </w:p>
    <w:p>
      <w:pPr>
        <w:ind w:left="360" w:right="300"/>
        <w:spacing w:after="0" w:line="264" w:lineRule="auto"/>
        <w:rPr>
          <w:sz w:val="20"/>
          <w:szCs w:val="20"/>
          <w:color w:val="auto"/>
        </w:rPr>
      </w:pPr>
      <w:r>
        <w:rPr>
          <w:rFonts w:ascii="Arial" w:cs="Arial" w:eastAsia="Arial" w:hAnsi="Arial"/>
          <w:sz w:val="18"/>
          <w:szCs w:val="18"/>
          <w:color w:val="auto"/>
        </w:rPr>
        <w:t>The Term Loan Facility funded $130,000 less fees at closing. The remaining capacity of $110,000 under the Term Loan Facility is subject to a delayed draw feature, resulting in $40,000 to be funded at the payoff of the Miami Loan and then the remainder to be funded in September 2018 at the payoff of the Mobay Loan.</w:t>
      </w:r>
    </w:p>
    <w:p>
      <w:pPr>
        <w:spacing w:after="0" w:line="73" w:lineRule="exact"/>
        <w:rPr>
          <w:sz w:val="20"/>
          <w:szCs w:val="20"/>
          <w:color w:val="auto"/>
        </w:rPr>
      </w:pPr>
    </w:p>
    <w:p>
      <w:pPr>
        <w:jc w:val="both"/>
        <w:ind w:left="360" w:right="20"/>
        <w:spacing w:after="0" w:line="264" w:lineRule="auto"/>
        <w:rPr>
          <w:sz w:val="20"/>
          <w:szCs w:val="20"/>
          <w:color w:val="auto"/>
        </w:rPr>
      </w:pPr>
      <w:r>
        <w:rPr>
          <w:rFonts w:ascii="Arial" w:cs="Arial" w:eastAsia="Arial" w:hAnsi="Arial"/>
          <w:sz w:val="18"/>
          <w:szCs w:val="18"/>
          <w:color w:val="auto"/>
        </w:rPr>
        <w:t>The Company will use the net proceeds of the Term Loan Facility to repay both the Miami Loan and the MoBay Loan, and the remaining proceeds will be used for general corporate purposes, including capital expenditures and future construction projects under development.</w:t>
      </w:r>
    </w:p>
    <w:p>
      <w:pPr>
        <w:spacing w:after="0" w:line="73" w:lineRule="exact"/>
        <w:rPr>
          <w:sz w:val="20"/>
          <w:szCs w:val="20"/>
          <w:color w:val="auto"/>
        </w:rPr>
      </w:pPr>
    </w:p>
    <w:p>
      <w:pPr>
        <w:ind w:left="360" w:right="500"/>
        <w:spacing w:after="0" w:line="277" w:lineRule="auto"/>
        <w:rPr>
          <w:sz w:val="20"/>
          <w:szCs w:val="20"/>
          <w:color w:val="auto"/>
        </w:rPr>
      </w:pPr>
      <w:r>
        <w:rPr>
          <w:rFonts w:ascii="Arial" w:cs="Arial" w:eastAsia="Arial" w:hAnsi="Arial"/>
          <w:sz w:val="18"/>
          <w:szCs w:val="18"/>
          <w:color w:val="auto"/>
        </w:rPr>
        <w:t>Management performed an evaluation of subsequent events through August 16, 2018, the date the consolidated financial statements were available to be issued.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36"/>
          <w:szCs w:val="36"/>
          <w:b w:val="1"/>
          <w:bCs w:val="1"/>
          <w:color w:val="auto"/>
        </w:rPr>
        <w:t>NFE Financial Holdings LLC</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Class A shares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Representing Limited Liability Company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503555</wp:posOffset>
            </wp:positionV>
            <wp:extent cx="11576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4300"/>
        <w:spacing w:after="0"/>
        <w:rPr>
          <w:sz w:val="20"/>
          <w:szCs w:val="20"/>
          <w:color w:val="auto"/>
        </w:rPr>
      </w:pPr>
      <w:r>
        <w:rPr>
          <w:rFonts w:ascii="Arial" w:cs="Arial" w:eastAsia="Arial" w:hAnsi="Arial"/>
          <w:sz w:val="18"/>
          <w:szCs w:val="18"/>
          <w:color w:val="auto"/>
        </w:rPr>
        <w:t>Prospectus</w:t>
      </w:r>
    </w:p>
    <w:p>
      <w:pPr>
        <w:spacing w:after="0" w:line="117" w:lineRule="exact"/>
        <w:rPr>
          <w:sz w:val="20"/>
          <w:szCs w:val="20"/>
          <w:color w:val="auto"/>
        </w:rPr>
      </w:pPr>
    </w:p>
    <w:p>
      <w:pPr>
        <w:jc w:val="right"/>
        <w:ind w:right="4260"/>
        <w:spacing w:after="0"/>
        <w:rPr>
          <w:sz w:val="20"/>
          <w:szCs w:val="20"/>
          <w:color w:val="auto"/>
        </w:rPr>
      </w:pPr>
      <w:r>
        <w:rPr>
          <w:rFonts w:ascii="Arial" w:cs="Arial" w:eastAsia="Arial" w:hAnsi="Arial"/>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126365</wp:posOffset>
            </wp:positionV>
            <wp:extent cx="11576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2081530</wp:posOffset>
            </wp:positionV>
            <wp:extent cx="115760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360"/>
        <w:spacing w:after="0" w:line="229" w:lineRule="auto"/>
        <w:rPr>
          <w:sz w:val="20"/>
          <w:szCs w:val="20"/>
          <w:color w:val="auto"/>
        </w:rPr>
      </w:pPr>
      <w:r>
        <w:rPr>
          <w:rFonts w:ascii="Arial" w:cs="Arial" w:eastAsia="Arial" w:hAnsi="Arial"/>
          <w:sz w:val="18"/>
          <w:szCs w:val="18"/>
          <w:b w:val="1"/>
          <w:bCs w:val="1"/>
          <w:color w:val="auto"/>
        </w:rPr>
        <w:t>Through and including , 2018 (the 25</w:t>
      </w:r>
      <w:r>
        <w:rPr>
          <w:rFonts w:ascii="Arial" w:cs="Arial" w:eastAsia="Arial" w:hAnsi="Arial"/>
          <w:sz w:val="27"/>
          <w:szCs w:val="27"/>
          <w:b w:val="1"/>
          <w:bCs w:val="1"/>
          <w:color w:val="auto"/>
          <w:vertAlign w:val="superscript"/>
        </w:rPr>
        <w:t>th</w:t>
      </w:r>
      <w:r>
        <w:rPr>
          <w:rFonts w:ascii="Arial" w:cs="Arial" w:eastAsia="Arial" w:hAnsi="Arial"/>
          <w:sz w:val="18"/>
          <w:szCs w:val="18"/>
          <w:b w:val="1"/>
          <w:bCs w:val="1"/>
          <w:color w:val="auto"/>
        </w:rPr>
        <w:t xml:space="preserve"> day after the date of this prospectus), federal securities laws may require all dealers that effect transactions in these securities, whether or not participating in this offering, to deliver a prospectus. This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0718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0718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607187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28" w:name="page129"/>
    <w:bookmarkEnd w:id="128"/>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987"/>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Set forth below are the expenses (other than underwriting discounts) expected to be incurred in connection with the issuance and distribution of the securities registered hereby. With the exception of the Securities and Exchange Commission registration fee, the FINRA filing fee and the NYSE listing fee the amounts set forth below are estimates.</w:t>
      </w:r>
    </w:p>
    <w:p>
      <w:pPr>
        <w:spacing w:after="0" w:line="34"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Fees and expenses of legal counsel</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Transfer agent and registrar fees</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7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1440" w:type="dxa"/>
            <w:vAlign w:val="bottom"/>
            <w:tcBorders>
              <w:top w:val="single" w:sz="8" w:color="CCEEFF"/>
              <w:bottom w:val="single" w:sz="8" w:color="auto"/>
            </w:tcBorders>
          </w:tcPr>
          <w:p>
            <w:pPr>
              <w:spacing w:after="0"/>
              <w:rPr>
                <w:sz w:val="15"/>
                <w:szCs w:val="15"/>
                <w:color w:val="auto"/>
              </w:rPr>
            </w:pPr>
          </w:p>
        </w:tc>
        <w:tc>
          <w:tcPr>
            <w:tcW w:w="666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14.  INDEMNIFICATION OF OFFICERS AND MEMBERS OF OUR BOARD OF DIRECTORS.</w:t>
      </w:r>
    </w:p>
    <w:p>
      <w:pPr>
        <w:spacing w:after="0" w:line="121" w:lineRule="exact"/>
        <w:rPr>
          <w:sz w:val="20"/>
          <w:szCs w:val="20"/>
          <w:color w:val="auto"/>
        </w:rPr>
      </w:pPr>
    </w:p>
    <w:p>
      <w:pPr>
        <w:ind w:left="7" w:firstLine="360"/>
        <w:spacing w:after="0" w:line="270" w:lineRule="auto"/>
        <w:rPr>
          <w:sz w:val="20"/>
          <w:szCs w:val="20"/>
          <w:color w:val="auto"/>
        </w:rPr>
      </w:pPr>
      <w:r>
        <w:rPr>
          <w:rFonts w:ascii="Arial" w:cs="Arial" w:eastAsia="Arial" w:hAnsi="Arial"/>
          <w:sz w:val="17"/>
          <w:szCs w:val="17"/>
          <w:color w:val="auto"/>
        </w:rPr>
        <w:t>Our operating agreement provides that we will indemnify, to the fullest extent permitted by the Delaware LLC Act, each person who was or is made a party or is threatened to be made a party in any legal proceeding by reason of the fact that he or she is or was our or our subsidiary’s director or officer. However, such indemnification is permitted only if such person acted in good faith and lawfully. Indemnification is authorized on a case-by-case basis by (1) our board of directors by a majority vote of disinterested directors, (2) a committee of the disinterested directors, (3) independent legal counsel in a written opinion if (1) and (2) are not available, or if disinterested directors so direct, or (4) the shareholders. Indemnification of former directors or officers shall be determined by any person authorized to act on the matter on our behalf. Expenses incurred by a director or officer in defending against such legal proceedings are payable before the final disposition of the action, provided that the director or officer undertakes to repay us if it is later determined that he or she is not entitled to indemnification.</w:t>
      </w:r>
    </w:p>
    <w:p>
      <w:pPr>
        <w:spacing w:after="0" w:line="74" w:lineRule="exact"/>
        <w:rPr>
          <w:sz w:val="20"/>
          <w:szCs w:val="20"/>
          <w:color w:val="auto"/>
        </w:rPr>
      </w:pPr>
    </w:p>
    <w:p>
      <w:pPr>
        <w:ind w:left="7" w:right="60" w:firstLine="360"/>
        <w:spacing w:after="0" w:line="272" w:lineRule="auto"/>
        <w:rPr>
          <w:sz w:val="20"/>
          <w:szCs w:val="20"/>
          <w:color w:val="auto"/>
        </w:rPr>
      </w:pPr>
      <w:r>
        <w:rPr>
          <w:rFonts w:ascii="Arial" w:cs="Arial" w:eastAsia="Arial" w:hAnsi="Arial"/>
          <w:sz w:val="17"/>
          <w:szCs w:val="17"/>
          <w:color w:val="auto"/>
        </w:rPr>
        <w:t>Our operating agreement provides that we may indemnify any person who is or was a director, officer, employee or agent of us to the fullest extent permitted by Delaware law. The indemnification provisions contained in our operating agreement are not exclusive of any other rights to which a person may be entitled by law, agreement, vote of shareholders or disinterested directors or otherwise. In addition, we have entered into separate indemnification agreements with each of our directors and executive officers, which are broader than the specific indemnification provisions contained in the Delaware LLC Act. These indemnification agreements require us, among other things, to indemnify our directors and officers against liabilities that may arise by reason of their status or service as directors or officers, other than liabilities arising from willful misconduct.</w:t>
      </w:r>
    </w:p>
    <w:p>
      <w:pPr>
        <w:spacing w:after="0" w:line="70" w:lineRule="exact"/>
        <w:rPr>
          <w:sz w:val="20"/>
          <w:szCs w:val="20"/>
          <w:color w:val="auto"/>
        </w:rPr>
      </w:pPr>
    </w:p>
    <w:p>
      <w:pPr>
        <w:ind w:left="7" w:right="140" w:firstLine="360"/>
        <w:spacing w:after="0" w:line="277" w:lineRule="auto"/>
        <w:rPr>
          <w:sz w:val="20"/>
          <w:szCs w:val="20"/>
          <w:color w:val="auto"/>
        </w:rPr>
      </w:pPr>
      <w:r>
        <w:rPr>
          <w:rFonts w:ascii="Arial" w:cs="Arial" w:eastAsia="Arial" w:hAnsi="Arial"/>
          <w:sz w:val="18"/>
          <w:szCs w:val="18"/>
          <w:color w:val="auto"/>
        </w:rPr>
        <w:t>We will purchase insurance covering our officers and directors against liabilities asserted and expenses incurred in connection with their activities as our officers and directors or any of our direct or indirect subsidiaries.</w:t>
      </w:r>
    </w:p>
    <w:p>
      <w:pPr>
        <w:spacing w:after="0" w:line="62" w:lineRule="exact"/>
        <w:rPr>
          <w:sz w:val="20"/>
          <w:szCs w:val="20"/>
          <w:color w:val="auto"/>
        </w:rPr>
      </w:pPr>
    </w:p>
    <w:p>
      <w:pPr>
        <w:ind w:left="7" w:right="120" w:firstLine="360"/>
        <w:spacing w:after="0" w:line="259" w:lineRule="auto"/>
        <w:rPr>
          <w:sz w:val="20"/>
          <w:szCs w:val="20"/>
          <w:color w:val="auto"/>
        </w:rPr>
      </w:pPr>
      <w:r>
        <w:rPr>
          <w:rFonts w:ascii="Arial" w:cs="Arial" w:eastAsia="Arial" w:hAnsi="Arial"/>
          <w:sz w:val="18"/>
          <w:szCs w:val="18"/>
          <w:color w:val="auto"/>
        </w:rPr>
        <w:t>The underwriting agreement to be entered into in connection with the sale of the securities offered pursuant to this registration statement, the form of which will be filed as an exhibit to this registration statement, provides for indemnification of New Fortress Energy Holdings, their officers and directors, and any person who controls New Fortress Energy Holdings, including indemnification for liabilities under the Securities Act.</w:t>
      </w:r>
    </w:p>
    <w:p>
      <w:pPr>
        <w:spacing w:after="0" w:line="18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9" w:name="page130"/>
    <w:bookmarkEnd w:id="129"/>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jc w:val="both"/>
        <w:ind w:left="7" w:right="140" w:firstLine="360"/>
        <w:spacing w:after="0" w:line="286" w:lineRule="auto"/>
        <w:rPr>
          <w:sz w:val="20"/>
          <w:szCs w:val="20"/>
          <w:color w:val="auto"/>
        </w:rPr>
      </w:pPr>
      <w:r>
        <w:rPr>
          <w:rFonts w:ascii="Arial" w:cs="Arial" w:eastAsia="Arial" w:hAnsi="Arial"/>
          <w:sz w:val="17"/>
          <w:szCs w:val="17"/>
          <w:color w:val="auto"/>
        </w:rPr>
        <w:t>On August 6, 2018, in connection with the formation of NFE Financial Holdings LLC, we issued the 100.0% limited liability company interest in us to New Fortress Energy Holdings LLC. The issuance was exempt from registration under Section 4(a)(2) of the Securities Act. There have been no other sales of unregistered securities within the past three years.</w:t>
      </w:r>
    </w:p>
    <w:p>
      <w:pPr>
        <w:spacing w:after="0" w:line="57"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gridSpan w:val="4"/>
          </w:tcPr>
          <w:p>
            <w:pPr>
              <w:ind w:left="340"/>
              <w:spacing w:after="0"/>
              <w:rPr>
                <w:sz w:val="20"/>
                <w:szCs w:val="20"/>
                <w:color w:val="auto"/>
              </w:rPr>
            </w:pPr>
            <w:r>
              <w:rPr>
                <w:rFonts w:ascii="Arial" w:cs="Arial" w:eastAsia="Arial" w:hAnsi="Arial"/>
                <w:sz w:val="18"/>
                <w:szCs w:val="18"/>
                <w:color w:val="auto"/>
                <w:w w:val="97"/>
              </w:rPr>
              <w:t>In connection with the formation transactions described herein, we will issue</w:t>
            </w:r>
          </w:p>
        </w:tc>
        <w:tc>
          <w:tcPr>
            <w:tcW w:w="3260" w:type="dxa"/>
            <w:vAlign w:val="bottom"/>
            <w:gridSpan w:val="2"/>
          </w:tcPr>
          <w:p>
            <w:pPr>
              <w:ind w:left="80"/>
              <w:spacing w:after="0"/>
              <w:rPr>
                <w:sz w:val="20"/>
                <w:szCs w:val="20"/>
                <w:color w:val="auto"/>
              </w:rPr>
            </w:pPr>
            <w:r>
              <w:rPr>
                <w:rFonts w:ascii="Arial" w:cs="Arial" w:eastAsia="Arial" w:hAnsi="Arial"/>
                <w:sz w:val="18"/>
                <w:szCs w:val="18"/>
                <w:color w:val="auto"/>
                <w:w w:val="92"/>
              </w:rPr>
              <w:t>Class B shares, representing an aggregate</w:t>
            </w:r>
          </w:p>
        </w:tc>
      </w:tr>
      <w:tr>
        <w:trPr>
          <w:trHeight w:val="230"/>
        </w:trPr>
        <w:tc>
          <w:tcPr>
            <w:tcW w:w="20" w:type="dxa"/>
            <w:vAlign w:val="bottom"/>
          </w:tcPr>
          <w:p>
            <w:pPr>
              <w:spacing w:after="0"/>
              <w:rPr>
                <w:sz w:val="20"/>
                <w:szCs w:val="20"/>
                <w:color w:val="auto"/>
              </w:rPr>
            </w:pPr>
          </w:p>
        </w:tc>
        <w:tc>
          <w:tcPr>
            <w:tcW w:w="9540" w:type="dxa"/>
            <w:vAlign w:val="bottom"/>
            <w:gridSpan w:val="6"/>
          </w:tcPr>
          <w:p>
            <w:pPr>
              <w:ind w:left="240"/>
              <w:spacing w:after="0"/>
              <w:rPr>
                <w:sz w:val="20"/>
                <w:szCs w:val="20"/>
                <w:color w:val="auto"/>
              </w:rPr>
            </w:pPr>
            <w:r>
              <w:rPr>
                <w:rFonts w:ascii="Arial" w:cs="Arial" w:eastAsia="Arial" w:hAnsi="Arial"/>
                <w:sz w:val="18"/>
                <w:szCs w:val="18"/>
                <w:color w:val="auto"/>
              </w:rPr>
              <w:t>% non-economic limited liability company interest in us, to New Fortress Energy Holdings.</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54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Description</w:t>
            </w:r>
          </w:p>
        </w:tc>
        <w:tc>
          <w:tcPr>
            <w:tcW w:w="3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1"/>
                <w:szCs w:val="21"/>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Form of Underwriting Agreement</w:t>
            </w:r>
          </w:p>
        </w:tc>
        <w:tc>
          <w:tcPr>
            <w:tcW w:w="3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 Certificate of Formation of NFE Financial Holdings LLC</w:t>
            </w: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 Form of Operating Agreement of NFE Financial Holdings LLC</w:t>
            </w:r>
          </w:p>
        </w:tc>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0"/>
                <w:szCs w:val="20"/>
                <w:color w:val="auto"/>
              </w:rPr>
            </w:pPr>
          </w:p>
        </w:tc>
        <w:tc>
          <w:tcPr>
            <w:tcW w:w="8520" w:type="dxa"/>
            <w:vAlign w:val="bottom"/>
            <w:gridSpan w:val="4"/>
          </w:tcPr>
          <w:p>
            <w:pPr>
              <w:ind w:left="160"/>
              <w:spacing w:after="0"/>
              <w:rPr>
                <w:sz w:val="20"/>
                <w:szCs w:val="20"/>
                <w:color w:val="auto"/>
              </w:rPr>
            </w:pPr>
            <w:r>
              <w:rPr>
                <w:rFonts w:ascii="Arial" w:cs="Arial" w:eastAsia="Arial" w:hAnsi="Arial"/>
                <w:sz w:val="18"/>
                <w:szCs w:val="18"/>
                <w:color w:val="auto"/>
              </w:rPr>
              <w:t>— Opinion of Vinson &amp; Elkins L.L.P. as to the legality of the securities being registered</w:t>
            </w:r>
          </w:p>
        </w:tc>
      </w:tr>
      <w:tr>
        <w:trPr>
          <w:trHeight w:val="256"/>
        </w:trPr>
        <w:tc>
          <w:tcPr>
            <w:tcW w:w="20" w:type="dxa"/>
            <w:vAlign w:val="bottom"/>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22"/>
                <w:szCs w:val="22"/>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6"/>
              </w:rPr>
              <w:t>— Form of Amended and Restated Limited Liability Company Agreement of New Fortress Intermediate LLC.</w:t>
            </w: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 Form of Contribution Agreement</w:t>
            </w: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 Form of NFE Financial Holdings LLC Long-Term Incentive Plan</w:t>
            </w:r>
          </w:p>
        </w:tc>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 Form of Grant Award Agreement</w:t>
            </w: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Form of Registration Rights Agreement</w:t>
            </w:r>
          </w:p>
        </w:tc>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5"/>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8520" w:type="dxa"/>
            <w:vAlign w:val="bottom"/>
            <w:gridSpan w:val="4"/>
          </w:tcPr>
          <w:p>
            <w:pPr>
              <w:ind w:left="160"/>
              <w:spacing w:after="0"/>
              <w:rPr>
                <w:sz w:val="20"/>
                <w:szCs w:val="20"/>
                <w:color w:val="auto"/>
              </w:rPr>
            </w:pPr>
            <w:r>
              <w:rPr>
                <w:rFonts w:ascii="Arial" w:cs="Arial" w:eastAsia="Arial" w:hAnsi="Arial"/>
                <w:sz w:val="18"/>
                <w:szCs w:val="18"/>
                <w:color w:val="auto"/>
                <w:w w:val="95"/>
              </w:rPr>
              <w:t>— Credit Agreement, dated November 21, 2014, by and among LNG Holdings (Florida) LLC, Morgan Stanley</w:t>
            </w: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120" w:type="dxa"/>
            <w:vAlign w:val="bottom"/>
            <w:gridSpan w:val="3"/>
          </w:tcPr>
          <w:p>
            <w:pPr>
              <w:ind w:left="60"/>
              <w:spacing w:after="0"/>
              <w:rPr>
                <w:sz w:val="20"/>
                <w:szCs w:val="20"/>
                <w:color w:val="auto"/>
              </w:rPr>
            </w:pPr>
            <w:r>
              <w:rPr>
                <w:rFonts w:ascii="Arial" w:cs="Arial" w:eastAsia="Arial" w:hAnsi="Arial"/>
                <w:sz w:val="18"/>
                <w:szCs w:val="18"/>
                <w:color w:val="auto"/>
              </w:rPr>
              <w:t>Senior Funding, Inc., as administrative agent and the lenders party thereto.</w:t>
            </w:r>
          </w:p>
        </w:tc>
      </w:tr>
      <w:tr>
        <w:trPr>
          <w:trHeight w:val="229"/>
        </w:trPr>
        <w:tc>
          <w:tcPr>
            <w:tcW w:w="20" w:type="dxa"/>
            <w:vAlign w:val="bottom"/>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9"/>
                <w:szCs w:val="19"/>
                <w:color w:val="auto"/>
              </w:rPr>
            </w:pPr>
          </w:p>
        </w:tc>
        <w:tc>
          <w:tcPr>
            <w:tcW w:w="85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8"/>
              </w:rPr>
              <w:t>— Syndicated Loan Agreement, dated June 3, 2016, by and among NFE North Holdings Limited, National</w:t>
            </w: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0"/>
              </w:rPr>
              <w:t>Commercial Bank Jamaica Limited, as arranger, JCSD Trustee Services Limited, as agent and the lenders party</w:t>
            </w:r>
          </w:p>
        </w:tc>
      </w:tr>
      <w:tr>
        <w:trPr>
          <w:trHeight w:val="244"/>
        </w:trPr>
        <w:tc>
          <w:tcPr>
            <w:tcW w:w="20" w:type="dxa"/>
            <w:vAlign w:val="bottom"/>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thereto.</w:t>
            </w:r>
          </w:p>
        </w:tc>
        <w:tc>
          <w:tcPr>
            <w:tcW w:w="3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 List of Subsidiaries of NFE Financial Holdings LLC</w:t>
            </w: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Consent of Ernst &amp; Young L.L.P.</w:t>
            </w:r>
          </w:p>
        </w:tc>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 Consent of Vinson &amp; Elkins L.L.P. (contained in Exhibits 5.1)</w:t>
            </w:r>
          </w:p>
        </w:tc>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Powers of Attorney (contained on signature page)</w:t>
            </w:r>
          </w:p>
        </w:tc>
        <w:tc>
          <w:tcPr>
            <w:tcW w:w="3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8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Provided herewith.</w:t>
      </w:r>
    </w:p>
    <w:p>
      <w:pPr>
        <w:spacing w:after="0" w:line="109" w:lineRule="exact"/>
        <w:rPr>
          <w:sz w:val="20"/>
          <w:szCs w:val="20"/>
          <w:color w:val="auto"/>
        </w:rPr>
      </w:pPr>
    </w:p>
    <w:p>
      <w:pPr>
        <w:ind w:left="347" w:hanging="347"/>
        <w:spacing w:after="0"/>
        <w:tabs>
          <w:tab w:leader="none" w:pos="347" w:val="left"/>
        </w:tabs>
        <w:numPr>
          <w:ilvl w:val="0"/>
          <w:numId w:val="96"/>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3"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700" w:right="260" w:hanging="356"/>
        <w:spacing w:after="0" w:line="259" w:lineRule="auto"/>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8" w:lineRule="exact"/>
        <w:rPr>
          <w:rFonts w:ascii="Arial" w:cs="Arial" w:eastAsia="Arial" w:hAnsi="Arial"/>
          <w:sz w:val="18"/>
          <w:szCs w:val="18"/>
          <w:color w:val="auto"/>
        </w:rPr>
      </w:pPr>
    </w:p>
    <w:p>
      <w:pPr>
        <w:jc w:val="both"/>
        <w:ind w:left="700" w:right="120" w:hanging="356"/>
        <w:spacing w:after="0" w:line="286" w:lineRule="auto"/>
        <w:tabs>
          <w:tab w:leader="none" w:pos="7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New York, State of New York, on</w:t>
      </w:r>
    </w:p>
    <w:p>
      <w:pPr>
        <w:ind w:left="400"/>
        <w:spacing w:after="0"/>
        <w:rPr>
          <w:sz w:val="20"/>
          <w:szCs w:val="20"/>
          <w:color w:val="auto"/>
        </w:rPr>
      </w:pPr>
      <w:r>
        <w:rPr>
          <w:rFonts w:ascii="Arial" w:cs="Arial" w:eastAsia="Arial" w:hAnsi="Arial"/>
          <w:sz w:val="18"/>
          <w:szCs w:val="18"/>
          <w:color w:val="auto"/>
        </w:rPr>
        <w:t>, 2018.</w:t>
      </w:r>
    </w:p>
    <w:p>
      <w:pPr>
        <w:spacing w:after="0" w:line="58"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60" w:type="dxa"/>
            <w:vAlign w:val="bottom"/>
            <w:gridSpan w:val="2"/>
          </w:tcPr>
          <w:p>
            <w:pPr>
              <w:ind w:left="40"/>
              <w:spacing w:after="0"/>
              <w:rPr>
                <w:sz w:val="20"/>
                <w:szCs w:val="20"/>
                <w:color w:val="auto"/>
              </w:rPr>
            </w:pPr>
            <w:r>
              <w:rPr>
                <w:rFonts w:ascii="Arial" w:cs="Arial" w:eastAsia="Arial" w:hAnsi="Arial"/>
                <w:sz w:val="18"/>
                <w:szCs w:val="18"/>
                <w:b w:val="1"/>
                <w:bCs w:val="1"/>
                <w:color w:val="auto"/>
              </w:rPr>
              <w:t>NFE Financial Holdings LLC</w:t>
            </w:r>
          </w:p>
        </w:tc>
      </w:tr>
      <w:tr>
        <w:trPr>
          <w:trHeight w:val="486"/>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4"/>
                <w:szCs w:val="24"/>
                <w:color w:val="auto"/>
              </w:rPr>
            </w:pPr>
          </w:p>
        </w:tc>
      </w:tr>
      <w:tr>
        <w:trPr>
          <w:trHeight w:val="237"/>
        </w:trPr>
        <w:tc>
          <w:tcPr>
            <w:tcW w:w="4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Name:</w:t>
            </w:r>
          </w:p>
        </w:tc>
        <w:tc>
          <w:tcPr>
            <w:tcW w:w="3980" w:type="dxa"/>
            <w:vAlign w:val="bottom"/>
          </w:tcPr>
          <w:p>
            <w:pPr>
              <w:ind w:left="40"/>
              <w:spacing w:after="0"/>
              <w:rPr>
                <w:sz w:val="20"/>
                <w:szCs w:val="20"/>
                <w:color w:val="auto"/>
              </w:rPr>
            </w:pPr>
            <w:r>
              <w:rPr>
                <w:rFonts w:ascii="Arial" w:cs="Arial" w:eastAsia="Arial" w:hAnsi="Arial"/>
                <w:sz w:val="18"/>
                <w:szCs w:val="18"/>
                <w:color w:val="auto"/>
              </w:rPr>
              <w:t>Christopher S. Guinta</w:t>
            </w:r>
          </w:p>
        </w:tc>
      </w:tr>
      <w:tr>
        <w:trPr>
          <w:trHeight w:val="243"/>
        </w:trPr>
        <w:tc>
          <w:tcPr>
            <w:tcW w:w="4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Title:</w:t>
            </w:r>
          </w:p>
        </w:tc>
        <w:tc>
          <w:tcPr>
            <w:tcW w:w="39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446"/>
        </w:trPr>
        <w:tc>
          <w:tcPr>
            <w:tcW w:w="9140" w:type="dxa"/>
            <w:vAlign w:val="bottom"/>
            <w:gridSpan w:val="4"/>
          </w:tcPr>
          <w:p>
            <w:pPr>
              <w:ind w:left="3400"/>
              <w:spacing w:after="0"/>
              <w:rPr>
                <w:sz w:val="20"/>
                <w:szCs w:val="20"/>
                <w:color w:val="auto"/>
              </w:rPr>
            </w:pPr>
            <w:r>
              <w:rPr>
                <w:rFonts w:ascii="Arial" w:cs="Arial" w:eastAsia="Arial" w:hAnsi="Arial"/>
                <w:sz w:val="18"/>
                <w:szCs w:val="18"/>
                <w:b w:val="1"/>
                <w:bCs w:val="1"/>
                <w:color w:val="auto"/>
              </w:rPr>
              <w:t>POWER OF ATTORNEY</w:t>
            </w:r>
          </w:p>
        </w:tc>
      </w:tr>
      <w:tr>
        <w:trPr>
          <w:trHeight w:val="324"/>
        </w:trPr>
        <w:tc>
          <w:tcPr>
            <w:tcW w:w="4040" w:type="dxa"/>
            <w:vAlign w:val="bottom"/>
          </w:tcPr>
          <w:p>
            <w:pPr>
              <w:spacing w:after="0"/>
              <w:rPr>
                <w:sz w:val="20"/>
                <w:szCs w:val="20"/>
                <w:color w:val="auto"/>
              </w:rPr>
            </w:pPr>
            <w:r>
              <w:rPr>
                <w:rFonts w:ascii="Arial" w:cs="Arial" w:eastAsia="Arial" w:hAnsi="Arial"/>
                <w:sz w:val="18"/>
                <w:szCs w:val="18"/>
                <w:color w:val="auto"/>
                <w:w w:val="92"/>
              </w:rPr>
              <w:t>Each person whose signature appears below appoints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340"/>
              <w:spacing w:after="0"/>
              <w:rPr>
                <w:sz w:val="20"/>
                <w:szCs w:val="20"/>
                <w:color w:val="auto"/>
              </w:rPr>
            </w:pPr>
            <w:r>
              <w:rPr>
                <w:rFonts w:ascii="Arial" w:cs="Arial" w:eastAsia="Arial" w:hAnsi="Arial"/>
                <w:sz w:val="18"/>
                <w:szCs w:val="18"/>
                <w:color w:val="auto"/>
              </w:rPr>
              <w:t>and</w:t>
            </w:r>
          </w:p>
        </w:tc>
        <w:tc>
          <w:tcPr>
            <w:tcW w:w="3980" w:type="dxa"/>
            <w:vAlign w:val="bottom"/>
          </w:tcPr>
          <w:p>
            <w:pPr>
              <w:ind w:left="280"/>
              <w:spacing w:after="0"/>
              <w:rPr>
                <w:sz w:val="20"/>
                <w:szCs w:val="20"/>
                <w:color w:val="auto"/>
              </w:rPr>
            </w:pPr>
            <w:r>
              <w:rPr>
                <w:rFonts w:ascii="Arial" w:cs="Arial" w:eastAsia="Arial" w:hAnsi="Arial"/>
                <w:sz w:val="18"/>
                <w:szCs w:val="18"/>
                <w:color w:val="auto"/>
                <w:w w:val="94"/>
              </w:rPr>
              <w:t>, and each of them, any of whom may act without</w:t>
            </w:r>
          </w:p>
        </w:tc>
      </w:tr>
    </w:tbl>
    <w:p>
      <w:pPr>
        <w:spacing w:after="0" w:line="268" w:lineRule="auto"/>
        <w:rPr>
          <w:sz w:val="20"/>
          <w:szCs w:val="20"/>
          <w:color w:val="auto"/>
        </w:rPr>
      </w:pPr>
      <w:r>
        <w:rPr>
          <w:rFonts w:ascii="Arial" w:cs="Arial" w:eastAsia="Arial" w:hAnsi="Arial"/>
          <w:sz w:val="17"/>
          <w:szCs w:val="17"/>
          <w:color w:val="auto"/>
        </w:rPr>
        <w:t>the joinder of the other, as his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or she might or would do in person, hereby ratifying and confirming all that said attorneys-in-fact and agents or any of them of their or his or her substitute and substitutes, may lawfully do or cause to be done by virtue hereof.</w:t>
      </w:r>
    </w:p>
    <w:p>
      <w:pPr>
        <w:spacing w:after="0" w:line="74"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0" w:type="dxa"/>
            <w:vAlign w:val="bottom"/>
          </w:tcPr>
          <w:p>
            <w:pPr>
              <w:spacing w:after="0"/>
              <w:rPr>
                <w:sz w:val="14"/>
                <w:szCs w:val="14"/>
                <w:color w:val="auto"/>
              </w:rPr>
            </w:pPr>
          </w:p>
        </w:tc>
        <w:tc>
          <w:tcPr>
            <w:tcW w:w="22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Date</w:t>
            </w:r>
          </w:p>
        </w:tc>
      </w:tr>
      <w:tr>
        <w:trPr>
          <w:trHeight w:val="480"/>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Wesley R. Edens, Chief Executive Officer and</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182"/>
        </w:trPr>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00" w:type="dxa"/>
            <w:vAlign w:val="bottom"/>
          </w:tcPr>
          <w:p>
            <w:pPr>
              <w:jc w:val="center"/>
              <w:spacing w:after="0" w:line="182" w:lineRule="exact"/>
              <w:rPr>
                <w:sz w:val="20"/>
                <w:szCs w:val="20"/>
                <w:color w:val="auto"/>
              </w:rPr>
            </w:pPr>
            <w:r>
              <w:rPr>
                <w:rFonts w:ascii="Arial" w:cs="Arial" w:eastAsia="Arial" w:hAnsi="Arial"/>
                <w:sz w:val="18"/>
                <w:szCs w:val="18"/>
                <w:color w:val="auto"/>
                <w:w w:val="95"/>
              </w:rPr>
              <w:t>Director</w:t>
            </w:r>
          </w:p>
        </w:tc>
        <w:tc>
          <w:tcPr>
            <w:tcW w:w="16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30"/>
        </w:trPr>
        <w:tc>
          <w:tcPr>
            <w:tcW w:w="3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86"/>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2"/>
              </w:rPr>
              <w:t>Christopher S. Guinta, Chief Financial Officer</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512"/>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4"/>
              </w:rPr>
              <w:t>Jay Leitstein, Chief Accounting Officer</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512"/>
        </w:trPr>
        <w:tc>
          <w:tcPr>
            <w:tcW w:w="3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Randal A. Nardone</w:t>
            </w:r>
          </w:p>
        </w:tc>
        <w:tc>
          <w:tcPr>
            <w:tcW w:w="2380" w:type="dxa"/>
            <w:vAlign w:val="bottom"/>
            <w:gridSpan w:val="2"/>
          </w:tcPr>
          <w:p>
            <w:pPr>
              <w:jc w:val="right"/>
              <w:ind w:right="948"/>
              <w:spacing w:after="0"/>
              <w:rPr>
                <w:sz w:val="20"/>
                <w:szCs w:val="20"/>
                <w:color w:val="auto"/>
              </w:rPr>
            </w:pPr>
            <w:r>
              <w:rPr>
                <w:rFonts w:ascii="Arial" w:cs="Arial" w:eastAsia="Arial" w:hAnsi="Arial"/>
                <w:sz w:val="18"/>
                <w:szCs w:val="18"/>
                <w:color w:val="auto"/>
              </w:rPr>
              <w:t>, 2018</w:t>
            </w:r>
          </w:p>
        </w:tc>
      </w:t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540"/>
      </w:cols>
      <w:pgMar w:left="1180" w:top="279"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2"/>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1)"/>
      <w:numFmt w:val="lowerRoman"/>
      <w:start w:val="4"/>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1)"/>
      <w:numFmt w:val="decimal"/>
      <w:start w:val="2"/>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1)"/>
      <w:numFmt w:val="decimal"/>
      <w:start w:val="4"/>
    </w:lvl>
  </w:abstractNum>
  <w:abstractNum w:abstractNumId="36">
    <w:nsid w:val="1F48EAA1"/>
    <w:multiLevelType w:val="hybridMultilevel"/>
    <w:lvl w:ilvl="0">
      <w:lvlJc w:val="left"/>
      <w:lvlText w:val="(%1)"/>
      <w:numFmt w:val="decimal"/>
      <w:start w:val="2"/>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lowerRoman"/>
      <w:start w:val="2"/>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1)"/>
      <w:numFmt w:val="lowerRoman"/>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1)"/>
      <w:numFmt w:val="lowerLetter"/>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1)"/>
      <w:numFmt w:val="lowerLetter"/>
      <w:start w:val="1"/>
    </w:lvl>
  </w:abstractNum>
  <w:abstractNum w:abstractNumId="62">
    <w:nsid w:val="68EB2F63"/>
    <w:multiLevelType w:val="hybridMultilevel"/>
    <w:lvl w:ilvl="0">
      <w:lvlJc w:val="left"/>
      <w:lvlText w:val="(%1)"/>
      <w:numFmt w:val="lowerLetter"/>
      <w:start w:val="2"/>
    </w:lvl>
  </w:abstractNum>
  <w:abstractNum w:abstractNumId="63">
    <w:nsid w:val="4962813B"/>
    <w:multiLevelType w:val="hybridMultilevel"/>
    <w:lvl w:ilvl="0">
      <w:lvlJc w:val="left"/>
      <w:lvlText w:val="(%1)"/>
      <w:numFmt w:val="lowerLetter"/>
      <w:start w:val="1"/>
    </w:lvl>
  </w:abstractNum>
  <w:abstractNum w:abstractNumId="64">
    <w:nsid w:val="60B6DF70"/>
    <w:multiLevelType w:val="hybridMultilevel"/>
    <w:lvl w:ilvl="0">
      <w:lvlJc w:val="left"/>
      <w:lvlText w:val="(%1)"/>
      <w:numFmt w:val="lowerLetter"/>
      <w:start w:val="2"/>
    </w:lvl>
    <w:lvl w:ilvl="1">
      <w:lvlJc w:val="left"/>
      <w:lvlText w:val="(%2)"/>
      <w:numFmt w:val="decimal"/>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1."/>
      <w:numFmt w:val="decimal"/>
      <w:start w:val="1"/>
    </w:lvl>
    <w:lvl w:ilvl="1">
      <w:lvlJc w:val="left"/>
      <w:lvlText w:val="(%2)"/>
      <w:numFmt w:val="lowerLetter"/>
      <w:start w:val="1"/>
    </w:lvl>
  </w:abstractNum>
  <w:abstractNum w:abstractNumId="67">
    <w:nsid w:val="7FFFCA11"/>
    <w:multiLevelType w:val="hybridMultilevel"/>
    <w:lvl w:ilvl="0">
      <w:lvlJc w:val="left"/>
      <w:lvlText w:val="(%1)"/>
      <w:numFmt w:val="lowerLetter"/>
      <w:start w:val="7"/>
    </w:lvl>
  </w:abstractNum>
  <w:abstractNum w:abstractNumId="68">
    <w:nsid w:val="1A27709E"/>
    <w:multiLevelType w:val="hybridMultilevel"/>
    <w:lvl w:ilvl="0">
      <w:lvlJc w:val="left"/>
      <w:lvlText w:val="(%1)"/>
      <w:numFmt w:val="lowerLetter"/>
      <w:start w:val="10"/>
    </w:lvl>
  </w:abstractNum>
  <w:abstractNum w:abstractNumId="69">
    <w:nsid w:val="71EA1109"/>
    <w:multiLevelType w:val="hybridMultilevel"/>
    <w:lvl w:ilvl="0">
      <w:lvlJc w:val="left"/>
      <w:lvlText w:val="(%1)"/>
      <w:numFmt w:val="lowerLetter"/>
      <w:start w:val="11"/>
    </w:lvl>
  </w:abstractNum>
  <w:abstractNum w:abstractNumId="70">
    <w:nsid w:val="100F59DC"/>
    <w:multiLevelType w:val="hybridMultilevel"/>
    <w:lvl w:ilvl="0">
      <w:lvlJc w:val="left"/>
      <w:lvlText w:val="(%1)"/>
      <w:numFmt w:val="lowerLetter"/>
      <w:start w:val="16"/>
    </w:lvl>
  </w:abstractNum>
  <w:abstractNum w:abstractNumId="71">
    <w:nsid w:val="7FB7E0AA"/>
    <w:multiLevelType w:val="hybridMultilevel"/>
    <w:lvl w:ilvl="0">
      <w:lvlJc w:val="left"/>
      <w:lvlText w:val="%1"/>
      <w:numFmt w:val="decimal"/>
      <w:start w:val="1"/>
    </w:lvl>
    <w:lvl w:ilvl="1">
      <w:lvlJc w:val="left"/>
      <w:lvlText w:val="(%2)"/>
      <w:numFmt w:val="lowerLetter"/>
      <w:start w:val="18"/>
    </w:lvl>
  </w:abstractNum>
  <w:abstractNum w:abstractNumId="72">
    <w:nsid w:val="6EB5BD4"/>
    <w:multiLevelType w:val="hybridMultilevel"/>
    <w:lvl w:ilvl="0">
      <w:lvlJc w:val="left"/>
      <w:lvlText w:val="%1."/>
      <w:numFmt w:val="decimal"/>
      <w:start w:val="3"/>
    </w:lvl>
    <w:lvl w:ilvl="1">
      <w:lvlJc w:val="left"/>
      <w:lvlText w:val="%2"/>
      <w:numFmt w:val="lowerLetter"/>
      <w:start w:val="1"/>
    </w:lvl>
  </w:abstractNum>
  <w:abstractNum w:abstractNumId="73">
    <w:nsid w:val="6F6DD9AC"/>
    <w:multiLevelType w:val="hybridMultilevel"/>
    <w:lvl w:ilvl="0">
      <w:lvlJc w:val="left"/>
      <w:lvlText w:val="(%1)"/>
      <w:numFmt w:val="lowerLetter"/>
      <w:start w:val="1"/>
    </w:lvl>
  </w:abstractNum>
  <w:abstractNum w:abstractNumId="74">
    <w:nsid w:val="94211F2"/>
    <w:multiLevelType w:val="hybridMultilevel"/>
    <w:lvl w:ilvl="0">
      <w:lvlJc w:val="left"/>
      <w:lvlText w:val="%1"/>
      <w:numFmt w:val="decimal"/>
      <w:start w:val="1"/>
    </w:lvl>
    <w:lvl w:ilvl="1">
      <w:lvlJc w:val="left"/>
      <w:lvlText w:val="(%2)"/>
      <w:numFmt w:val="lowerLetter"/>
      <w:start w:val="2"/>
    </w:lvl>
  </w:abstractNum>
  <w:abstractNum w:abstractNumId="75">
    <w:nsid w:val="885E1B"/>
    <w:multiLevelType w:val="hybridMultilevel"/>
    <w:lvl w:ilvl="0">
      <w:lvlJc w:val="left"/>
      <w:lvlText w:val="%1."/>
      <w:numFmt w:val="decimal"/>
      <w:start w:val="4"/>
    </w:lvl>
    <w:lvl w:ilvl="1">
      <w:lvlJc w:val="left"/>
      <w:lvlText w:val="%2"/>
      <w:numFmt w:val="lowerLetter"/>
      <w:start w:val="1"/>
    </w:lvl>
  </w:abstractNum>
  <w:abstractNum w:abstractNumId="76">
    <w:nsid w:val="76272110"/>
    <w:multiLevelType w:val="hybridMultilevel"/>
    <w:lvl w:ilvl="0">
      <w:lvlJc w:val="left"/>
      <w:lvlText w:val="%1."/>
      <w:numFmt w:val="decimal"/>
      <w:start w:val="5"/>
    </w:lvl>
    <w:lvl w:ilvl="1">
      <w:lvlJc w:val="left"/>
      <w:lvlText w:val="•"/>
      <w:numFmt w:val="bullet"/>
      <w:start w:val="1"/>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1."/>
      <w:numFmt w:val="decimal"/>
      <w:start w:val="6"/>
    </w:lvl>
  </w:abstractNum>
  <w:abstractNum w:abstractNumId="79">
    <w:nsid w:val="14E17E33"/>
    <w:multiLevelType w:val="hybridMultilevel"/>
    <w:lvl w:ilvl="0">
      <w:lvlJc w:val="left"/>
      <w:lvlText w:val="%1."/>
      <w:numFmt w:val="decimal"/>
      <w:start w:val="7"/>
    </w:lvl>
  </w:abstractNum>
  <w:abstractNum w:abstractNumId="80">
    <w:nsid w:val="3222E7CD"/>
    <w:multiLevelType w:val="hybridMultilevel"/>
    <w:lvl w:ilvl="0">
      <w:lvlJc w:val="left"/>
      <w:lvlText w:val="%1."/>
      <w:numFmt w:val="decimal"/>
      <w:start w:val="8"/>
    </w:lvl>
  </w:abstractNum>
  <w:abstractNum w:abstractNumId="81">
    <w:nsid w:val="74DE0EE3"/>
    <w:multiLevelType w:val="hybridMultilevel"/>
    <w:lvl w:ilvl="0">
      <w:lvlJc w:val="left"/>
      <w:lvlText w:val="%1."/>
      <w:numFmt w:val="decimal"/>
      <w:start w:val="9"/>
    </w:lvl>
  </w:abstractNum>
  <w:abstractNum w:abstractNumId="82">
    <w:nsid w:val="68EBC550"/>
    <w:multiLevelType w:val="hybridMultilevel"/>
    <w:lvl w:ilvl="0">
      <w:lvlJc w:val="left"/>
      <w:lvlText w:val="%1."/>
      <w:numFmt w:val="decimal"/>
      <w:start w:val="10"/>
    </w:lvl>
  </w:abstractNum>
  <w:abstractNum w:abstractNumId="83">
    <w:nsid w:val="2DF6D648"/>
    <w:multiLevelType w:val="hybridMultilevel"/>
    <w:lvl w:ilvl="0">
      <w:lvlJc w:val="left"/>
      <w:lvlText w:val="%1."/>
      <w:numFmt w:val="decimal"/>
      <w:start w:val="11"/>
    </w:lvl>
  </w:abstractNum>
  <w:abstractNum w:abstractNumId="84">
    <w:nsid w:val="46B7D447"/>
    <w:multiLevelType w:val="hybridMultilevel"/>
    <w:lvl w:ilvl="0">
      <w:lvlJc w:val="left"/>
      <w:lvlText w:val="%1."/>
      <w:numFmt w:val="decimal"/>
      <w:start w:val="12"/>
    </w:lvl>
  </w:abstractNum>
  <w:abstractNum w:abstractNumId="85">
    <w:nsid w:val="4A2AC315"/>
    <w:multiLevelType w:val="hybridMultilevel"/>
    <w:lvl w:ilvl="0">
      <w:lvlJc w:val="left"/>
      <w:lvlText w:val="%1."/>
      <w:numFmt w:val="decimal"/>
      <w:start w:val="13"/>
    </w:lvl>
  </w:abstractNum>
  <w:abstractNum w:abstractNumId="86">
    <w:nsid w:val="39EE015C"/>
    <w:multiLevelType w:val="hybridMultilevel"/>
    <w:lvl w:ilvl="0">
      <w:lvlJc w:val="left"/>
      <w:lvlText w:val="%1."/>
      <w:numFmt w:val="decimal"/>
      <w:start w:val="14"/>
    </w:lvl>
  </w:abstractNum>
  <w:abstractNum w:abstractNumId="87">
    <w:nsid w:val="57FC4FBB"/>
    <w:multiLevelType w:val="hybridMultilevel"/>
    <w:lvl w:ilvl="0">
      <w:lvlJc w:val="left"/>
      <w:lvlText w:val="%1."/>
      <w:numFmt w:val="decimal"/>
      <w:start w:val="15"/>
    </w:lvl>
  </w:abstractNum>
  <w:abstractNum w:abstractNumId="88">
    <w:nsid w:val="CC1016F"/>
    <w:multiLevelType w:val="hybridMultilevel"/>
    <w:lvl w:ilvl="0">
      <w:lvlJc w:val="left"/>
      <w:lvlText w:val="%1."/>
      <w:numFmt w:val="decimal"/>
      <w:start w:val="16"/>
    </w:lvl>
  </w:abstractNum>
  <w:abstractNum w:abstractNumId="89">
    <w:nsid w:val="43F18422"/>
    <w:multiLevelType w:val="hybridMultilevel"/>
    <w:lvl w:ilvl="0">
      <w:lvlJc w:val="left"/>
      <w:lvlText w:val="%1."/>
      <w:numFmt w:val="decimal"/>
      <w:start w:val="17"/>
    </w:lvl>
  </w:abstractNum>
  <w:abstractNum w:abstractNumId="90">
    <w:nsid w:val="60EF0119"/>
    <w:multiLevelType w:val="hybridMultilevel"/>
    <w:lvl w:ilvl="0">
      <w:lvlJc w:val="left"/>
      <w:lvlText w:val="%1."/>
      <w:numFmt w:val="decimal"/>
      <w:start w:val="19"/>
    </w:lvl>
  </w:abstractNum>
  <w:abstractNum w:abstractNumId="91">
    <w:nsid w:val="26F324BA"/>
    <w:multiLevelType w:val="hybridMultilevel"/>
    <w:lvl w:ilvl="0">
      <w:lvlJc w:val="left"/>
      <w:lvlText w:val="%1."/>
      <w:numFmt w:val="decimal"/>
      <w:start w:val="20"/>
    </w:lvl>
  </w:abstractNum>
  <w:abstractNum w:abstractNumId="92">
    <w:nsid w:val="7F01579B"/>
    <w:multiLevelType w:val="hybridMultilevel"/>
    <w:lvl w:ilvl="0">
      <w:lvlJc w:val="left"/>
      <w:lvlText w:val="%1."/>
      <w:numFmt w:val="decimal"/>
      <w:start w:val="2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2019-12-08T18:30:55Z</dcterms:created>
  <dcterms:modified xsi:type="dcterms:W3CDTF">2019-12-08T18:30:55Z</dcterms:modified>
</cp:coreProperties>
</file>