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 October 5,</w:t>
      </w:r>
      <w:r>
        <w:rPr>
          <w:color w:val="000000"/>
        </w:rPr>
        <w:t xml:space="preserve"> </w:t>
      </w:r>
      <w:r>
        <w:rPr>
          <w:rFonts w:ascii="Times New Roman;serif" w:hAnsi="Times New Roman;serif"/>
          <w:b/>
          <w:color w:val="000000"/>
          <w:sz w:val="20"/>
        </w:rPr>
        <w:t>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1"/>
        <w:gridCol w:w="1724"/>
        <w:gridCol w:w="1744"/>
        <w:gridCol w:w="486"/>
        <w:gridCol w:w="486"/>
        <w:gridCol w:w="488"/>
        <w:gridCol w:w="929"/>
        <w:gridCol w:w="929"/>
        <w:gridCol w:w="1318"/>
      </w:tblGrid>
      <w:tr>
        <w:trPr/>
        <w:tc>
          <w:tcPr>
            <w:tcW w:w="210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55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5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46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5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Series A Mandatorily Convertible Preferred Stock, par value $0.01 per share</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NFEGP”</w:t>
            </w:r>
          </w:p>
        </w:tc>
        <w:tc>
          <w:tcPr>
            <w:tcW w:w="3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New Fortress E</w:t>
      </w:r>
      <w:r>
        <w:rPr>
          <w:rFonts w:ascii="Times New Roman;serif" w:hAnsi="Times New Roman;serif"/>
          <w:b w:val="false"/>
          <w:color w:val="000000"/>
          <w:sz w:val="20"/>
          <w:shd w:fill="FFFFFF" w:val="clear"/>
        </w:rPr>
        <w:t>nergy Inc. ("NFE" or the “Company”) today announced that the Company’s Fast LNG unit is offline, following a mechanical issue with the facility’s gas turbine. NFE is actively working with the manufacturer of the turbine to return the FLNG unit to operation as soon as possible. The Company expects the Fast LNG unit to return to service during the fourth quarter.</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Cautionary Statement Regarding Forward Looking Statements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This communication contains forward-looking statements.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“predicts,” “intends,” “plans,” “estimates,” “anticipates,” or t</w:t>
      </w:r>
      <w:r>
        <w:rPr>
          <w:rFonts w:ascii="Times New Roman;serif" w:hAnsi="Times New Roman;serif"/>
          <w:b w:val="false"/>
          <w:color w:val="000000"/>
          <w:sz w:val="20"/>
        </w:rPr>
        <w:t>he negative version of these terms or other comparable words. Forward looking statements include but are not limited to, the investigation of and remediation efforts related to the mechanical failure of the Company’s Fast FLNG unit; the disruption of production at the Fast FLNG unit; and the Company’s efforts and timeline for a return to normal operations of the Fast FLNG unit.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the cause of the mechanical failure of the Fast FLNG unit; the Company’s ability to resolve the mechanical issues and return the Fast FLNG unit to normal operations; the Company’s ability to source replacement liquified natural gas on the spot market, if necessary, or at commercially feasible prices; further production delays and schedule changes; potential nonpayment or nonperformance of obligations under existing contracts; potential challenges with commercial counterparties, or other regulatory or legal challenges; and other unknown and unforeseen risks related to the operation of the Fast LNG unit.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 speaks only as of the date on which it is made, and we undertake no duty to update or revise these forward-looking statements, even though our situation may change in the future. New factors emerge from time to time, and it is not possible for the Company to predict all such factors. When considering these forward-looking statements, you should keep in mind the risk factors and other cautionary statements included in NFE’s annual and quarterly reports filed with the Securities and Exchange Commission, which could cause its actual results to differ materially from those contained in any forward-looking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382" w:type="dxa"/>
        <w:jc w:val="left"/>
        <w:tblInd w:w="0" w:type="dxa"/>
        <w:tblLayout w:type="fixed"/>
        <w:tblCellMar>
          <w:top w:w="28" w:type="dxa"/>
          <w:left w:w="28" w:type="dxa"/>
          <w:bottom w:w="28" w:type="dxa"/>
          <w:right w:w="28" w:type="dxa"/>
        </w:tblCellMar>
      </w:tblPr>
      <w:tblGrid>
        <w:gridCol w:w="689"/>
        <w:gridCol w:w="606"/>
        <w:gridCol w:w="610"/>
        <w:gridCol w:w="464"/>
        <w:gridCol w:w="464"/>
        <w:gridCol w:w="464"/>
        <w:gridCol w:w="1482"/>
        <w:gridCol w:w="1482"/>
        <w:gridCol w:w="212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0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and Chief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4979</Characters>
  <CharactersWithSpaces>5797</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