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18, 2024</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Appointment of Certain Officers; Compensatory Arrangements of Certain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Appointment of President</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October 18, 2024, the Board of Directors (the “Board”) of New Fortress Energy Inc. (the “Company”) appointed Andrew Dete as the Company’s President, effective immediately.</w:t>
      </w:r>
    </w:p>
    <w:p>
      <w:pPr>
        <w:spacing w:after="0" w:line="189"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4"/>
          <w:szCs w:val="14"/>
          <w:color w:val="auto"/>
        </w:rPr>
        <w:t>Mr. Dete, 37 years old, currently serves as Managing Director of New Business at the Company, a role which he has held since joining the Company in 2020. Mr. Dete is responsible for originating and executing new business to support the growth of operational assets and achieve new market development objectives, including sales of LNG and power, as well as new terminal and infrastructure investments. Mr. Dete has over 12 years of experience in the energy and infrastructure industry across developed and emerging markets, including project financing roles and developing greenfield infrastructure projects. In his current role, Mr. Dete has been focused on the Company’s expansion into Brazil and the organic growth of existing natural gas import terminals. Prior to joining the Company, Mr. Dete served as a vice president in the Project, Infrastructure, and Principal Finance group at Goldman Sachs, where he led origination, structuring, and execution of financings for infrastructure projects in the United States and Latin America. He previously worked at SunPower Corporation, helping to lead the development and financing to utility-scale, commercial, and residential solar power projects. Mr. Dete received an undergraduate degree in Economics with a focus on Development Economics from Dartmouth College.</w:t>
      </w:r>
    </w:p>
    <w:p>
      <w:pPr>
        <w:spacing w:after="0" w:line="167" w:lineRule="exact"/>
        <w:rPr>
          <w:sz w:val="20"/>
          <w:szCs w:val="20"/>
          <w:color w:val="auto"/>
        </w:rPr>
      </w:pPr>
    </w:p>
    <w:p>
      <w:pPr>
        <w:ind w:right="500" w:firstLine="509"/>
        <w:spacing w:after="0" w:line="271" w:lineRule="auto"/>
        <w:rPr>
          <w:sz w:val="20"/>
          <w:szCs w:val="20"/>
          <w:color w:val="auto"/>
        </w:rPr>
      </w:pPr>
      <w:r>
        <w:rPr>
          <w:rFonts w:ascii="Times New Roman" w:cs="Times New Roman" w:eastAsia="Times New Roman" w:hAnsi="Times New Roman"/>
          <w:sz w:val="14"/>
          <w:szCs w:val="14"/>
          <w:color w:val="auto"/>
        </w:rPr>
        <w:t>There are no family relationships between Mr. Dete and any director or executive officer of the Company. There are no related party transactions between Mr. Dete and the Company reportable under Item 404(a) of Regulation S-K.</w:t>
      </w:r>
    </w:p>
    <w:p>
      <w:pPr>
        <w:spacing w:after="0" w:line="146"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In connection with his appointment, Mr. Dete has entered into a standard indemnification agreement with the Company, the form of which is filed as Exhibit 10.1 hereto and incorporated herein by reference.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copy of the press release announcing Mr. Dete's appointment is furnished herewithin as Exhibit 99.1.</w:t>
      </w:r>
    </w:p>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2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6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60" w:type="dxa"/>
            <w:vAlign w:val="bottom"/>
            <w:tcBorders>
              <w:top w:val="single" w:sz="8" w:color="auto"/>
            </w:tcBorders>
            <w:gridSpan w:val="2"/>
          </w:tcPr>
          <w:p>
            <w:pPr>
              <w:jc w:val="center"/>
              <w:ind w:left="249"/>
              <w:spacing w:after="0" w:line="159" w:lineRule="exact"/>
              <w:rPr>
                <w:sz w:val="20"/>
                <w:szCs w:val="20"/>
                <w:color w:val="auto"/>
              </w:rPr>
            </w:pPr>
            <w:r>
              <w:rPr>
                <w:rFonts w:ascii="Times New Roman" w:cs="Times New Roman" w:eastAsia="Times New Roman" w:hAnsi="Times New Roman"/>
                <w:sz w:val="14"/>
                <w:szCs w:val="14"/>
                <w:color w:val="auto"/>
                <w:w w:val="97"/>
              </w:rPr>
              <w:t>10.</w:t>
            </w:r>
            <w:r>
              <w:rPr>
                <w:rFonts w:ascii="Times New Roman" w:cs="Times New Roman" w:eastAsia="Times New Roman" w:hAnsi="Times New Roman"/>
                <w:sz w:val="14"/>
                <w:szCs w:val="14"/>
                <w:u w:val="single" w:color="auto"/>
                <w:color w:val="auto"/>
                <w:w w:val="97"/>
              </w:rPr>
              <w:t>1</w:t>
            </w: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32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Indemnification Agreement, by and between New Fortress Energy Inc. and Andrew Dete, dated October 18, 2024.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auto"/>
                <w:w w:val="97"/>
              </w:rPr>
              <w:t>99.</w:t>
            </w:r>
            <w:r>
              <w:rPr>
                <w:rFonts w:ascii="Times New Roman" w:cs="Times New Roman" w:eastAsia="Times New Roman" w:hAnsi="Times New Roman"/>
                <w:sz w:val="14"/>
                <w:szCs w:val="14"/>
                <w:u w:val="single" w:color="auto"/>
                <w:color w:val="auto"/>
                <w:w w:val="97"/>
              </w:rPr>
              <w:t>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Press Release date October 24, 2024.</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999"/>
        </w:trPr>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October 24, 2024</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2024-10-24T15:52:29Z</dcterms:created>
  <dcterms:modified xsi:type="dcterms:W3CDTF">2024-10-24T15:52:29Z</dcterms:modified>
</cp:coreProperties>
</file>