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Catterall Desmond Iain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New Fortress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NFE</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09/04/2020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10011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09/04/2020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1,588</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28.25</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69,841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08/19/2021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ind w:right="33"/>
              <w:spacing w:after="0"/>
              <w:rPr>
                <w:sz w:val="20"/>
                <w:szCs w:val="20"/>
                <w:color w:val="auto"/>
              </w:rPr>
            </w:pPr>
            <w:r>
              <w:rPr>
                <w:rFonts w:ascii="Arial" w:cs="Arial" w:eastAsia="Arial" w:hAnsi="Arial"/>
                <w:sz w:val="17"/>
                <w:szCs w:val="17"/>
                <w:color w:val="0000FF"/>
              </w:rPr>
              <w:t>953</w:t>
            </w:r>
            <w:r>
              <w:rPr>
                <w:rFonts w:ascii="Arial" w:cs="Arial" w:eastAsia="Arial" w:hAnsi="Arial"/>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26.5</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Arial" w:cs="Arial" w:eastAsia="Arial" w:hAnsi="Arial"/>
                <w:sz w:val="17"/>
                <w:szCs w:val="17"/>
                <w:color w:val="0000FF"/>
                <w:w w:val="92"/>
              </w:rPr>
              <w:t>68,888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No shares were sold. Reflects withholding of shares to satisfy tax liability in connection with delivery of shares made in connection with the vesting of restricted stock units granted in February 2019.</w:t>
      </w:r>
    </w:p>
    <w:p>
      <w:pPr>
        <w:spacing w:after="0" w:line="89"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Desmond Iain Catterall,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3227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Cameron D. MacDougall as</w:t>
      </w:r>
      <w:r>
        <w:rPr>
          <w:sz w:val="20"/>
          <w:szCs w:val="20"/>
          <w:color w:val="auto"/>
        </w:rPr>
        <w:tab/>
      </w:r>
      <w:r>
        <w:rPr>
          <w:rFonts w:ascii="Arial" w:cs="Arial" w:eastAsia="Arial" w:hAnsi="Arial"/>
          <w:sz w:val="15"/>
          <w:szCs w:val="15"/>
          <w:color w:val="0000FF"/>
        </w:rPr>
        <w:t>03/17/2022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3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914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3935" TargetMode="External"/><Relationship Id="rId13"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2022-03-17T16:08:12Z</dcterms:created>
  <dcterms:modified xsi:type="dcterms:W3CDTF">2022-03-17T16:08:12Z</dcterms:modified>
</cp:coreProperties>
</file>