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19,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6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43"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On July 19, 2024, New Fortress Energy Inc. (the “Company”) and certain of its subsidiaries, as guarantors, entered into a credit agreement (the “Credit Agreement”) with Morgan Stanley Senior Funding, Inc. as administrative agent and collateral agent, and the lenders party thereto (the “Lenders”). The Credit Agreement provides for a senior secured, multiple-draw term loan facility in an aggregate principal amount of up to $700 million (the loans made under the term loan facility, the “Term Loans”). The proceeds from the Term Loans will be used to pay (i) costs of the construction and development of our 1.4 MTPA onshore FLNG project in Altamira (the “Project”), including to reimburse the Company for certain equity contributions made in connection with the Project and (ii) fees and expenses incurred in connection with the Project. The initial and subsequent fundings of the Term Loans are subject to certain conditions, including the condition to the initial funding that initial generation of LNG from our offshore FLNG facility at Altamira (the “FLNG1 Project”) had been achieved. Such condition was satisfied, and initial funding occurred. The remaining commitments of the Lenders to make the Term Loans expire on the earliest of June 30, 2026, the date of completion of the Project (the “Completion Date”) and the date that the commitments are reduced to zero or terminated.</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Term Loans will mature on July 19, 2027 and are payable in full on the maturity date. In the event that the Company’s existing 6.750% Senior Secured Notes due 2025 (the “2025 Notes”) or 6.50% Senior Secured Notes due 2026 (the “2026 Notes”), are not refinanced or repaid at least 60 days prior to their respective maturities, the Term Loans will become due and payable on such date.</w:t>
      </w:r>
    </w:p>
    <w:p>
      <w:pPr>
        <w:spacing w:after="0" w:line="204"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The obligations under the Credit Agreement are guaranteed, jointly and severally, on a senior secured basis by each subsidiary that is a guarantor under the 2025 Notes, 2026 Notes, the Company’s 8.750% Senior Secured Notes due 2029 Notes (the “2029 Notes”), the Company’s senior secured revolving credit facility (the “Revolving Facility”), the Company’s letter of credit facility (the “Letter of Credit Facility”) and the Company’s existing term loan facility (the “FLNG1 Term Loan”), other than the guarantors comprising the FLNG1 Project (who guarantee the Revolving Facility, the Letter of Credit Facility, and the FLNG1 Term Loan). The obligations under the Credit Agreement are secured by substantially the same collateral as the collateral securing such facilities, with the exception of the collateral comprising the FLNG1 Project (which secures the Revolving Facility, the Letter of Credit Facility, and the FLNG1 Term Loan). Additionally, the Term Loans are guaranteed by the entities, and secured by the assets, comprising the Project. An equal priority intercreditor agreement governs the treatment of the collateral.</w:t>
      </w:r>
    </w:p>
    <w:p>
      <w:pPr>
        <w:spacing w:after="0" w:line="214"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The Term Loans will bear interest at a per annum rate equal to Term SOFR (as defined in the Credit Agreement) plus 3.75%, or at a base rate plus 2.75%. Each of the foregoing will increase by 0.25% every 180 days beginning on June 20, 2025. The Company may prepay the Term Loans at its option without premium or penalty at any time subject to customary break funding costs. The Company is required to prepay the Term Loans with the net proceeds of certain asset sales, condemnations, debt and convertible securities issuances, and extraordinary receipts related to the Project, in each case subject to certain exceptions and thresholds. Additionally, commencing with the first fiscal quarter after the Completion Date, the Company will be required to prepay the Term Loans with the Project’s Excess Cash Flow (as defined in the Credit Agreement).</w:t>
      </w:r>
    </w:p>
    <w:p>
      <w:pPr>
        <w:spacing w:after="0" w:line="21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Credit Agreement contains usual and customary representations and warranties for financings of this type, including certain representations and warranties related to the Project, and usual and customary affirmative and negative covenants for financings of this type, including, but not limited to: limitations on liens, indebtedness and dispositions, loans, advances and investments, sale and leaseback transactions, restricted payments; covenants regarding transactions with affiliates, limitations on dividends and other payment restrictions affecting subsidiaries, limitations on modifications of indebtedness, requirements to comply with the Employee Retirement Income Security Act of 1974, as amended (“ERISA”). The Credit Agreement includes certain other covenants related solely to the Project, including limitations on capital expenditures, restrictions on additional accounts, and restrictions on amendments or termination of certain material documents related to the Project. The Credit Agreement further requires compliance with certain environmental and social standards in relation to the Project, and delivery of periodic reports on the construction and operation of the Project as well as compliance with applicable environmental and social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Company must also comply with certain financial covenants. Beginning with the quarter ending December 31, 2024, the Company must not permit, as of the last day of any test period, the Debt to Capitalization Ratio (as defined in the Credit Agreement) to exceed 0.7:1.0. For quarters in which the Revolving Facility is greater than 50% drawn, the Debt to Annualized EBITDA Ratio (as defined in the Credit Agreement) must not exceed 4.0:1.0.</w:t>
      </w:r>
    </w:p>
    <w:p>
      <w:pPr>
        <w:spacing w:after="0" w:line="204"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8"/>
          <w:szCs w:val="18"/>
          <w:color w:val="auto"/>
        </w:rPr>
        <w:t>The Credit Agreement also contains usual and customary events of default (subject to certain thresholds and grace periods), including non-payment of principal, interest, fees and other amounts; material breach of a representation or warranty; acceleration on other material debt; bankruptcy or insolvency; defaults related to ERISA; material judgments; and change of control.</w:t>
      </w:r>
    </w:p>
    <w:p>
      <w:pPr>
        <w:spacing w:after="0" w:line="20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Arrangement of a Registrant.</w:t>
      </w:r>
    </w:p>
    <w:p>
      <w:pPr>
        <w:spacing w:after="0" w:line="2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1.01 is incorporated by reference into this Item 2.03 insofar as it relates to the creation of a direct financial obligation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ind w:right="20" w:firstLine="486"/>
        <w:spacing w:after="0" w:line="225" w:lineRule="auto"/>
        <w:rPr>
          <w:sz w:val="20"/>
          <w:szCs w:val="20"/>
          <w:color w:val="auto"/>
        </w:rPr>
      </w:pPr>
      <w:r>
        <w:rPr>
          <w:rFonts w:ascii="Times New Roman" w:cs="Times New Roman" w:eastAsia="Times New Roman" w:hAnsi="Times New Roman"/>
          <w:sz w:val="18"/>
          <w:szCs w:val="18"/>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vMerge w:val="restart"/>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276"/>
        </w:trPr>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25, 2024</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2024-07-25T16:41:58Z</dcterms:created>
  <dcterms:modified xsi:type="dcterms:W3CDTF">2024-07-25T16:41:58Z</dcterms:modified>
</cp:coreProperties>
</file>