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26670</wp:posOffset>
            </wp:positionV>
            <wp:extent cx="6969760" cy="1592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5925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NARDONE RANDAL A</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111 W. 19TH STREET, 8TH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New Fortress Energy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NFE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9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05/05/2020</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6"/>
        <w:spacing w:after="0"/>
        <w:tabs>
          <w:tab w:leader="none" w:pos="496" w:val="left"/>
          <w:tab w:leader="none" w:pos="1756" w:val="left"/>
          <w:tab w:leader="none" w:pos="2076"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88" w:lineRule="exact"/>
        <w:rPr>
          <w:sz w:val="24"/>
          <w:szCs w:val="24"/>
          <w:color w:val="auto"/>
        </w:rPr>
      </w:pPr>
    </w:p>
    <w:p>
      <w:pPr>
        <w:sectPr>
          <w:pgSz w:w="11900" w:h="16838" w:orient="portrait"/>
          <w:cols w:equalWidth="0" w:num="3">
            <w:col w:w="3200" w:space="720"/>
            <w:col w:w="3104" w:space="720"/>
            <w:col w:w="3336"/>
          </w:cols>
          <w:pgMar w:left="460" w:top="220" w:right="359" w:bottom="1440" w:gutter="0" w:footer="0" w:header="0"/>
          <w:type w:val="continuous"/>
        </w:sectPr>
      </w:pPr>
    </w:p>
    <w:p>
      <w:pPr>
        <w:spacing w:after="0" w:line="239"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10011</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-2487295</wp:posOffset>
            </wp:positionH>
            <wp:positionV relativeFrom="paragraph">
              <wp:posOffset>196850</wp:posOffset>
            </wp:positionV>
            <wp:extent cx="6969760" cy="864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870"/>
                    </a:xfrm>
                    <a:prstGeom prst="rect">
                      <a:avLst/>
                    </a:prstGeom>
                    <a:noFill/>
                  </pic:spPr>
                </pic:pic>
              </a:graphicData>
            </a:graphic>
          </wp:anchor>
        </w:drawing>
      </w:r>
    </w:p>
    <w:p>
      <w:pPr>
        <w:spacing w:after="0" w:line="368" w:lineRule="exact"/>
        <w:rPr>
          <w:sz w:val="24"/>
          <w:szCs w:val="24"/>
          <w:color w:val="auto"/>
        </w:rPr>
      </w:pPr>
    </w:p>
    <w:p>
      <w:pPr>
        <w:sectPr>
          <w:pgSz w:w="11900" w:h="16838" w:orient="portrait"/>
          <w:cols w:equalWidth="0" w:num="2">
            <w:col w:w="3760" w:space="160"/>
            <w:col w:w="716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932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93230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4"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820" w:type="dxa"/>
            <w:vAlign w:val="bottom"/>
          </w:tcPr>
          <w:p>
            <w:pPr>
              <w:ind w:left="12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 (Instr. 3</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and 4)</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840" w:type="dxa"/>
            <w:vAlign w:val="bottom"/>
          </w:tcPr>
          <w:p>
            <w:pPr>
              <w:spacing w:after="0"/>
              <w:rPr>
                <w:sz w:val="20"/>
                <w:szCs w:val="20"/>
                <w:color w:val="auto"/>
              </w:rPr>
            </w:pPr>
            <w:r>
              <w:rPr>
                <w:rFonts w:ascii="Arial" w:cs="Arial" w:eastAsia="Arial" w:hAnsi="Arial"/>
                <w:sz w:val="13"/>
                <w:szCs w:val="13"/>
                <w:color w:val="0000FF"/>
              </w:rPr>
              <w:t>New</w:t>
            </w: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line="140" w:lineRule="exact"/>
              <w:rPr>
                <w:sz w:val="20"/>
                <w:szCs w:val="20"/>
                <w:color w:val="auto"/>
              </w:rPr>
            </w:pPr>
            <w:r>
              <w:rPr>
                <w:rFonts w:ascii="Arial" w:cs="Arial" w:eastAsia="Arial" w:hAnsi="Arial"/>
                <w:sz w:val="13"/>
                <w:szCs w:val="13"/>
                <w:color w:val="0000FF"/>
              </w:rPr>
              <w:t>Fortress</w:t>
            </w:r>
          </w:p>
        </w:tc>
        <w:tc>
          <w:tcPr>
            <w:tcW w:w="6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vMerge w:val="restart"/>
          </w:tcPr>
          <w:p>
            <w:pPr>
              <w:jc w:val="right"/>
              <w:ind w:right="207"/>
              <w:spacing w:after="0"/>
              <w:rPr>
                <w:sz w:val="20"/>
                <w:szCs w:val="20"/>
                <w:color w:val="auto"/>
              </w:rPr>
            </w:pPr>
            <w:r>
              <w:rPr>
                <w:rFonts w:ascii="Arial" w:cs="Arial" w:eastAsia="Arial" w:hAnsi="Arial"/>
                <w:sz w:val="11"/>
                <w:szCs w:val="11"/>
                <w:color w:val="008000"/>
                <w:w w:val="81"/>
              </w:rPr>
              <w:t>(2)(3)</w:t>
            </w: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jc w:val="center"/>
              <w:ind w:left="43"/>
              <w:spacing w:after="0" w:line="140" w:lineRule="exact"/>
              <w:rPr>
                <w:sz w:val="20"/>
                <w:szCs w:val="20"/>
                <w:color w:val="auto"/>
              </w:rPr>
            </w:pPr>
            <w:r>
              <w:rPr>
                <w:rFonts w:ascii="Arial" w:cs="Arial" w:eastAsia="Arial" w:hAnsi="Arial"/>
                <w:sz w:val="13"/>
                <w:szCs w:val="13"/>
                <w:color w:val="0000FF"/>
                <w:w w:val="86"/>
              </w:rPr>
              <w:t>Class</w:t>
            </w:r>
          </w:p>
        </w:tc>
        <w:tc>
          <w:tcPr>
            <w:tcW w:w="740" w:type="dxa"/>
            <w:vAlign w:val="bottom"/>
            <w:vMerge w:val="restart"/>
          </w:tcPr>
          <w:p>
            <w:pPr>
              <w:jc w:val="right"/>
              <w:ind w:right="57"/>
              <w:spacing w:after="0"/>
              <w:rPr>
                <w:sz w:val="20"/>
                <w:szCs w:val="20"/>
                <w:color w:val="auto"/>
              </w:rPr>
            </w:pPr>
            <w:r>
              <w:rPr>
                <w:rFonts w:ascii="Arial" w:cs="Arial" w:eastAsia="Arial" w:hAnsi="Arial"/>
                <w:sz w:val="17"/>
                <w:szCs w:val="17"/>
                <w:color w:val="0000FF"/>
                <w:w w:val="94"/>
              </w:rPr>
              <w:t>835,104</w:t>
            </w: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vMerge w:val="restart"/>
          </w:tcPr>
          <w:p>
            <w:pPr>
              <w:ind w:left="20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59"/>
        </w:trPr>
        <w:tc>
          <w:tcPr>
            <w:tcW w:w="840" w:type="dxa"/>
            <w:vAlign w:val="bottom"/>
            <w:vMerge w:val="restart"/>
          </w:tcPr>
          <w:p>
            <w:pPr>
              <w:spacing w:after="0" w:line="140" w:lineRule="exact"/>
              <w:rPr>
                <w:sz w:val="20"/>
                <w:szCs w:val="20"/>
                <w:color w:val="auto"/>
              </w:rPr>
            </w:pPr>
            <w:r>
              <w:rPr>
                <w:rFonts w:ascii="Arial" w:cs="Arial" w:eastAsia="Arial" w:hAnsi="Arial"/>
                <w:sz w:val="13"/>
                <w:szCs w:val="13"/>
                <w:color w:val="0000FF"/>
              </w:rPr>
              <w:t>Intermediate</w:t>
            </w:r>
          </w:p>
        </w:tc>
        <w:tc>
          <w:tcPr>
            <w:tcW w:w="600" w:type="dxa"/>
            <w:vAlign w:val="bottom"/>
            <w:vMerge w:val="restart"/>
          </w:tcPr>
          <w:p>
            <w:pPr>
              <w:jc w:val="right"/>
              <w:ind w:right="227"/>
              <w:spacing w:after="0"/>
              <w:rPr>
                <w:sz w:val="20"/>
                <w:szCs w:val="20"/>
                <w:color w:val="auto"/>
              </w:rPr>
            </w:pPr>
            <w:r>
              <w:rPr>
                <w:rFonts w:ascii="Arial" w:cs="Arial" w:eastAsia="Arial" w:hAnsi="Arial"/>
                <w:sz w:val="11"/>
                <w:szCs w:val="11"/>
                <w:color w:val="008000"/>
              </w:rPr>
              <w:t>(1)</w:t>
            </w:r>
          </w:p>
        </w:tc>
        <w:tc>
          <w:tcPr>
            <w:tcW w:w="1560" w:type="dxa"/>
            <w:vAlign w:val="bottom"/>
            <w:vMerge w:val="restart"/>
          </w:tcPr>
          <w:p>
            <w:pPr>
              <w:jc w:val="right"/>
              <w:ind w:right="636"/>
              <w:spacing w:after="0"/>
              <w:rPr>
                <w:sz w:val="20"/>
                <w:szCs w:val="20"/>
                <w:color w:val="auto"/>
              </w:rPr>
            </w:pPr>
            <w:r>
              <w:rPr>
                <w:rFonts w:ascii="Arial" w:cs="Arial" w:eastAsia="Arial" w:hAnsi="Arial"/>
                <w:sz w:val="13"/>
                <w:szCs w:val="13"/>
                <w:color w:val="0000FF"/>
              </w:rPr>
              <w:t>05/05/2020</w:t>
            </w:r>
          </w:p>
        </w:tc>
        <w:tc>
          <w:tcPr>
            <w:tcW w:w="780" w:type="dxa"/>
            <w:vAlign w:val="bottom"/>
            <w:vMerge w:val="restart"/>
          </w:tcPr>
          <w:p>
            <w:pPr>
              <w:ind w:left="680"/>
              <w:spacing w:after="0"/>
              <w:rPr>
                <w:sz w:val="20"/>
                <w:szCs w:val="20"/>
                <w:color w:val="auto"/>
              </w:rPr>
            </w:pPr>
            <w:r>
              <w:rPr>
                <w:rFonts w:ascii="Arial" w:cs="Arial" w:eastAsia="Arial" w:hAnsi="Arial"/>
                <w:sz w:val="13"/>
                <w:szCs w:val="13"/>
                <w:color w:val="0000FF"/>
                <w:w w:val="91"/>
              </w:rPr>
              <w:t>A</w:t>
            </w:r>
          </w:p>
        </w:tc>
        <w:tc>
          <w:tcPr>
            <w:tcW w:w="500" w:type="dxa"/>
            <w:vAlign w:val="bottom"/>
            <w:vMerge w:val="continue"/>
          </w:tcPr>
          <w:p>
            <w:pPr>
              <w:spacing w:after="0"/>
              <w:rPr>
                <w:sz w:val="5"/>
                <w:szCs w:val="5"/>
                <w:color w:val="auto"/>
              </w:rPr>
            </w:pPr>
          </w:p>
        </w:tc>
        <w:tc>
          <w:tcPr>
            <w:tcW w:w="1020" w:type="dxa"/>
            <w:vAlign w:val="bottom"/>
            <w:vMerge w:val="restart"/>
          </w:tcPr>
          <w:p>
            <w:pPr>
              <w:jc w:val="right"/>
              <w:ind w:right="296"/>
              <w:spacing w:after="0"/>
              <w:rPr>
                <w:sz w:val="20"/>
                <w:szCs w:val="20"/>
                <w:color w:val="auto"/>
              </w:rPr>
            </w:pPr>
            <w:r>
              <w:rPr>
                <w:rFonts w:ascii="Arial" w:cs="Arial" w:eastAsia="Arial" w:hAnsi="Arial"/>
                <w:sz w:val="13"/>
                <w:szCs w:val="13"/>
                <w:color w:val="0000FF"/>
              </w:rPr>
              <w:t>835,104</w:t>
            </w:r>
          </w:p>
        </w:tc>
        <w:tc>
          <w:tcPr>
            <w:tcW w:w="760" w:type="dxa"/>
            <w:vAlign w:val="bottom"/>
            <w:vMerge w:val="restart"/>
          </w:tcPr>
          <w:p>
            <w:pPr>
              <w:jc w:val="right"/>
              <w:ind w:right="247"/>
              <w:spacing w:after="0"/>
              <w:rPr>
                <w:sz w:val="20"/>
                <w:szCs w:val="20"/>
                <w:color w:val="auto"/>
              </w:rPr>
            </w:pPr>
            <w:r>
              <w:rPr>
                <w:rFonts w:ascii="Arial" w:cs="Arial" w:eastAsia="Arial" w:hAnsi="Arial"/>
                <w:sz w:val="11"/>
                <w:szCs w:val="11"/>
                <w:color w:val="008000"/>
              </w:rPr>
              <w:t>(1)</w:t>
            </w:r>
          </w:p>
        </w:tc>
        <w:tc>
          <w:tcPr>
            <w:tcW w:w="620" w:type="dxa"/>
            <w:vAlign w:val="bottom"/>
            <w:vMerge w:val="restart"/>
          </w:tcPr>
          <w:p>
            <w:pPr>
              <w:jc w:val="right"/>
              <w:ind w:right="127"/>
              <w:spacing w:after="0"/>
              <w:rPr>
                <w:sz w:val="20"/>
                <w:szCs w:val="20"/>
                <w:color w:val="auto"/>
              </w:rPr>
            </w:pPr>
            <w:r>
              <w:rPr>
                <w:rFonts w:ascii="Arial" w:cs="Arial" w:eastAsia="Arial" w:hAnsi="Arial"/>
                <w:sz w:val="11"/>
                <w:szCs w:val="11"/>
                <w:color w:val="008000"/>
              </w:rPr>
              <w:t>(1)</w:t>
            </w:r>
          </w:p>
        </w:tc>
        <w:tc>
          <w:tcPr>
            <w:tcW w:w="580" w:type="dxa"/>
            <w:vAlign w:val="bottom"/>
            <w:vMerge w:val="restart"/>
          </w:tcPr>
          <w:p>
            <w:pPr>
              <w:jc w:val="center"/>
              <w:ind w:left="43"/>
              <w:spacing w:after="0"/>
              <w:rPr>
                <w:sz w:val="20"/>
                <w:szCs w:val="20"/>
                <w:color w:val="auto"/>
              </w:rPr>
            </w:pPr>
            <w:r>
              <w:rPr>
                <w:rFonts w:ascii="Arial" w:cs="Arial" w:eastAsia="Arial" w:hAnsi="Arial"/>
                <w:sz w:val="13"/>
                <w:szCs w:val="13"/>
                <w:color w:val="0000FF"/>
                <w:w w:val="91"/>
              </w:rPr>
              <w:t>A</w:t>
            </w:r>
          </w:p>
        </w:tc>
        <w:tc>
          <w:tcPr>
            <w:tcW w:w="740" w:type="dxa"/>
            <w:vAlign w:val="bottom"/>
            <w:vMerge w:val="continue"/>
          </w:tcPr>
          <w:p>
            <w:pPr>
              <w:spacing w:after="0"/>
              <w:rPr>
                <w:sz w:val="5"/>
                <w:szCs w:val="5"/>
                <w:color w:val="auto"/>
              </w:rPr>
            </w:pPr>
          </w:p>
        </w:tc>
        <w:tc>
          <w:tcPr>
            <w:tcW w:w="600" w:type="dxa"/>
            <w:vAlign w:val="bottom"/>
            <w:vMerge w:val="restart"/>
          </w:tcPr>
          <w:p>
            <w:pPr>
              <w:jc w:val="right"/>
              <w:ind w:right="12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1020" w:type="dxa"/>
            <w:vAlign w:val="bottom"/>
            <w:vMerge w:val="restart"/>
          </w:tcPr>
          <w:p>
            <w:pPr>
              <w:jc w:val="right"/>
              <w:ind w:right="196"/>
              <w:spacing w:after="0"/>
              <w:rPr>
                <w:sz w:val="20"/>
                <w:szCs w:val="20"/>
                <w:color w:val="auto"/>
              </w:rPr>
            </w:pPr>
            <w:r>
              <w:rPr>
                <w:rFonts w:ascii="Arial" w:cs="Arial" w:eastAsia="Arial" w:hAnsi="Arial"/>
                <w:sz w:val="13"/>
                <w:szCs w:val="13"/>
                <w:color w:val="0000FF"/>
              </w:rPr>
              <w:t>23,115,899</w:t>
            </w:r>
          </w:p>
        </w:tc>
        <w:tc>
          <w:tcPr>
            <w:tcW w:w="500" w:type="dxa"/>
            <w:vAlign w:val="bottom"/>
            <w:vMerge w:val="restart"/>
          </w:tcPr>
          <w:p>
            <w:pPr>
              <w:ind w:left="260"/>
              <w:spacing w:after="0"/>
              <w:rPr>
                <w:sz w:val="20"/>
                <w:szCs w:val="20"/>
                <w:color w:val="auto"/>
              </w:rPr>
            </w:pPr>
            <w:r>
              <w:rPr>
                <w:rFonts w:ascii="Arial" w:cs="Arial" w:eastAsia="Arial" w:hAnsi="Arial"/>
                <w:sz w:val="13"/>
                <w:szCs w:val="13"/>
                <w:color w:val="0000FF"/>
              </w:rPr>
              <w:t>I</w:t>
            </w: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80" w:type="dxa"/>
            <w:vAlign w:val="bottom"/>
            <w:vMerge w:val="restart"/>
          </w:tcPr>
          <w:p>
            <w:pPr>
              <w:ind w:left="200"/>
              <w:spacing w:after="0" w:line="154" w:lineRule="exact"/>
              <w:rPr>
                <w:sz w:val="20"/>
                <w:szCs w:val="20"/>
                <w:color w:val="auto"/>
              </w:rPr>
            </w:pPr>
            <w:r>
              <w:rPr>
                <w:rFonts w:ascii="Arial" w:cs="Arial" w:eastAsia="Arial" w:hAnsi="Arial"/>
                <w:sz w:val="11"/>
                <w:szCs w:val="11"/>
                <w:color w:val="0000FF"/>
                <w:w w:val="97"/>
              </w:rPr>
              <w:t>Footnote</w:t>
            </w:r>
            <w:r>
              <w:rPr>
                <w:rFonts w:ascii="Arial" w:cs="Arial" w:eastAsia="Arial" w:hAnsi="Arial"/>
                <w:sz w:val="17"/>
                <w:szCs w:val="17"/>
                <w:color w:val="008000"/>
                <w:w w:val="97"/>
                <w:vertAlign w:val="superscript"/>
              </w:rPr>
              <w:t>(2)</w:t>
            </w:r>
          </w:p>
        </w:tc>
        <w:tc>
          <w:tcPr>
            <w:tcW w:w="0" w:type="dxa"/>
            <w:vAlign w:val="bottom"/>
          </w:tcPr>
          <w:p>
            <w:pPr>
              <w:spacing w:after="0"/>
              <w:rPr>
                <w:sz w:val="1"/>
                <w:szCs w:val="1"/>
                <w:color w:val="auto"/>
              </w:rPr>
            </w:pPr>
          </w:p>
        </w:tc>
      </w:tr>
      <w:tr>
        <w:trPr>
          <w:trHeight w:val="73"/>
        </w:trPr>
        <w:tc>
          <w:tcPr>
            <w:tcW w:w="840" w:type="dxa"/>
            <w:vAlign w:val="bottom"/>
            <w:vMerge w:val="restart"/>
          </w:tcPr>
          <w:p>
            <w:pPr>
              <w:spacing w:after="0" w:line="144" w:lineRule="exact"/>
              <w:rPr>
                <w:sz w:val="20"/>
                <w:szCs w:val="20"/>
                <w:color w:val="auto"/>
              </w:rPr>
            </w:pPr>
            <w:r>
              <w:rPr>
                <w:rFonts w:ascii="Arial" w:cs="Arial" w:eastAsia="Arial" w:hAnsi="Arial"/>
                <w:sz w:val="13"/>
                <w:szCs w:val="13"/>
                <w:color w:val="0000FF"/>
              </w:rPr>
              <w:t>LLC</w:t>
            </w:r>
          </w:p>
        </w:tc>
        <w:tc>
          <w:tcPr>
            <w:tcW w:w="60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84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jc w:val="center"/>
              <w:ind w:left="63"/>
              <w:spacing w:after="0" w:line="71" w:lineRule="exact"/>
              <w:rPr>
                <w:sz w:val="20"/>
                <w:szCs w:val="20"/>
                <w:color w:val="auto"/>
              </w:rPr>
            </w:pPr>
            <w:r>
              <w:rPr>
                <w:rFonts w:ascii="Arial" w:cs="Arial" w:eastAsia="Arial" w:hAnsi="Arial"/>
                <w:sz w:val="8"/>
                <w:szCs w:val="8"/>
                <w:color w:val="0000FF"/>
              </w:rPr>
              <w:t>Shares</w:t>
            </w:r>
          </w:p>
        </w:tc>
        <w:tc>
          <w:tcPr>
            <w:tcW w:w="7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180"/>
        <w:spacing w:after="0" w:line="257" w:lineRule="auto"/>
        <w:tabs>
          <w:tab w:leader="none" w:pos="16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New Fortress Intermediate LLC ("NFI") operating agreement provides certain holders of NFI common units ("NFI LLC Units") with certain rights to cause NFI to acquire all or a portion of the NFI LLC Units (the "Redemption Right") for, at NFI's election, (a) Class A shares ("Class A Shares") of New Fortress Energy LLC (the "Issuer") at a redemption ratio of one Class A share for each NFI LLC Unit redeemed, subject to conversion rate adjustments for any equity split, equity distribution, reclassification or other similar transaction, or (b) an equivalent amount of cash based on the trading price of a Class A Share on the trading day that is immediately prior to the date of the redemption. The NFI LLC Units and the right to exercise the Redemption Right have no expiration date.</w:t>
      </w:r>
    </w:p>
    <w:p>
      <w:pPr>
        <w:spacing w:after="0" w:line="20"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NFI LLC Units are held directly by New Fortress Energy Holdings LLC ("New Fortress Energy Holdings"). New Fortress Energy Holdings is majority owned and controlled by Fortress Equity Partners</w:t>
      </w:r>
    </w:p>
    <w:p>
      <w:pPr>
        <w:spacing w:after="0" w:line="12" w:lineRule="exact"/>
        <w:rPr>
          <w:rFonts w:ascii="Arial" w:cs="Arial" w:eastAsia="Arial" w:hAnsi="Arial"/>
          <w:sz w:val="12"/>
          <w:szCs w:val="12"/>
          <w:color w:val="008000"/>
        </w:rPr>
      </w:pPr>
    </w:p>
    <w:p>
      <w:pPr>
        <w:ind w:left="40" w:right="180"/>
        <w:spacing w:after="0" w:line="234" w:lineRule="auto"/>
        <w:rPr>
          <w:rFonts w:ascii="Arial" w:cs="Arial" w:eastAsia="Arial" w:hAnsi="Arial"/>
          <w:sz w:val="12"/>
          <w:szCs w:val="12"/>
          <w:color w:val="008000"/>
        </w:rPr>
      </w:pPr>
      <w:r>
        <w:rPr>
          <w:rFonts w:ascii="Arial" w:cs="Arial" w:eastAsia="Arial" w:hAnsi="Arial"/>
          <w:sz w:val="13"/>
          <w:szCs w:val="13"/>
          <w:color w:val="008000"/>
        </w:rPr>
        <w:t>(A) LP (the "Fortress Shareholder"), of which the reporting person is a limited partner, and which is in turn indirectly controlled by Fortress Investment Group LLC ("FIG"), the indirect parent of the Issuer through its indirect ownership of Issuer Class B shares.</w:t>
      </w:r>
    </w:p>
    <w:p>
      <w:pPr>
        <w:spacing w:after="0" w:line="29"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May 5, 2020, FIG allocated these NFI LLC units held by New Fortress Energy Holdings to the reporting person in a transaction approved in advance by the board of directors of the Issuer.</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Randal A. Nardone,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-12700</wp:posOffset>
            </wp:positionV>
            <wp:extent cx="1097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9791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Cameron D. MacDougall as</w:t>
      </w:r>
      <w:r>
        <w:rPr>
          <w:sz w:val="20"/>
          <w:szCs w:val="20"/>
          <w:color w:val="auto"/>
        </w:rPr>
        <w:tab/>
      </w:r>
      <w:r>
        <w:rPr>
          <w:rFonts w:ascii="Arial" w:cs="Arial" w:eastAsia="Arial" w:hAnsi="Arial"/>
          <w:sz w:val="14"/>
          <w:szCs w:val="14"/>
          <w:color w:val="0000FF"/>
        </w:rPr>
        <w:t>05/07/2020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18776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-16510</wp:posOffset>
            </wp:positionV>
            <wp:extent cx="7061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06120"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28"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24465" TargetMode="External"/><Relationship Id="rId14" Type="http://schemas.openxmlformats.org/officeDocument/2006/relationships/hyperlink" Target="http://www.sec.gov/cgi-bin/browse-edgar?action=getcompany&amp;CIK=000174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2020-05-07T20:29:08Z</dcterms:created>
  <dcterms:modified xsi:type="dcterms:W3CDTF">2020-05-07T20:29:08Z</dcterms:modified>
</cp:coreProperties>
</file>