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4"/>
          <w:szCs w:val="24"/>
          <w:color w:val="auto"/>
        </w:rPr>
      </w:pPr>
    </w:p>
    <w:p>
      <w:pPr>
        <w:jc w:val="right"/>
        <w:ind w:right="299"/>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ind w:right="299"/>
        <w:spacing w:after="0"/>
        <w:rPr>
          <w:sz w:val="20"/>
          <w:szCs w:val="20"/>
          <w:color w:val="auto"/>
        </w:rPr>
      </w:pPr>
      <w:r>
        <w:rPr>
          <w:rFonts w:ascii="Arial" w:cs="Arial" w:eastAsia="Arial" w:hAnsi="Arial"/>
          <w:sz w:val="18"/>
          <w:szCs w:val="18"/>
          <w:b w:val="1"/>
          <w:bCs w:val="1"/>
          <w:color w:val="auto"/>
        </w:rPr>
        <w:t>REGISTRATION NO.: 333-254469</w:t>
      </w: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102870</wp:posOffset>
            </wp:positionV>
            <wp:extent cx="5349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3" w:lineRule="exact"/>
        <w:rPr>
          <w:sz w:val="24"/>
          <w:szCs w:val="24"/>
          <w:color w:val="auto"/>
        </w:rPr>
      </w:pPr>
    </w:p>
    <w:tbl>
      <w:tblPr>
        <w:tblLayout w:type="fixed"/>
        <w:tblInd w:w="300" w:type="dxa"/>
        <w:tblCellMar>
          <w:top w:w="0" w:type="dxa"/>
          <w:left w:w="0" w:type="dxa"/>
          <w:bottom w:w="0" w:type="dxa"/>
          <w:right w:w="0" w:type="dxa"/>
        </w:tblCellMar>
      </w:tblPr>
      <w:tr>
        <w:trPr>
          <w:trHeight w:val="247"/>
        </w:trPr>
        <w:tc>
          <w:tcPr>
            <w:tcW w:w="396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right w:val="single" w:sz="8" w:color="auto"/>
            </w:tcBorders>
            <w:vMerge w:val="restart"/>
          </w:tcPr>
          <w:p>
            <w:pPr>
              <w:jc w:val="center"/>
              <w:ind w:right="24"/>
              <w:spacing w:after="0"/>
              <w:rPr>
                <w:sz w:val="20"/>
                <w:szCs w:val="20"/>
                <w:color w:val="auto"/>
              </w:rPr>
            </w:pPr>
            <w:r>
              <w:rPr>
                <w:rFonts w:ascii="Arial" w:cs="Arial" w:eastAsia="Arial" w:hAnsi="Arial"/>
                <w:sz w:val="14"/>
                <w:szCs w:val="14"/>
                <w:b w:val="1"/>
                <w:bCs w:val="1"/>
                <w:color w:val="auto"/>
                <w:w w:val="94"/>
              </w:rPr>
              <w:t>Amount to</w:t>
            </w:r>
          </w:p>
        </w:tc>
        <w:tc>
          <w:tcPr>
            <w:tcW w:w="1040" w:type="dxa"/>
            <w:vAlign w:val="bottom"/>
            <w:tcBorders>
              <w:top w:val="single" w:sz="8" w:color="auto"/>
              <w:right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Proposed</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960" w:type="dxa"/>
            <w:vAlign w:val="bottom"/>
            <w:tcBorders>
              <w:right w:val="single" w:sz="8" w:color="auto"/>
            </w:tcBorders>
            <w:vMerge w:val="restart"/>
          </w:tcPr>
          <w:p>
            <w:pPr>
              <w:jc w:val="center"/>
              <w:ind w:right="42"/>
              <w:spacing w:after="0"/>
              <w:rPr>
                <w:sz w:val="20"/>
                <w:szCs w:val="20"/>
                <w:color w:val="auto"/>
              </w:rPr>
            </w:pPr>
            <w:r>
              <w:rPr>
                <w:rFonts w:ascii="Arial" w:cs="Arial" w:eastAsia="Arial" w:hAnsi="Arial"/>
                <w:sz w:val="14"/>
                <w:szCs w:val="14"/>
                <w:b w:val="1"/>
                <w:bCs w:val="1"/>
                <w:color w:val="auto"/>
                <w:w w:val="90"/>
              </w:rPr>
              <w:t>Title of each class of</w:t>
            </w:r>
          </w:p>
        </w:tc>
        <w:tc>
          <w:tcPr>
            <w:tcW w:w="104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ind w:right="4"/>
              <w:spacing w:after="0" w:line="149" w:lineRule="exact"/>
              <w:rPr>
                <w:sz w:val="20"/>
                <w:szCs w:val="20"/>
                <w:color w:val="auto"/>
              </w:rPr>
            </w:pPr>
            <w:r>
              <w:rPr>
                <w:rFonts w:ascii="Arial" w:cs="Arial" w:eastAsia="Arial" w:hAnsi="Arial"/>
                <w:sz w:val="14"/>
                <w:szCs w:val="14"/>
                <w:b w:val="1"/>
                <w:bCs w:val="1"/>
                <w:color w:val="auto"/>
                <w:w w:val="99"/>
              </w:rPr>
              <w:t>Maximum</w:t>
            </w:r>
          </w:p>
        </w:tc>
        <w:tc>
          <w:tcPr>
            <w:tcW w:w="1440" w:type="dxa"/>
            <w:vAlign w:val="bottom"/>
            <w:tcBorders>
              <w:right w:val="single" w:sz="8" w:color="auto"/>
            </w:tcBorders>
          </w:tcPr>
          <w:p>
            <w:pPr>
              <w:jc w:val="center"/>
              <w:ind w:right="4"/>
              <w:spacing w:after="0" w:line="149" w:lineRule="exact"/>
              <w:rPr>
                <w:sz w:val="20"/>
                <w:szCs w:val="20"/>
                <w:color w:val="auto"/>
              </w:rPr>
            </w:pPr>
            <w:r>
              <w:rPr>
                <w:rFonts w:ascii="Arial" w:cs="Arial" w:eastAsia="Arial" w:hAnsi="Arial"/>
                <w:sz w:val="14"/>
                <w:szCs w:val="14"/>
                <w:b w:val="1"/>
                <w:bCs w:val="1"/>
                <w:color w:val="auto"/>
                <w:w w:val="99"/>
              </w:rPr>
              <w:t>Maximum</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ind w:right="24"/>
              <w:spacing w:after="0" w:line="145" w:lineRule="exact"/>
              <w:rPr>
                <w:sz w:val="20"/>
                <w:szCs w:val="20"/>
                <w:color w:val="auto"/>
              </w:rPr>
            </w:pPr>
            <w:r>
              <w:rPr>
                <w:rFonts w:ascii="Arial" w:cs="Arial" w:eastAsia="Arial" w:hAnsi="Arial"/>
                <w:sz w:val="14"/>
                <w:szCs w:val="14"/>
                <w:b w:val="1"/>
                <w:bCs w:val="1"/>
                <w:color w:val="auto"/>
                <w:w w:val="85"/>
              </w:rPr>
              <w:t>be</w:t>
            </w:r>
          </w:p>
        </w:tc>
        <w:tc>
          <w:tcPr>
            <w:tcW w:w="1040" w:type="dxa"/>
            <w:vAlign w:val="bottom"/>
            <w:tcBorders>
              <w:right w:val="single" w:sz="8" w:color="auto"/>
            </w:tcBorders>
          </w:tcPr>
          <w:p>
            <w:pPr>
              <w:jc w:val="center"/>
              <w:ind w:right="4"/>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440" w:type="dxa"/>
            <w:vAlign w:val="bottom"/>
            <w:tcBorders>
              <w:right w:val="single" w:sz="8" w:color="auto"/>
            </w:tcBorders>
          </w:tcPr>
          <w:p>
            <w:pPr>
              <w:jc w:val="center"/>
              <w:ind w:right="4"/>
              <w:spacing w:after="0" w:line="145" w:lineRule="exact"/>
              <w:rPr>
                <w:sz w:val="20"/>
                <w:szCs w:val="20"/>
                <w:color w:val="auto"/>
              </w:rPr>
            </w:pPr>
            <w:r>
              <w:rPr>
                <w:rFonts w:ascii="Arial" w:cs="Arial" w:eastAsia="Arial" w:hAnsi="Arial"/>
                <w:sz w:val="14"/>
                <w:szCs w:val="14"/>
                <w:b w:val="1"/>
                <w:bCs w:val="1"/>
                <w:color w:val="auto"/>
                <w:w w:val="92"/>
              </w:rPr>
              <w:t>Aggregate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registration</w:t>
            </w:r>
          </w:p>
        </w:tc>
        <w:tc>
          <w:tcPr>
            <w:tcW w:w="0" w:type="dxa"/>
            <w:vAlign w:val="bottom"/>
          </w:tcPr>
          <w:p>
            <w:pPr>
              <w:spacing w:after="0"/>
              <w:rPr>
                <w:sz w:val="1"/>
                <w:szCs w:val="1"/>
                <w:color w:val="auto"/>
              </w:rPr>
            </w:pPr>
          </w:p>
        </w:tc>
      </w:tr>
      <w:tr>
        <w:trPr>
          <w:trHeight w:val="242"/>
        </w:trPr>
        <w:tc>
          <w:tcPr>
            <w:tcW w:w="3960" w:type="dxa"/>
            <w:vAlign w:val="bottom"/>
            <w:tcBorders>
              <w:bottom w:val="single" w:sz="8" w:color="auto"/>
              <w:right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securities to be registered</w:t>
            </w:r>
          </w:p>
        </w:tc>
        <w:tc>
          <w:tcPr>
            <w:tcW w:w="104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104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7"/>
              </w:rPr>
              <w:t>Per Share</w:t>
            </w:r>
            <w:r>
              <w:rPr>
                <w:rFonts w:ascii="Arial" w:cs="Arial" w:eastAsia="Arial" w:hAnsi="Arial"/>
                <w:sz w:val="23"/>
                <w:szCs w:val="23"/>
                <w:b w:val="1"/>
                <w:bCs w:val="1"/>
                <w:color w:val="auto"/>
                <w:w w:val="87"/>
                <w:vertAlign w:val="superscript"/>
              </w:rPr>
              <w:t>(2)</w:t>
            </w:r>
          </w:p>
        </w:tc>
        <w:tc>
          <w:tcPr>
            <w:tcW w:w="1440" w:type="dxa"/>
            <w:vAlign w:val="bottom"/>
            <w:tcBorders>
              <w:bottom w:val="single" w:sz="8" w:color="auto"/>
              <w:right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1"/>
              </w:rPr>
              <w:t>Offering Price</w:t>
            </w:r>
            <w:r>
              <w:rPr>
                <w:rFonts w:ascii="Arial" w:cs="Arial" w:eastAsia="Arial" w:hAnsi="Arial"/>
                <w:sz w:val="23"/>
                <w:szCs w:val="23"/>
                <w:b w:val="1"/>
                <w:bCs w:val="1"/>
                <w:color w:val="auto"/>
                <w:w w:val="91"/>
                <w:vertAlign w:val="superscript"/>
              </w:rPr>
              <w:t>(2)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fee</w:t>
            </w:r>
          </w:p>
        </w:tc>
        <w:tc>
          <w:tcPr>
            <w:tcW w:w="0" w:type="dxa"/>
            <w:vAlign w:val="bottom"/>
          </w:tcPr>
          <w:p>
            <w:pPr>
              <w:spacing w:after="0"/>
              <w:rPr>
                <w:sz w:val="1"/>
                <w:szCs w:val="1"/>
                <w:color w:val="auto"/>
              </w:rPr>
            </w:pPr>
          </w:p>
        </w:tc>
      </w:tr>
      <w:tr>
        <w:trPr>
          <w:trHeight w:val="277"/>
        </w:trPr>
        <w:tc>
          <w:tcPr>
            <w:tcW w:w="39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6"/>
              </w:rPr>
              <w:t>Class A Common Stock, par value $0.01 per share</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29,599,403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$37.26</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$1,102,873,755.78</w:t>
            </w: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$120,323.53</w:t>
            </w:r>
          </w:p>
        </w:tc>
        <w:tc>
          <w:tcPr>
            <w:tcW w:w="0" w:type="dxa"/>
            <w:vAlign w:val="bottom"/>
          </w:tcPr>
          <w:p>
            <w:pPr>
              <w:spacing w:after="0"/>
              <w:rPr>
                <w:sz w:val="1"/>
                <w:szCs w:val="1"/>
                <w:color w:val="auto"/>
              </w:rPr>
            </w:pPr>
          </w:p>
        </w:tc>
      </w:tr>
      <w:tr>
        <w:trPr>
          <w:trHeight w:val="54"/>
        </w:trPr>
        <w:tc>
          <w:tcPr>
            <w:tcW w:w="396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39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jc w:val="both"/>
        <w:ind w:left="640" w:right="299" w:hanging="348"/>
        <w:spacing w:after="0" w:line="238"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this prospectus supplement also covers such additional shares as may hereafter be offered or issued with respect to the shares registered hereby resulting from stock splits, stock dividends, recapitalizations or similar capital adjustments.</w:t>
      </w:r>
    </w:p>
    <w:p>
      <w:pPr>
        <w:spacing w:after="0" w:line="20" w:lineRule="exact"/>
        <w:rPr>
          <w:rFonts w:ascii="Arial" w:cs="Arial" w:eastAsia="Arial" w:hAnsi="Arial"/>
          <w:sz w:val="14"/>
          <w:szCs w:val="14"/>
          <w:color w:val="auto"/>
        </w:rPr>
      </w:pPr>
    </w:p>
    <w:p>
      <w:pPr>
        <w:ind w:left="640" w:right="319" w:hanging="348"/>
        <w:spacing w:after="0" w:line="290" w:lineRule="auto"/>
        <w:tabs>
          <w:tab w:leader="none" w:pos="6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computed in accordance with Rule 457(c) on the basis of the average of the high and low sales prices for the Class A common stock on July 7, 2021,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90805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(To Prospectus dated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511810</wp:posOffset>
            </wp:positionV>
            <wp:extent cx="2597150"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29,599,403 Shares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111" w:lineRule="exact"/>
        <w:rPr>
          <w:sz w:val="20"/>
          <w:szCs w:val="20"/>
          <w:color w:val="auto"/>
        </w:rPr>
      </w:pPr>
    </w:p>
    <w:p>
      <w:pPr>
        <w:jc w:val="both"/>
        <w:ind w:left="400" w:right="419" w:firstLine="360"/>
        <w:spacing w:after="0" w:line="275" w:lineRule="auto"/>
        <w:rPr>
          <w:sz w:val="20"/>
          <w:szCs w:val="20"/>
          <w:color w:val="auto"/>
        </w:rPr>
      </w:pPr>
      <w:r>
        <w:rPr>
          <w:rFonts w:ascii="Arial" w:cs="Arial" w:eastAsia="Arial" w:hAnsi="Arial"/>
          <w:sz w:val="17"/>
          <w:szCs w:val="17"/>
          <w:color w:val="auto"/>
        </w:rPr>
        <w:t>This prospectus supplement relates to the offer and sale, from time to time, of up to 29,599,403 shares of our Class A common stock, $0.01 par value per share (the “Class A common stock”), by the selling securityholders (the “selling securityholders”) identified in this prospectus supplement. We will not receive any proceeds from the sale of shares of our Class A common stock covered by this prospectus supplement. We will pay all expenses of the registration of the Class A common stock and certain other expenses.</w:t>
      </w:r>
    </w:p>
    <w:p>
      <w:pPr>
        <w:spacing w:after="0" w:line="68" w:lineRule="exact"/>
        <w:rPr>
          <w:sz w:val="20"/>
          <w:szCs w:val="20"/>
          <w:color w:val="auto"/>
        </w:rPr>
      </w:pPr>
    </w:p>
    <w:p>
      <w:pPr>
        <w:jc w:val="both"/>
        <w:ind w:left="400" w:right="419" w:firstLine="360"/>
        <w:spacing w:after="0" w:line="259" w:lineRule="auto"/>
        <w:rPr>
          <w:sz w:val="20"/>
          <w:szCs w:val="20"/>
          <w:color w:val="auto"/>
        </w:rPr>
      </w:pPr>
      <w:r>
        <w:rPr>
          <w:rFonts w:ascii="Arial" w:cs="Arial" w:eastAsia="Arial" w:hAnsi="Arial"/>
          <w:sz w:val="18"/>
          <w:szCs w:val="18"/>
          <w:color w:val="auto"/>
        </w:rPr>
        <w:t>The registration of the offer and sale of shares of our Class A common stock covered by this prospectus supplement satisfies certain contractual obligations and does not necessarily mean that the selling securityholders identified in this prospectus supplement will offer to sell any of the shares of Class A common stock offered hereby.</w:t>
      </w:r>
    </w:p>
    <w:p>
      <w:pPr>
        <w:spacing w:after="0" w:line="79" w:lineRule="exact"/>
        <w:rPr>
          <w:sz w:val="20"/>
          <w:szCs w:val="20"/>
          <w:color w:val="auto"/>
        </w:rPr>
      </w:pPr>
    </w:p>
    <w:p>
      <w:pPr>
        <w:jc w:val="both"/>
        <w:ind w:left="400" w:right="419" w:firstLine="360"/>
        <w:spacing w:after="0" w:line="275" w:lineRule="auto"/>
        <w:rPr>
          <w:sz w:val="20"/>
          <w:szCs w:val="20"/>
          <w:color w:val="auto"/>
        </w:rPr>
      </w:pPr>
      <w:r>
        <w:rPr>
          <w:rFonts w:ascii="Arial" w:cs="Arial" w:eastAsia="Arial" w:hAnsi="Arial"/>
          <w:sz w:val="17"/>
          <w:szCs w:val="17"/>
          <w:color w:val="auto"/>
        </w:rPr>
        <w:t>The selling securityholders will act independently in making decisions with respect to the timing, manner and size of any sale or non-sale related transfer. The selling securityholders may sell these shares in one or more transactions (including one or more underwritten offerings) at the market price for our Class A common stock prevailing at the time of sale, a price related to the prevailing market price, a negotiated price or such other price as the selling securityholders determine from time to time. See “Plan of Distribution.”</w:t>
      </w:r>
    </w:p>
    <w:p>
      <w:pPr>
        <w:spacing w:after="0" w:line="68"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Our Class A common stock is listed on the NASDAQ Global Select Market (the “NASDAQ”) under the symbol “NFE.” The last reported sales price of our Class A common stock on the NASDAQ on July 8, 2021 was $35.21 per share.</w:t>
      </w:r>
    </w:p>
    <w:p>
      <w:pPr>
        <w:spacing w:after="0" w:line="72" w:lineRule="exact"/>
        <w:rPr>
          <w:sz w:val="20"/>
          <w:szCs w:val="20"/>
          <w:color w:val="auto"/>
        </w:rPr>
      </w:pPr>
    </w:p>
    <w:p>
      <w:pPr>
        <w:jc w:val="both"/>
        <w:ind w:left="400" w:right="419" w:firstLine="36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shares of our Class A common stock involves a high degree of risk. Before buying any shares of our Class A common stock, you should carefully consider the risks that we have described in “Risk Factors” beginning on page S-</w:t>
      </w:r>
      <w:hyperlink w:anchor="page9">
        <w:r>
          <w:rPr>
            <w:rFonts w:ascii="Arial" w:cs="Arial" w:eastAsia="Arial" w:hAnsi="Arial"/>
            <w:sz w:val="18"/>
            <w:szCs w:val="18"/>
            <w:b w:val="1"/>
            <w:bCs w:val="1"/>
            <w:u w:val="single" w:color="auto"/>
            <w:color w:val="0000EE"/>
          </w:rPr>
          <w:t>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supplement, in the accompanying prospectus and in the documents incorporated or deemed incorporated by reference into this prospectus supplement and accompanying prospectus.</w:t>
      </w:r>
    </w:p>
    <w:p>
      <w:pPr>
        <w:spacing w:after="0" w:line="75" w:lineRule="exact"/>
        <w:rPr>
          <w:sz w:val="20"/>
          <w:szCs w:val="20"/>
          <w:color w:val="auto"/>
        </w:rPr>
      </w:pPr>
    </w:p>
    <w:p>
      <w:pPr>
        <w:jc w:val="both"/>
        <w:ind w:left="400" w:right="419" w:firstLine="360"/>
        <w:spacing w:after="0" w:line="31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July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7720" w:type="dxa"/>
            <w:vAlign w:val="bottom"/>
            <w:gridSpan w:val="23"/>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 SUPPLEMENT</w:t>
              </w:r>
            </w:hyperlink>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4"/>
            <w:shd w:val="clear" w:color="auto" w:fill="CCEEFF"/>
          </w:tcPr>
          <w:p>
            <w:pPr>
              <w:jc w:val="center"/>
              <w:ind w:right="2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S-ii</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29"/>
        </w:trPr>
        <w:tc>
          <w:tcPr>
            <w:tcW w:w="772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700" w:type="dxa"/>
            <w:vAlign w:val="bottom"/>
            <w:gridSpan w:val="7"/>
          </w:tcPr>
          <w:p>
            <w:pPr>
              <w:jc w:val="center"/>
              <w:ind w:left="290"/>
              <w:spacing w:after="0"/>
              <w:rPr>
                <w:rFonts w:ascii="Arial" w:cs="Arial" w:eastAsia="Arial" w:hAnsi="Arial"/>
                <w:sz w:val="18"/>
                <w:szCs w:val="18"/>
                <w:color w:val="0000EE"/>
              </w:rPr>
            </w:pPr>
            <w:hyperlink w:anchor="page5">
              <w:r>
                <w:rPr>
                  <w:rFonts w:ascii="Arial" w:cs="Arial" w:eastAsia="Arial" w:hAnsi="Arial"/>
                  <w:sz w:val="18"/>
                  <w:szCs w:val="18"/>
                  <w:color w:val="0000EE"/>
                </w:rPr>
                <w:t>S-iii</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9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r>
      <w:tr>
        <w:trPr>
          <w:trHeight w:val="230"/>
        </w:trPr>
        <w:tc>
          <w:tcPr>
            <w:tcW w:w="7720" w:type="dxa"/>
            <w:vAlign w:val="bottom"/>
            <w:gridSpan w:val="23"/>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cente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S-1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tcPr>
          <w:p>
            <w:pPr>
              <w:jc w:val="center"/>
              <w:spacing w:after="0"/>
              <w:rPr>
                <w:rFonts w:ascii="Arial" w:cs="Arial" w:eastAsia="Arial" w:hAnsi="Arial"/>
                <w:sz w:val="18"/>
                <w:szCs w:val="18"/>
                <w:color w:val="0000EE"/>
                <w:w w:val="85"/>
              </w:rPr>
            </w:pPr>
            <w:hyperlink w:anchor="page9">
              <w:r>
                <w:rPr>
                  <w:rFonts w:ascii="Arial" w:cs="Arial" w:eastAsia="Arial" w:hAnsi="Arial"/>
                  <w:sz w:val="18"/>
                  <w:szCs w:val="18"/>
                  <w:color w:val="0000EE"/>
                  <w:w w:val="85"/>
                </w:rPr>
                <w:t>S-3</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center"/>
              <w:spacing w:after="0"/>
              <w:rPr>
                <w:rFonts w:ascii="Arial" w:cs="Arial" w:eastAsia="Arial" w:hAnsi="Arial"/>
                <w:sz w:val="18"/>
                <w:szCs w:val="18"/>
                <w:color w:val="0000EE"/>
                <w:w w:val="85"/>
              </w:rPr>
            </w:pPr>
            <w:hyperlink w:anchor="page10">
              <w:r>
                <w:rPr>
                  <w:rFonts w:ascii="Arial" w:cs="Arial" w:eastAsia="Arial" w:hAnsi="Arial"/>
                  <w:sz w:val="18"/>
                  <w:szCs w:val="18"/>
                  <w:color w:val="0000EE"/>
                  <w:w w:val="85"/>
                </w:rPr>
                <w:t>S-4</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29"/>
        </w:trPr>
        <w:tc>
          <w:tcPr>
            <w:tcW w:w="7720" w:type="dxa"/>
            <w:vAlign w:val="bottom"/>
            <w:gridSpan w:val="2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SELLING SECURITYHOLDERS</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tcPr>
          <w:p>
            <w:pPr>
              <w:jc w:val="center"/>
              <w:spacing w:after="0"/>
              <w:rPr>
                <w:rFonts w:ascii="Arial" w:cs="Arial" w:eastAsia="Arial" w:hAnsi="Arial"/>
                <w:sz w:val="18"/>
                <w:szCs w:val="18"/>
                <w:color w:val="0000EE"/>
                <w:w w:val="85"/>
              </w:rPr>
            </w:pPr>
            <w:hyperlink w:anchor="page11">
              <w:r>
                <w:rPr>
                  <w:rFonts w:ascii="Arial" w:cs="Arial" w:eastAsia="Arial" w:hAnsi="Arial"/>
                  <w:sz w:val="18"/>
                  <w:szCs w:val="18"/>
                  <w:color w:val="0000EE"/>
                  <w:w w:val="85"/>
                </w:rPr>
                <w:t>S-5</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PLAN OF DISTRIBUTION</w:t>
              </w:r>
            </w:hyperlink>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center"/>
              <w:spacing w:after="0"/>
              <w:rPr>
                <w:rFonts w:ascii="Arial" w:cs="Arial" w:eastAsia="Arial" w:hAnsi="Arial"/>
                <w:sz w:val="18"/>
                <w:szCs w:val="18"/>
                <w:color w:val="0000EE"/>
                <w:w w:val="85"/>
              </w:rPr>
            </w:pPr>
            <w:hyperlink w:anchor="page12">
              <w:r>
                <w:rPr>
                  <w:rFonts w:ascii="Arial" w:cs="Arial" w:eastAsia="Arial" w:hAnsi="Arial"/>
                  <w:sz w:val="18"/>
                  <w:szCs w:val="18"/>
                  <w:color w:val="0000EE"/>
                  <w:w w:val="85"/>
                </w:rPr>
                <w:t>S-6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tcPr>
          <w:p>
            <w:pPr>
              <w:jc w:val="cente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S-8</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center"/>
              <w:spacing w:after="0"/>
              <w:rPr>
                <w:rFonts w:ascii="Arial" w:cs="Arial" w:eastAsia="Arial" w:hAnsi="Arial"/>
                <w:sz w:val="18"/>
                <w:szCs w:val="18"/>
                <w:color w:val="0000EE"/>
                <w:w w:val="85"/>
              </w:rPr>
            </w:pPr>
            <w:hyperlink w:anchor="page14">
              <w:r>
                <w:rPr>
                  <w:rFonts w:ascii="Arial" w:cs="Arial" w:eastAsia="Arial" w:hAnsi="Arial"/>
                  <w:sz w:val="18"/>
                  <w:szCs w:val="18"/>
                  <w:color w:val="0000EE"/>
                  <w:w w:val="85"/>
                </w:rPr>
                <w:t>S-8</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29"/>
        </w:trPr>
        <w:tc>
          <w:tcPr>
            <w:tcW w:w="772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4"/>
          </w:tcPr>
          <w:p>
            <w:pPr>
              <w:jc w:val="cente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S-9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507"/>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00" w:type="dxa"/>
            <w:vAlign w:val="bottom"/>
            <w:gridSpan w:val="6"/>
          </w:tcPr>
          <w:p>
            <w:pPr>
              <w:ind w:left="36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9"/>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6"/>
        </w:trPr>
        <w:tc>
          <w:tcPr>
            <w:tcW w:w="7720" w:type="dxa"/>
            <w:vAlign w:val="bottom"/>
            <w:gridSpan w:val="23"/>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ABOUT THIS PROSPECTUS</w:t>
              </w:r>
            </w:hyperlink>
          </w:p>
        </w:tc>
        <w:tc>
          <w:tcPr>
            <w:tcW w:w="640" w:type="dxa"/>
            <w:vAlign w:val="bottom"/>
            <w:tcBorders>
              <w:right w:val="single" w:sz="8" w:color="CCEEFF"/>
            </w:tcBorders>
            <w:gridSpan w:val="6"/>
            <w:shd w:val="clear" w:color="auto" w:fill="CCEEFF"/>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w:t>
              </w:r>
            </w:hyperlink>
          </w:p>
        </w:tc>
        <w:tc>
          <w:tcPr>
            <w:tcW w:w="60" w:type="dxa"/>
            <w:vAlign w:val="bottom"/>
            <w:tcBorders>
              <w:left w:val="single" w:sz="8" w:color="CCEEFF"/>
            </w:tcBorders>
            <w:shd w:val="clear" w:color="auto" w:fill="CCEEFF"/>
          </w:tcPr>
          <w:p>
            <w:pPr>
              <w:spacing w:after="0"/>
              <w:rPr>
                <w:sz w:val="20"/>
                <w:szCs w:val="20"/>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29"/>
        </w:trPr>
        <w:tc>
          <w:tcPr>
            <w:tcW w:w="7720" w:type="dxa"/>
            <w:vAlign w:val="bottom"/>
            <w:gridSpan w:val="2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640" w:type="dxa"/>
            <w:vAlign w:val="bottom"/>
            <w:gridSpan w:val="6"/>
          </w:tcPr>
          <w:p>
            <w:pPr>
              <w:jc w:val="right"/>
              <w:ind w:right="20"/>
              <w:spacing w:after="0"/>
              <w:rPr>
                <w:rFonts w:ascii="Arial" w:cs="Arial" w:eastAsia="Arial" w:hAnsi="Arial"/>
                <w:sz w:val="18"/>
                <w:szCs w:val="18"/>
                <w:color w:val="0000EE"/>
              </w:rPr>
            </w:pPr>
            <w:hyperlink w:anchor="page19">
              <w:r>
                <w:rPr>
                  <w:rFonts w:ascii="Arial" w:cs="Arial" w:eastAsia="Arial" w:hAnsi="Arial"/>
                  <w:sz w:val="18"/>
                  <w:szCs w:val="18"/>
                  <w:color w:val="0000EE"/>
                </w:rPr>
                <w:t>2</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CAUTIONARY NOTE REGARDING FORWARD-LOOKING STATEMENTS</w:t>
              </w:r>
            </w:hyperlink>
          </w:p>
        </w:tc>
        <w:tc>
          <w:tcPr>
            <w:tcW w:w="640" w:type="dxa"/>
            <w:vAlign w:val="bottom"/>
            <w:tcBorders>
              <w:right w:val="single" w:sz="8" w:color="CCEEFF"/>
            </w:tcBorders>
            <w:gridSpan w:val="6"/>
            <w:shd w:val="clear" w:color="auto" w:fill="CCEEFF"/>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3</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THE COMPANY</w:t>
              </w:r>
            </w:hyperlink>
          </w:p>
        </w:tc>
        <w:tc>
          <w:tcPr>
            <w:tcW w:w="640" w:type="dxa"/>
            <w:vAlign w:val="bottom"/>
            <w:gridSpan w:val="6"/>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5</w:t>
              </w:r>
            </w:hyperlink>
          </w:p>
        </w:tc>
        <w:tc>
          <w:tcPr>
            <w:tcW w:w="6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7720" w:type="dxa"/>
            <w:vAlign w:val="bottom"/>
            <w:gridSpan w:val="23"/>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640" w:type="dxa"/>
            <w:vAlign w:val="bottom"/>
            <w:tcBorders>
              <w:right w:val="single" w:sz="8" w:color="CCEEFF"/>
            </w:tcBorders>
            <w:gridSpan w:val="6"/>
            <w:shd w:val="clear" w:color="auto" w:fill="CCEEFF"/>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6</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640" w:type="dxa"/>
            <w:vAlign w:val="bottom"/>
            <w:gridSpan w:val="6"/>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7</w:t>
              </w:r>
            </w:hyperlink>
          </w:p>
        </w:tc>
        <w:tc>
          <w:tcPr>
            <w:tcW w:w="6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7720" w:type="dxa"/>
            <w:vAlign w:val="bottom"/>
            <w:gridSpan w:val="23"/>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SECURITIES</w:t>
              </w:r>
            </w:hyperlink>
          </w:p>
        </w:tc>
        <w:tc>
          <w:tcPr>
            <w:tcW w:w="640" w:type="dxa"/>
            <w:vAlign w:val="bottom"/>
            <w:tcBorders>
              <w:right w:val="single" w:sz="8" w:color="CCEEFF"/>
            </w:tcBorders>
            <w:gridSpan w:val="6"/>
            <w:shd w:val="clear" w:color="auto" w:fill="CCEEFF"/>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8</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640" w:type="dxa"/>
            <w:vAlign w:val="bottom"/>
            <w:gridSpan w:val="6"/>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9</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DEPOSITARY SHARES</w:t>
              </w:r>
            </w:hyperlink>
          </w:p>
        </w:tc>
        <w:tc>
          <w:tcPr>
            <w:tcW w:w="640" w:type="dxa"/>
            <w:vAlign w:val="bottom"/>
            <w:tcBorders>
              <w:right w:val="single" w:sz="8" w:color="CCEEFF"/>
            </w:tcBorders>
            <w:gridSpan w:val="6"/>
            <w:shd w:val="clear" w:color="auto" w:fill="CCEEFF"/>
          </w:tcPr>
          <w:p>
            <w:pPr>
              <w:jc w:val="center"/>
              <w:ind w:left="370"/>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17</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DESCRIPTION OF DEBT SECURITIES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19</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640" w:type="dxa"/>
            <w:vAlign w:val="bottom"/>
            <w:tcBorders>
              <w:right w:val="single" w:sz="8" w:color="CCEEFF"/>
            </w:tcBorders>
            <w:gridSpan w:val="6"/>
            <w:shd w:val="clear" w:color="auto" w:fill="CCEEFF"/>
          </w:tcPr>
          <w:p>
            <w:pPr>
              <w:jc w:val="center"/>
              <w:ind w:left="370"/>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21</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SELLING SECURITYHOLDERS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22</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7720" w:type="dxa"/>
            <w:vAlign w:val="bottom"/>
            <w:gridSpan w:val="23"/>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DESCRIPTION OF OUR OPERATING AGREEMENT AND PROVISIONS OF DELAWARE LAW</w:t>
              </w:r>
            </w:hyperlink>
          </w:p>
        </w:tc>
        <w:tc>
          <w:tcPr>
            <w:tcW w:w="640" w:type="dxa"/>
            <w:vAlign w:val="bottom"/>
            <w:tcBorders>
              <w:right w:val="single" w:sz="8" w:color="CCEEFF"/>
            </w:tcBorders>
            <w:gridSpan w:val="6"/>
            <w:shd w:val="clear" w:color="auto" w:fill="CCEEFF"/>
          </w:tcPr>
          <w:p>
            <w:pPr>
              <w:jc w:val="center"/>
              <w:ind w:left="37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24</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70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30</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7720" w:type="dxa"/>
            <w:vAlign w:val="bottom"/>
            <w:gridSpan w:val="23"/>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U.S. FEDERAL INCOME TAX CONSIDERATIONS FOR NON-U.S. HOLDERS OF CLASS A</w:t>
              </w:r>
            </w:hyperlink>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tcBorders>
              <w:left w:val="single" w:sz="8" w:color="CCEEFF"/>
            </w:tcBorders>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20"/>
            <w:shd w:val="clear" w:color="auto" w:fill="CCEEFF"/>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COMMON STOCK</w:t>
              </w:r>
            </w:hyperlink>
          </w:p>
        </w:tc>
        <w:tc>
          <w:tcPr>
            <w:tcW w:w="680" w:type="dxa"/>
            <w:vAlign w:val="bottom"/>
            <w:tcBorders>
              <w:top w:val="single" w:sz="8" w:color="CCEEFF"/>
            </w:tcBorders>
            <w:gridSpan w:val="2"/>
            <w:shd w:val="clear" w:color="auto" w:fill="CCEEFF"/>
          </w:tcPr>
          <w:p>
            <w:pPr>
              <w:spacing w:after="0"/>
              <w:rPr>
                <w:sz w:val="17"/>
                <w:szCs w:val="17"/>
                <w:color w:val="auto"/>
              </w:rPr>
            </w:pPr>
          </w:p>
        </w:tc>
        <w:tc>
          <w:tcPr>
            <w:tcW w:w="640" w:type="dxa"/>
            <w:vAlign w:val="bottom"/>
            <w:tcBorders>
              <w:top w:val="single" w:sz="8" w:color="CCEEFF"/>
              <w:right w:val="single" w:sz="8" w:color="CCEEFF"/>
            </w:tcBorders>
            <w:gridSpan w:val="6"/>
            <w:shd w:val="clear" w:color="auto" w:fill="CCEEFF"/>
          </w:tcPr>
          <w:p>
            <w:pPr>
              <w:jc w:val="center"/>
              <w:ind w:left="370"/>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32</w:t>
              </w:r>
            </w:hyperlink>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29"/>
        </w:trPr>
        <w:tc>
          <w:tcPr>
            <w:tcW w:w="772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ERISA CONSIDERATIONS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35</w:t>
              </w:r>
            </w:hyperlink>
          </w:p>
        </w:tc>
        <w:tc>
          <w:tcPr>
            <w:tcW w:w="6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7720" w:type="dxa"/>
            <w:vAlign w:val="bottom"/>
            <w:gridSpan w:val="23"/>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640" w:type="dxa"/>
            <w:vAlign w:val="bottom"/>
            <w:tcBorders>
              <w:right w:val="single" w:sz="8" w:color="CCEEFF"/>
            </w:tcBorders>
            <w:gridSpan w:val="6"/>
            <w:shd w:val="clear" w:color="auto" w:fill="CCEEFF"/>
          </w:tcPr>
          <w:p>
            <w:pPr>
              <w:jc w:val="center"/>
              <w:ind w:left="37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37</w:t>
              </w:r>
            </w:hyperlink>
          </w:p>
        </w:tc>
        <w:tc>
          <w:tcPr>
            <w:tcW w:w="60" w:type="dxa"/>
            <w:vAlign w:val="bottom"/>
            <w:tcBorders>
              <w:left w:val="single" w:sz="8" w:color="CCEEFF"/>
            </w:tcBorders>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7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r>
      <w:tr>
        <w:trPr>
          <w:trHeight w:val="230"/>
        </w:trPr>
        <w:tc>
          <w:tcPr>
            <w:tcW w:w="772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640" w:type="dxa"/>
            <w:vAlign w:val="bottom"/>
            <w:gridSpan w:val="6"/>
          </w:tcPr>
          <w:p>
            <w:pPr>
              <w:jc w:val="center"/>
              <w:ind w:left="37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37</w:t>
              </w:r>
            </w:hyperlink>
          </w:p>
        </w:tc>
        <w:tc>
          <w:tcPr>
            <w:tcW w:w="60" w:type="dxa"/>
            <w:vAlign w:val="bottom"/>
          </w:tcPr>
          <w:p>
            <w:pPr>
              <w:spacing w:after="0"/>
              <w:rPr>
                <w:sz w:val="19"/>
                <w:szCs w:val="19"/>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-6402705</wp:posOffset>
            </wp:positionV>
            <wp:extent cx="102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-3805555</wp:posOffset>
            </wp:positionV>
            <wp:extent cx="111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b w:val="1"/>
          <w:bCs w:val="1"/>
          <w:color w:val="auto"/>
        </w:rPr>
        <w:t>We have not, and each selling securityholder has not, authorized any dealer, salesperson or other person to give any information or to make any representation other than those contained in or incorporated by reference into this prospectus supplement, the accompanying prospectus or any applicable free writing prospectus. You must not rely upon any information or representation not contained in or incorporated by reference into this prospectus supplement, the accompanying prospectus or any applicable free writing prospectus as if we had authorized it. This prospectus supplement, the accompanying prospectus and any applicable free writing prospectus do not constitute an offer to sell or the solicitation of an offer to buy any securities other than the registered securities to which they relate, nor does this prospectus supplement, the accompanying prospectus or any applicable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the accompanying prospectus, the documents incorporated herein and therein by reference and any applicable free writing prospectus is correct on any date after their respective dates, even though this prospectus supplement, the accompanying prospectus or an applicable free writing prospectus is delivered or securities are sold on a later date. Our business, financial condition, results of operations and cash flows may have changed since those dates.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497"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This prospectus supplement and the accompanying prospectus are part of a registration statement that we filed with the Securities and Exchange Commission (the “SEC” or the “Commission”). Our shelf registration statement allows us to offer from time to time a wide array of securities. In the accompanying prospectus, we provide you with a general description of the securities we may offer from time to time under our shelf registration statement and other general information that may apply to this offering. In this prospectus supplement, we provide you with specific information about the Class A common stock that we are selling in this offering. This prospectus supplement, the accompanying prospectus and the documents incorporated by reference include important information about us, our Class A common stock and other information that you should know before investing. This prospectus supplement also adds, updates and changes information contained in the accompanying prospectus. You should carefully read both this prospectus supplement and the accompanying prospectus as well as additional information described under “Where You Can Find More Information” before investing in our Class A common stock.</w:t>
      </w:r>
    </w:p>
    <w:p>
      <w:pPr>
        <w:spacing w:after="0" w:line="9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Generally, when we refer to this “prospectus supplement,” we are referring to both this prospectus supplement and the accompanying prospectus, as well as the documents incorporated by reference herein and therein. If information in this prospectus supplement is inconsistent with the accompanying prospectus, you should rely on this prospectus supplement.</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New Fortress Energy Inc. is a Delaware corporation. Our principal offices are located at 111 W. 19th Street, 8th Floor, New York, NY 10011 and our telephone number at that address is (516) 268-7400. Our website is located at www.newfortressenergy.com. The information on or otherwise accessible through our website does not constitute a part of this prospectus supplement or the accompanying prospectus and is not incorporated by reference into this prospectus supplement or the accompanying prospectus.</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New Fortress Energy Inc. (“NFE Inc.”) was formerly New Fortress Energy LLC, a Delaware limited liability company (“NFE LLC”), prior to its conversion to a Delaware corporation (the “Conversion”) effective at 12:01 a.m. (Eastern Time) on August 7, 2020 (the “Conversion Effective Time”), as described in more detail in the documents incorporated by reference herein. In this prospectus supplement and the accompanying prospectus or any documents incorporated by reference herein or therein, unless otherwise indicated or the context otherwise requires, references to “NFE,” the “Company,” “we,” “us,” “our” and similar terms refer to (i) prior to the Conversion Effective Time, NFE LLC and its subsidiaries and (ii) following the Conversion Effective Time, NFE Inc. and its subsidiaries. In addition, when used in a historical context that is prior to the completion of our Initial Public Offering on February 4, 2019, references to “Company,” “we,” “our,” “us” or like terms refer to New Fortress Energy Holdings LLC, a Delaware limited liability company (“New Fortress Energy Holdings”), our predecessor for financial reporting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This prospectus supplement, the accompanying prospectus and any documents incorporated by reference contain statements that are “forward-looking” within the meaning of the Private Securities Litigation Reform Act of 1995.</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All statements contained in this prospectus supplement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supplement, the accompanying prospectus and any documents incorporated by reference, including the “Risk Factors” sections of this prospectus supplement, the accompanying prospectus and our reports and other documents filed with the SEC. When considering forward-looking statements, you should keep in mind the risks, uncertainties and other cautionary statements made in this prospectus supplement, the accompanying prospectus and the documents incorporated by reference. While it is impossible to identify all factors, factors that could cause actual results to differ materially from those estimated by us include:</w:t>
      </w:r>
    </w:p>
    <w:p>
      <w:pPr>
        <w:spacing w:after="0" w:line="63" w:lineRule="exact"/>
        <w:rPr>
          <w:sz w:val="20"/>
          <w:szCs w:val="20"/>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successfully integrate the businesses and realize the anticipated benefits of the mergers with Hygo Energy Transition Ltd. (“Hygo”) and Golar LNG Partners LP (“GMLP”);</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completion of the exchange of all of the units (the “NFI LLC Units”) (other than NFI LLC Units owned by NFE or its subsidiaries) of New Fortress Intermediate LLC and all of the shares of Class B common stock for shares of Class A common stock;</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Jamaica, Brazil and the Caribbean; and</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our Annual Report on Form 10-K and our Quarterly Report on Form 10-Q for the three months ended March 31, 2021 and our other filings with the SEC.</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All forward-looking statements speak only as of the date of this prospectus supplement or, in the case of the accompanying prospectus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190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81908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i w:val="1"/>
          <w:iCs w:val="1"/>
          <w:color w:val="auto"/>
        </w:rPr>
        <w:t>This summary highlights information contained elsewhere in this prospectus supplement, the accompanying prospectus and the documents incorporated by reference. This summary does not contain all of the information you should consider before making a decision to invest in our Class A common stock. You should read this entire prospectus supplement and the accompanying prospectus, including the documents incorporated by reference herein and therein, carefully before making an investment decision, especially the sections entitled “Risk Factors” herein and therein and our consolidated financial statements and notes to those consolidated financial statements incorporated by reference herein and therein.</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NFE is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deliver targeted energy solutions by employing an integrated LNG supply and delivery model:</w:t>
      </w:r>
    </w:p>
    <w:p>
      <w:pPr>
        <w:spacing w:after="0" w:line="117"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i w:val="1"/>
          <w:iCs w:val="1"/>
          <w:color w:val="auto"/>
        </w:rPr>
        <w:t xml:space="preserve">LNG Supply and Liquefaction </w:t>
      </w:r>
      <w:r>
        <w:rPr>
          <w:rFonts w:ascii="Arial" w:cs="Arial" w:eastAsia="Arial" w:hAnsi="Arial"/>
          <w:sz w:val="18"/>
          <w:szCs w:val="18"/>
          <w:color w:val="auto"/>
        </w:rPr>
        <w:t>- We supply LNG to our customers, typically by entering into long-term LNG</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contracts, which are generally based on an index such as Henry Hub plus an additional fee. We have successfully capitalized on current market conditions to secure long-term LNG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84" w:lineRule="exact"/>
        <w:rPr>
          <w:sz w:val="20"/>
          <w:szCs w:val="20"/>
          <w:color w:val="auto"/>
        </w:rPr>
      </w:pPr>
    </w:p>
    <w:p>
      <w:pPr>
        <w:jc w:val="both"/>
        <w:ind w:left="320" w:right="299" w:firstLine="360"/>
        <w:spacing w:after="0" w:line="286" w:lineRule="auto"/>
        <w:rPr>
          <w:sz w:val="20"/>
          <w:szCs w:val="20"/>
          <w:color w:val="auto"/>
        </w:rPr>
      </w:pPr>
      <w:r>
        <w:rPr>
          <w:rFonts w:ascii="Arial" w:cs="Arial" w:eastAsia="Arial" w:hAnsi="Arial"/>
          <w:sz w:val="17"/>
          <w:szCs w:val="17"/>
          <w:i w:val="1"/>
          <w:iCs w:val="1"/>
          <w:color w:val="auto"/>
        </w:rPr>
        <w:t xml:space="preserve">Shipping </w:t>
      </w:r>
      <w:r>
        <w:rPr>
          <w:rFonts w:ascii="Arial" w:cs="Arial" w:eastAsia="Arial" w:hAnsi="Arial"/>
          <w:sz w:val="17"/>
          <w:szCs w:val="17"/>
          <w:color w:val="auto"/>
        </w:rPr>
        <w:t>- We own a fleet of liquefied natural gas carriers and floating storage and regasification units, and we</w:t>
      </w:r>
      <w:r>
        <w:rPr>
          <w:rFonts w:ascii="Arial" w:cs="Arial" w:eastAsia="Arial" w:hAnsi="Arial"/>
          <w:sz w:val="17"/>
          <w:szCs w:val="17"/>
          <w:i w:val="1"/>
          <w:iCs w:val="1"/>
          <w:color w:val="auto"/>
        </w:rPr>
        <w:t xml:space="preserve"> </w:t>
      </w:r>
      <w:r>
        <w:rPr>
          <w:rFonts w:ascii="Arial" w:cs="Arial" w:eastAsia="Arial" w:hAnsi="Arial"/>
          <w:sz w:val="17"/>
          <w:szCs w:val="17"/>
          <w:color w:val="auto"/>
        </w:rPr>
        <w:t>lease additional vessels from third parties. These assets transport LNG from ports to our downstream facilities and gasify LNG for ultimate delivery to our customers and service third party charterers.</w:t>
      </w:r>
    </w:p>
    <w:p>
      <w:pPr>
        <w:spacing w:after="0" w:line="57" w:lineRule="exact"/>
        <w:rPr>
          <w:sz w:val="20"/>
          <w:szCs w:val="20"/>
          <w:color w:val="auto"/>
        </w:rPr>
      </w:pPr>
    </w:p>
    <w:p>
      <w:pPr>
        <w:jc w:val="both"/>
        <w:ind w:left="320" w:right="279" w:firstLine="360"/>
        <w:spacing w:after="0" w:line="259"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 Through our network of current and planned downstream facilities and logistics assets,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20" w:right="279" w:firstLine="360"/>
        <w:spacing w:after="0" w:line="291" w:lineRule="auto"/>
        <w:rPr>
          <w:sz w:val="20"/>
          <w:szCs w:val="20"/>
          <w:color w:val="auto"/>
        </w:rPr>
      </w:pPr>
      <w:r>
        <w:rPr>
          <w:rFonts w:ascii="Arial" w:cs="Arial" w:eastAsia="Arial" w:hAnsi="Arial"/>
          <w:sz w:val="16"/>
          <w:szCs w:val="16"/>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w:t>
      </w:r>
    </w:p>
    <w:p>
      <w:pPr>
        <w:spacing w:after="0" w:line="58" w:lineRule="exact"/>
        <w:rPr>
          <w:sz w:val="20"/>
          <w:szCs w:val="20"/>
          <w:color w:val="auto"/>
        </w:rPr>
      </w:pPr>
    </w:p>
    <w:p>
      <w:pPr>
        <w:jc w:val="both"/>
        <w:ind w:left="320" w:right="279" w:firstLine="360"/>
        <w:spacing w:after="0" w:line="272" w:lineRule="auto"/>
        <w:rPr>
          <w:sz w:val="20"/>
          <w:szCs w:val="20"/>
          <w:color w:val="auto"/>
        </w:rPr>
      </w:pPr>
      <w:r>
        <w:rPr>
          <w:rFonts w:ascii="Arial" w:cs="Arial" w:eastAsia="Arial" w:hAnsi="Arial"/>
          <w:sz w:val="17"/>
          <w:szCs w:val="17"/>
          <w:color w:val="auto"/>
        </w:rPr>
        <w:t>We currently conduct our operations at our LNG storage and regasification facility at the Port of Montego Bay, Jamaica, our marine LNG storage and regasification facility in Old Harbour, Jamaica, our landed micro-fuel handling facility in San Juan, Puerto Rico (the “San Juan Facility”) and at our Miami Facility. In addition, we are currently developing facilities in Mexico, Nicaragua and Ireland.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Completed Mergers</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On April 15, 2021, we acquired GMLP. At the effective time and upon completion of the merger of Lobos Acquisition LLC, a Bermuda exempted company and an indirect subsidiary of NFE, with and into GMLP (the “GMLP Effective Time”), with GMLP surviving such merger as an indirect subsidiary of NFE (the “GMLP</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962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5962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spacing w:after="0" w:line="269" w:lineRule="auto"/>
        <w:rPr>
          <w:sz w:val="20"/>
          <w:szCs w:val="20"/>
          <w:color w:val="auto"/>
        </w:rPr>
      </w:pPr>
      <w:r>
        <w:rPr>
          <w:rFonts w:ascii="Arial" w:cs="Arial" w:eastAsia="Arial" w:hAnsi="Arial"/>
          <w:sz w:val="17"/>
          <w:szCs w:val="17"/>
          <w:color w:val="auto"/>
        </w:rPr>
        <w:t>Merger”), each common unit representing a limited partner interest in GMLP (each, a “Common Unit”) that was issued and outstanding as of immediately prior to the GMLP Effective Time (except for the Common Units that were owned immediately prior thereto by GMLP as treasury units, which were automatically canceled and retired and no consideration was delivered in respect thereof) was automatically converted into the right to receive $3.55 in cash. At the GMLP Effective Time, each of the incentive distribution rights of GMLP was canceled and now ceases to exist, and no consideration was delivered in respect thereof. Each 8.75% Series A Cumulative Redeemable Preferred Unit of GMLP issued and outstanding immediately prior to the GMLP Effective Time was unaffected by the GMLP Merger and remains outstanding, and no consideration was delivered in respect thereof. Each outstanding unit representing a general partner interest of GMLP that was issued and outstanding immediately prior to the GMLP Effective Time remains issued and outstanding.</w:t>
      </w:r>
    </w:p>
    <w:p>
      <w:pPr>
        <w:spacing w:after="0" w:line="77"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Concurrently with the consummation of the GMLP Merger, NFE International Holdings Limited, a private limited company incorporated under the laws of England and Wales and an indirect subsidiary of NFE (“GP Buyer”), purchased from Golar LNG Limited, a Bermuda exempted company (“GLNG”), and GLNG transferred to GP Buyer, all of the outstanding membership interests of Golar GP LLC, the general partner of GMLP, pursuant to a Transfer Agreement dated as of January 13, 2021, for a purchase price of $5,099,188, which is equivalent to $3.55 per general partner unit of GMLP.</w:t>
      </w:r>
    </w:p>
    <w:p>
      <w:pPr>
        <w:spacing w:after="0" w:line="84"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Also on April 15, 2021, we acquired Hygo, a 50-50 joint venture between GLNG and Stonepeak Infrastructure Fund II Cayman (G) Ltd., a fund managed by Stonepeak Infrastructure Partners (“Stonepeak”). At the effective time and upon completion of Lobos Acquisition Ltd. merging with and into Hygo (the “Hygo Effective Time”), with Hygo surviving such merger as an indirect subsidiary of NFE (the “Hygo Merger”), (i) GLNG received 18,627,451 shares of our Class A common stock and an aggregate of $50 million in cash and (ii) Stonepeak was entitled to receive 12,745,098 shares of our Class A common stock (1,773,146 of which were issued to certain individuals and entities that participated in Hygo’s management incentive system and which are not subject to this registration statement) and an aggregate of $530 million in cash as the consideration for the Hygo Merger. At the Hygo Effective Time, we entered into a shareholders’ agreement with GLNG and Stonepeak (the “Shareholders’ Agreement”) pursuant to which each of GLNG and Stonepeak and their respective permitted transferees have the right to require us to register their respective shares of our Class A common stock under the Securities Act for sale into the public markets.</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jc w:val="both"/>
        <w:ind w:left="320" w:right="299" w:firstLine="360"/>
        <w:spacing w:after="0" w:line="263" w:lineRule="auto"/>
        <w:rPr>
          <w:sz w:val="20"/>
          <w:szCs w:val="20"/>
          <w:color w:val="auto"/>
        </w:rPr>
      </w:pPr>
      <w:r>
        <w:rPr>
          <w:rFonts w:ascii="Arial" w:cs="Arial" w:eastAsia="Arial" w:hAnsi="Arial"/>
          <w:sz w:val="18"/>
          <w:szCs w:val="18"/>
          <w:color w:val="auto"/>
        </w:rPr>
        <w:t>NFE LLC was formed as a Delaware limited liability company by New Fortress Energy Holdings on August 6, 2018. On August 7, 2020, effective as of the Conversion Effective Time, NFE LLC was converted from a Delaware limited liability company to NFE Inc., a Delaware corporation.</w:t>
      </w:r>
    </w:p>
    <w:p>
      <w:pPr>
        <w:spacing w:after="0" w:line="76" w:lineRule="exact"/>
        <w:rPr>
          <w:sz w:val="20"/>
          <w:szCs w:val="20"/>
          <w:color w:val="auto"/>
        </w:rPr>
      </w:pPr>
    </w:p>
    <w:p>
      <w:pPr>
        <w:jc w:val="both"/>
        <w:ind w:left="320" w:right="279" w:firstLine="360"/>
        <w:spacing w:after="0" w:line="257" w:lineRule="auto"/>
        <w:rPr>
          <w:sz w:val="20"/>
          <w:szCs w:val="20"/>
          <w:color w:val="auto"/>
        </w:rPr>
      </w:pPr>
      <w:r>
        <w:rPr>
          <w:rFonts w:ascii="Arial" w:cs="Arial" w:eastAsia="Arial" w:hAnsi="Arial"/>
          <w:sz w:val="18"/>
          <w:szCs w:val="18"/>
          <w:color w:val="auto"/>
        </w:rPr>
        <w:t>Our principal executive office is located at 111 W. 19th Street, 8th Floor, New York, NY 10011 and our telephone number is (516) 268-7400. We maintain a website at www.newfortressenergy.com. We have included our website address in this prospectus supplement solely as an inactive textual reference. The information on or otherwise accessible through our website does not constitute a part of, and is not incorporated by reference into, this prospectus supplement or the accompanying prospectus.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Before you invest in our Class A common stock, in addition to the other information in this prospectus supplement, the accompanying prospectus or other offering materials, you should carefully consider the risk factors in any prospectus supplement as well as under the heading “Risk Factors” contained in Part I, Item 1A. in our Annual Report on Form 10-K for the year ended December 31, 2020 and in our Quarterly Report on Form 10-Q for the three months ended March 31, 2021, which are incorporated by reference into this prospectus supplement and the accompanying prospectus, as the same may be amended, supplemented or superseded from time to time by our filings under Sections 13(a), 13(c), 14 and 15(d) of the Securities Exchange Act of 1934, as amended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We will not receive any of the proceeds from the sale of shares by the selling securityholders in this offering.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This prospectus supplement relates to the resale from time to time of up to a total of 29,599,403 shares of our Class A common stock by the selling securityholders identified in this prospectus supplement, including the pledgees, donees, transferees or other successors in interest of the selling securityholders. The following table sets forth information with respect to the current beneficial ownership of the selling securityholders, the number of shares of Class A common stock being offered hereby by the selling securityholders and information with respect to shares to be beneficially owned by the selling securityholders after completion of this offering, assuming all shares that may be offered from time to time by the selling securityholders pursuant to this prospectus supplement are sold.</w:t>
      </w:r>
    </w:p>
    <w:p>
      <w:pPr>
        <w:spacing w:after="0" w:line="5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number of shares and percentages of beneficial ownership set forth below are based on beneficial ownership as provided by the selling securityholders to the Company and are based on the number of shares of our Class A common stock issued and outstanding as of July 1, 2021.</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shares listed in the table below were received by the selling securityholders as part of the consideration for the Hygo Merger. The entities listed under “Selling Securityholders” in the table below are party to the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80" w:lineRule="exact"/>
        <w:rPr>
          <w:sz w:val="20"/>
          <w:szCs w:val="20"/>
          <w:color w:val="auto"/>
        </w:rPr>
      </w:pPr>
    </w:p>
    <w:p>
      <w:pPr>
        <w:jc w:val="both"/>
        <w:ind w:left="300" w:right="319" w:firstLine="360"/>
        <w:spacing w:after="0" w:line="272" w:lineRule="auto"/>
        <w:rPr>
          <w:sz w:val="20"/>
          <w:szCs w:val="20"/>
          <w:color w:val="auto"/>
        </w:rPr>
      </w:pPr>
      <w:r>
        <w:rPr>
          <w:rFonts w:ascii="Arial" w:cs="Arial" w:eastAsia="Arial" w:hAnsi="Arial"/>
          <w:sz w:val="17"/>
          <w:szCs w:val="17"/>
          <w:color w:val="auto"/>
        </w:rPr>
        <w:t>Beneficial ownership is determined under the rules of the SEC, and such information is not necessarily indicative of beneficial ownership for any other purpose. Under such rules, beneficial ownership includes any shares as to which a person has sole or shared voting power or investment power and any shares which the person has the right to acquire within 60 days through the exercise of any option, warrant or right, through conversion of any security or pursuant to the automatic termination of a power of attorney or revocation of a trust, discretionary account or similar arrangement. Percentages are calculated in accordance with applicable SEC rules and are based on the number of shares issued and outstanding on July 1, 2021.</w:t>
      </w:r>
    </w:p>
    <w:p>
      <w:pPr>
        <w:spacing w:after="0" w:line="12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Shares Offered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by this</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Ownership Before Offering</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Prospectus</w:t>
            </w: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Ownership After Offering</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Supplement</w:t>
            </w:r>
          </w:p>
        </w:tc>
        <w:tc>
          <w:tcPr>
            <w:tcW w:w="16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 of Class</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 of Class</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Shares of</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 of Class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Class A</w:t>
            </w:r>
          </w:p>
        </w:tc>
        <w:tc>
          <w:tcPr>
            <w:tcW w:w="88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Selling Securityholder</w:t>
            </w:r>
          </w:p>
        </w:tc>
        <w:tc>
          <w:tcPr>
            <w:tcW w:w="160" w:type="dxa"/>
            <w:vAlign w:val="bottom"/>
            <w:vMerge w:val="restart"/>
          </w:tcPr>
          <w:p>
            <w:pPr>
              <w:spacing w:after="0"/>
              <w:rPr>
                <w:sz w:val="12"/>
                <w:szCs w:val="12"/>
                <w:color w:val="auto"/>
              </w:rPr>
            </w:pPr>
          </w:p>
        </w:tc>
        <w:tc>
          <w:tcPr>
            <w:tcW w:w="9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Common</w:t>
            </w: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A Common</w:t>
            </w:r>
          </w:p>
        </w:tc>
        <w:tc>
          <w:tcPr>
            <w:tcW w:w="10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6"/>
              </w:rPr>
              <w:t>A Common</w:t>
            </w:r>
          </w:p>
        </w:tc>
        <w:tc>
          <w:tcPr>
            <w:tcW w:w="8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A Common</w:t>
            </w:r>
          </w:p>
        </w:tc>
        <w:tc>
          <w:tcPr>
            <w:tcW w:w="0" w:type="dxa"/>
            <w:vAlign w:val="bottom"/>
          </w:tcPr>
          <w:p>
            <w:pPr>
              <w:spacing w:after="0"/>
              <w:rPr>
                <w:sz w:val="1"/>
                <w:szCs w:val="1"/>
                <w:color w:val="auto"/>
              </w:rPr>
            </w:pPr>
          </w:p>
        </w:tc>
      </w:tr>
      <w:tr>
        <w:trPr>
          <w:trHeight w:val="242"/>
        </w:trPr>
        <w:tc>
          <w:tcPr>
            <w:tcW w:w="36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Stock</w:t>
            </w:r>
            <w:r>
              <w:rPr>
                <w:rFonts w:ascii="Arial" w:cs="Arial" w:eastAsia="Arial" w:hAnsi="Arial"/>
                <w:sz w:val="23"/>
                <w:szCs w:val="23"/>
                <w:b w:val="1"/>
                <w:bCs w:val="1"/>
                <w:color w:val="auto"/>
                <w:w w:val="84"/>
                <w:vertAlign w:val="superscript"/>
              </w:rPr>
              <w:t>(1)</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331"/>
        </w:trPr>
        <w:tc>
          <w:tcPr>
            <w:tcW w:w="384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Golar LNG Limited</w:t>
            </w:r>
            <w:r>
              <w:rPr>
                <w:rFonts w:ascii="Arial" w:cs="Arial" w:eastAsia="Arial" w:hAnsi="Arial"/>
                <w:sz w:val="29"/>
                <w:szCs w:val="29"/>
                <w:color w:val="auto"/>
                <w:vertAlign w:val="superscript"/>
              </w:rPr>
              <w:t>(2)</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18,627,451</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18,627,451</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6"/>
        </w:trPr>
        <w:tc>
          <w:tcPr>
            <w:tcW w:w="3840" w:type="dxa"/>
            <w:vAlign w:val="bottom"/>
            <w:gridSpan w:val="2"/>
          </w:tcPr>
          <w:p>
            <w:pPr>
              <w:spacing w:after="0"/>
              <w:rPr>
                <w:sz w:val="20"/>
                <w:szCs w:val="20"/>
                <w:color w:val="auto"/>
              </w:rPr>
            </w:pPr>
            <w:r>
              <w:rPr>
                <w:rFonts w:ascii="Arial" w:cs="Arial" w:eastAsia="Arial" w:hAnsi="Arial"/>
                <w:sz w:val="18"/>
                <w:szCs w:val="18"/>
                <w:color w:val="auto"/>
              </w:rPr>
              <w:t>Stonepeak Infrastructure Fund II</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Cayman (G) Ltd.</w:t>
            </w:r>
            <w:r>
              <w:rPr>
                <w:rFonts w:ascii="Arial" w:cs="Arial" w:eastAsia="Arial" w:hAnsi="Arial"/>
                <w:sz w:val="29"/>
                <w:szCs w:val="29"/>
                <w:color w:val="auto"/>
                <w:vertAlign w:val="superscript"/>
              </w:rPr>
              <w:t>(3)</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10,971,952</w:t>
            </w:r>
          </w:p>
        </w:tc>
        <w:tc>
          <w:tcPr>
            <w:tcW w:w="140" w:type="dxa"/>
            <w:vAlign w:val="bottom"/>
          </w:tcPr>
          <w:p>
            <w:pPr>
              <w:spacing w:after="0"/>
              <w:rPr>
                <w:sz w:val="24"/>
                <w:szCs w:val="24"/>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10,971,952</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 w:type="dxa"/>
            <w:vAlign w:val="bottom"/>
          </w:tcPr>
          <w:p>
            <w:pPr>
              <w:spacing w:after="0"/>
              <w:rPr>
                <w:sz w:val="24"/>
                <w:szCs w:val="24"/>
                <w:color w:val="auto"/>
              </w:rPr>
            </w:pPr>
          </w:p>
        </w:tc>
        <w:tc>
          <w:tcPr>
            <w:tcW w:w="820" w:type="dxa"/>
            <w:vAlign w:val="bottom"/>
          </w:tcPr>
          <w:p>
            <w:pPr>
              <w:jc w:val="right"/>
              <w:ind w:right="61"/>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-626110</wp:posOffset>
            </wp:positionV>
            <wp:extent cx="85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-626110</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-626110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-626110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-626110</wp:posOffset>
            </wp:positionV>
            <wp:extent cx="1028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ind w:left="640" w:hanging="348"/>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206,698,564 shares of Class A common stock issued and outstanding as of July 1, 2021.</w:t>
      </w:r>
    </w:p>
    <w:p>
      <w:pPr>
        <w:spacing w:after="0" w:line="4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Golar LNG Limited is a reporting company under the Exchange Act and a publicly traded company whose common shares are listed on the Nasdaq Global Select Market under the symbol “GLNG.” The address of Golar LNG Limited is 2nd Floor, S.E. Pearman Building, 9 Par-la-Ville Road, Hamilton HM 11, Bermuda.</w:t>
      </w:r>
    </w:p>
    <w:p>
      <w:pPr>
        <w:spacing w:after="0" w:line="20"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Stonepeak Infrastructure Fund II Cayman (G) Ltd. is wholly owned by Stonepeak Golar Power Holdings (Delaware) LP. The general partner of Stonepeak Golar Power Holding (Delaware) LP is Stonepeak Infrastructure Fund II Cayman LP. The general partner of Stonepeak Infrastructure Fund II Cayman LP is Stonepeak Infrastructure Fund II Cayman Ltd., whose managing shareholder is Michael Dorrell. The principal business address of the entities and individuals identified herein is c/o Stonepeak Infrastructure Partners, 55 Hudson Yards, 550 W. 34th St., 48th Floor, New York, NY 10001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resale shares covered by this prospectus supplement and the accompanying prospectus may be offered and sold from time to time by the selling securityholders, including certain transferees who may later hold interest in the shares of Class A common stock covered by this prospectus. We will not receive any of the proceeds from the sale of shares of our Class A common stock covered by this prospectus supplement. We will pay all expenses of the registration of the Class A common stock and certain other expenses.</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selling securityholders may sell all or a portion of the shares of Class A common stock beneficially owned by the selling securityholders and offered hereby from time to time directly or through one or more underwriters, broker-dealers or agents. If the shares of Class A common stock are sold through underwriters or broker-dealers, the applicable selling securityholder will be responsible for underwriting discounts or commissions or agent’s commissions. The shares of Class A common stock may be sold in one or more transactions at fixed prices (which may be changed), at prevailing market prices at the time of the sale, at prices related to the prevailing market prices, at varying prices determined at the time of sale, or at negotiated prices. These sales may be effected in transactions, which may involve crosses or block transactions,</w:t>
      </w:r>
    </w:p>
    <w:p>
      <w:pPr>
        <w:spacing w:after="0" w:line="70" w:lineRule="exact"/>
        <w:rPr>
          <w:sz w:val="20"/>
          <w:szCs w:val="20"/>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our Class A common stock may be listed or quoted at the time of sale;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through the writing of options, whether such options are listed on an options exchange or otherwise;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ordinary brokerage transactions and transactions in which the broker-dealer solicits purchasers;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block trades in which the broker-dealer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short sales;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which broker-dealers may agree with the selling securityholder to sell a specified number of such shares at a stipulated price per share;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settlement of short sales, or sales of put, call or other types of options, forward delivery contracts, swaps, offerings of structured equity-linked securities, or other derivative, convertible or exchangeable securities or transactions;</w:t>
      </w:r>
    </w:p>
    <w:p>
      <w:pPr>
        <w:spacing w:after="0" w:line="75" w:lineRule="exact"/>
        <w:rPr>
          <w:rFonts w:ascii="Arial" w:cs="Arial" w:eastAsia="Arial" w:hAnsi="Arial"/>
          <w:sz w:val="18"/>
          <w:szCs w:val="18"/>
          <w:color w:val="auto"/>
        </w:rPr>
      </w:pPr>
    </w:p>
    <w:p>
      <w:pPr>
        <w:jc w:val="both"/>
        <w:ind w:left="1000" w:right="319" w:hanging="348"/>
        <w:spacing w:after="0" w:line="30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which the selling securityholders enter into options, forwards or other transactions that require the selling securityholder to deliver, in a transaction exempt from registration under the Securities Act, the securities to a broker-dealer or an affiliate of a broker-dealer or other third party who may then become a selling securityholder and publicly resell or otherwise transfer the securities under this prospectus;</w:t>
      </w:r>
    </w:p>
    <w:p>
      <w:pPr>
        <w:spacing w:after="0" w:line="49" w:lineRule="exact"/>
        <w:rPr>
          <w:rFonts w:ascii="Arial" w:cs="Arial" w:eastAsia="Arial" w:hAnsi="Arial"/>
          <w:sz w:val="16"/>
          <w:szCs w:val="16"/>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 combination of any such methods of sale;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any other method permitted pursuant to applicable law.</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the selling securityholders effect such transactions by selling shares of Class A common stock to or through underwriters, broker-dealers or agents, such underwriters, broker-dealers or agents may receive commissions in the form of discounts, concessions or commissions from the selling securityholders or commissions from purchasers of the shares of Class A common stock for whom they may act as agent or to whom they may sell as principal (which discounts, concessions or commissions as to particular underwriters, broker-dealers or agents may be in excess of those customary in the types of transactions involved).</w:t>
      </w:r>
    </w:p>
    <w:p>
      <w:pPr>
        <w:spacing w:after="0" w:line="7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selling securityholders may pledge or grant a security interest in some or all of the shares of Class A common stock owned by the selling securityholders and, if they default in the performance of their secured obligations, the pledgees or secured parties may offer and sell the shares of Class A common stock from time to time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pursuant to this prospectus supplement, or under an amendment to this prospectus supplement under Rule 424(b)(3) or other applicable provision of the Securities Act, amending, if necessary, the list of selling securityholders to include the pledgee, transferee or other successors-in-interest as selling securityholders under this prospectus supplement. The selling securityholders also may transfer and donate the shares of Class A common stock in other circumstances, in which case the transferees, donees, pledgees or other successors-in-interest will be the selling beneficial owners for purposes of this prospectus supplement. The selling securityholders may also enter into option or other transactions, including the issuance of convertible or exchangeable securities with broker-dealers, financial institutions or other investors or the creation of one or more derivative, convertible or exchangeable securities which require the delivery to such broker-dealer, financial institution or other investors of Class A common stock offered by this prospectus, which Class A common stock such broker-dealer, financial institution or other investors may resell pursuant to this prospectus (as supplemented or amended to reflect such transaction).</w:t>
      </w:r>
    </w:p>
    <w:p>
      <w:pPr>
        <w:spacing w:after="0" w:line="6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selling securityholders may also sell shares under Rule 144 under the Securities Act, if available, rather than under this prospectus supplement. The selling securityholders are not obligated to, and there is no assurance that the selling securityholders will, sell all or any of the shares we are registering. The selling securityholders may transfer, devise or gift such shares by other means not described in this prospectus supplement.</w:t>
      </w:r>
    </w:p>
    <w:p>
      <w:pPr>
        <w:spacing w:after="0" w:line="4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selling securityholders and any broker-dealer participating in the distribution of the shares of Class A common stock may be deemed to be “underwriters” within the meaning of the Securities Act, and any commission paid, or any discounts or concessions allowed to, the selling securityholders or broker-dealer may be deemed to be underwriting commissions or discounts under the Securities Act. At the time a particular offering of the shares of Class A common stock is made, a prospectus supplement, if required, will be distributed which will set forth the aggregate amount of shares of Class A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8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securities laws of some states, the shares of Class A common stock may be sold in such states only through registered or licensed brokers or dealers. In addition, in some states the shares of Class A common stock may not be sold unless such shares have been registered or qualified for sale in such state or an exemption from registration or qualification is available and is complied with.</w:t>
      </w:r>
    </w:p>
    <w:p>
      <w:pPr>
        <w:spacing w:after="0" w:line="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There can be no assurance that the selling securityholders will sell any or all of the shares of Class A common stock registered pursuant to the registration statement of which this prospectus supplement forms a part.</w:t>
      </w:r>
    </w:p>
    <w:p>
      <w:pPr>
        <w:spacing w:after="0" w:line="1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selling securityholders and any other person participating in such distribution will be subject to applicable provisions of the Exchange Act, and the rules and regulations thereunder, including, without limitation, Regulation M under the Exchange Act, which may limit the timing of purchases and sales of any of the shares of Class A common stock by the selling securityholders and any other participating person. Regulation M may also restrict the ability of any person engaged in the distribution of the shares of Class A common stock to engage in market-making activities with respect to the shares of Class A common stock. All of the foregoing may affect the marketability of the shares of Class A common stock and the ability of any person or entity to engage in market-making activities with respect to the shares of Class A common stock.</w:t>
      </w:r>
    </w:p>
    <w:p>
      <w:pPr>
        <w:spacing w:after="0" w:line="7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Pursuant to the shareholders’ agreement between us and the selling securityholders, we have agreed to indemnify and hold harmless, to the full extent permitted by law, each selling securityholder and each person who controls such selling securityholder (within the meaning of the Securities Act or the Exchange Act) from and against certain liabilities incurred in connection with the registration of such selling securityholder’s shares.</w:t>
      </w:r>
    </w:p>
    <w:p>
      <w:pPr>
        <w:spacing w:after="0" w:line="6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Once sold under the registration statement of which this prospectus supplement forms a part, the shares of Class A common stock will be freely tradable in the hands of persons other than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Certain legal matters will be passed upon for us by Skadden, Arps, Slate, Meagher &amp; Flom LLP, New York, New York.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Ernst &amp; Young LLP (“E&amp;Y”), independent registered public accounting firm, has audited our consolidated financial statements included in our Annual Report on Form 10-K for the year ended December 31, 2020 and the effectiveness of New Fortress Energy Inc.’s internal control over financial reporting as of December 31, 2020, as set forth in their reports (which contains an explanatory paragraph describing the adoption of ASU No. 2016-02 as described in Note 3 to the consolidated financial statements), which are incorporated by reference in this prospectus supplement and elsewhere in the registration statement. Our financial statements are incorporated by reference in reliance on E&amp;Y’s reports, given on their authority as experts in accounting and auditing.</w:t>
      </w:r>
    </w:p>
    <w:p>
      <w:pPr>
        <w:spacing w:after="0" w:line="5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E&amp;Y,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supplement and elsewhere in the registration statement. GMLP’s financial statements are incorporated by reference in reliance on E&amp;Y’s report, given on their authority as experts in accounting and auditing.</w:t>
      </w:r>
    </w:p>
    <w:p>
      <w:pPr>
        <w:spacing w:after="0" w:line="6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E&amp;Y,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supplement and elsewhere in the registration statement. Hygo’s financial statements are incorporated by reference in reliance on E&amp;Y’s report, given on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SEC allows us to “incorporate by reference” information into this prospectus supplement and any accompanying prospectus,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supplement, any accompanying prospectus, any subsequently filed document deemed incorporated by reference or any free writing prospectus prepared by or on behalf of us. This prospectus supplement and any accompanying prospectus incorporate by reference the documents set forth below that we have previously filed with the SEC (other than information deemed furnished and not filed in accordance with SEC rules, including Items 2.02 and 7.01 of Form 8-K).</w:t>
      </w:r>
    </w:p>
    <w:p>
      <w:pPr>
        <w:spacing w:after="0" w:line="73"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2020, filed with the SEC on </w:t>
      </w:r>
      <w:hyperlink r:id="rId34">
        <w:r>
          <w:rPr>
            <w:rFonts w:ascii="Arial" w:cs="Arial" w:eastAsia="Arial" w:hAnsi="Arial"/>
            <w:sz w:val="18"/>
            <w:szCs w:val="18"/>
            <w:u w:val="single" w:color="auto"/>
            <w:color w:val="0000EE"/>
          </w:rPr>
          <w:t>March 16,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0000EE"/>
        </w:rPr>
      </w:pPr>
      <w:r>
        <w:rPr>
          <w:rFonts w:ascii="Arial" w:cs="Arial" w:eastAsia="Arial" w:hAnsi="Arial"/>
          <w:sz w:val="18"/>
          <w:szCs w:val="18"/>
          <w:color w:val="auto"/>
        </w:rPr>
        <w:t xml:space="preserve">our Quarterly Report on Form 10-Q for the three months ended March 31, 2021, filed with the SEC on </w:t>
      </w:r>
      <w:hyperlink r:id="rId35">
        <w:r>
          <w:rPr>
            <w:rFonts w:ascii="Arial" w:cs="Arial" w:eastAsia="Arial" w:hAnsi="Arial"/>
            <w:sz w:val="18"/>
            <w:szCs w:val="18"/>
            <w:u w:val="single" w:color="auto"/>
            <w:color w:val="0000EE"/>
          </w:rPr>
          <w:t>May 7,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0000EE"/>
        </w:rPr>
      </w:pPr>
      <w:hyperlink r:id="rId36">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20,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18,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23,</w:t>
        </w:r>
      </w:hyperlink>
      <w:r>
        <w:rPr>
          <w:rFonts w:ascii="Arial" w:cs="Arial" w:eastAsia="Arial" w:hAnsi="Arial"/>
          <w:sz w:val="18"/>
          <w:szCs w:val="18"/>
          <w:color w:val="auto"/>
        </w:rPr>
        <w:t xml:space="preserve"> </w:t>
      </w:r>
      <w:hyperlink r:id="rId36">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7">
        <w:r>
          <w:rPr>
            <w:rFonts w:ascii="Arial" w:cs="Arial" w:eastAsia="Arial" w:hAnsi="Arial"/>
            <w:sz w:val="18"/>
            <w:szCs w:val="18"/>
            <w:u w:val="single" w:color="auto"/>
            <w:color w:val="0000EE"/>
          </w:rPr>
          <w:t>March 29, 2021</w:t>
        </w:r>
      </w:hyperlink>
      <w:hyperlink r:id="rId3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8">
        <w:r>
          <w:rPr>
            <w:rFonts w:ascii="Arial" w:cs="Arial" w:eastAsia="Arial" w:hAnsi="Arial"/>
            <w:sz w:val="18"/>
            <w:szCs w:val="18"/>
            <w:u w:val="single" w:color="auto"/>
            <w:color w:val="0000EE"/>
          </w:rPr>
          <w:t>April 12, 2021</w:t>
        </w:r>
      </w:hyperlink>
      <w:hyperlink r:id="rId36">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39">
        <w:r>
          <w:rPr>
            <w:rFonts w:ascii="Arial" w:cs="Arial" w:eastAsia="Arial" w:hAnsi="Arial"/>
            <w:sz w:val="18"/>
            <w:szCs w:val="18"/>
            <w:u w:val="single" w:color="auto"/>
            <w:color w:val="0000EE"/>
          </w:rPr>
          <w:t>April 21, 2021</w:t>
        </w:r>
      </w:hyperlink>
      <w:hyperlink r:id="rId36">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40">
        <w:r>
          <w:rPr>
            <w:rFonts w:ascii="Arial" w:cs="Arial" w:eastAsia="Arial" w:hAnsi="Arial"/>
            <w:sz w:val="18"/>
            <w:szCs w:val="18"/>
            <w:u w:val="single" w:color="auto"/>
            <w:color w:val="0000EE"/>
          </w:rPr>
          <w:t>June 21, 2021</w:t>
        </w:r>
      </w:hyperlink>
      <w:hyperlink r:id="rId36">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Registration Statement on Form 8-A/A for registration of Class A common stock pursuant to Section 12(b) of the Exchange Act, filed on </w:t>
      </w:r>
      <w:hyperlink r:id="rId41">
        <w:r>
          <w:rPr>
            <w:rFonts w:ascii="Arial" w:cs="Arial" w:eastAsia="Arial" w:hAnsi="Arial"/>
            <w:sz w:val="18"/>
            <w:szCs w:val="18"/>
            <w:u w:val="single" w:color="auto"/>
            <w:color w:val="0000EE"/>
          </w:rPr>
          <w:t>August 7, 2020</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Schedule 14A for our 2021 Annual Meeting of Shareholders, filed with the SEC on </w:t>
      </w:r>
      <w:hyperlink r:id="rId42">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 that are incorporated by reference into our Annual Report on Form 10-K for the fiscal year ended December 31, 2020.</w:t>
      </w:r>
    </w:p>
    <w:p>
      <w:pPr>
        <w:spacing w:after="0" w:line="76" w:lineRule="exact"/>
        <w:rPr>
          <w:rFonts w:ascii="Arial" w:cs="Arial" w:eastAsia="Arial" w:hAnsi="Arial"/>
          <w:sz w:val="18"/>
          <w:szCs w:val="18"/>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All documents filed by us pursuant to Sections 13(a), 13(c), 14 or 15(d) of the Exchange Act (i) after the date of the initial filing of the registration statement of which this prospectus supplement is a part and prior to effectiveness of the registration statement and (ii)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84" w:lineRule="exact"/>
        <w:rPr>
          <w:rFonts w:ascii="Arial" w:cs="Arial" w:eastAsia="Arial" w:hAnsi="Arial"/>
          <w:sz w:val="18"/>
          <w:szCs w:val="18"/>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3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Fortress Energy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8"/>
          <w:szCs w:val="18"/>
          <w:color w:val="auto"/>
        </w:rPr>
      </w:pPr>
    </w:p>
    <w:p>
      <w:pPr>
        <w:ind w:left="4380" w:right="3959" w:hanging="438"/>
        <w:spacing w:after="0" w:line="605" w:lineRule="auto"/>
        <w:tabs>
          <w:tab w:leader="none" w:pos="4377" w:val="left"/>
        </w:tabs>
        <w:numPr>
          <w:ilvl w:val="0"/>
          <w:numId w:val="7"/>
        </w:numPr>
        <w:rPr>
          <w:rFonts w:ascii="Arial" w:cs="Arial" w:eastAsia="Arial" w:hAnsi="Arial"/>
          <w:sz w:val="16"/>
          <w:szCs w:val="16"/>
          <w:color w:val="auto"/>
        </w:rPr>
      </w:pPr>
      <w:r>
        <w:rPr>
          <w:rFonts w:ascii="Arial" w:cs="Arial" w:eastAsia="Arial" w:hAnsi="Arial"/>
          <w:sz w:val="16"/>
          <w:szCs w:val="16"/>
          <w:color w:val="auto"/>
        </w:rPr>
        <w:t>268-7400 S-9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-65405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233680</wp:posOffset>
            </wp:positionV>
            <wp:extent cx="2597150"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jc w:val="center"/>
        <w:ind w:right="19"/>
        <w:spacing w:after="0" w:line="230" w:lineRule="auto"/>
        <w:rPr>
          <w:sz w:val="20"/>
          <w:szCs w:val="20"/>
          <w:color w:val="auto"/>
        </w:rPr>
      </w:pPr>
      <w:r>
        <w:rPr>
          <w:rFonts w:ascii="Arial" w:cs="Arial" w:eastAsia="Arial" w:hAnsi="Arial"/>
          <w:sz w:val="22"/>
          <w:szCs w:val="22"/>
          <w:b w:val="1"/>
          <w:bCs w:val="1"/>
          <w:color w:val="auto"/>
        </w:rPr>
        <w:t>Depositary Shares</w:t>
      </w:r>
    </w:p>
    <w:p>
      <w:pPr>
        <w:jc w:val="center"/>
        <w:ind w:right="19"/>
        <w:spacing w:after="0" w:line="231" w:lineRule="auto"/>
        <w:rPr>
          <w:sz w:val="20"/>
          <w:szCs w:val="20"/>
          <w:color w:val="auto"/>
        </w:rPr>
      </w:pPr>
      <w:r>
        <w:rPr>
          <w:rFonts w:ascii="Arial" w:cs="Arial" w:eastAsia="Arial" w:hAnsi="Arial"/>
          <w:sz w:val="22"/>
          <w:szCs w:val="22"/>
          <w:b w:val="1"/>
          <w:bCs w:val="1"/>
          <w:color w:val="auto"/>
        </w:rPr>
        <w:t>Debt Securities</w:t>
      </w: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w:t>
      </w:r>
    </w:p>
    <w:p>
      <w:pPr>
        <w:spacing w:after="0" w:line="328" w:lineRule="exact"/>
        <w:rPr>
          <w:sz w:val="20"/>
          <w:szCs w:val="20"/>
          <w:color w:val="auto"/>
        </w:rPr>
      </w:pPr>
    </w:p>
    <w:p>
      <w:pPr>
        <w:ind w:left="780"/>
        <w:spacing w:after="0"/>
        <w:rPr>
          <w:sz w:val="20"/>
          <w:szCs w:val="20"/>
          <w:color w:val="auto"/>
        </w:rPr>
      </w:pPr>
      <w:r>
        <w:rPr>
          <w:rFonts w:ascii="Arial" w:cs="Arial" w:eastAsia="Arial" w:hAnsi="Arial"/>
          <w:sz w:val="19"/>
          <w:szCs w:val="19"/>
          <w:b w:val="1"/>
          <w:bCs w:val="1"/>
          <w:color w:val="auto"/>
        </w:rPr>
        <w:t>149,055,732 Shares of Class A Common Stock Offered by Selling Securityholders</w:t>
      </w:r>
    </w:p>
    <w:p>
      <w:pPr>
        <w:spacing w:after="0" w:line="146" w:lineRule="exact"/>
        <w:rPr>
          <w:sz w:val="20"/>
          <w:szCs w:val="20"/>
          <w:color w:val="auto"/>
        </w:rPr>
      </w:pPr>
    </w:p>
    <w:p>
      <w:pPr>
        <w:jc w:val="both"/>
        <w:ind w:left="400" w:right="419" w:firstLine="360"/>
        <w:spacing w:after="0" w:line="271" w:lineRule="auto"/>
        <w:rPr>
          <w:sz w:val="20"/>
          <w:szCs w:val="20"/>
          <w:color w:val="auto"/>
        </w:rPr>
      </w:pPr>
      <w:r>
        <w:rPr>
          <w:rFonts w:ascii="Arial" w:cs="Arial" w:eastAsia="Arial" w:hAnsi="Arial"/>
          <w:sz w:val="17"/>
          <w:szCs w:val="17"/>
          <w:color w:val="auto"/>
        </w:rPr>
        <w:t>This prospectus relates to shares of our Class A common stock, par value $0.01 per share (“Class A common stock”), shares of our preferred stock, par value $0.01 per share (“preferred stock”), depositary receipts, representing fractional shares of our preferred stock (the “depositary shares”), debt securities, which may be senior debt securities or subordinated debt securities, and warrants to purchase shares of our Class A common stock, preferred stock or our debt securities which we may offer and sell from time to time in one or more offerings. In addition, the selling securityholders named in this prospectus or in any supplement to this prospectus may offer and sell Class A common stock from time to time. We will not receive any of the proceeds from the sale of our Class A common stock by the selling securityholders.</w:t>
      </w:r>
    </w:p>
    <w:p>
      <w:pPr>
        <w:spacing w:after="0" w:line="70"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If required, we will provide the specific prices and terms of these securities in one or more supplements to this prospectus at the time of offering. You should read this prospectus and any accompanying prospectus supplement carefully before you make your investment decision.</w:t>
      </w:r>
    </w:p>
    <w:p>
      <w:pPr>
        <w:spacing w:after="0" w:line="72" w:lineRule="exact"/>
        <w:rPr>
          <w:sz w:val="20"/>
          <w:szCs w:val="20"/>
          <w:color w:val="auto"/>
        </w:rPr>
      </w:pPr>
    </w:p>
    <w:p>
      <w:pPr>
        <w:jc w:val="both"/>
        <w:ind w:left="400" w:right="419"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a number of risks. See “Risk Factors” on page </w:t>
      </w:r>
      <w:hyperlink w:anchor="page23">
        <w:r>
          <w:rPr>
            <w:rFonts w:ascii="Arial" w:cs="Arial" w:eastAsia="Arial" w:hAnsi="Arial"/>
            <w:sz w:val="18"/>
            <w:szCs w:val="18"/>
            <w:b w:val="1"/>
            <w:bCs w:val="1"/>
            <w:u w:val="single" w:color="auto"/>
            <w:color w:val="0000EE"/>
          </w:rPr>
          <w:t>6</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before you make your investment decision.</w:t>
      </w:r>
    </w:p>
    <w:p>
      <w:pPr>
        <w:spacing w:after="0" w:line="58" w:lineRule="exact"/>
        <w:rPr>
          <w:sz w:val="20"/>
          <w:szCs w:val="20"/>
          <w:color w:val="auto"/>
        </w:rPr>
      </w:pPr>
    </w:p>
    <w:p>
      <w:pPr>
        <w:jc w:val="both"/>
        <w:ind w:left="400" w:right="419" w:firstLine="360"/>
        <w:spacing w:after="0" w:line="257" w:lineRule="auto"/>
        <w:rPr>
          <w:sz w:val="20"/>
          <w:szCs w:val="20"/>
          <w:color w:val="auto"/>
        </w:rPr>
      </w:pPr>
      <w:r>
        <w:rPr>
          <w:rFonts w:ascii="Arial" w:cs="Arial" w:eastAsia="Arial" w:hAnsi="Arial"/>
          <w:sz w:val="18"/>
          <w:szCs w:val="18"/>
          <w:color w:val="auto"/>
        </w:rPr>
        <w:t>We or the selling securityholders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80" w:lineRule="exact"/>
        <w:rPr>
          <w:sz w:val="20"/>
          <w:szCs w:val="20"/>
          <w:color w:val="auto"/>
        </w:rPr>
      </w:pPr>
    </w:p>
    <w:p>
      <w:pPr>
        <w:jc w:val="both"/>
        <w:ind w:left="400" w:right="419" w:firstLine="360"/>
        <w:spacing w:after="0" w:line="263" w:lineRule="auto"/>
        <w:rPr>
          <w:sz w:val="20"/>
          <w:szCs w:val="20"/>
          <w:color w:val="auto"/>
        </w:rPr>
      </w:pPr>
      <w:r>
        <w:rPr>
          <w:rFonts w:ascii="Arial" w:cs="Arial" w:eastAsia="Arial" w:hAnsi="Arial"/>
          <w:sz w:val="18"/>
          <w:szCs w:val="18"/>
          <w:color w:val="auto"/>
        </w:rPr>
        <w:t>Our Class A common stock is listed on NASDAQ Global Select Market under the trading symbol “NFE.” Each prospectus supplement will indicate whether the securities offered thereby will be listed on any securities exchange.</w:t>
      </w:r>
    </w:p>
    <w:p>
      <w:pPr>
        <w:spacing w:after="0" w:line="328" w:lineRule="exact"/>
        <w:rPr>
          <w:sz w:val="20"/>
          <w:szCs w:val="20"/>
          <w:color w:val="auto"/>
        </w:rPr>
      </w:pPr>
    </w:p>
    <w:p>
      <w:pPr>
        <w:ind w:left="400" w:right="799"/>
        <w:spacing w:after="0" w:line="314"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tbl>
      <w:tblPr>
        <w:tblLayout w:type="fixed"/>
        <w:tblInd w:w="300" w:type="dxa"/>
        <w:tblCellMar>
          <w:top w:w="0" w:type="dxa"/>
          <w:left w:w="0" w:type="dxa"/>
          <w:bottom w:w="0" w:type="dxa"/>
          <w:right w:w="0" w:type="dxa"/>
        </w:tblCellMar>
      </w:tblPr>
      <w:tr>
        <w:trPr>
          <w:trHeight w:val="161"/>
        </w:trPr>
        <w:tc>
          <w:tcPr>
            <w:tcW w:w="8220" w:type="dxa"/>
            <w:vAlign w:val="bottom"/>
            <w:gridSpan w:val="21"/>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83"/>
        </w:trPr>
        <w:tc>
          <w:tcPr>
            <w:tcW w:w="8220" w:type="dxa"/>
            <w:vAlign w:val="bottom"/>
            <w:gridSpan w:val="21"/>
            <w:shd w:val="clear" w:color="auto" w:fill="CCEEFF"/>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ABOUT THIS PROSPECTUS</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w:t>
              </w:r>
            </w:hyperlink>
          </w:p>
        </w:tc>
        <w:tc>
          <w:tcPr>
            <w:tcW w:w="20" w:type="dxa"/>
            <w:vAlign w:val="bottom"/>
            <w:shd w:val="clear" w:color="auto" w:fill="CCEEFF"/>
          </w:tcPr>
          <w:p>
            <w:pPr>
              <w:spacing w:after="0"/>
              <w:rPr>
                <w:sz w:val="24"/>
                <w:szCs w:val="24"/>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180" w:type="dxa"/>
            <w:vAlign w:val="bottom"/>
            <w:gridSpan w:val="2"/>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CAUTIONARY NOTE REGARDING FORWARD-LOOKING STATEMENTS</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THE COMPANY</w:t>
              </w:r>
            </w:hyperlink>
          </w:p>
        </w:tc>
        <w:tc>
          <w:tcPr>
            <w:tcW w:w="180" w:type="dxa"/>
            <w:vAlign w:val="bottom"/>
            <w:gridSpan w:val="2"/>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USE OF PROCEEDS</w:t>
              </w:r>
            </w:hyperlink>
          </w:p>
        </w:tc>
        <w:tc>
          <w:tcPr>
            <w:tcW w:w="180" w:type="dxa"/>
            <w:vAlign w:val="bottom"/>
            <w:gridSpan w:val="2"/>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DESCRIPTION OF SECURITIES</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DESCRIPTION OF CAPITAL STOCK</w:t>
              </w:r>
            </w:hyperlink>
          </w:p>
        </w:tc>
        <w:tc>
          <w:tcPr>
            <w:tcW w:w="180" w:type="dxa"/>
            <w:vAlign w:val="bottom"/>
            <w:gridSpan w:val="2"/>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9</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DESCRIPTION OF DEPOSITARY SHARES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17</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DESCRIPTION OF DEBT SECURITIES</w:t>
              </w:r>
            </w:hyperlink>
          </w:p>
        </w:tc>
        <w:tc>
          <w:tcPr>
            <w:tcW w:w="200" w:type="dxa"/>
            <w:vAlign w:val="bottom"/>
            <w:gridSpan w:val="3"/>
          </w:tcPr>
          <w:p>
            <w:pPr>
              <w:jc w:val="right"/>
              <w:ind w:right="2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19</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DESCRIPTION OF WARRANTS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21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SELLING SECURITYHOLDERS</w:t>
              </w:r>
            </w:hyperlink>
          </w:p>
        </w:tc>
        <w:tc>
          <w:tcPr>
            <w:tcW w:w="200" w:type="dxa"/>
            <w:vAlign w:val="bottom"/>
            <w:gridSpan w:val="3"/>
          </w:tcPr>
          <w:p>
            <w:pPr>
              <w:jc w:val="right"/>
              <w:ind w:right="2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22</w:t>
              </w:r>
            </w:hyperlink>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21"/>
            <w:shd w:val="clear" w:color="auto" w:fill="CCEEFF"/>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DESCRIPTION OF OUR OPERATING AGREEMENT AND PROVISIONS OF DELAWARE LAW</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24</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1980" w:type="dxa"/>
            <w:vAlign w:val="bottom"/>
            <w:tcBorders>
              <w:top w:val="single" w:sz="8" w:color="0000EE"/>
            </w:tcBorders>
            <w:shd w:val="clear" w:color="auto" w:fill="CCEEFF"/>
          </w:tcPr>
          <w:p>
            <w:pPr>
              <w:spacing w:after="0"/>
              <w:rPr>
                <w:sz w:val="6"/>
                <w:szCs w:val="6"/>
                <w:color w:val="auto"/>
              </w:rPr>
            </w:pPr>
          </w:p>
        </w:tc>
        <w:tc>
          <w:tcPr>
            <w:tcW w:w="12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PLAN OF DISTRIBUTION</w:t>
              </w:r>
            </w:hyperlink>
          </w:p>
        </w:tc>
        <w:tc>
          <w:tcPr>
            <w:tcW w:w="200" w:type="dxa"/>
            <w:vAlign w:val="bottom"/>
            <w:gridSpan w:val="3"/>
          </w:tcPr>
          <w:p>
            <w:pPr>
              <w:jc w:val="right"/>
              <w:ind w:right="2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30</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U.S. FEDERAL INCOME TAX CONSIDERATIONS FOR NON-U.S. HOLDERS OF CLASS A</w:t>
              </w:r>
            </w:hyperlink>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860" w:type="dxa"/>
            <w:vAlign w:val="bottom"/>
            <w:tcBorders>
              <w:top w:val="single" w:sz="8" w:color="0000EE"/>
            </w:tcBorders>
            <w:gridSpan w:val="18"/>
            <w:shd w:val="clear" w:color="auto" w:fill="CCEEFF"/>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COMMON STOCK</w:t>
              </w:r>
            </w:hyperlink>
          </w:p>
        </w:tc>
        <w:tc>
          <w:tcPr>
            <w:tcW w:w="118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32</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ERISA CONSIDERATIONS</w:t>
              </w:r>
            </w:hyperlink>
          </w:p>
        </w:tc>
        <w:tc>
          <w:tcPr>
            <w:tcW w:w="200" w:type="dxa"/>
            <w:vAlign w:val="bottom"/>
            <w:gridSpan w:val="3"/>
          </w:tcPr>
          <w:p>
            <w:pPr>
              <w:jc w:val="right"/>
              <w:ind w:right="20"/>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35</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21"/>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37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1980" w:type="dxa"/>
            <w:vAlign w:val="bottom"/>
            <w:tcBorders>
              <w:top w:val="single" w:sz="8" w:color="CCEEFF"/>
            </w:tcBorders>
            <w:shd w:val="clear" w:color="auto" w:fill="CCEEFF"/>
          </w:tcPr>
          <w:p>
            <w:pPr>
              <w:spacing w:after="0"/>
              <w:rPr>
                <w:sz w:val="6"/>
                <w:szCs w:val="6"/>
                <w:color w:val="auto"/>
              </w:rPr>
            </w:pPr>
          </w:p>
        </w:tc>
        <w:tc>
          <w:tcPr>
            <w:tcW w:w="12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2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200" w:type="dxa"/>
            <w:vAlign w:val="bottom"/>
            <w:gridSpan w:val="3"/>
          </w:tcPr>
          <w:p>
            <w:pPr>
              <w:jc w:val="right"/>
              <w:ind w:right="20"/>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37</w:t>
              </w:r>
            </w:hyperlink>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This prospectus is part of an “automatic shelf” registration statement on Form S-3 that we filed with the Securities and Exchange Commission (the “SEC”) as a “well-known seasoned issuer” (“WKSI”) as defined in Rule 405 under the Securities Act of 1933, as amended (the “Securities Act”). Under this shelf registration process, we may sell from time to time any combination of the securities described in this prospectus. In addition, certain of our securityholders may sell up to 149,055,732 shares of Class A common stock from time to time in one or more offerings. This prospectus only provides you with a general description of the securities that we and the selling securityholders may offer. Each time we or any securityholders offer, issue or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6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other than that contained in or incorporated by reference into this prospectus, any accompanying prospectus supplement and any free writing prospectus prepared by or on behalf of us. Neither we nor the selling securityholders take responsibility for, and can provide no assurance as to the reliability of, any other information that others may give you. Neither we nor the selling securityholders are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6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When used in this prospectus, the terms “NFE,” “we,” “our” and “us” refer to New Fortress Energy Inc. and its consolidated subsidiaries, unless otherwise specified or the context otherwise requires.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under the Securities Exchange Act of 1934, as amended (the “Exchange Act”). Our SEC filings are available to the public at the SEC’s website at www.sec.gov.</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73" w:lineRule="exact"/>
        <w:rPr>
          <w:sz w:val="20"/>
          <w:szCs w:val="20"/>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0000EE"/>
        </w:rPr>
      </w:pPr>
      <w:r>
        <w:rPr>
          <w:rFonts w:ascii="Arial" w:cs="Arial" w:eastAsia="Arial" w:hAnsi="Arial"/>
          <w:sz w:val="18"/>
          <w:szCs w:val="18"/>
          <w:color w:val="auto"/>
        </w:rPr>
        <w:t xml:space="preserve">our Annual Report on Form 10-K for the fiscal year ended December 31, 2020, filed with the SEC on </w:t>
      </w:r>
      <w:hyperlink r:id="rId34">
        <w:r>
          <w:rPr>
            <w:rFonts w:ascii="Arial" w:cs="Arial" w:eastAsia="Arial" w:hAnsi="Arial"/>
            <w:sz w:val="18"/>
            <w:szCs w:val="18"/>
            <w:u w:val="single" w:color="auto"/>
            <w:color w:val="0000EE"/>
          </w:rPr>
          <w:t>March 16, 2021</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48">
        <w:r>
          <w:rPr>
            <w:rFonts w:ascii="Arial" w:cs="Arial" w:eastAsia="Arial" w:hAnsi="Arial"/>
            <w:sz w:val="18"/>
            <w:szCs w:val="18"/>
            <w:u w:val="single" w:color="auto"/>
            <w:color w:val="0000EE"/>
          </w:rPr>
          <w:t>January 20,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9">
        <w:r>
          <w:rPr>
            <w:rFonts w:ascii="Arial" w:cs="Arial" w:eastAsia="Arial" w:hAnsi="Arial"/>
            <w:sz w:val="18"/>
            <w:szCs w:val="18"/>
            <w:u w:val="single" w:color="auto"/>
            <w:color w:val="0000EE"/>
          </w:rPr>
          <w:t>March 18, 2021</w:t>
        </w:r>
      </w:hyperlink>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our Registration Statement on Form 8-A/A for registration of Class A common stock pursuant to Section 12(b) of the Exchange Act, filed on </w:t>
      </w:r>
      <w:hyperlink r:id="rId41">
        <w:r>
          <w:rPr>
            <w:rFonts w:ascii="Arial" w:cs="Arial" w:eastAsia="Arial" w:hAnsi="Arial"/>
            <w:sz w:val="18"/>
            <w:szCs w:val="18"/>
            <w:u w:val="single" w:color="auto"/>
            <w:color w:val="0000EE"/>
          </w:rPr>
          <w:t>August 7, 2020</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Schedule 14A for our 2020 Annual Meeting of Shareholders, filed with the SEC on </w:t>
      </w:r>
      <w:hyperlink r:id="rId50">
        <w:r>
          <w:rPr>
            <w:rFonts w:ascii="Arial" w:cs="Arial" w:eastAsia="Arial" w:hAnsi="Arial"/>
            <w:sz w:val="18"/>
            <w:szCs w:val="18"/>
            <w:u w:val="single" w:color="auto"/>
            <w:color w:val="0000EE"/>
          </w:rPr>
          <w:t>April 28, 2020</w:t>
        </w:r>
      </w:hyperlink>
      <w:r>
        <w:rPr>
          <w:rFonts w:ascii="Arial" w:cs="Arial" w:eastAsia="Arial" w:hAnsi="Arial"/>
          <w:sz w:val="18"/>
          <w:szCs w:val="18"/>
          <w:color w:val="auto"/>
        </w:rPr>
        <w:t>, that are incorporated by reference into our Annual Report on Form 10-K for the fiscal year ended December 31, 2019.</w:t>
      </w:r>
    </w:p>
    <w:p>
      <w:pPr>
        <w:spacing w:after="0" w:line="76" w:lineRule="exact"/>
        <w:rPr>
          <w:rFonts w:ascii="Arial" w:cs="Arial" w:eastAsia="Arial" w:hAnsi="Arial"/>
          <w:sz w:val="18"/>
          <w:szCs w:val="18"/>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All documents filed by us pursuant to Sections 13(a), 13(c), 14 or 15(d) of the Exchange Act (i) after the date of the initial filing of the registration statement of which this prospectus is a part and prior to effectiveness of the registration statement and (ii)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84" w:lineRule="exact"/>
        <w:rPr>
          <w:rFonts w:ascii="Arial" w:cs="Arial" w:eastAsia="Arial" w:hAnsi="Arial"/>
          <w:sz w:val="18"/>
          <w:szCs w:val="18"/>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34"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Fortress Energy Inc.</w:t>
      </w:r>
    </w:p>
    <w:p>
      <w:pPr>
        <w:spacing w:after="0" w:line="23"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Investor Relations</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111 W. 19th Street, 8th Floor</w:t>
      </w:r>
    </w:p>
    <w:p>
      <w:pPr>
        <w:spacing w:after="0" w:line="9"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New York, NY 10011</w:t>
      </w:r>
    </w:p>
    <w:p>
      <w:pPr>
        <w:spacing w:after="0" w:line="9" w:lineRule="exact"/>
        <w:rPr>
          <w:rFonts w:ascii="Arial" w:cs="Arial" w:eastAsia="Arial" w:hAnsi="Arial"/>
          <w:sz w:val="18"/>
          <w:szCs w:val="18"/>
          <w:color w:val="auto"/>
        </w:rPr>
      </w:pPr>
    </w:p>
    <w:p>
      <w:pPr>
        <w:ind w:left="4380" w:hanging="438"/>
        <w:spacing w:after="0"/>
        <w:tabs>
          <w:tab w:leader="none" w:pos="4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268-7400</w:t>
      </w:r>
    </w:p>
    <w:p>
      <w:pPr>
        <w:spacing w:after="0" w:line="210"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This prospectus and any accompanying prospectus supplement and any documents incorporated by reference contain statements that are “forward-looking” within the meaning of the Private Securities Litigation Reform Act of 1995.</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All statements contained in this prospectus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Forward-looking statements are subject to risks and uncertainties, including but not limited to the risks described in this prospectus, any accompanying prospectus supplement and any documents incorporated by reference, including the “Risk Factors” sections of this prospectus, any accompanying prospectus supplement and our reports and other documents filed with the SEC. When considering forward-looking statements, you should keep in mind the risks, uncertainties and other cautionary statements made in this prospectus, any accompanying prospectus supplement and the documents incorporated by reference. While it is impossible to identify all factors, factors that could cause actual results to differ materially from those estimated by us include:</w:t>
      </w:r>
    </w:p>
    <w:p>
      <w:pPr>
        <w:spacing w:after="0" w:line="63" w:lineRule="exact"/>
        <w:rPr>
          <w:sz w:val="20"/>
          <w:szCs w:val="20"/>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of one or more of our customers;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procure natural gas in its liquid state at or below its boiling point at or near atmospheric pressure (“LNG”) on a fixed-price basis, or otherwise to manage LNG price risks, including hedging arrangements;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of construction on our LNG terminals, facilities, power plants or liquefaction facilities and the terms of our construction contracts for the completion of these assets;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overruns and delays in the completion of one or more of our LNG terminals, facilities, power plants or liquefaction facilities, as well as difficulties in obtaining sufficient financing to pay for such costs and delays;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additional financing to effect our strategy;</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Proposed Mergers (as defined below) is subject to conditions, some or all of which may not be satisfied or completed on a timely basis, or at all, and we, Hygo Energy Transition Ltd. (“Hygo”) and Golar LNG Partners LP (Nasdaq: GMLP) (“GMLP”) are each subject to business uncertainties and contractual restrictions while the Proposed Mergers are pending;</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the Proposed Mergers, we may be unable to successfully integrate the businesses and realize the anticipated benefits of the Proposed Mergers;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produce or purchase sufficient amounts of LNG or natural gas at favorable prices to meet customer demand;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hurricanes or other natural or manmade disasters;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and maintain approvals and permits from governmental and regulatory agencies;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regulatory, environmental, political, legal and economic risks pertaining to the construction and operation of our facilities;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contract with suppliers and tankers to facilitate the delivery of LNG on their chartered LNG tankers;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cyclical or other changes in the demand for and price of LNG and natural gas;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natural gas to be a competitive source of energy in the markets in which we operate, and seek to operate;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from third parties in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re-finance our outstanding indebtedness;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environmental and similar laws and governmental regulations that are adverse to our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enter into favorable agreements and obtain necessary regulatory approvals;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tax treatment of us or of an investment in our Class A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completion of the Exchange Transactions (as defined below);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major health and safety incident relating to our business;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labor costs, and the unavailability of skilled workers or our failure to attract and retain qualified personnel;</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related to the jurisdictions in which we do, or seek to do, business, particularly Florida, Jamaica, Brazil and the Caribbean;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our Annual Report on Form 10-K and our other filings with the SEC.</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All forward-looking statements speak only as of the date of this prospectus or, in the case of any accompanying prospectus supplement or documents incorporated by reference, the date of any such document. You are cautioned not to place undue reliance on any forward-looking statements made by us or on our behalf.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except as may be required by law. Furthermore, we cannot guarantee future results, events, levels of activity, performance, projections or achievements.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are a global integrated gas-to-power infrastructure company that seeks to use natural gas to satisfy the world’s large and growing power needs. We deliver targeted energy solutions to customers around the world, thereby reducing their energy costs and diversifying their energy resources, while also reducing pollution and generating compelling margins. Our near-term mission is to provide modern infrastructure solutions to create cleaner, reliable energy while generating a positive economic impact worldwide. Our long-term mission is to become one of the world’s leading carbon emission-free independent power providing companies.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deliver targeted energy solutions by employing an integrated LNG supply and delivery model:</w:t>
      </w:r>
    </w:p>
    <w:p>
      <w:pPr>
        <w:spacing w:after="0" w:line="117"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i w:val="1"/>
          <w:iCs w:val="1"/>
          <w:color w:val="auto"/>
        </w:rPr>
        <w:t xml:space="preserve">LNG Supply and Liquefaction </w:t>
      </w:r>
      <w:r>
        <w:rPr>
          <w:rFonts w:ascii="Arial" w:cs="Arial" w:eastAsia="Arial" w:hAnsi="Arial"/>
          <w:sz w:val="18"/>
          <w:szCs w:val="18"/>
          <w:color w:val="auto"/>
        </w:rPr>
        <w:t>- We supply LNG to our customers, typically by entering into long-term LNG</w:t>
      </w:r>
      <w:r>
        <w:rPr>
          <w:rFonts w:ascii="Arial" w:cs="Arial" w:eastAsia="Arial" w:hAnsi="Arial"/>
          <w:sz w:val="18"/>
          <w:szCs w:val="18"/>
          <w:i w:val="1"/>
          <w:iCs w:val="1"/>
          <w:color w:val="auto"/>
        </w:rPr>
        <w:t xml:space="preserve"> </w:t>
      </w:r>
      <w:r>
        <w:rPr>
          <w:rFonts w:ascii="Arial" w:cs="Arial" w:eastAsia="Arial" w:hAnsi="Arial"/>
          <w:sz w:val="18"/>
          <w:szCs w:val="18"/>
          <w:color w:val="auto"/>
        </w:rPr>
        <w:t>supply contracts, which are generally based on an index such as Henry Hub plus an additional fee. We have successfully capitalized on current market conditions to acquire LNG via long-term contracts, which are also based on Henry Hub plus an additional fee, with attractive terms. In addition, we supply LNG to our customers from open market purchases and LNG from our existing liquefaction and storage facility in Miami, Florida (the “Miami Facility”).</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Shipping </w:t>
      </w:r>
      <w:r>
        <w:rPr>
          <w:rFonts w:ascii="Arial" w:cs="Arial" w:eastAsia="Arial" w:hAnsi="Arial"/>
          <w:sz w:val="18"/>
          <w:szCs w:val="18"/>
          <w:color w:val="auto"/>
        </w:rPr>
        <w:t>- We have long-term charters for liquefied natural gas carriers and floating storage and regasification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These assets transport LNG from ports to our downstream facilities and gasify LNG for ultimate delivery to our customers.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 xml:space="preserve">Facilities </w:t>
      </w:r>
      <w:r>
        <w:rPr>
          <w:rFonts w:ascii="Arial" w:cs="Arial" w:eastAsia="Arial" w:hAnsi="Arial"/>
          <w:sz w:val="18"/>
          <w:szCs w:val="18"/>
          <w:color w:val="auto"/>
        </w:rPr>
        <w:t>- Through our network of current and planned downstream facilities and logistics assets,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strategically positioned to deliver gas and power solutions to our customers seeking either to transition from environmentally dirtier distillate fuels such as automotive diesel oil and heavy fuel oil or to purchase natural gas to meet their current fuel needs.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While historically, natural gas procurement or liquefaction, transportation, regasification and power generation have been financed separately, the segregation of such projects has inhibited the development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w:t>
      </w:r>
    </w:p>
    <w:p>
      <w:pPr>
        <w:spacing w:after="0" w:line="5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currently conduct our operations at our LNG storage and regasification facility at the Port of Montego Bay, Jamaica, our marine LNG storage and regasification facility in Old Harbour, Jamaica, our landed micro-fuel handling facility in San Juan, Puerto Rico (the “San Juan Facility”) and at our Miami Facility. In addition, we are currently developing facilities in Mexico, Nicaragua and Ireland. We are in active discussions with additional customers in multiple regions around the world who may have significant demand for additional LNG, although there can be no assurance that these discussions will result in additional contracts or the terms of such contracts or that we will be able to achieve our target pricing or margins.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Proposed Mergers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On January 13, 2021, we entered into definitive agreements to acquire (i) Hygo, a 50-50 joint venture between Golar LNG Limited (Nasdaq: GLNG) and Stonepeak Infrastructure Fund II Cayman (G) Ltd., a fund managed by Stonepeak Infrastructure Partners, and (ii) Golar LNG Partners LP (Nasdaq: GMLP) (the Hygo merger together with the GMLP merger, the “Proposed Mergers”). The closing of the Proposed Mergers are each subject to the satisfaction or waiver of certain conditions, some or all of such terms (as described in the Company’s filings with the SEC that are incorporated herein by reference) may not be satisfied or completed on a timely basis, or at all.</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principal executive office is located at 111 W. 19th Street, 8th Floor, New York, NY 10011 and our telephone number is (516) 268-7400. We maintain a website at www.newfortressenergy.com. The information on our website is not incorporated by reference in this prospectus or any accompanying prospectus supplement, and you should not consider it a part of this prospectus or any accompanying prospectus supplement.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Before you invest in any of our securities, in addition to the other information in this prospectus and any prospectus supplement or other offering materials, you should carefully consider the risk factors in any prospectus supplement as well as under the heading “Risk Factors” contained in Part I, Item 1A. in our Annual Report on Form 10-K for the year ended December 31, 2020, which is incorporated by reference into this prospectus and any prospectus supplement, as the same may be amended, supplemented or superseded from time to time by our filings under Sections 13(a), 13(c), 14 and 15(d) of the Exchange Act. These risks could materially and adversely affect our business, operating results, cash flows and financial condition and could result in a partial or complete loss of your investment. See “Where You Can Find More Information” and “Cautionary Note Regarding Forward-Looking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Except as otherwise set forth in any accompanying prospectus supplement, we expect to use the net proceeds from the sale of securities for general corporate purposes, including the financing of our operations, the possible repayment of indebtedness, and possible business acquisitions.</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Unless set forth in an accompanying prospectus supplement, we will not receive any proceeds in the event that securities are sold by a selling securityholder.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This prospectus contains summary descriptions of the Class A common stock, preferred stock, depositary shares, debt securities and warrants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description of shares of New Fortress Energy Inc. (the “Company,” “NFE,” “our” or “we”) is based upon the provisions of the General Corporation Law of the State of Delaware (the “DGCL”), the Certificate of Incorporation of the Company (the “Certificate of Incorporation”) and the Bylaws of the Company (the “Bylaws”). The summary is not complete and is subject to, and is qualified in its entirety by express reference to, the provisions of applicable law and to the Certificate of Incorporation and the Bylaws. See “Where You Can Find More Information.”</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Under our Certificate of Incorporation, we are authorized to issue up to 750 million shares of Class A common stock, each having a par value of one cent ($0.01), 50 million shares of Class B common stock, each having a par value of one cent ($0.01), and 200 million shares of preferred stock, each having a par value of one cent ($0.01). Our Class A common stock are registered pursuant to Section 12 of the Securities Exchange Act of 1934, as amended (the “Exchange Act”), and are listed on the Nasdaq Global Select Market (“Nasdaq”) under the symbol “NFE.” Our Class B common stock are not registered pursuant to Section 12 of the Exchange Act nor listed on any securities exchange. As of March 15, 2021, there were 175,320,414 shares of Class A common stock outstanding. As of the date hereof, there are no shares of Class B common stock or preferred stock outstanding.</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Common Stock</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Holders of Class A common stock are entitled to one vote per share held of record on all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to be voted upon by the stockholders. Holders of our Class A common stock vote together as a single class on all matters presented to our stockholders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common stock do not have cumulative voting rights in the election of directors.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of our Class A common stock are entitled to ratably receive dividends when and if</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by our board of directors out of funds legally available for that purpose, subject to any statutory or contractual restrictions on the payment of dividends and to any prior rights and preferences that may be applicable to any outstanding preferred stock.</w:t>
      </w:r>
    </w:p>
    <w:p>
      <w:pPr>
        <w:spacing w:after="0" w:line="79"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dissolution, liquidation or winding up, after payment in full of all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paid to creditors and to the holders of preferred stock having liquidation preferences, if any, the holders of our Class A common stock will be entitled to receive our remaining assets available for distribution in accordance with the DGCL.</w:t>
      </w:r>
    </w:p>
    <w:p>
      <w:pPr>
        <w:spacing w:after="0" w:line="79"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i w:val="1"/>
          <w:iCs w:val="1"/>
          <w:color w:val="auto"/>
        </w:rPr>
        <w:t xml:space="preserve">Other Matters. </w:t>
      </w:r>
      <w:r>
        <w:rPr>
          <w:rFonts w:ascii="Arial" w:cs="Arial" w:eastAsia="Arial" w:hAnsi="Arial"/>
          <w:sz w:val="17"/>
          <w:szCs w:val="17"/>
          <w:color w:val="auto"/>
        </w:rPr>
        <w:t>The Class A common stock have no preemptive or conversion rights and are not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calls or assessment by us. There are no redemption or sinking fund provisions applicable to the Class A common stock. All outstanding Class A common stock are fully paid and non-assessable.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Common Stock</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Generally</w:t>
      </w:r>
      <w:r>
        <w:rPr>
          <w:rFonts w:ascii="Arial" w:cs="Arial" w:eastAsia="Arial" w:hAnsi="Arial"/>
          <w:sz w:val="17"/>
          <w:szCs w:val="17"/>
          <w:color w:val="auto"/>
        </w:rPr>
        <w:t>. Prior to the exchange of all of the units (the “NFI LLC Units”) (other than NFI LLC Units owned by</w:t>
      </w:r>
      <w:r>
        <w:rPr>
          <w:rFonts w:ascii="Arial" w:cs="Arial" w:eastAsia="Arial" w:hAnsi="Arial"/>
          <w:sz w:val="17"/>
          <w:szCs w:val="17"/>
          <w:i w:val="1"/>
          <w:iCs w:val="1"/>
          <w:color w:val="auto"/>
        </w:rPr>
        <w:t xml:space="preserve"> </w:t>
      </w:r>
      <w:r>
        <w:rPr>
          <w:rFonts w:ascii="Arial" w:cs="Arial" w:eastAsia="Arial" w:hAnsi="Arial"/>
          <w:sz w:val="17"/>
          <w:szCs w:val="17"/>
          <w:color w:val="auto"/>
        </w:rPr>
        <w:t>NFE or its subsidiaries) of New Fortress Intermediate LLC (“NFI”) and all of the shares of Class B common stock for shares of Class A common stock (the “Exchange Transactions”), the NFI unitholders held one share of Class B common stock for each NFI LLC Unit that they held. Accordingly, prior to the Exchange Transactions, the NFI unitholders had a number of votes in NFE equal to the aggregate number of NFI LLC Units that they held. Following the Exchange Transactions and as of the date hereof, there are no shares of Class B common stock outstanding and all of the NFI LLC Units are owned by NFE or its subsidiaries. Shares of Class B common stock cannot be transferred without transferring an equal number of NFI LLC Units and vice versa.</w:t>
      </w:r>
    </w:p>
    <w:p>
      <w:pPr>
        <w:spacing w:after="0" w:line="7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our Class B common stock are entitled to one vote per share held of record on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to be voted upon by the shareholders. Holders of our Class A common stock and Class B common stock vote together as a single class on all matters presented to our shareholders for their vote or approval, except that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amendment of certain provisions of our Certificate of Incorporation or Bylaws that would have a material adverse effect on the rights or preferences of any class or series of stock in relation to other classes or series of shares must be approved by the holders of a majority of the outstanding stock of the class or series affected. The holders of Class B common stock do not have cumulative voting rights in the election of directors.</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Dividend and Liquidation Rights</w:t>
      </w:r>
      <w:r>
        <w:rPr>
          <w:rFonts w:ascii="Arial" w:cs="Arial" w:eastAsia="Arial" w:hAnsi="Arial"/>
          <w:sz w:val="17"/>
          <w:szCs w:val="17"/>
          <w:color w:val="auto"/>
        </w:rPr>
        <w:t>. Holders of our Class B common stock do not have any right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unless the dividend consists of our Class B common stock or of rights, options, warrants or other securities convertible or exercisable into or exchangeable for Class B common stock paid proportionally with respect to each outstanding Class B common stock and a dividend consisting of Class A common stock or of rights, options, warrants or other securities convertible or exercisable into or exchangeable for Class A common stock on the same terms is simultaneously paid to the holders of Class A common stock. Holders of our Class B common stock do not have any right to receive a distribution upon our liquidation or winding up.</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Redemption Right</w:t>
      </w:r>
      <w:r>
        <w:rPr>
          <w:rFonts w:ascii="Arial" w:cs="Arial" w:eastAsia="Arial" w:hAnsi="Arial"/>
          <w:sz w:val="18"/>
          <w:szCs w:val="18"/>
          <w:color w:val="auto"/>
        </w:rPr>
        <w:t>. Pursuant to the limited liability company agreement of NFI, each holder of NFI LLC Units</w:t>
      </w:r>
      <w:r>
        <w:rPr>
          <w:rFonts w:ascii="Arial" w:cs="Arial" w:eastAsia="Arial" w:hAnsi="Arial"/>
          <w:sz w:val="18"/>
          <w:szCs w:val="18"/>
          <w:i w:val="1"/>
          <w:iCs w:val="1"/>
          <w:color w:val="auto"/>
        </w:rPr>
        <w:t xml:space="preserve"> </w:t>
      </w:r>
      <w:r>
        <w:rPr>
          <w:rFonts w:ascii="Arial" w:cs="Arial" w:eastAsia="Arial" w:hAnsi="Arial"/>
          <w:sz w:val="18"/>
          <w:szCs w:val="18"/>
          <w:color w:val="auto"/>
        </w:rPr>
        <w:t>has the right to redeem his or her NFI LLC Units, together with an equal number of shares of Class B common stock, for shares of Class A common stock (or cash at the Company’s election, subject to customary conversion rate adjustments for stock splits, stock dividends and reclassifications).</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rights with respect to one or more classes or series of preferred stock may be more favorable to the holder(s) thereof than the rights attached to our Class A common stock.</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Duties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American Stock Transfer &amp; Trust Company, LLC is the registrar and transfer agent for the Class A common stock. We pay all fees charged by the transfer agent for transfers of Class A common stock except the following, which must be paid by our Class A stockholders:</w:t>
      </w:r>
    </w:p>
    <w:p>
      <w:pPr>
        <w:spacing w:after="0" w:line="76"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taxes and other governmental charges;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Resignation or Removal</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may resign, by notice to us, or be removed by us.</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of Class A common stock and Class B common stock</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may, at our discretion, treat the nominee holder of a share of Class A common stock or Class B common stock as the absolute owner. In that case, the beneficial holder’s rights are limited solely to those that it has against the nominee holder as a result of any agreement between the beneficial owner and the nominee holder.</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Class A common stock and Class B common stock are securities and any transfers are subject to the laws governing the transfer of securities.</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Until a share of Class A common stock or Class B common stock has been transferred on our books, we and the transfer agent may treat the record holder of the Class A common stock or Class B common stock as the absolute owner for all purposes, except as otherwise required by law or stock exchange regulations.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Certificate of Incorporation and Bylaws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Organizational Documents</w:t>
      </w:r>
    </w:p>
    <w:p>
      <w:pPr>
        <w:spacing w:after="0" w:line="121"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stockholders to consider and vote upon the proposed amendment. Except as set forth below, an amendment must be approved by holders of a majority of the outstanding shares.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Prohibited Amendments. </w:t>
      </w:r>
      <w:r>
        <w:rPr>
          <w:rFonts w:ascii="Arial" w:cs="Arial" w:eastAsia="Arial" w:hAnsi="Arial"/>
          <w:sz w:val="18"/>
          <w:szCs w:val="18"/>
          <w:color w:val="auto"/>
        </w:rPr>
        <w:t>No amendment may be made that would:</w:t>
      </w:r>
    </w:p>
    <w:p>
      <w:pPr>
        <w:spacing w:after="0" w:line="117" w:lineRule="exact"/>
        <w:rPr>
          <w:sz w:val="20"/>
          <w:szCs w:val="20"/>
          <w:color w:val="auto"/>
        </w:rPr>
      </w:pPr>
    </w:p>
    <w:p>
      <w:pPr>
        <w:ind w:left="1000" w:right="31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enlarge the obligations of any stockholder without such stockholder’s consent, unless approved by at least a majority of the type or class of shares so affected;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term of existence of our company.</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 xml:space="preserve">No Stockholder Approval. </w:t>
      </w:r>
      <w:r>
        <w:rPr>
          <w:rFonts w:ascii="Arial" w:cs="Arial" w:eastAsia="Arial" w:hAnsi="Arial"/>
          <w:sz w:val="18"/>
          <w:szCs w:val="18"/>
          <w:color w:val="auto"/>
        </w:rPr>
        <w:t>Our board of directors may generally make amendments to our Bylaws, and in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circumstances to our Certificate of Incorporation, without the approval of any stockholder or assignee to reflect:</w:t>
      </w:r>
    </w:p>
    <w:p>
      <w:pPr>
        <w:spacing w:after="0" w:line="76" w:lineRule="exact"/>
        <w:rPr>
          <w:sz w:val="20"/>
          <w:szCs w:val="20"/>
          <w:color w:val="auto"/>
        </w:rPr>
      </w:pPr>
    </w:p>
    <w:p>
      <w:pPr>
        <w:ind w:left="1000" w:right="2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expressly permitted in our organizational documents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organizational documents;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Bylaws without the approval of any stockholder or assignee if our board of directors determines that those amendments:</w:t>
      </w:r>
    </w:p>
    <w:p>
      <w:pPr>
        <w:spacing w:after="0" w:line="62" w:lineRule="exact"/>
        <w:rPr>
          <w:sz w:val="20"/>
          <w:szCs w:val="20"/>
          <w:color w:val="auto"/>
        </w:rPr>
      </w:pPr>
    </w:p>
    <w:p>
      <w:pPr>
        <w:ind w:left="4420" w:right="3419" w:hanging="3768"/>
        <w:spacing w:after="0" w:line="527" w:lineRule="auto"/>
        <w:tabs>
          <w:tab w:leader="none" w:pos="10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 not adversely affect the stockholders in any material respect;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stockholders;</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Bylaws; 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are required to effect the intent of the provisions of our organizational documents or are otherwise contemplated by our organizational documents.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Pursuant to the provisions of the DGCL, our board of directors is generally prohibited, without the prior approval of holders of a majority of the total combined voting power of all of our Class A common stock and Class B common stock,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stockholder. Our board of directors may also sell all or substantially all of our assets under a foreclosure or other realization upon the encumbrances above without that approval.</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Organizational Documents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organizational documents that may be deemed to have an anti-takeover effect and may delay, deter or prevent a tender offer or takeover attempt that a stockholder might consider to be in its best interest, including those attempts that might result in a premium over the market price for the Class A common stock held by Class A stockholders.</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 xml:space="preserve">Issuance of Additional Interests. </w:t>
      </w:r>
      <w:r>
        <w:rPr>
          <w:rFonts w:ascii="Arial" w:cs="Arial" w:eastAsia="Arial" w:hAnsi="Arial"/>
          <w:sz w:val="17"/>
          <w:szCs w:val="17"/>
          <w:color w:val="auto"/>
        </w:rPr>
        <w:t>Our organizational documents authorize us to issue up to 750 million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A common stock, 50 million shares of Class B common stock and 200 million shares of preferred stock for the consideration and on the terms and conditions determined by our board of directors without the approval of the stockholders,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Delaware Business Combination Statute—Section 203. </w:t>
      </w:r>
      <w:r>
        <w:rPr>
          <w:rFonts w:ascii="Arial" w:cs="Arial" w:eastAsia="Arial" w:hAnsi="Arial"/>
          <w:sz w:val="16"/>
          <w:szCs w:val="16"/>
          <w:color w:val="auto"/>
        </w:rPr>
        <w:t>We are a corporation organized under Delaware law.</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Some provisions of Delaware law may delay or prevent a transaction that would cause a change in our control.</w:t>
      </w:r>
    </w:p>
    <w:p>
      <w:pPr>
        <w:spacing w:after="0" w:line="11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49"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41" w:lineRule="exact"/>
        <w:rPr>
          <w:sz w:val="20"/>
          <w:szCs w:val="20"/>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restrictions described above do not apply if (a) the Company does not have a class of voting stock that is:</w:t>
      </w:r>
    </w:p>
    <w:p>
      <w:pPr>
        <w:spacing w:after="0" w:line="46" w:lineRule="exact"/>
        <w:rPr>
          <w:sz w:val="20"/>
          <w:szCs w:val="20"/>
          <w:color w:val="auto"/>
        </w:rPr>
      </w:pPr>
    </w:p>
    <w:p>
      <w:pPr>
        <w:jc w:val="both"/>
        <w:ind w:left="300" w:right="299" w:hanging="8"/>
        <w:spacing w:after="0" w:line="252" w:lineRule="auto"/>
        <w:tabs>
          <w:tab w:leader="none" w:pos="521"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listed on a national securities exchange; or (ii) held of record by more than 2,000 stockholders, unless any of the foregoing results from action taken, directly or indirectly, by an interested stockholder or from a transaction in which a person becomes an interested stockholder; or (b) a stockholder becomes an interested stockholder inadvertently and (i) as soon as practicable divests itself of ownership of sufficient shares so that the stockholder ceases to be an interested stockholder; and (ii) would not, at any time within the three year period immediately prior to a business combination between the Company and such stockholder, have been an interested stockholder but for the inadvertent acquisition of ownership.</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approved either the business combination or the transaction which resulted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 xml:space="preserve">Other Provisions of Our Organizational Documents. </w:t>
      </w:r>
      <w:r>
        <w:rPr>
          <w:rFonts w:ascii="Arial" w:cs="Arial" w:eastAsia="Arial" w:hAnsi="Arial"/>
          <w:sz w:val="17"/>
          <w:szCs w:val="17"/>
          <w:color w:val="auto"/>
        </w:rPr>
        <w:t>Our Certificate of Incorporation provides that our board</w:t>
      </w:r>
      <w:r>
        <w:rPr>
          <w:rFonts w:ascii="Arial" w:cs="Arial" w:eastAsia="Arial" w:hAnsi="Arial"/>
          <w:sz w:val="17"/>
          <w:szCs w:val="17"/>
          <w:i w:val="1"/>
          <w:iCs w:val="1"/>
          <w:color w:val="auto"/>
        </w:rPr>
        <w:t xml:space="preserve"> </w:t>
      </w:r>
      <w:r>
        <w:rPr>
          <w:rFonts w:ascii="Arial" w:cs="Arial" w:eastAsia="Arial" w:hAnsi="Arial"/>
          <w:sz w:val="17"/>
          <w:szCs w:val="17"/>
          <w:color w:val="auto"/>
        </w:rPr>
        <w:t>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stockholders, instead of one, will generally be required to effect a change in a majority of our board of directors.</w:t>
      </w:r>
    </w:p>
    <w:p>
      <w:pPr>
        <w:spacing w:after="0" w:line="74"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stockholders to be in their best interest.</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our Certificate of Incorporation, preferred stock may be issued from time to time, and the board of directors is authorized to determine and alter all designations, preferences, rights, powers and duties without limitation. See “Description of Capital Stock—Preferred Stock.”</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Ability of Our Stockholders to Act. </w:t>
      </w:r>
      <w:r>
        <w:rPr>
          <w:rFonts w:ascii="Arial" w:cs="Arial" w:eastAsia="Arial" w:hAnsi="Arial"/>
          <w:sz w:val="16"/>
          <w:szCs w:val="16"/>
          <w:color w:val="auto"/>
        </w:rPr>
        <w:t>Our organizational documents do not permit our stockholders to call special</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meetings, except that if any Consenting Entities or their affiliates collectively own outstanding voting shares that represent a majority of the total combined voting power of all of our outstanding shares of Class A common stock and Class B common stock then entitled to vote at an election of directors, such Consenting Entities may call a special meeting of the stockholders. Special meetings of stockholders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stockholder of record entitled to vote at such meeting not less than 10 or more than 60 days before the date of such meeting, unless otherwise required by law.</w:t>
      </w:r>
    </w:p>
    <w:p>
      <w:pPr>
        <w:spacing w:after="0" w:line="5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organizational documents permit our stockholders to consent in writing to take any action in lieu of taking such action at a duly called annual or special meeting of our stockholders if a consent or consents in writing, setting forth the action so taken, shall be signed by the stockholders having not less than the minimum number of votes that would be necessary to authorize or take such action at a meeting at which all stockholders entitled to vote thereon were present and voted.</w:t>
      </w:r>
    </w:p>
    <w:p>
      <w:pPr>
        <w:spacing w:after="0" w:line="8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Our organizational documents provide that nominations of persons for election to our board of directors may be made at any annual meeting of our stockholders, or at any special meeting of our stockholders called for the purpose of electing directors, (a) by or at the direction of our board of directors or (b) by certain stockholders. In addition to any other applicable requirements, for business to be properly brought before an annual meeting by a stockholder, such stockholder must have given timely notice thereof in proper written form to our secretary. To be timely, a stockholder’s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stockholders; provided, however, that in the event that the annual meeting is called for a date that is not within 30 days before or after such anniversary date, notice by a stockholder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 director or the entire board of directors may be removed, with or without cause, at any time, by holders of a majority of the total combined voting power of all of our outstanding shares of Class A common stock and Class B common stock then entitled to vote at an election of directors. The vacancy in the board of directors caused by any such removal will be filled by a vote of the majority of directors then in office.</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DGCL or our organizational documents;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exclusive forum provision would not apply to suits brought to enforce any liability or duty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So long as the Consenting Entities or their affiliates collectively, directly or indirectly, own at least 30% of the outstanding shares of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February 4, 2019;</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jc w:val="both"/>
        <w:ind w:left="1000" w:right="299" w:hanging="348"/>
        <w:spacing w:after="0" w:line="31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Under our Certificate of Incorporation, we renounce, to the fullest extent permitted by Section 122(17)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6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stockholder or any other person has any rights by virtue of a director’s duties as a director or our organizational documents in any business ventures of any director.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connection with our initial public offering, we entered into a shareholders’ agreement (the “Shareholders’ Agreement”) with New Fortress Energy Holdings LLC, Wesley R. Edens and Randal A. Nardone. In connection with the Exchange Transactions, certain of the former members of New Fortress Energy Holdings LLC signed a joinder and became party to the Shareholders’ Agreement.The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common stock.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common stock. In addition our Certificate of Incorporation provides the Consenting Entities the right to approve certain material transactions so long as the Consenting Entities and their affiliates collectively, directly or indirectly, own at least 30% of the outstanding Class A common stock and Class B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DEPOSITARY SHARES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This section describes the general terms and provisions of the depositary shares. The applicable prospectus supplement will describe the specific terms of the depositary shares offered by that prospectus supplement and any general terms outlined in this section that will not apply to those depositary shares.</w:t>
      </w:r>
    </w:p>
    <w:p>
      <w:pPr>
        <w:spacing w:after="0" w:line="5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may issue depositary receipts representing interests in shares of particular series of preferred stock which are called depositary shares. We will deposit the shares of preferred stock of a series which are the subject of depositary shares with a depositary to be named in the applicable prospectus supplement, which will hold the preferred stock for the benefit of the holders of the depositary shares, in accordance with a deposit agreement between the depositary and us. The holders of depositary shares will be entitled to all the rights and preferences of the preferred stock to which the depositary shares relate, including dividend, voting, conversion, redemption and liquidation rights, to the extent of their interests in the preferred stock.</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deposit agreement relating to a particular series of preferred stock may have provisions applicable solely to that series of preferred stock, all deposit agreements relating to preferred stock we issue will include the following provisions: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Each time we pay a cash dividend or make any other type of cash distribution with regard to preferred stock of a series, the depositary will distribute to the holder of record of each depositary share relating to that series of preferred stock an amount equal to the dividend or other distribution per depositary share the depositary receives. If there is a distribution of property other than cash, the depositary either will distribute the property to the holders of depositary shares in proportion to the depositary shares held by each of them, or the depositary will, if we approve, sell the property and distribute the net proceeds to the holders of the depositary shares in proportion to the depositary shares held by them.</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Withdrawal of Preferred Stock</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 holder of depositary shares will be entitled to receive, upon surrender of depositary receipts representing depositary shares, the number of whole or fractional shares of the applicable series of preferred stock, and any money or other property, to which the depositary shares relate.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Depositary Shares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Whenever we redeem shares of preferred stock held by a depositary, the depositary will be required to redeem, on the same redemption date, depositary shares constituting, in total, the number of shares of preferred stock held by the depositary which we redeem, subject to the depositary’s receiving the redemption price of those shares of preferred stock. If fewer than all the depositary shares relating to a series are to be redeemed, the depositary shares to be redeemed will be selected by lot or by another method we determine to be equitable.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Any time we send a notice of meeting or other materials relating to a meeting to the holders of a series of preferred stock to which depositary shares relate, we will provide the depositary with sufficient copies of those materials so they can be sent to all holders of record of the applicable depositary shares, and the depositary will send those materials to the holders of record of the depositary shares on the record date for the meeting. The depositary will solicit voting instructions from holders of depositary shares and will vote or not vote the preferred stock to which the depositary shares relate in accordance with those instructions.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Liquidation Preference</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the event of our liquidation, dissolution or winding up, the holder of each depositary share will be entitled to what the holder of the depositary share would have received if the holder had owned the number of shares (or fraction of a share) of preferred stock which is represented by the depositary share.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shares of a series of preferred stock are convertible into Class A common stock or other of our securities or property, holders of depositary shares relating to that series of preferred stock will, if they surrender depositary receipts representing depositary shares and appropriate instructions to convert them, receive the Class A common stock or other securities or property into which the number of shares (or fractions of shares) of preferred stock to which the depositary shares relate could at the time be converted.</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and Termination of a Deposit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and the depositary may amend a deposit agreement, except that an amendment which materially and adversely affects the rights of holders of depositary shares, or would be materially and adversely inconsistent with the rights granted to the holders of the preferred stock to which they relate, must be approved by holders of at least two-thirds of the outstanding depositary shares. No amendment will impair the right of a holder of depositary shares to surrender the depositary receipts evidencing those depositary shares and receive the preferred stock to which they relate, except as required to comply with law. We may terminate a deposit agreement with the consent of holders of a majority of the depositary shares to which it relates. Upon termination of a deposit agreement, the depositary will make the whole or fractional shares of preferred stock to which the depositary shares issued under the deposit agreement relate available to the holders of those depositary shares. A deposit agreement will automatically terminate if:</w:t>
      </w:r>
    </w:p>
    <w:p>
      <w:pPr>
        <w:spacing w:after="0" w:line="86"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outstanding depositary shares to which it relates have been redeemed or converted;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depositary has made a final distribution to the holders of the depositary shares issued under the deposit agreement upon our liquidation, dissolution or winding up.</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There will be provisions: (1) requiring the depositary to forward to holders of record of depositary shares any reports or communications from us which the depositary receives with respect to the preferred stock to which the depositary shares relate; (2) regarding compensation of the depositary; (3) regarding resignation of the depositary;</w:t>
      </w:r>
    </w:p>
    <w:p>
      <w:pPr>
        <w:spacing w:after="0" w:line="2" w:lineRule="exact"/>
        <w:rPr>
          <w:sz w:val="20"/>
          <w:szCs w:val="20"/>
          <w:color w:val="auto"/>
        </w:rPr>
      </w:pPr>
    </w:p>
    <w:p>
      <w:pPr>
        <w:jc w:val="both"/>
        <w:ind w:left="300" w:right="319" w:hanging="8"/>
        <w:spacing w:after="0" w:line="255" w:lineRule="auto"/>
        <w:tabs>
          <w:tab w:leader="none" w:pos="5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limiting our liability and the liability of the depositary under the deposit agreement (usually to failure to act in good faith, gross negligence or willful misconduct); and (5) indemnifying the depositary against certain possible liabilities.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may offer debt securities in one or more series, which may be senior debt securities or subordinated debt securities and which may be convertible into another security.</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an indenture to be entered into between us and U.S. Bank, National Association, as trustee, or such other trustee named therein.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aggregate principal amount of debt securities that may be issued under the indenture is unlimited. The prospectus supplement relating to any series of debt securities that we may offer will contain the specific terms of the debt securities. These terms may include, among others, the following:</w:t>
      </w:r>
    </w:p>
    <w:p>
      <w:pPr>
        <w:spacing w:after="0" w:line="76" w:lineRule="exact"/>
        <w:rPr>
          <w:sz w:val="20"/>
          <w:szCs w:val="20"/>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aggregate principal amount of the debt securities and any limit on the aggregate principal amount of such series;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applicable subordination provisions for any subordinated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maturity date(s) or method for determining same;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interest rate(s) or the method for determining same;</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are convertible or exchangeable into other securities and any related terms and conditions;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redemption or early repayment provisions;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authorized denominations;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other than the principal amount, the principal amount of debt securities payable upon acceleration;</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place(s) where payment of principal and interest may be made, where debt securities may be presented and where notices or demands upon the company may be made;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or forms of the debt securities of the series including such legends as may be required by applicable law;</w:t>
      </w:r>
    </w:p>
    <w:p>
      <w:pPr>
        <w:spacing w:after="0" w:line="62"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the debt securities will be issued in whole or in part in the form of one or more global securities and the date as of which the securities are dated if other than the date of original issuance;</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such security;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discount or premium, if any, with which the debt securities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covenants applicable to the particular debt securities being issued;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additions or changes in the defaults and events of default applicable to the particular debt securities being issued;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guarantors of each series, if any, and the extent of the guarantees (including provisions relating to seniority, subordination and release of the guarantees), if any;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purchase price for, the principal of and any premium and any interest on, the debt securities will be payable;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period within which, the manner in which and the terms and conditions upon which we or the holders of the debt securities can select the payment currency;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 or right to redeem, purchase or repay debt securities under a sinking fund, amortization or analogous provision;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restriction or conditions on the transferability of the debt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provisions granting special rights to holders of the debt securities upon occurrence of specified events;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changes relating to compensation or reimbursement of the trustee of the series of debt securities;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53"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5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United States federal income tax consequences and special considerations, if any, applicable to any such series will be described in an accompanying prospectus supplement.</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indenture and the debt securities shall be construed in accordance with and governed by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may issue warrants for the purchase of shares of our Class A common stock, shares of our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prospectus supplement relating to a particular issue of warrants will describe the terms of those warrants, including, when applicable:</w:t>
      </w:r>
    </w:p>
    <w:p>
      <w:pPr>
        <w:spacing w:after="0" w:line="62" w:lineRule="exact"/>
        <w:rPr>
          <w:sz w:val="20"/>
          <w:szCs w:val="20"/>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purchase price and/or exercise price of the warrants may be payable;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warrants offered;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 and the amount of securities you will receive upon exercise;</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procedure for exercise of the warrants and the circumstances, if any, that will cause the warrants to be automatically exercised;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rights, if any, we have to redeem the warrants;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warrants will expire;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name of the warrant agent;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material terms of the warrants.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issue of warrants will be evidenced by warrant certificates. After warrants expire they will become void.</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prospectus supplement may provide for the adjustment of the exercise price of the warrants.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This prospectus also relates to the offer and sale from time to time of up to 149,055,732 shares of Class A common stock by certain of our stockholders identified in the table below, who we refer to in this prospectus as the “selling securityholders.” The selling securityholders identified below may currently hold or acquire at any time Class A common stock in addition to those registered hereby.</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Beneficial ownership is determined in accordance with the rules of the SEC. These rules generally attribute beneficial ownership of securities to persons who possess sole or shared voting power or investment power with respect to such securities, and to persons who have a right to acquire such securities, generally within 60 days. Except as otherwise indicated, all persons listed below have sole voting and investment power with respect to the shares beneficially owned by them. Unless otherwise noted, the mailing address of each listed beneficial owner is 111 W. 19th Street, 8th Floor, New York, New York 10011.</w:t>
      </w:r>
    </w:p>
    <w:p>
      <w:pPr>
        <w:spacing w:after="0" w:line="70"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information in the below table (other than the percentages of our outstanding Class A common stock beneficially owned) in respect of the selling securityholders was furnished by or on behalf of the selling securityholders and is as of March 15, 2021. Except as may be noted in this section, none of the selling securityholders has, or within the past three years has had, any material relationship with us or any of our affiliates.</w:t>
      </w:r>
    </w:p>
    <w:p>
      <w:pPr>
        <w:spacing w:after="0" w:line="4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Wesley R. Edens, Randal A. Nardone and all of the entities listed under “Selling Securityholders” in the table below are party to a shareholders’ agreement with us pursuant to which such parties and their respective permitted transferees have the right, in certain circumstances, to require us to register their shares of our Class A common stock under the Securities Act for sale into the public markets.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No offer or sale under this prospectus may be made by any securityholder unless that holder is listed in the table below, in any supplement to this prospectus or in an amendment to the relevant registration statement that has become effective. We will supplement or amend this prospectus if applicable to include additional selling securityholders upon provision of all required information to us and subject to the terms of any relevant agreement between us and the selling securityholders.</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selling securityholders are not obligated to sell any of the Class A common stock offered by this prospectus. Because the selling securityholders identified in the table may sell some or all of the Class A common stock owned by them that are included in this prospectus, and because there are currently no agreements, arrangements or understandings with respect to the sale of any such Class A common stock, no estimate can be given as to the number of shares covered by this prospectus that will be held by the selling securityholders upon termination of this offering. Therefore, for the purposes of the following table, we have assumed that the selling securityholders will sell all of the Class A common stock beneficially owned by them that are covered by this prospectus, but will not sell any other Class A common stock that they may currently own.</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20" w:type="dxa"/>
            <w:vAlign w:val="bottom"/>
            <w:gridSpan w:val="3"/>
            <w:vMerge w:val="restart"/>
          </w:tcPr>
          <w:p>
            <w:pPr>
              <w:jc w:val="right"/>
              <w:ind w:right="13"/>
              <w:spacing w:after="0"/>
              <w:rPr>
                <w:sz w:val="20"/>
                <w:szCs w:val="20"/>
                <w:color w:val="auto"/>
              </w:rPr>
            </w:pPr>
            <w:r>
              <w:rPr>
                <w:rFonts w:ascii="Arial" w:cs="Arial" w:eastAsia="Arial" w:hAnsi="Arial"/>
                <w:sz w:val="14"/>
                <w:szCs w:val="14"/>
                <w:b w:val="1"/>
                <w:bCs w:val="1"/>
                <w:color w:val="auto"/>
                <w:w w:val="94"/>
              </w:rPr>
              <w:t>Class A Common Stock</w:t>
            </w:r>
          </w:p>
        </w:tc>
        <w:tc>
          <w:tcPr>
            <w:tcW w:w="200" w:type="dxa"/>
            <w:vAlign w:val="bottom"/>
          </w:tcPr>
          <w:p>
            <w:pPr>
              <w:spacing w:after="0"/>
              <w:rPr>
                <w:sz w:val="14"/>
                <w:szCs w:val="14"/>
                <w:color w:val="auto"/>
              </w:rPr>
            </w:pPr>
          </w:p>
        </w:tc>
        <w:tc>
          <w:tcPr>
            <w:tcW w:w="1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Class A Common Stock</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Class A Common Stock</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Beneficially Owned</w:t>
            </w:r>
          </w:p>
        </w:tc>
        <w:tc>
          <w:tcPr>
            <w:tcW w:w="200" w:type="dxa"/>
            <w:vAlign w:val="bottom"/>
          </w:tcPr>
          <w:p>
            <w:pPr>
              <w:spacing w:after="0"/>
              <w:rPr>
                <w:sz w:val="16"/>
                <w:szCs w:val="16"/>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Offered Hereby</w:t>
            </w: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the Offering</w:t>
            </w: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0" w:type="dxa"/>
            <w:vAlign w:val="bottom"/>
          </w:tcPr>
          <w:p>
            <w:pPr>
              <w:spacing w:after="0"/>
              <w:rPr>
                <w:sz w:val="24"/>
                <w:szCs w:val="2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jc w:val="right"/>
              <w:ind w:right="33"/>
              <w:spacing w:after="0" w:line="27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jc w:val="right"/>
              <w:ind w:right="53"/>
              <w:spacing w:after="0" w:line="277"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98"/>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Securityholders</w:t>
            </w:r>
          </w:p>
        </w:tc>
        <w:tc>
          <w:tcPr>
            <w:tcW w:w="92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46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CCEEFF"/>
            </w:tcBorders>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line="296" w:lineRule="exact"/>
              <w:rPr>
                <w:sz w:val="20"/>
                <w:szCs w:val="20"/>
                <w:color w:val="auto"/>
              </w:rPr>
            </w:pPr>
            <w:r>
              <w:rPr>
                <w:rFonts w:ascii="Arial" w:cs="Arial" w:eastAsia="Arial" w:hAnsi="Arial"/>
                <w:sz w:val="18"/>
                <w:szCs w:val="18"/>
                <w:color w:val="auto"/>
              </w:rPr>
              <w:t>Fortress Equity Partners GP LLC</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13,399,317</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1660" w:type="dxa"/>
            <w:vAlign w:val="bottom"/>
            <w:gridSpan w:val="2"/>
          </w:tcPr>
          <w:p>
            <w:pPr>
              <w:jc w:val="right"/>
              <w:ind w:right="248"/>
              <w:spacing w:after="0"/>
              <w:rPr>
                <w:sz w:val="20"/>
                <w:szCs w:val="20"/>
                <w:color w:val="auto"/>
              </w:rPr>
            </w:pPr>
            <w:r>
              <w:rPr>
                <w:rFonts w:ascii="Arial" w:cs="Arial" w:eastAsia="Arial" w:hAnsi="Arial"/>
                <w:sz w:val="18"/>
                <w:szCs w:val="18"/>
                <w:color w:val="auto"/>
              </w:rPr>
              <w:t>13,399,317</w:t>
            </w: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NFE SMRS Holdings LLC</w:t>
            </w:r>
            <w:r>
              <w:rPr>
                <w:rFonts w:ascii="Arial" w:cs="Arial" w:eastAsia="Arial" w:hAnsi="Arial"/>
                <w:sz w:val="29"/>
                <w:szCs w:val="29"/>
                <w:color w:val="auto"/>
                <w:vertAlign w:val="superscript"/>
              </w:rPr>
              <w:t>(3)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34,701,279</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34,701,279</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spacing w:after="0" w:line="296" w:lineRule="exact"/>
              <w:rPr>
                <w:sz w:val="20"/>
                <w:szCs w:val="20"/>
                <w:color w:val="auto"/>
              </w:rPr>
            </w:pPr>
            <w:r>
              <w:rPr>
                <w:rFonts w:ascii="Arial" w:cs="Arial" w:eastAsia="Arial" w:hAnsi="Arial"/>
                <w:sz w:val="18"/>
                <w:szCs w:val="18"/>
                <w:color w:val="auto"/>
              </w:rPr>
              <w:t>Wesley R. Edens</w:t>
            </w:r>
            <w:r>
              <w:rPr>
                <w:rFonts w:ascii="Arial" w:cs="Arial" w:eastAsia="Arial" w:hAnsi="Arial"/>
                <w:sz w:val="29"/>
                <w:szCs w:val="29"/>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72,627,776</w:t>
            </w: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41.4%</w:t>
            </w:r>
          </w:p>
        </w:tc>
        <w:tc>
          <w:tcPr>
            <w:tcW w:w="1660" w:type="dxa"/>
            <w:vAlign w:val="bottom"/>
            <w:gridSpan w:val="2"/>
          </w:tcPr>
          <w:p>
            <w:pPr>
              <w:jc w:val="right"/>
              <w:ind w:right="248"/>
              <w:spacing w:after="0"/>
              <w:rPr>
                <w:sz w:val="20"/>
                <w:szCs w:val="20"/>
                <w:color w:val="auto"/>
              </w:rPr>
            </w:pPr>
            <w:r>
              <w:rPr>
                <w:rFonts w:ascii="Arial" w:cs="Arial" w:eastAsia="Arial" w:hAnsi="Arial"/>
                <w:sz w:val="18"/>
                <w:szCs w:val="18"/>
                <w:color w:val="auto"/>
              </w:rPr>
              <w:t>72,627,776</w:t>
            </w:r>
          </w:p>
        </w:tc>
        <w:tc>
          <w:tcPr>
            <w:tcW w:w="20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40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Randal A. Nardone</w:t>
            </w:r>
            <w:r>
              <w:rPr>
                <w:rFonts w:ascii="Arial" w:cs="Arial" w:eastAsia="Arial" w:hAnsi="Arial"/>
                <w:sz w:val="29"/>
                <w:szCs w:val="29"/>
                <w:color w:val="auto"/>
                <w:vertAlign w:val="superscript"/>
              </w:rPr>
              <w:t>(5)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26,196,526</w:t>
            </w: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w:t>
            </w:r>
          </w:p>
        </w:tc>
        <w:tc>
          <w:tcPr>
            <w:tcW w:w="16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26,196,526</w:t>
            </w: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Christopher S. Guinta</w:t>
            </w:r>
          </w:p>
        </w:tc>
        <w:tc>
          <w:tcPr>
            <w:tcW w:w="920" w:type="dxa"/>
            <w:vAlign w:val="bottom"/>
          </w:tcPr>
          <w:p>
            <w:pPr>
              <w:jc w:val="right"/>
              <w:spacing w:after="0"/>
              <w:rPr>
                <w:sz w:val="20"/>
                <w:szCs w:val="20"/>
                <w:color w:val="auto"/>
              </w:rPr>
            </w:pPr>
            <w:r>
              <w:rPr>
                <w:rFonts w:ascii="Arial" w:cs="Arial" w:eastAsia="Arial" w:hAnsi="Arial"/>
                <w:sz w:val="18"/>
                <w:szCs w:val="18"/>
                <w:color w:val="auto"/>
              </w:rPr>
              <w:t>279,518</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8"/>
              <w:spacing w:after="0"/>
              <w:rPr>
                <w:sz w:val="20"/>
                <w:szCs w:val="20"/>
                <w:color w:val="auto"/>
              </w:rPr>
            </w:pPr>
            <w:r>
              <w:rPr>
                <w:rFonts w:ascii="Arial" w:cs="Arial" w:eastAsia="Arial" w:hAnsi="Arial"/>
                <w:sz w:val="18"/>
                <w:szCs w:val="18"/>
                <w:color w:val="auto"/>
              </w:rPr>
              <w:t>279,518</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Desmond Iain Catterall</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69,841</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69,841</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David J. Grain</w:t>
            </w:r>
          </w:p>
        </w:tc>
        <w:tc>
          <w:tcPr>
            <w:tcW w:w="920" w:type="dxa"/>
            <w:vAlign w:val="bottom"/>
          </w:tcPr>
          <w:p>
            <w:pPr>
              <w:jc w:val="right"/>
              <w:spacing w:after="0"/>
              <w:rPr>
                <w:sz w:val="20"/>
                <w:szCs w:val="20"/>
                <w:color w:val="auto"/>
              </w:rPr>
            </w:pPr>
            <w:r>
              <w:rPr>
                <w:rFonts w:ascii="Arial" w:cs="Arial" w:eastAsia="Arial" w:hAnsi="Arial"/>
                <w:sz w:val="18"/>
                <w:szCs w:val="18"/>
                <w:color w:val="auto"/>
              </w:rPr>
              <w:t>114,294</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8"/>
              <w:spacing w:after="0"/>
              <w:rPr>
                <w:sz w:val="20"/>
                <w:szCs w:val="20"/>
                <w:color w:val="auto"/>
              </w:rPr>
            </w:pPr>
            <w:r>
              <w:rPr>
                <w:rFonts w:ascii="Arial" w:cs="Arial" w:eastAsia="Arial" w:hAnsi="Arial"/>
                <w:sz w:val="18"/>
                <w:szCs w:val="18"/>
                <w:color w:val="auto"/>
              </w:rPr>
              <w:t>114,294</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 William Griffin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333,429</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333,429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John J. Mack</w:t>
            </w:r>
          </w:p>
        </w:tc>
        <w:tc>
          <w:tcPr>
            <w:tcW w:w="920" w:type="dxa"/>
            <w:vAlign w:val="bottom"/>
          </w:tcPr>
          <w:p>
            <w:pPr>
              <w:jc w:val="right"/>
              <w:spacing w:after="0"/>
              <w:rPr>
                <w:sz w:val="20"/>
                <w:szCs w:val="20"/>
                <w:color w:val="auto"/>
              </w:rPr>
            </w:pPr>
            <w:r>
              <w:rPr>
                <w:rFonts w:ascii="Arial" w:cs="Arial" w:eastAsia="Arial" w:hAnsi="Arial"/>
                <w:sz w:val="18"/>
                <w:szCs w:val="18"/>
                <w:color w:val="auto"/>
              </w:rPr>
              <w:t>1,178,013</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68"/>
              <w:spacing w:after="0"/>
              <w:rPr>
                <w:sz w:val="20"/>
                <w:szCs w:val="20"/>
                <w:color w:val="auto"/>
              </w:rPr>
            </w:pPr>
            <w:r>
              <w:rPr>
                <w:rFonts w:ascii="Arial" w:cs="Arial" w:eastAsia="Arial" w:hAnsi="Arial"/>
                <w:sz w:val="18"/>
                <w:szCs w:val="18"/>
                <w:color w:val="auto"/>
              </w:rPr>
              <w:t>1,178,013</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Katherine E. Wanner</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77,129</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77,129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0"/>
                <w:szCs w:val="20"/>
                <w:color w:val="auto"/>
              </w:rPr>
            </w:pPr>
            <w:r>
              <w:rPr>
                <w:rFonts w:ascii="Arial" w:cs="Arial" w:eastAsia="Arial" w:hAnsi="Arial"/>
                <w:sz w:val="18"/>
                <w:szCs w:val="18"/>
                <w:color w:val="auto"/>
              </w:rPr>
              <w:t>Matthew Wilkinson</w:t>
            </w:r>
          </w:p>
        </w:tc>
        <w:tc>
          <w:tcPr>
            <w:tcW w:w="920" w:type="dxa"/>
            <w:vAlign w:val="bottom"/>
          </w:tcPr>
          <w:p>
            <w:pPr>
              <w:jc w:val="right"/>
              <w:spacing w:after="0"/>
              <w:rPr>
                <w:sz w:val="20"/>
                <w:szCs w:val="20"/>
                <w:color w:val="auto"/>
              </w:rPr>
            </w:pPr>
            <w:r>
              <w:rPr>
                <w:rFonts w:ascii="Arial" w:cs="Arial" w:eastAsia="Arial" w:hAnsi="Arial"/>
                <w:sz w:val="18"/>
                <w:szCs w:val="18"/>
                <w:color w:val="auto"/>
              </w:rPr>
              <w:t>78,610</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48"/>
              <w:spacing w:after="0"/>
              <w:rPr>
                <w:sz w:val="20"/>
                <w:szCs w:val="20"/>
                <w:color w:val="auto"/>
              </w:rPr>
            </w:pPr>
            <w:r>
              <w:rPr>
                <w:rFonts w:ascii="Arial" w:cs="Arial" w:eastAsia="Arial" w:hAnsi="Arial"/>
                <w:sz w:val="18"/>
                <w:szCs w:val="18"/>
                <w:color w:val="auto"/>
              </w:rPr>
              <w:t>78,610</w:t>
            </w:r>
          </w:p>
        </w:tc>
        <w:tc>
          <w:tcPr>
            <w:tcW w:w="200" w:type="dxa"/>
            <w:vAlign w:val="bottom"/>
          </w:tcPr>
          <w:p>
            <w:pPr>
              <w:spacing w:after="0"/>
              <w:rPr>
                <w:sz w:val="22"/>
                <w:szCs w:val="2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-2639695</wp:posOffset>
            </wp:positionV>
            <wp:extent cx="1200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-2639695</wp:posOffset>
            </wp:positionV>
            <wp:extent cx="603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-2639695</wp:posOffset>
            </wp:positionV>
            <wp:extent cx="60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-2639695</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-2639695</wp:posOffset>
            </wp:positionV>
            <wp:extent cx="60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5" w:lineRule="exact"/>
        <w:rPr>
          <w:sz w:val="20"/>
          <w:szCs w:val="20"/>
          <w:color w:val="auto"/>
        </w:rPr>
      </w:pPr>
    </w:p>
    <w:p>
      <w:pPr>
        <w:ind w:left="640" w:hanging="34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of shares outstanding. See footnote (1).</w:t>
      </w:r>
    </w:p>
    <w:p>
      <w:pPr>
        <w:spacing w:after="0" w:line="42" w:lineRule="exact"/>
        <w:rPr>
          <w:sz w:val="20"/>
          <w:szCs w:val="20"/>
          <w:color w:val="auto"/>
        </w:rPr>
      </w:pPr>
    </w:p>
    <w:p>
      <w:pPr>
        <w:ind w:left="640" w:hanging="34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March 15, 2021, we had 175,320,414 shares of Class A common stock outstanding.</w:t>
      </w:r>
    </w:p>
    <w:p>
      <w:pPr>
        <w:sectPr>
          <w:pgSz w:w="11900" w:h="16838" w:orient="portrait"/>
          <w:cols w:equalWidth="0" w:num="1">
            <w:col w:w="9019"/>
          </w:cols>
          <w:pgMar w:left="1440" w:top="265" w:right="1440"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40" w:right="299" w:hanging="348"/>
        <w:spacing w:after="0" w:line="231"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Fortress Equity Partners GP LLC (“Fortress Equity GP”) beneficially owns 13,399,317 shares of our Class A common stock. Fortress Operating Entity I LP (“FOE I” and, together with Fortress Equity GP, the “Fortress Parties”) is the sole member of Fortress Equity GP. The address for the Fortress Parties is c/o Fortress Investment Group LLC, 1345 Avenue of the Americas, 46th Floor, New York, NY 10105, Attention: Michael Cohn. Messers Edens and Nardone are officers of FOE I and each disclaim beneficial ownership of the shares of Class A common stock beneficially owned by Fortress Equity GP.</w:t>
      </w:r>
    </w:p>
    <w:p>
      <w:pPr>
        <w:spacing w:after="0" w:line="21" w:lineRule="exact"/>
        <w:rPr>
          <w:rFonts w:ascii="Arial" w:cs="Arial" w:eastAsia="Arial" w:hAnsi="Arial"/>
          <w:sz w:val="14"/>
          <w:szCs w:val="14"/>
          <w:color w:val="auto"/>
        </w:rPr>
      </w:pPr>
    </w:p>
    <w:p>
      <w:pPr>
        <w:jc w:val="both"/>
        <w:ind w:left="640" w:right="299" w:hanging="348"/>
        <w:spacing w:after="0" w:line="233"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Great Mountain Partners LLC is the manager of NFE SMRS Holdings LLC and Mr. Rotolo and Mr. Thomson are the managers of Great Mountain Partners LLC. Mr. Rotolo and Mr. Thomson may be deemed to have shared voting and investment power over the shares of Class A common stock held by NFE SMRS Holdings LLC. The address of NFE SMRS Holdings LLC is 10 Station Place, P.O. Box 233, Norfolk, Connecticut 06058.</w:t>
      </w:r>
    </w:p>
    <w:p>
      <w:pPr>
        <w:spacing w:after="0" w:line="22"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55,015,024 shares of Class A common stock held by Mr. Edens and 17,612,751 shares of Class A common stock held by WRE 2012 Trust LLC (“WRE Trust”), a limited liability company organized under the laws of the State of Delaware. Mr. Edens has the sole right to receive or direct the receipt of dividends on, and the proceeds from, the sale of all such shares. NFE WE LLC and NFE RN LLC, each controlled by Mr. Edens together with Mr. Nardone, have the right to appoint six of the eight members to the Company’s board of directors.</w:t>
      </w:r>
    </w:p>
    <w:p>
      <w:pPr>
        <w:spacing w:after="0" w:line="12"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Mr. Nardone has the sole right to receive or direct the receipt of dividends on, and the proceeds from, the sale of all such shares of Class A common stock. NFE WE LLC and NFE RN LLC, each controlled by Mr. Nardone together with Mr. Edens, have the right to appoint six of the eight members to the Company’s board of directors.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OPERATING AGREEMENT AND PROVISIONS OF DELAWARE LAW</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Duration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limited liability company was formed on August 6, 2018, and will remain in existence until dissolved in accordance with our operating agreement.</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Under our operating agreement, we are permitted to engage in any business activity that lawfully may be conducted by a limited liability company organized under Delaware law and, in connection therewith, to exercise all of the rights and powers conferred upon us pursuant to the agreements relating to such business activity.</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 to be Bound by our Operating Agreement; Power of Attorney</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By purchasing our Class A common stock, you will be admitted as a member of our limited liability company and will be deemed to have agreed to be bound by the terms of our operating agreement. Pursuant to this agreement, each Class A stockholder and each person who acquires Class A common stock from a Class A stockholder grants to certain of our officers (and, if appointed, a liquidator) a power of attorney to, among other things, execute and file documents required for our qualification, continuance or dissolution. The power of attorney also grants certain of our officers the authority to make certain amendments to, and to make consents and waivers under and in accordance with, our operating agreement.</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Our Operating Agreement</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Amendments to our operating agreement may be proposed only by or with the consent of our board of directors. To adopt a proposed amendment, our board of directors is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117" w:lineRule="exact"/>
        <w:rPr>
          <w:sz w:val="20"/>
          <w:szCs w:val="20"/>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we are not dissolved upon an election to dissolve our limited liability company by our board of directors that is approved by holders of a majority of the outstanding shares;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term of existence of our company; or</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give any person the right to dissolve our limited liability company other than our board of directors’ right to dissolve our limited liability company with the approval of holders of a majority of the total combined voting power of our outstanding shares.</w:t>
      </w:r>
    </w:p>
    <w:p>
      <w:pPr>
        <w:spacing w:after="0" w:line="76"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provision of our operating agreement preventing the amendments having the effects described in any of the clauses above can be amended upon the approval of holders of at least two-thirds of the outstanding shares.</w:t>
      </w:r>
    </w:p>
    <w:p>
      <w:pPr>
        <w:spacing w:after="0" w:line="1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i w:val="1"/>
          <w:iCs w:val="1"/>
          <w:color w:val="auto"/>
        </w:rPr>
        <w:t>No Shareholder Approval</w:t>
      </w:r>
      <w:r>
        <w:rPr>
          <w:rFonts w:ascii="Arial" w:cs="Arial" w:eastAsia="Arial" w:hAnsi="Arial"/>
          <w:sz w:val="18"/>
          <w:szCs w:val="18"/>
          <w:color w:val="auto"/>
        </w:rPr>
        <w:t>. Our board of directors may generally make amendments to our operating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the approval of any shareholder or assignee to reflect:</w:t>
      </w:r>
    </w:p>
    <w:p>
      <w:pPr>
        <w:spacing w:after="0" w:line="62" w:lineRule="exact"/>
        <w:rPr>
          <w:sz w:val="20"/>
          <w:szCs w:val="20"/>
          <w:color w:val="auto"/>
        </w:rPr>
      </w:pPr>
    </w:p>
    <w:p>
      <w:pPr>
        <w:ind w:left="1000" w:right="29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shareholders in accordance with our operating agreement;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merger of our company or any of its subsidiaries into, or the conveyance of all of our assets to, a newly-formed entity if the sole purpose of that merger or conveyance is to effect a mere change in our legal form into another limited liability entity;</w:t>
      </w:r>
    </w:p>
    <w:p>
      <w:pPr>
        <w:spacing w:after="0" w:line="75" w:lineRule="exact"/>
        <w:rPr>
          <w:rFonts w:ascii="Arial" w:cs="Arial" w:eastAsia="Arial" w:hAnsi="Arial"/>
          <w:sz w:val="18"/>
          <w:szCs w:val="18"/>
          <w:color w:val="auto"/>
        </w:rPr>
      </w:pPr>
    </w:p>
    <w:p>
      <w:pPr>
        <w:ind w:left="1000" w:right="299" w:hanging="348"/>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change that our board of directors determines to be necessary or appropriate for us to qualify or continue our qualification as a company in which our members have limited liability under the laws of any state;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change in our legal form from a limited liability company to a corporation;</w:t>
      </w:r>
    </w:p>
    <w:p>
      <w:pPr>
        <w:spacing w:after="0" w:line="117" w:lineRule="exact"/>
        <w:rPr>
          <w:rFonts w:ascii="Arial" w:cs="Arial" w:eastAsia="Arial" w:hAnsi="Arial"/>
          <w:sz w:val="18"/>
          <w:szCs w:val="18"/>
          <w:color w:val="auto"/>
        </w:rPr>
      </w:pPr>
    </w:p>
    <w:p>
      <w:pPr>
        <w:jc w:val="both"/>
        <w:ind w:left="1000" w:right="319" w:hanging="348"/>
        <w:spacing w:after="0" w:line="29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or ERISA, whether or not substantially similar to plan asset regulations currently applied or proposed;</w:t>
      </w:r>
    </w:p>
    <w:p>
      <w:pPr>
        <w:spacing w:after="0" w:line="53"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amendment that our board of directors determines to be necessary or appropriate for the authorization of additional securities;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amendment expressly permitted in our operating agreement to be made by our board of directors acting alone;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operating agreement;</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operating agreement;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17"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In addition, our board of directors may make amendments to our operating agreement without the approval of any shareholder or assignee if our board of directors determines that those amendments:</w:t>
      </w:r>
    </w:p>
    <w:p>
      <w:pPr>
        <w:spacing w:after="0" w:line="62"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75"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operating agreement; or</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operating agreement or are otherwise contemplated by our operating agreement.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and Dissolution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will continue as a limited liability company until terminated under our operating agreement. We will dissolve upon: (1) the election of our board of directors to dissolve us, if approved by holders of a majority of our outstanding shares; (2) the sale, exchange or other disposition of all or substantially all of our assets and those of our subsidiaries; (3) the entry of a decree of judicial dissolution of our limited liability company; or (4) at any time that we no longer have any shareholders, unless our business is continued in accordance with the Delaware LLC Act.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and Reports</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 xml:space="preserve">We are required to keep appropriate books of our business at our principal offices. The books are maintained for both tax and financial reporting purposes on an accrual basis. For financial reporting purposes and for tax purposes, our fiscal year is the calendar year. Our operating agreement provides that our shareholders have the right, subject to certain restrictions stated therein, to obtain access to certain of our books and records upon reasonable demand for any purpose reasonably related to such shareholder’s interest as a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we are only be required to provide access to our books and records to shareholders who have held over 1% of our total outstanding shares for a period of at least one year from the date of such request. We use reasonable efforts to furnish to you an annual report containing audited consolidated financial statements and a report on those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consolidated financial statements by our independent public accountants. We are be deemed to have made any such report available if we file such report with the SEC on EDGAR or make the report available on a publicly available website that we maintain.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Delaware Law and Our Operating Agreement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following is a summary of certain provisions of our operating agreement that may be deemed to have an anti-takeover effect and may delay, deter or prevent a tender offer or takeover attempt that a shareholder might consider to be in its best interest, including those attempts that might result in a premium over the market price for the Class A common stock held by Class A stockholders.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Additional Interests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operating agreement authorizes us to issue an unlimited number of additional limited liability company interests for the consideration and on the terms and conditions determined by our board of directors without the approval of the shareholders, subject to the requirements of NASDAQ. These additional limited liability company interests may be utilized for a variety of corporate purposes, including future offerings to raise additional capital and corporate acquisitions. The existence of authorized but unissued limited liability company interests could render more difficult or discourage an attempt to obtain control over us by means of a proxy contest, tender offer, merger or otherwise.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Delaware Business Combination Statute—Section 203</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are a limited liability company organized under Delaware law. Some provisions of Delaware law may delay or prevent a transaction that would cause a change in our control.</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Section 203 of the DGCL, which restricts certain business combinations with interested shareholders in certain situations, does not apply to limited liability companies unless they elect to utilize it. Our operating agreement does not currently elect to have Section 203 of the DGCL apply to us. In general, this statute prohibits a publicly held Delaware corporation from engaging in a business combination with an interested shareholder for a period of three years after the date of the transaction by which that person became an interested shareholder, unless the business combination is approved in a prescribed manner.</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Provisions of Our Operating Agreement</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operating agreement provides that our board shall consist of not fewer than three and not more than nine directors as the board of directors may from time to time determine, subject to the consent rights of the Consenting Entities described under “—Consent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7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4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addition, our operating agreement provides that any director or the entire board of directors may be removed, with or without cause, at any time, by holders of a majority of the total combined voting power of all of our outstanding Class A common stock and Class B common stock then entitled to vote at an election of directors.</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our operating agreement, preferred shares may be issued from time to time, and the board of directors is authorized to determine and alter all designations, preferences, rights, powers and duties without limitation. See “Description of Shares—Preferred Shares.” Our operating agreement does not provide our shareholders with the ability to call a special meeting of the shareholders.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Ability of Our Shareholders to Act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operating agreement does not permit our shareholders to call special shareholders meetings.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operating agreement also prohibits our shareholders from consenting in writing to take any action in lieu of taking such action at a duly called annual or special meeting of our shareholders.</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Our operating agreement provides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Removal of Members of Our Board of Directors</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 director or the entire board of directors may be removed, with or without cause, at any time, by holders of at least 80% of the total combined voting power of all of our outstanding Class A common stock and Class B common stock then entitled to vote at an election of directors. The vacancy in the board of directors caused by any such removal would be filled by a vote of the majority of directors then in office.</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Limited Liability</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Delaware LLC Act provides that a member who receives a distribution from a Delaware limited liability company and knew at the time of the distribution that the distribution was in violation of the Delaware LLC Act shall be liable to the company for the amount of the distribution for three years. Under the Delaware LLC Act, a limited liability company may not make a distribution to a member if, after the distribution, all liabilities of the company, other than liabilities to members on account of their shares and liabilities for which the recourse of creditors is limited to specific property of the company, would exceed the fair value of the assets of the company. For the purpose of determining the fair value of the assets of a company, the Delaware LLC Act provides that the fair value of property subject to liability for which recourse of creditors is limited shall be included in the assets of the company only to the extent that the fair value of that property exceeds the nonrecourse liability.</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Our operating agreement provides that unless we consent in writing to the selection of an alternative forum, the Court of Chancery of the State of Delaware will, to the fullest extent permitted by applicable law, be the sole and exclusive forum for:</w:t>
      </w:r>
    </w:p>
    <w:p>
      <w:pPr>
        <w:spacing w:after="0" w:line="76"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Delaware LLC Act or our operating agreement; or</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operating agreement also provides that any person or entity purchasing or otherwise acquiring any interest in our shares is deemed to have notice of, and to have consented to, this forum selection provision. Although we believe these provisions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operating agreements or certificates of incorporation has been challenged in legal proceedings, and it is possible that, in connection with one or more actions or proceedings described above, a court could rule that this provision in our operating agreement is inapplicable or unenforceable.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Consent Rights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So long as the Consenting Entities and their affiliates collectively, directly or indirectly, own at least 30% of the outstanding Class A common stock and Class B common stock,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80" w:lineRule="exact"/>
        <w:rPr>
          <w:sz w:val="20"/>
          <w:szCs w:val="20"/>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the date of our operating agreement;</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terminating Wesley Edens as our chief executive officer or as Chairman of the Board of Directors and hiring or appointing his successor;</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transaction that, if consummated, would constitute a Change of Control (as defined in our operating agreement) or entering into any definitive agreement or series of related agreements that govern any transaction or series of related transactions that, if consummated, would result in a Change of Control;</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voluntary election by us or any of our subsidiaries to liquidate or dissolve or commence bankruptcy or insolvency proceedings or the adoption of a plan with respect to any of the foregoing; and</w:t>
      </w:r>
    </w:p>
    <w:p>
      <w:pPr>
        <w:spacing w:after="0" w:line="15"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amendment, modification or waiver of our operating agreement or any other of our governing documents following the date of our operating agreement that materially and adversely affects any Consenting Entity or any of their affiliates.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Opportunity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operating agreement, to the extent permitted by law:</w:t>
      </w:r>
    </w:p>
    <w:p>
      <w:pPr>
        <w:spacing w:after="0" w:line="117" w:lineRule="exact"/>
        <w:rPr>
          <w:sz w:val="20"/>
          <w:szCs w:val="20"/>
          <w:color w:val="auto"/>
        </w:rPr>
      </w:pPr>
    </w:p>
    <w:p>
      <w:pPr>
        <w:jc w:val="both"/>
        <w:ind w:left="1000" w:right="319" w:hanging="348"/>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NFEH and its respective affiliates have the right to, and have no duty to abstain from, exercising such right to, engage or invest in the same or similar business as us, do business with any of our clients, customers or vendors or employ or otherwise engage any of our officers, directors or employees;</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NFEH and its respective affiliates or any of their officers, directors or employees acquire knowledge of a potential transaction that could be a corporate opportunity, it has no duty to offer such corporate opportunity to us, our Class A shareholders or affiliates;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renounced any interest or expectancy in, or in being offered an opportunity to participate in, such corporate opportunities; and</w:t>
      </w:r>
    </w:p>
    <w:p>
      <w:pPr>
        <w:spacing w:after="0" w:line="62" w:lineRule="exact"/>
        <w:rPr>
          <w:rFonts w:ascii="Arial" w:cs="Arial" w:eastAsia="Arial" w:hAnsi="Arial"/>
          <w:sz w:val="18"/>
          <w:szCs w:val="18"/>
          <w:color w:val="auto"/>
        </w:rPr>
      </w:pPr>
    </w:p>
    <w:p>
      <w:pPr>
        <w:jc w:val="both"/>
        <w:ind w:left="1000" w:right="319" w:hanging="348"/>
        <w:spacing w:after="0" w:line="293"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in the event that any of our directors and officers who is also a director, officer or employee of NFEH and their respective affiliates acquire knowledge of a corporate opportunity or is offered a corporate opportunity,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knowledge was not acquired solely in such person’s capacity as our director or officer and such person acted in good faith, then such person is deemed to have fully satisfied such person’s fiduciary duty and is not liable to us if NFEH and their respective affiliates pursues or acquires the corporate opportunity or if such person did not present the corporate opportunity to 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We or the selling securityholders may sell the securities being offered hereby in one or more of the following ways from time to time:</w:t>
      </w:r>
    </w:p>
    <w:p>
      <w:pPr>
        <w:spacing w:after="0" w:line="62" w:lineRule="exact"/>
        <w:rPr>
          <w:sz w:val="20"/>
          <w:szCs w:val="20"/>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underwriters for resale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agents or dealers to purchasers;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“at-the market” offerings (as defined in Rule 415 under the Securities Act of 1933);</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a combination of any of these methods;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through any other method permitted by applicable law and described in a prospectus supplement.</w:t>
      </w:r>
    </w:p>
    <w:p>
      <w:pPr>
        <w:spacing w:after="0" w:line="12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identify the specific plan of distribution in a prospectus supplement, including:</w:t>
      </w:r>
    </w:p>
    <w:p>
      <w:pPr>
        <w:spacing w:after="0" w:line="117" w:lineRule="exact"/>
        <w:rPr>
          <w:sz w:val="20"/>
          <w:szCs w:val="20"/>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names of the underwriters, dealers, agents or direct purchasers and their compensation;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 price of the securities and the net proceeds we will receive from the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delayed delivery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nature of the underwriters’ obligations to take the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may be listed;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names of any selling securityholders, if applicable;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Underwriters, dealers and agents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we use underwriters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If we use an underwriting syndicate, the managing underwriter(s) will be specified on the cover of the prospectus supplement. If we use underwriters for a sale of securities, the underwriters will acquire the securities for their own accounts. The underwriters may resell the securities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spacing w:after="0" w:line="7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dealers are used in an offering, we may sell the securities to the dealers as principals. The dealers then may resell the securities to the public at varying prices which they determine at the time of resale. The names of the dealers and the terms of the transaction will be specified in a prospectus supplement.</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agents are used in an offering, the names of the agents and the terms of the agency will be specified in a prospectus supplement. Unless otherwise indicated in a prospectus supplement, the agents will act on a best-efforts basis for the period of their appointment.</w:t>
      </w:r>
    </w:p>
    <w:p>
      <w:pPr>
        <w:spacing w:after="0" w:line="76"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Dealers and agents named in a prospectus supplement may be underwriters as defined in the Securities Act of 1933 and any discounts or commissions they receive from us and any profit on their resale of the securities may be treated as underwriting discounts and commissions under the Securities Act of 1933. We will identify in the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applicable prospectus supplement any underwriters, dealers or agents and will describe their compensation. We may have agreements with the underwriters, dealers and agents to indemnify them against specified civil liabilities, including liabilities under the Securities Act of 1933.</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Underwriters, dealers or agents and their associates may engage in other transactions with and perform other services for us in the ordinary course of business.</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so indicated in a prospectus supplement, we will authorize underwriters or other persons acting as our agents to solicit offers by institutional investors to purchase securities pursuant to contracts providing for payment and delivery on a future date. We may enter contracts with commercial and savings banks, insurance companies, pension funds, investment companies, educational and charitable institutions and other institutional investors. The obligations of any institutional investor will be subject to the condition that its purchase of the offered securities will not be illegal at the time of delivery. The underwriters and other agents will not be responsible for the validity or performance of contracts.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 sales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directly to one or more purchasers without using underwriters or agents.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At-the-market offerings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also sell the securities offered by any applicable prospectus supplement in “at-the-market offerings” within the meaning of Rule 415 of the Securities Act of 1933, to or through a market maker or into an existing trading market, on an exchange or otherwise.</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Unless otherwise specified in the applicable prospectus supplement, each class or series of securities will be a new issue with no established trading market, other than our Class A common stock, which is listed on NASDAQ Global Select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 “Covered” short sales are sales made in an amount not greater than the underwriters’ option to purchase additional securities, if any, from us in the offering. If the underwriters have an over-allotment option to purchase additional securities from us, the underwriters may close out any covered short position by either exercising their over-allotment option or purchasing securities in the open market. In determining the source of securities to close out the covered short position, the underwriters may consider, among other things, the price of securities available for purchase in the open market as compared to the price at which they may purchase securities through the over-allotment option. “Naked” short sales are any sales in excess of such option or where the underwriters do not have an over-allotment option. The underwriters must close out any naked short position by purchasing securities in the open market. A naked short position is more likely to be created if the underwriters are concerned that there may be downward pressure on the price of the securities in the open market after pricing that could adversely affect investors who purchase in the offering.</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NASDAQ Global Select Market or otherwise and, if commenced, may be discontinued at any time.</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U.S. FEDERAL INCOME TAX CONSIDERATIONS FOR NON-U.S. HOLDERS OF CLASS A COMMON STOCK</w:t>
      </w:r>
    </w:p>
    <w:p>
      <w:pPr>
        <w:spacing w:after="0" w:line="5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following is a summary of U.S. federal income considerations generally applicable to non-U.S. holders (as defined below) of the ownership and disposition of our Class A common stock. The following summary is based on current provisions of the Internal Revenue Code of 1986, as amended, or the Code, Treasury regulations and judicial and administrative authority, all of which are subject to change or differing interpretation, possibly with retroactive effect. State, local, foreign, and estate tax consequences are not summarized, nor are tax consequences to special classes of investors or investors subject to special rules, including, but not limited to, certain former citizens and former long-term residents of the United States, a “controlled foreign corporation,” a “passive foreign investment company,” a corporation that accumulates earnings to avoid U.S. federal income tax, a partnership or other “pass through” entity or an investor in any such entity, a holder who is subject to special exemptions or other special rules under the Foreign Investment in Real Property Tax Act of 1980 (“FIRPTA”), persons who own (actually or constructively) more than 5% of our Class A common stock, a tax-exempt organization, a bank or other financial institution, a broker, dealer or trader in securities, commodities or currencies, a person holding our Class A common stock as part of a hedging, conversion, straddle, constructive sale or other risk reduction transaction or an insurance company. Tax consequences may vary depending upon the particular status of an investor. The summary is limited to non-U.S. holders who purchase our Class A common stock for cash pursuant to an offering under this prospectus and who hold our Class A common stock as a “capital asset“(generally, property held for investment). Each potential investor should consult its tax advisor as to the U.S. federal, state, local, foreign and any other tax consequences of the purchase, ownership and disposition of our Class A common stock.</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purposes of this summary, the term “non-U.S. holder” means a beneficial owner of our Class A common stock (other than a partnership or other pass-through entity) that is not: a citizen or individual resident of the United States; a corporation (or other entity treated as a corporation for U.S. federal income tax purposes) organized in or under the laws of the United States,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partnership (including any entity or arrangement treated as a partnership for U.S. federal income tax purposes) holds our Class A common stock, the tax treatment of a partner in the partnership will generally depend upon the status of the partner and the activities of the partnership. If you are a partnership or a partner in a partnership holding our Class A common stock, you should consult your tax advisor as to the particular U.S. federal income tax consequences applicable to you.</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Distributions with respect to our Class A common stock will be treated as dividends to the extent paid from our current or accumulated earnings and profits as determined for U.S. federal income tax purposes. If a distribution exceeds our current and accumulated earnings and profits, then subject to the next sentence, the excess will be treated first as a return of capital to the extent of a holder’s adjusted tax basis in our Class A common stock and thereafter as capital gain from the sale or exchange of such Class A common stock, subject to the tax treatment described below in “—Dispositions.” If we are or become a U.S. real property holding corporation (as described below), we may be required to withhold 15% of any distribution to a non-U.S. holder that exceeds our current and accumulated earnings and profits if either our Class A common stock are not then treated as regularly traded on an established securities market or the non-U.S. holder owns in excess of 5% of our Class A common stock.</w:t>
      </w:r>
    </w:p>
    <w:p>
      <w:pPr>
        <w:spacing w:after="0" w:line="5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Generally, distributions treated as dividends paid to a non-U.S. holder with respect to our Class A common stock will be subject to a 30% U.S. withholding tax, or such lower rate as may be specified by an applicable income tax treaty. Distributions treated as dividends that are effectively connected with such non-U.S. holder’s conduct of a trade or business within the United States (and, if required by an applicable tax treaty, are attributable to a U.S. permanent establishment of such non-U.S. holder) are generally subject to U.S. federal income tax on a net income basis in the same manner as if the non-U.S. holder were a U.S. person and are exempt from the 30% withholding tax (assuming compliance with certain certification requirements). Any such effectively connected distributions received by a non-U.S. holder that is a corporation may also, under certain circumstances, be subject to an additional “branch profits tax” at a rate of 30% (or lower applicable treaty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To claim the benefit of an applicable tax treaty or an exemption from withholding because the income is effectively connected with the non-U.S. holder’s conduct of a trade or business in the United States, a non-U.S. holder generally will be required to provide a properly executed Internal Revenue Service Form W-8BEN or W-8BEN-E (if the holder is claiming the benefits of an income tax treaty) or Form W-8ECI (for income effectively connected with a trade or business in the United States) or other suitable form. Non-U.S. holders should consult their tax advisors regarding their entitlement to benefits under a relevant tax treaty.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Dispositions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with respect to gain realized on the sale, exchange or other disposition of our Class A common stock unless:</w:t>
      </w:r>
    </w:p>
    <w:p>
      <w:pPr>
        <w:spacing w:after="0" w:line="62" w:lineRule="exact"/>
        <w:rPr>
          <w:sz w:val="20"/>
          <w:szCs w:val="20"/>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gain is effectively connected with such non-U.S. holder’s conduct of a trade or business within the United States (and, if required by an applicable tax treaty, is attributable to a U.S. permanent establishment of such non-U.S. holder);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a non-U.S. holder that is a non-resident alien individual, such non-U.S. holder is present in the United States for 183 or more days in the taxable year of disposition and certain other requirements are met; or</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(“USRPHC”) at any time within the shorter of the five-year period ending on the date of such sale, exchange, or other taxable disposition or the period that such non-U.S. holder held our Class A common stock and either (a) our Class A common stock were not treated as regularly traded on an established securities market at the time of the sale, or</w:t>
      </w:r>
    </w:p>
    <w:p>
      <w:pPr>
        <w:spacing w:after="0" w:line="1" w:lineRule="exact"/>
        <w:rPr>
          <w:rFonts w:ascii="Arial" w:cs="Arial" w:eastAsia="Arial" w:hAnsi="Arial"/>
          <w:sz w:val="16"/>
          <w:szCs w:val="16"/>
          <w:color w:val="auto"/>
        </w:rPr>
      </w:pPr>
    </w:p>
    <w:p>
      <w:pPr>
        <w:ind w:left="1000" w:right="319" w:firstLine="3"/>
        <w:spacing w:after="0" w:line="260" w:lineRule="auto"/>
        <w:tabs>
          <w:tab w:leader="none" w:pos="1295" w:val="left"/>
        </w:tabs>
        <w:numPr>
          <w:ilvl w:val="1"/>
          <w:numId w:val="41"/>
        </w:numPr>
        <w:rPr>
          <w:rFonts w:ascii="Arial" w:cs="Arial" w:eastAsia="Arial" w:hAnsi="Arial"/>
          <w:sz w:val="18"/>
          <w:szCs w:val="18"/>
          <w:color w:val="auto"/>
        </w:rPr>
      </w:pPr>
      <w:r>
        <w:rPr>
          <w:rFonts w:ascii="Arial" w:cs="Arial" w:eastAsia="Arial" w:hAnsi="Arial"/>
          <w:sz w:val="18"/>
          <w:szCs w:val="18"/>
          <w:color w:val="auto"/>
        </w:rPr>
        <w:t>such non-U.S. holder owns or owned (actually or constructively) more than 5% of our Class A common stock at any time during the shorter of the two periods mentioned above.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gain or loss on the disposition of our Class A common stock is effectively connected with a non-U.S. holder’s conduct of a trade or business within the United States (and, if required by an applicable tax treaty, is attributable to a U.S. permanent establishment of such non-U.S. Holder), such gain or loss will be subject to U.S. federal income tax on a net income basis in the same manner as if the non-U.S. holder were a U.S. person, and in the case of a non-U.S. holder that is a foreign corporation, such gain may also be subject to an additional branch profits tax at a rate of 30% (or a lower applicable treaty rate). If a non-U.S. holder is an individual that is present in the United States for 183 or more days in the taxable year of disposition and certain other requirements are met, the non-U.S. holder generally will be subject to a flat income tax at a rate of 30% (or lower applicable treaty rate) on any capital gain recognized on the disposition of our Class A common stock, which may be offset by certain U.S. source capital losses.</w:t>
      </w:r>
    </w:p>
    <w:p>
      <w:pPr>
        <w:spacing w:after="0" w:line="8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With respect to the third bullet above, a corporation generally is a USRPHC if the fair market value of its U.S. real property interests, as defined in the Code and applicable Treasury regulations, equals or exceeds 50% of the aggregate fair market value of its worldwide real property interests and its other assets used or held for use in a trade or business. Although we believe that we currently are not a USRPHC, this determination is not free from doubt, and we could become a USRPHC in the future depending on the manner in which we expand our business. In addition, although we anticipate that our Class A common stock will be treated as “regularly traded on an established securities market” following this offering, no assurance can be given that our Class A common stock will continue to be so treated in the future. If the third bullet above applies to a non-U.S. holder, gain recognized on the disposition of our common shares generally will be subject to U.S. federal income tax under FIRPTA on a net income basis in the same manner as if the non-U.S. holder were a U.S. person. In addition, if our stock ceased to be “regularly traded,” the transferee in any disposition would generally be required to withhold 15% of the amount realized on the disposition under FIRPTA. Non-U.S. holders should consult their tax advisors regarding the foregoing rules.</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Information returns are required to be filed with the Internal Revenue Service in connection with payments of dividends on our Class A common stock. Unless you comply with certification procedures to establish that you are not a U.S. person, information returns may also be filed with the Internal Revenue Service in connection with the proceeds from a sale or other disposition of our Class A common stock. You may be subject to backup withholding on payments on our Class A common stock or on the proceeds from a sale or other disposition of our Class A common stock unless you comply with certification procedures to establish that you are not a U.S. person or otherwise establish an exemption. Your provision of a properly executed applicable Internal Revenue Service Form W-8</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certifying your non-U.S. status will generally permit you to avoid backup withholding. Amounts withheld under the backup withholding rules are not additional taxes and may be refunded or credited against your U.S. federal income tax liability, provided the required information is timely furnished to the Internal Revenue Service.</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Legislation enacted in 2010 and existing guidance issued thereunder require withholding at a rate of 30% on dividends in respect of our Class A common stock held by or through certain foreign financial institutions (including investment funds), unless such institution enters into an agreement with the United States Department of the Treasury to report, on an annual basis, information with respect to interests in, and accounts maintained by, the institution to the extent such interests or accounts are held by certain U.S. persons and by certain non-U.S. entities that are wholly or partially owned by U.S. persons and to withhold on certain payments. Accordingly, the entity through which our Class A common stock are held will affect the determination of whether such withholding is required. Similarly, dividends in respect of our Class A common stock held by an investor that is a non-financial non-U.S. entity that does not qualify under certain exemptions will be subject to withholding at a rate of 30%, unless such entity either (i) certifies that such entity does not have any “substantial United States owners” or (ii) provides certain information regarding the entity’s “substantial United States owners,” which we or the applicable withholding agent will in turn provide to the Internal Revenue Service. An intergovernmental agreement between the United States and an applicable foreign country, or future Treasury regulations or other guidance, may modify the foregoing requirements. We will not pay any additional amounts to stockholders in respect of any amounts withheld. Stockholders are encouraged to consult their tax advisors regarding the possible implications of the legislation on their investment in our Class A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ERISA CONSIDERATIONS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following is a general summary of certain considerations associated with the acquisition and holding of securities offered hereunder by employee benefit plans that are subject to Title I of ERISA, plans, individual retirement accounts and other arrangements that are subject to Section 4975 of the Code or employee benefit plans that are governmental plans (as defined in Section 3(32) of ERISA), certain church plans (as defined in Section 3(33) of ERISA), non-U.S. plans (as described in Section 4(b)(4) of securities) or other plans that are not subject to the foregoing but may be subject to provisions under any other federal, state, local, non-U.S. or other laws or regulations that are similar to such provisions of ERISA or the Code (collectively, “Similar Laws”), and entities whose underlying assets are considered to include “plan assets” of any such plan, account or arrangement (each, a “Plan”).</w:t>
      </w:r>
    </w:p>
    <w:p>
      <w:pPr>
        <w:spacing w:after="0" w:line="8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This summary is based on the provisions of ERISA and the Code (and related regulations and administrative and judicial interpretations) as of the date of this prospectus.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This discussion is general in nature and is not intended to be all inclusive, nor should it be construed as investment or legal advice. Each time we or any securityholders offer, issue or sell securities, we will provide a supplement to this prospectus that may contain supplemental information to this summary.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Fiduciary Matters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 We and our affiliates will not act in a fiduciary capacity with respect to any Plan’s investment in our securities.</w:t>
      </w:r>
    </w:p>
    <w:p>
      <w:pPr>
        <w:spacing w:after="0" w:line="69"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In considering an investment in a security offered pursuant hereto with a portion of the assets of any Plan, a fiduciary should consider the Plan’s particular circumstances and all of the facts and circumstances of the investment and determine whether the acquisition and holding of such security is in accordance with the documents and instruments governing the Plan and the applicable provisions of ERISA, the Code, or any Similar Law relating to the fiduciary’s duties to the Plan, including, without limitation:</w:t>
      </w:r>
    </w:p>
    <w:p>
      <w:pPr>
        <w:spacing w:after="0" w:line="68" w:lineRule="exact"/>
        <w:rPr>
          <w:sz w:val="20"/>
          <w:szCs w:val="20"/>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404(a)(1)(B) of ERISA and any other applicable Similar Laws;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in making the investment, the ERISA Plan will satisfy the diversification requirements of Section 404(a)(1)(C) of ERISA and any other applicable Similar Laws;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investment is permitted under the terms of the applicable documents governing the Plan;</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in the future there may be no market in which to sell or otherwise dispose of the security;</w:t>
      </w:r>
    </w:p>
    <w:p>
      <w:pPr>
        <w:spacing w:after="0" w:line="128" w:lineRule="exact"/>
        <w:rPr>
          <w:rFonts w:ascii="Arial" w:cs="Arial" w:eastAsia="Arial" w:hAnsi="Arial"/>
          <w:sz w:val="17"/>
          <w:szCs w:val="17"/>
          <w:color w:val="auto"/>
        </w:rPr>
      </w:pPr>
    </w:p>
    <w:p>
      <w:pPr>
        <w:jc w:val="both"/>
        <w:ind w:left="1000" w:right="319" w:hanging="348"/>
        <w:spacing w:after="0" w:line="263"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acquisition or holding of such security will constitute a “prohibited transaction” under Section 406 of ERISA or Section 4975 of the Code (please see discussion under “—Prohibited Transaction Issues” below); and</w:t>
      </w:r>
    </w:p>
    <w:p>
      <w:pPr>
        <w:spacing w:after="0" w:line="75" w:lineRule="exact"/>
        <w:rPr>
          <w:rFonts w:ascii="Arial" w:cs="Arial" w:eastAsia="Arial" w:hAnsi="Arial"/>
          <w:sz w:val="18"/>
          <w:szCs w:val="18"/>
          <w:color w:val="auto"/>
        </w:rPr>
      </w:pPr>
    </w:p>
    <w:p>
      <w:pPr>
        <w:ind w:left="1000" w:right="299" w:hanging="348"/>
        <w:spacing w:after="0" w:line="308"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whether the Plan will be considered to hold, as plan assets, (i) only such security or (ii) an undivided interest in our underlying assets (please see the discussion under “—Plan Asset Issues” below).</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Prohibited Transaction Issues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w:t>
      </w:r>
    </w:p>
    <w:p>
      <w:pPr>
        <w:sectPr>
          <w:pgSz w:w="11900" w:h="16838" w:orient="portrait"/>
          <w:cols w:equalWidth="0" w:num="1">
            <w:col w:w="9019"/>
          </w:cols>
          <w:pgMar w:left="1440" w:top="265"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and the Code. The acquisition and/or holding of our securities by an ERISA Plan with respect to which the issuer or certain other parties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w:t>
      </w:r>
    </w:p>
    <w:p>
      <w:pPr>
        <w:spacing w:after="0" w:line="8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Because of the foregoing, our securities (including interests therein) should not be acquired or held by any person investing “plan assets” of any Plan, unless such acquisition and holding will not constitute a non-exempt prohibited transaction under ERISA and the Code or a similar violation of any applicable Similar Laws.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Asset Issues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Additionally, a fiduciary of a Plan should consider whether the Plan will, by investing in our equity securities, be deemed to own an undivided interest in our assets, with the result that we would become a fiduciary of the Plan and our operations would be subject to the regulatory restrictions of ERISA, including its prohibited transaction rules, as well as the prohibited transaction rules of the Code and any other applicable Similar Laws.</w:t>
      </w:r>
    </w:p>
    <w:p>
      <w:pPr>
        <w:spacing w:after="0" w:line="49"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Department of Labor (the “DOL”) regulations, as modified by Section 3(42) of ERISA (the “Plan Asset Regulation”) provide guidance with respect to whether the assets of an entity in which ERISA Plans acquire equity interests would be deemed “plan assets” under some circumstances. Under the Plan Asset Regulation, an entity’s assets generally would not be considered to be “plan assets” if, among other things:</w:t>
      </w:r>
    </w:p>
    <w:p>
      <w:pPr>
        <w:spacing w:after="0" w:line="63" w:lineRule="exact"/>
        <w:rPr>
          <w:sz w:val="20"/>
          <w:szCs w:val="20"/>
          <w:color w:val="auto"/>
        </w:rPr>
      </w:pPr>
    </w:p>
    <w:p>
      <w:pPr>
        <w:jc w:val="both"/>
        <w:ind w:left="1000" w:right="299" w:hanging="348"/>
        <w:spacing w:after="0" w:line="25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interests acquired by ERISA Plans are “publicly offered securities” (as defined in the DOL regulations)—i.e., the equity interests are part of a class of securities that is widely held by 100 or more investors independent of the issuer and each other, are “freely transferable” (as defined in the DOL regulations), and are either registered under certain provisions of the federal securities laws or sold to the ERISA Plan as part of a public offering under certain conditions;</w:t>
      </w:r>
    </w:p>
    <w:p>
      <w:pPr>
        <w:spacing w:after="0" w:line="79"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entity is an “operating company” (as defined in the DOL regulations)—i.e., it is primarily engaged in the production or sale of a product or service, other than the investment of capital, either directly or through a majority-owned subsidiary or subsidiaries; or</w:t>
      </w:r>
    </w:p>
    <w:p>
      <w:pPr>
        <w:spacing w:after="0" w:line="75" w:lineRule="exact"/>
        <w:rPr>
          <w:rFonts w:ascii="Arial" w:cs="Arial" w:eastAsia="Arial" w:hAnsi="Arial"/>
          <w:sz w:val="18"/>
          <w:szCs w:val="18"/>
          <w:color w:val="auto"/>
        </w:rPr>
      </w:pPr>
    </w:p>
    <w:p>
      <w:pPr>
        <w:jc w:val="both"/>
        <w:ind w:left="1000" w:right="299" w:hanging="348"/>
        <w:spacing w:after="0" w:line="271"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is no significant investment by benefit plan investors, which is defined to mean that immediately after the most recent acquisition by an ERISA Plan of any equity interest in the entity, less than 25% of the total value of each class of equity interest (disregarding certain interests held by persons (other than benefit plan investors) with discretionary authority or control over the assets of the entity or who provide investment advice for a fee (direct or indirect) with respect to such assets, and any affiliates thereof) is held by ERISA Plans, IRAs and certain other Plans (but not including governmental plans, foreign plans and certain church plans), and entities whose underlying assets are deemed to include plan assets by reason of a Plan’s investment in the entity.</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Due to the complexity of these rules and the excise taxes, penalties and liabilities that may be imposed upon persons involved in non-exempt prohibited transactions, it is particularly important that fiduciaries, or other persons considering acquiring and/or holding our equity securities on behalf of, or with the assets of, any Plan, consult with their counsel regarding the potential applicability of ERISA, Section 4975 of the Code and any Similar Laws to such investment and whether an exemption would be applicable to the investment in such securities. Purchasers of our securities have the exclusive responsibility for ensuring, and will be deemed (and in certain cases may be required) to represent, that their acquisition and holding of such securities complies with the fiduciary responsibility rules of ERISA and does not violate the prohibited transaction rules of ERISA, the Code or applicable Similar Laws. The sale of any security to a Plan is in no respect a representation or recommendation by us or any of our respective affiliates or representatives that such an investment meets all relevant legal requirements with respect to investments by any such Plan or that such investment is appropriate or advisable for any such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Ernst &amp; Young LLP (“E&amp;Y”), independent registered public accounting firm, has audited our consolidated financial statements included in our Annual Report on Form 10-K for the year ended December 31, 2020 and the effectiveness of New Fortress Energy Inc.'s internal control over financial reporting as of December 31, 2020, as set forth in their reports (which contains an explanatory paragraph describing the adoption of ASU No. 2016-02 as described in Note 3 to the consolidated financial statements), which are incorporated by reference in this prospectus and elsewhere in the registration statement. Our financial statements are incorporated by reference in reliance on E&amp;Y’s reports, given on their authority as experts in accounting and auditing.</w:t>
      </w:r>
    </w:p>
    <w:p>
      <w:pPr>
        <w:spacing w:after="0" w:line="6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E&amp;Y, independent registered public accounting firm, has audited the consolidated financial statements of GMLP included in our Current Report on Form 8-K filed with the SEC on March 18, 2021 for the year ended December 31, 2020, as set forth in their report (which contains an explanatory paragraph describing conditions that raise substantial doubt about the Company’s ability to continue as a going concern as described in Note 1 to the consolidated financial statements), which is incorporated by reference in this prospectus and elsewhere in the registration statement. GMLP’s financial statements are incorporated by reference in reliance on E&amp;Y’s report, given on their authority as experts in accounting and auditing.</w:t>
      </w:r>
    </w:p>
    <w:p>
      <w:pPr>
        <w:spacing w:after="0" w:line="6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E&amp;Y, independent registered public accounting firm, has audited the consolidated financial statements of Hygo included in our Current Report on Form 8-K filed with the SEC on March 18, 2021 for the year ended December 31, 2020, as set forth in their report, which is incorporated by reference in this prospectus and elsewhere in the registration statement. Hygo’s financial statements are incorporated by reference in reliance on E&amp;Y’s report, given on their authority as experts in accounting and auditing.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29,599,403 Shares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657225</wp:posOffset>
            </wp:positionV>
            <wp:extent cx="2597150" cy="685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259715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New Fortress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174625</wp:posOffset>
            </wp:positionV>
            <wp:extent cx="1097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174625</wp:posOffset>
            </wp:positionV>
            <wp:extent cx="10972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3012440</wp:posOffset>
            </wp:positionV>
            <wp:extent cx="5212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3072130</wp:posOffset>
            </wp:positionV>
            <wp:extent cx="5212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516"/>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516"/>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Roman"/>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4"/>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2"/>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lvl w:ilvl="1">
      <w:lvlJc w:val="left"/>
      <w:lvlText w:val="(%2)"/>
      <w:numFmt w:val="lowerLetter"/>
      <w:start w:val="2"/>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jpe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jpe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34" Type="http://schemas.openxmlformats.org/officeDocument/2006/relationships/hyperlink" Target="https://www.sec.gov/Archives/edgar/data/1749723/000114036121008724/brhc10021589_10k.htm" TargetMode="External"/><Relationship Id="rId35" Type="http://schemas.openxmlformats.org/officeDocument/2006/relationships/hyperlink" Target="https://www.sec.gov/Archives/edgar/data/1749723/000114036121016441/brhc10023949_10q.htm" TargetMode="External"/><Relationship Id="rId36" Type="http://schemas.openxmlformats.org/officeDocument/2006/relationships/hyperlink" Target="https://www.sec.gov/Archives/edgar/data/1749723/000114036121009659/brhc10022150_8k.htm" TargetMode="External"/><Relationship Id="rId37" Type="http://schemas.openxmlformats.org/officeDocument/2006/relationships/hyperlink" Target="https://www.sec.gov/Archives/edgar/data/1749723/000114036121010350/brhc10022361_8k.htm" TargetMode="External"/><Relationship Id="rId38" Type="http://schemas.openxmlformats.org/officeDocument/2006/relationships/hyperlink" Target="https://www.sec.gov/Archives/edgar/data/1749723/000114036121012455/brhc10022997_8k.htm" TargetMode="External"/><Relationship Id="rId39" Type="http://schemas.openxmlformats.org/officeDocument/2006/relationships/hyperlink" Target="https://www.sec.gov/Archives/edgar/data/1749723/000114036121013692/brhc10023371_8k.htm" TargetMode="External"/><Relationship Id="rId40" Type="http://schemas.openxmlformats.org/officeDocument/2006/relationships/hyperlink" Target="https://www.sec.gov/Archives/edgar/data/1749723/000114036121021706/brhc10025860_8k.htm" TargetMode="External"/><Relationship Id="rId41" Type="http://schemas.openxmlformats.org/officeDocument/2006/relationships/hyperlink" Target="https://www.sec.gov/Archives/edgar/data/1749723/000114036120017741/brhc10014200_8a12ba.htm" TargetMode="External"/><Relationship Id="rId42" Type="http://schemas.openxmlformats.org/officeDocument/2006/relationships/hyperlink" Target="https://www.sec.gov/Archives/edgar/data/1749723/000114036121014911/nc10023732x1_def14a.htm" TargetMode="External"/><Relationship Id="rId48" Type="http://schemas.openxmlformats.org/officeDocument/2006/relationships/hyperlink" Target="https://www.sec.gov/Archives/edgar/data/1749723/000114036121001601/brhc10019000_8k.htm" TargetMode="External"/><Relationship Id="rId49" Type="http://schemas.openxmlformats.org/officeDocument/2006/relationships/hyperlink" Target="https://www.sec.gov/Archives/edgar/data/1749723/000114036121009140/brhc10019275_8k.htm" TargetMode="External"/><Relationship Id="rId50" Type="http://schemas.openxmlformats.org/officeDocument/2006/relationships/hyperlink" Target="https://www.sec.gov/Archives/edgar/data/1749723/000114036120009946/nc1001118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2021-07-09T15:36:56Z</dcterms:created>
  <dcterms:modified xsi:type="dcterms:W3CDTF">2021-07-09T15:36:56Z</dcterms:modified>
</cp:coreProperties>
</file>