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January 29, 2019</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dated January 29, 2019</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333-228339</w:t>
      </w:r>
    </w:p>
    <w:p>
      <w:pPr>
        <w:spacing w:after="0" w:line="234" w:lineRule="exact"/>
        <w:rPr>
          <w:sz w:val="24"/>
          <w:szCs w:val="24"/>
          <w:color w:val="auto"/>
        </w:rPr>
      </w:pPr>
    </w:p>
    <w:p>
      <w:pPr>
        <w:jc w:val="both"/>
        <w:spacing w:after="0" w:line="305" w:lineRule="auto"/>
        <w:rPr>
          <w:sz w:val="20"/>
          <w:szCs w:val="20"/>
          <w:color w:val="auto"/>
        </w:rPr>
      </w:pPr>
      <w:r>
        <w:rPr>
          <w:rFonts w:ascii="Arial" w:cs="Arial" w:eastAsia="Arial" w:hAnsi="Arial"/>
          <w:sz w:val="17"/>
          <w:szCs w:val="17"/>
          <w:i w:val="1"/>
          <w:iCs w:val="1"/>
          <w:color w:val="auto"/>
        </w:rPr>
        <w:t>This free writing prospectus should be read together with the issuer’s registration statement on Form S-1 (File No. 333-228339) (including the prospectus therein), as amended. The following information supplements and updates the information contained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533525" cy="391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3525" cy="391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New Fortress Energy LLC Amends Registration Statement to Expedite Initial Public Offering Following Resumed Operations by the SEC</w:t>
      </w:r>
    </w:p>
    <w:p>
      <w:pPr>
        <w:spacing w:after="0" w:line="265" w:lineRule="exact"/>
        <w:rPr>
          <w:sz w:val="24"/>
          <w:szCs w:val="24"/>
          <w:color w:val="auto"/>
        </w:rPr>
      </w:pPr>
    </w:p>
    <w:p>
      <w:pPr>
        <w:jc w:val="both"/>
        <w:spacing w:after="0" w:line="269" w:lineRule="auto"/>
        <w:rPr>
          <w:sz w:val="20"/>
          <w:szCs w:val="20"/>
          <w:color w:val="auto"/>
        </w:rPr>
      </w:pPr>
      <w:r>
        <w:rPr>
          <w:rFonts w:ascii="Arial" w:cs="Arial" w:eastAsia="Arial" w:hAnsi="Arial"/>
          <w:sz w:val="17"/>
          <w:szCs w:val="17"/>
          <w:color w:val="auto"/>
        </w:rPr>
        <w:t>NEW YORK, January 29, 2019 – New Fortress Energy LLC (NASDAQ: NFE) (“New Fortress” or the “Company”) announced today that it has filed an amendment to its registration statement on Form S-1 with the U.S. Securities and Exchange Commission (the “SEC”) in order to expedite the completion of its initial public offering as a result of the resumed operations by the SEC. The offering information is unchanged from the information contained in the amendment to the registration statement the Company filed on January 25, 2019, and reflects the proposed sale of 20,000,000 Class A shares at an initial public offering price of $15.00 per share. New Fortress expects to enter into an underwriting agreement in connection with the effectiveness of the registration statement. In addition, New Fortress intends to grant the underwriters a 30-day option to purchase up to an additional 3,000,000 Class A shares at the initial public offering price, less underwriting discounts and commissions. The Class A shares have been approved for listing on the Nasdaq Global Select Market under the ticker symbol “NFE.”</w:t>
      </w:r>
    </w:p>
    <w:p>
      <w:pPr>
        <w:spacing w:after="0" w:line="206"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 the most recent amendment to the registration statement filed on January 29, 2019, New Fortress removed the language indicating that the registration statement would become effective automatically on February 13, 2019 pursuant to Section 8(a) under the Securities Act of 1933, as amended (the “Securities Act”), and included the traditional delaying amendment that indicates that the registration statement must be declared effective by the SEC. Because the SEC has resumed operations, New Fortress is seeking to expedite effectiveness of the registration statement to a date during the week of January 28, 2019 if approved by the staff of the SEC.</w:t>
      </w:r>
    </w:p>
    <w:p>
      <w:pPr>
        <w:spacing w:after="0" w:line="215" w:lineRule="exact"/>
        <w:rPr>
          <w:sz w:val="24"/>
          <w:szCs w:val="24"/>
          <w:color w:val="auto"/>
        </w:rPr>
      </w:pPr>
    </w:p>
    <w:p>
      <w:pPr>
        <w:jc w:val="both"/>
        <w:spacing w:after="0" w:line="274" w:lineRule="auto"/>
        <w:rPr>
          <w:sz w:val="20"/>
          <w:szCs w:val="20"/>
          <w:color w:val="auto"/>
        </w:rPr>
      </w:pPr>
      <w:r>
        <w:rPr>
          <w:rFonts w:ascii="Arial" w:cs="Arial" w:eastAsia="Arial" w:hAnsi="Arial"/>
          <w:sz w:val="18"/>
          <w:szCs w:val="18"/>
          <w:color w:val="auto"/>
        </w:rPr>
        <w:t>Morgan Stanley, Barclays, Citigroup and Credit Suisse are acting as lead book-running managers for the proposed offering. Additional book-running managers are Evercore ISI and Allen &amp; Company LLC. Co-managers are JMP Securities and Stifel.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0866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1" w:name="page2"/>
    <w:bookmarkEnd w:id="1"/>
    <w:p>
      <w:pPr>
        <w:spacing w:after="0" w:line="274" w:lineRule="auto"/>
        <w:rPr>
          <w:sz w:val="20"/>
          <w:szCs w:val="20"/>
          <w:color w:val="auto"/>
        </w:rPr>
      </w:pPr>
      <w:r>
        <w:rPr>
          <w:rFonts w:ascii="Arial" w:cs="Arial" w:eastAsia="Arial" w:hAnsi="Arial"/>
          <w:sz w:val="18"/>
          <w:szCs w:val="18"/>
          <w:color w:val="auto"/>
        </w:rPr>
        <w:t>The offering of these securities will be made only by means of a prospectus that meets the requirements of Section 10 of the Securities Act. A copy of the preliminary prospectus may be obtained from: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w:t>
      </w:r>
    </w:p>
    <w:p>
      <w:pPr>
        <w:spacing w:after="0" w:line="183" w:lineRule="auto"/>
        <w:rPr>
          <w:sz w:val="20"/>
          <w:szCs w:val="20"/>
          <w:color w:val="auto"/>
        </w:rPr>
      </w:pPr>
      <w:r>
        <w:rPr>
          <w:rFonts w:ascii="Arial" w:cs="Arial" w:eastAsia="Arial" w:hAnsi="Arial"/>
          <w:sz w:val="16"/>
          <w:szCs w:val="16"/>
          <w:color w:val="auto"/>
        </w:rPr>
        <w:t>180 Varick Street,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8"/>
          <w:szCs w:val="18"/>
          <w:color w:val="auto"/>
        </w:rPr>
        <w:t>New York, NY 10014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Broadridge Financial Solutions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1155 Long Island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Edgewood, NY 11717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Telephone: (888) 603-5847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 barclaysprospectus@broadridge.com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 Broadridge Financial Solutions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1155 Long Island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Edgewood, NY 11717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Telephone: (800) 831-9146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Department</w:t>
      </w:r>
    </w:p>
    <w:p>
      <w:pPr>
        <w:spacing w:after="0" w:line="183" w:lineRule="auto"/>
        <w:rPr>
          <w:sz w:val="20"/>
          <w:szCs w:val="20"/>
          <w:color w:val="auto"/>
        </w:rPr>
      </w:pPr>
      <w:r>
        <w:rPr>
          <w:rFonts w:ascii="Arial" w:cs="Arial" w:eastAsia="Arial" w:hAnsi="Arial"/>
          <w:sz w:val="16"/>
          <w:szCs w:val="16"/>
          <w:color w:val="auto"/>
        </w:rPr>
        <w:t>Eleven Madison Avenue,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8"/>
          <w:szCs w:val="18"/>
          <w:color w:val="auto"/>
        </w:rPr>
        <w:t>New York, NY 10010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Telephone: (800) 221-1037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Email: usa.prospectus@credit-suisse.com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registration statement relating to these securities has been filed with the SEC but has not yet become effective. These securities may not be sold nor may offers to buy be accepted prior to the time the registration statement becomes effective. The registration statement may be obtained free of charge at the SEC’s website at www.sec.gov under “New Fortress Energy LLC.” This press release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New Fortress Energy LLC</w:t>
      </w:r>
    </w:p>
    <w:p>
      <w:pPr>
        <w:spacing w:after="0" w:line="25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New Fortress Energy is a global energy infrastructure company founded to help accelerate the world’s transition to clean energy. The company funds, builds and operates natural gas infrastructure and logistics to deliver fast-track, turnkey energy solutions that enable economic growth, environmental stewardship and transform local industries and communities. New Fortress Energy is majority-owned by a fund managed by an affiliate of Fortress Investment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086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227" w:right="56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5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statements contained in this press release constitute “forward-looking statements”. These forward-looking statements, including statements regarding the effectiveness of the registration statement,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Accordingly, readers should not place undue reliance on forward-looking statements as a prediction of actual results.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prospectus included in the registration statement filed with the SEC in connection with the Company’s initial public offering, which could cause its actual results to differ materially from those contained in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Jake Suski</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+1 (516) 268-7433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press@newfortressenergy.com</w:t>
      </w:r>
    </w:p>
    <w:p>
      <w:pPr>
        <w:spacing w:after="0" w:line="234"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 xml:space="preserve">The Company has filed a registration statement (including a prospectus) with the SEC for the offering to which this communication relates. Before you invest, you should read the prospectus in that registration statement and other documents the Company has filed with the SEC for more complete information about the Company and this offering. You may obtain these documents for free by visiting EDGAR on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Company, any underwriter or any dealer participating in the offering will arrange to send you the prospectus if you request it from: Morgan Stanley &amp; Co. LLC, Attention: Prospectus Department, 180 Varick Street,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York, NY 10014; Barclays Capital Inc., c/o Broadridge Financial Solutions, 1155 Long Island Avenue, Edgewood, NY 11717, Telephone: (888) 603-5847, Email: barclaysprospectus@broadridge.com; Citigroup Global Markets Inc., c/o Broadridge Financial Solutions, 1155 Long Island Avenue, Edgewood, NY 11717, Telephone: (800) 831-9146; Credit Suisse Securities (USA) LLC, Attention: Prospectus Department, Eleven Madison Avenue,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New York, NY 10010, Telephone: (800) 221-1037, Email usa.prospectus@credit-suisse.com.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086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sectPr>
      <w:pgSz w:w="12240" w:h="15840" w:orient="portrait"/>
      <w:cols w:equalWidth="0" w:num="1">
        <w:col w:w="11160"/>
      </w:cols>
      <w:pgMar w:left="520" w:top="223"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2019-12-15T16:23:41Z</dcterms:created>
  <dcterms:modified xsi:type="dcterms:W3CDTF">2019-12-15T16:23:41Z</dcterms:modified>
</cp:coreProperties>
</file>