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333-277611</w:t>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March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374015</wp:posOffset>
            </wp:positionV>
            <wp:extent cx="199517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517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2,064,517 Shares</w:t>
      </w: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0" w:lineRule="exact"/>
        <w:rPr>
          <w:sz w:val="24"/>
          <w:szCs w:val="24"/>
          <w:color w:val="auto"/>
        </w:rPr>
      </w:pPr>
    </w:p>
    <w:p>
      <w:pPr>
        <w:spacing w:after="0" w:line="263" w:lineRule="exact"/>
        <w:rPr>
          <w:sz w:val="24"/>
          <w:szCs w:val="24"/>
          <w:color w:val="auto"/>
        </w:rPr>
      </w:pPr>
    </w:p>
    <w:p>
      <w:pPr>
        <w:ind w:left="400" w:right="479" w:firstLine="359"/>
        <w:spacing w:after="0" w:line="294" w:lineRule="auto"/>
        <w:rPr>
          <w:sz w:val="20"/>
          <w:szCs w:val="20"/>
          <w:color w:val="auto"/>
        </w:rPr>
      </w:pPr>
      <w:r>
        <w:rPr>
          <w:rFonts w:ascii="Times New Roman" w:cs="Times New Roman" w:eastAsia="Times New Roman" w:hAnsi="Times New Roman"/>
          <w:sz w:val="17"/>
          <w:szCs w:val="17"/>
          <w:color w:val="auto"/>
        </w:rPr>
        <w:t>This prospectus supplement relates to the offer and sale, from time to time, of up to 2,064,517 shares of our Class A common stock, par value $0.01 per share (the “Class A common stock”), by the selling securityholder (the “selling securityholder”) identified in this prospectus supplement. Such shares of our Class A common stock may be issued upon the conversion, repurchase or redemption of 96,746 shares of our 4.8% Series A Convertible Preferred Stock, par value $0.01 per share (the “Series A Convertible Preferred Stock”). We will not receive any proceeds from the sale of shares of our Class A common stock covered by this prospectus supplement. We will pay all expenses of the registration of the Class A common stock and certain other expenses.</w:t>
      </w:r>
    </w:p>
    <w:p>
      <w:pPr>
        <w:spacing w:after="0" w:line="185" w:lineRule="exact"/>
        <w:rPr>
          <w:sz w:val="24"/>
          <w:szCs w:val="24"/>
          <w:color w:val="auto"/>
        </w:rPr>
      </w:pPr>
    </w:p>
    <w:p>
      <w:pPr>
        <w:ind w:left="400" w:right="539" w:firstLine="359"/>
        <w:spacing w:after="0" w:line="281" w:lineRule="auto"/>
        <w:rPr>
          <w:sz w:val="20"/>
          <w:szCs w:val="20"/>
          <w:color w:val="auto"/>
        </w:rPr>
      </w:pPr>
      <w:r>
        <w:rPr>
          <w:rFonts w:ascii="Times New Roman" w:cs="Times New Roman" w:eastAsia="Times New Roman" w:hAnsi="Times New Roman"/>
          <w:sz w:val="18"/>
          <w:szCs w:val="18"/>
          <w:color w:val="auto"/>
        </w:rPr>
        <w:t>The registration of the offer and sale of shares of our Class A common stock covered by this prospectus supplement satisfies certain contractual obligations and does not necessarily mean that the selling securityholder identified in this prospectus supplement will offer to sell any of the shares of Class A common stock offered hereby.</w:t>
      </w:r>
    </w:p>
    <w:p>
      <w:pPr>
        <w:spacing w:after="0" w:line="177" w:lineRule="exact"/>
        <w:rPr>
          <w:sz w:val="24"/>
          <w:szCs w:val="24"/>
          <w:color w:val="auto"/>
        </w:rPr>
      </w:pPr>
    </w:p>
    <w:p>
      <w:pPr>
        <w:ind w:left="400" w:right="439" w:firstLine="359"/>
        <w:spacing w:after="0" w:line="277" w:lineRule="auto"/>
        <w:rPr>
          <w:sz w:val="20"/>
          <w:szCs w:val="20"/>
          <w:color w:val="auto"/>
        </w:rPr>
      </w:pPr>
      <w:r>
        <w:rPr>
          <w:rFonts w:ascii="Times New Roman" w:cs="Times New Roman" w:eastAsia="Times New Roman" w:hAnsi="Times New Roman"/>
          <w:sz w:val="18"/>
          <w:szCs w:val="18"/>
          <w:color w:val="auto"/>
        </w:rPr>
        <w:t>The selling securityholder will act independently in making decisions with respect to the timing, manner and size of any sale or non-sale related transfer. The selling securityholder may sell these shares in one or more transactions (including one or more underwritten offerings) at the market price for our Class A common stock prevailing at the time of sale, a price related to the prevailing market price, a negotiated price or such other price as the selling securityholder determines from time to time. See “Plan of Distribution.”</w:t>
      </w:r>
    </w:p>
    <w:p>
      <w:pPr>
        <w:spacing w:after="0" w:line="194" w:lineRule="exact"/>
        <w:rPr>
          <w:sz w:val="24"/>
          <w:szCs w:val="24"/>
          <w:color w:val="auto"/>
        </w:rPr>
      </w:pPr>
    </w:p>
    <w:p>
      <w:pPr>
        <w:ind w:left="400" w:right="559" w:firstLine="359"/>
        <w:spacing w:after="0" w:line="281"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(the “NASDAQ”) under the symbol “NFE.” The last reported sales price of our Class A common stock on the NASDAQ on March 25, 2024 was $29.76 per share.</w:t>
      </w:r>
    </w:p>
    <w:p>
      <w:pPr>
        <w:spacing w:after="0" w:line="186" w:lineRule="exact"/>
        <w:rPr>
          <w:sz w:val="24"/>
          <w:szCs w:val="24"/>
          <w:color w:val="auto"/>
        </w:rPr>
      </w:pPr>
    </w:p>
    <w:p>
      <w:pPr>
        <w:ind w:left="400" w:right="519" w:firstLine="359"/>
        <w:spacing w:after="0" w:line="278"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involves a high degree of risk. Before buying any shares of our Class A common stock, you should carefully consider the risks that we have described in “Risk Factors” beginning on page S-</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this prospectus supplement, in the accompanying prospectus and in the documents incorporated or deemed incorporated by reference into this prospectus supplement and accompanying prospectus.</w:t>
      </w:r>
    </w:p>
    <w:p>
      <w:pPr>
        <w:spacing w:after="0" w:line="177" w:lineRule="exact"/>
        <w:rPr>
          <w:sz w:val="24"/>
          <w:szCs w:val="24"/>
          <w:color w:val="auto"/>
        </w:rPr>
      </w:pPr>
    </w:p>
    <w:p>
      <w:pPr>
        <w:ind w:left="400" w:right="439" w:firstLine="359"/>
        <w:spacing w:after="0" w:line="29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supplement is March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-628650</wp:posOffset>
            </wp:positionH>
            <wp:positionV relativeFrom="paragraph">
              <wp:posOffset>135890</wp:posOffset>
            </wp:positionV>
            <wp:extent cx="69869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95" w:lineRule="exact"/>
        <w:rPr>
          <w:sz w:val="20"/>
          <w:szCs w:val="20"/>
          <w:color w:val="auto"/>
        </w:rPr>
      </w:pPr>
    </w:p>
    <w:p>
      <w:pPr>
        <w:jc w:val="both"/>
        <w:ind w:left="8080"/>
        <w:spacing w:after="0"/>
        <w:tabs>
          <w:tab w:leader="none" w:pos="8220" w:val="left"/>
          <w:tab w:leader="none" w:pos="83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50165</wp:posOffset>
            </wp:positionV>
            <wp:extent cx="534289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2890" cy="222885"/>
                    </a:xfrm>
                    <a:prstGeom prst="rect">
                      <a:avLst/>
                    </a:prstGeom>
                    <a:noFill/>
                  </pic:spPr>
                </pic:pic>
              </a:graphicData>
            </a:graphic>
          </wp:anchor>
        </w:drawing>
      </w:r>
    </w:p>
    <w:p>
      <w:pPr>
        <w:sectPr>
          <w:pgSz w:w="11900" w:h="16838" w:orient="portrait"/>
          <w:cols w:equalWidth="0" w:num="1">
            <w:col w:w="9019"/>
          </w:cols>
          <w:pgMar w:left="1440" w:top="263" w:right="1440" w:bottom="1059" w:gutter="0" w:footer="0" w:header="0"/>
        </w:sectPr>
      </w:pP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0000EE"/>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59055</wp:posOffset>
            </wp:positionV>
            <wp:extent cx="534289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S-ii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S-iii</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S-6</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S-8</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S-8</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S-9</w:t>
      </w:r>
    </w:p>
    <w:p>
      <w:pPr>
        <w:spacing w:after="0" w:line="200" w:lineRule="exact"/>
        <w:rPr>
          <w:sz w:val="20"/>
          <w:szCs w:val="20"/>
          <w:color w:val="auto"/>
        </w:rPr>
      </w:pPr>
    </w:p>
    <w:p>
      <w:pPr>
        <w:sectPr>
          <w:pgSz w:w="11900" w:h="16838" w:orient="portrait"/>
          <w:cols w:equalWidth="0" w:num="3">
            <w:col w:w="7360" w:space="720"/>
            <w:col w:w="160" w:space="160"/>
            <w:col w:w="619"/>
          </w:cols>
          <w:pgMar w:left="1440" w:top="263" w:right="1440" w:bottom="1059"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105410</wp:posOffset>
            </wp:positionV>
            <wp:extent cx="534289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2890" cy="240030"/>
                    </a:xfrm>
                    <a:prstGeom prst="rect">
                      <a:avLst/>
                    </a:prstGeom>
                    <a:noFill/>
                  </pic:spPr>
                </pic:pic>
              </a:graphicData>
            </a:graphic>
          </wp:anchor>
        </w:drawing>
      </w:r>
    </w:p>
    <w:p>
      <w:pPr>
        <w:sectPr>
          <w:pgSz w:w="11900" w:h="16838" w:orient="portrait"/>
          <w:cols w:equalWidth="0" w:num="1">
            <w:col w:w="9019"/>
          </w:cols>
          <w:pgMar w:left="1440" w:top="263" w:right="1440" w:bottom="1059" w:gutter="0" w:footer="0" w:header="0"/>
          <w:type w:val="continuous"/>
        </w:sectPr>
      </w:pP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DESCRIPTION OF SECURITIES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DESCRIPTION OF DEPOSITARY SHARES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117" w:lineRule="exact"/>
        <w:rPr>
          <w:sz w:val="20"/>
          <w:szCs w:val="20"/>
          <w:color w:val="auto"/>
        </w:rPr>
      </w:pPr>
    </w:p>
    <w:p>
      <w:pPr>
        <w:ind w:left="48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U.S. FEDERAL INCOME TAX CONSIDERATIONS FOR NON-U.S. HOLDERS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12065</wp:posOffset>
            </wp:positionV>
            <wp:extent cx="53428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CERTAIN ERISA AND BENEFIT PLAN CONSIDERATIONS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51435</wp:posOffset>
            </wp:positionV>
            <wp:extent cx="53428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289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2">
            <w:col w:w="7340" w:space="720"/>
            <w:col w:w="959"/>
          </w:cols>
          <w:pgMar w:left="1440" w:top="263" w:right="1440" w:bottom="1059" w:gutter="0" w:footer="0" w:header="0"/>
          <w:type w:val="continuous"/>
        </w:sectPr>
      </w:pPr>
    </w:p>
    <w:p>
      <w:pPr>
        <w:ind w:left="300" w:right="319" w:firstLine="359"/>
        <w:spacing w:after="0" w:line="252" w:lineRule="auto"/>
        <w:rPr>
          <w:sz w:val="20"/>
          <w:szCs w:val="20"/>
          <w:color w:val="auto"/>
        </w:rPr>
      </w:pPr>
      <w:r>
        <w:rPr>
          <w:rFonts w:ascii="Times New Roman" w:cs="Times New Roman" w:eastAsia="Times New Roman" w:hAnsi="Times New Roman"/>
          <w:sz w:val="18"/>
          <w:szCs w:val="18"/>
          <w:color w:val="auto"/>
        </w:rPr>
        <w:t>We have not, and the selling securityholder has not,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059"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39" w:firstLine="359"/>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(the “SEC” or the “Commission”). Our shelf registration statement allows us to offer from time to time a wide array of securities. In the accompanying prospectus, we provide you with a general description of the securities we may offer from time to time under our shelf registration statement and other general information that may apply to this offering. In this prospectus supplement, we provide you with specific information about the Class A common stock that the selling securityholder may sell in this offering. This prospectus supplement, the accompanying prospectus and the documents incorporated by reference include important information about us, our Class A common stock and other information that you should know before investing. This prospectus supplement also adds, updates and changes information contained in the accompanying prospectus. You should carefully read both this prospectus supplement and the accompanying prospectus as well as additional information described under “Where You Can Find More Information” before investing in our Class A common stock.</w:t>
      </w:r>
    </w:p>
    <w:p>
      <w:pPr>
        <w:spacing w:after="0" w:line="78" w:lineRule="exact"/>
        <w:rPr>
          <w:sz w:val="20"/>
          <w:szCs w:val="20"/>
          <w:color w:val="auto"/>
        </w:rPr>
      </w:pPr>
    </w:p>
    <w:p>
      <w:pPr>
        <w:ind w:left="300" w:right="359" w:firstLine="359"/>
        <w:spacing w:after="0" w:line="260" w:lineRule="auto"/>
        <w:rPr>
          <w:sz w:val="20"/>
          <w:szCs w:val="20"/>
          <w:color w:val="auto"/>
        </w:rPr>
      </w:pPr>
      <w:r>
        <w:rPr>
          <w:rFonts w:ascii="Times New Roman" w:cs="Times New Roman" w:eastAsia="Times New Roman" w:hAnsi="Times New Roman"/>
          <w:sz w:val="18"/>
          <w:szCs w:val="18"/>
          <w:color w:val="auto"/>
        </w:rPr>
        <w:t>Generally, when we refer to this “prospectus supplement,” we are referring to both this prospectus supplement and the accompanying prospectus, as well as the documents incorporated by reference herein and therein. If information in this prospectus supplement is inconsistent with the accompanying prospectus, you should rely on this prospectus supplement.</w:t>
      </w:r>
    </w:p>
    <w:p>
      <w:pPr>
        <w:spacing w:after="0" w:line="74" w:lineRule="exact"/>
        <w:rPr>
          <w:sz w:val="20"/>
          <w:szCs w:val="20"/>
          <w:color w:val="auto"/>
        </w:rPr>
      </w:pPr>
    </w:p>
    <w:p>
      <w:pPr>
        <w:ind w:left="300" w:right="339" w:firstLine="359"/>
        <w:spacing w:after="0" w:line="258" w:lineRule="auto"/>
        <w:rPr>
          <w:sz w:val="20"/>
          <w:szCs w:val="20"/>
          <w:color w:val="auto"/>
        </w:rPr>
      </w:pPr>
      <w:r>
        <w:rPr>
          <w:rFonts w:ascii="Times New Roman" w:cs="Times New Roman" w:eastAsia="Times New Roman" w:hAnsi="Times New Roman"/>
          <w:sz w:val="18"/>
          <w:szCs w:val="18"/>
          <w:color w:val="auto"/>
        </w:rPr>
        <w:t xml:space="preserve">New Fortress Energy Inc. is a Delaware corporation. Our principal offices are located at 111 W. 19th Street, 8th Floor, New York, NY 10011 and our telephone number at that address is (516) 268-7400. Our website is located at </w:t>
      </w:r>
      <w:r>
        <w:rPr>
          <w:rFonts w:ascii="Times New Roman" w:cs="Times New Roman" w:eastAsia="Times New Roman" w:hAnsi="Times New Roman"/>
          <w:sz w:val="18"/>
          <w:szCs w:val="18"/>
          <w:u w:val="single" w:color="auto"/>
          <w:color w:val="auto"/>
        </w:rPr>
        <w:t>www.newfortressenergy.com</w:t>
      </w:r>
      <w:r>
        <w:rPr>
          <w:rFonts w:ascii="Times New Roman" w:cs="Times New Roman" w:eastAsia="Times New Roman" w:hAnsi="Times New Roman"/>
          <w:sz w:val="18"/>
          <w:szCs w:val="18"/>
          <w:color w:val="auto"/>
        </w:rPr>
        <w:t>. The information on or otherwise accessible through our website does not constitute a part of this prospectus supplement or the accompanying prospectus and is not incorporated by reference into this prospectus supplement or the accompanying prospectus.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79" w:firstLine="359"/>
        <w:spacing w:after="0" w:line="26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documents incorporated by reference contain statements that are “forward-looking” within the meaning of the Private Securities Litigation Reform Act of 1995.</w:t>
      </w:r>
    </w:p>
    <w:p>
      <w:pPr>
        <w:spacing w:after="0" w:line="69" w:lineRule="exact"/>
        <w:rPr>
          <w:sz w:val="20"/>
          <w:szCs w:val="20"/>
          <w:color w:val="auto"/>
        </w:rPr>
      </w:pPr>
    </w:p>
    <w:p>
      <w:pPr>
        <w:ind w:left="300" w:right="299" w:firstLine="359"/>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86" w:lineRule="exact"/>
        <w:rPr>
          <w:sz w:val="20"/>
          <w:szCs w:val="20"/>
          <w:color w:val="auto"/>
        </w:rPr>
      </w:pPr>
    </w:p>
    <w:p>
      <w:pPr>
        <w:ind w:left="1000" w:right="379" w:hanging="344"/>
        <w:spacing w:after="0" w:line="28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6" w:lineRule="exact"/>
        <w:rPr>
          <w:rFonts w:ascii="Times New Roman" w:cs="Times New Roman" w:eastAsia="Times New Roman" w:hAnsi="Times New Roman"/>
          <w:sz w:val="18"/>
          <w:szCs w:val="18"/>
          <w:color w:val="auto"/>
        </w:rPr>
      </w:pPr>
    </w:p>
    <w:p>
      <w:pPr>
        <w:ind w:left="1000" w:right="399" w:hanging="344"/>
        <w:spacing w:after="0" w:line="28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liquefied natural gas (“LNG”) or natural gas to be a competitive source of energy in the markets in which we operate, and seek to operate;</w:t>
      </w:r>
    </w:p>
    <w:p>
      <w:pPr>
        <w:spacing w:after="0" w:line="54" w:lineRule="exact"/>
        <w:rPr>
          <w:rFonts w:ascii="Times New Roman" w:cs="Times New Roman" w:eastAsia="Times New Roman" w:hAnsi="Times New Roman"/>
          <w:sz w:val="18"/>
          <w:szCs w:val="18"/>
          <w:color w:val="auto"/>
        </w:rPr>
      </w:pPr>
    </w:p>
    <w:p>
      <w:pPr>
        <w:ind w:left="1000" w:right="319" w:hanging="344"/>
        <w:spacing w:after="0" w:line="265"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6" w:lineRule="exact"/>
        <w:rPr>
          <w:rFonts w:ascii="Times New Roman" w:cs="Times New Roman" w:eastAsia="Times New Roman" w:hAnsi="Times New Roman"/>
          <w:sz w:val="18"/>
          <w:szCs w:val="18"/>
          <w:color w:val="auto"/>
        </w:rPr>
      </w:pPr>
    </w:p>
    <w:p>
      <w:pPr>
        <w:ind w:left="1000" w:right="939" w:hanging="344"/>
        <w:spacing w:after="0" w:line="28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6" w:lineRule="exact"/>
        <w:rPr>
          <w:rFonts w:ascii="Times New Roman" w:cs="Times New Roman" w:eastAsia="Times New Roman" w:hAnsi="Times New Roman"/>
          <w:sz w:val="18"/>
          <w:szCs w:val="18"/>
          <w:color w:val="auto"/>
        </w:rPr>
      </w:pPr>
    </w:p>
    <w:p>
      <w:pPr>
        <w:ind w:left="1000" w:right="859" w:hanging="344"/>
        <w:spacing w:after="0" w:line="28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6" w:lineRule="exact"/>
        <w:rPr>
          <w:rFonts w:ascii="Times New Roman" w:cs="Times New Roman" w:eastAsia="Times New Roman" w:hAnsi="Times New Roman"/>
          <w:sz w:val="18"/>
          <w:szCs w:val="18"/>
          <w:color w:val="auto"/>
        </w:rPr>
      </w:pPr>
    </w:p>
    <w:p>
      <w:pPr>
        <w:ind w:left="1000" w:right="939" w:hanging="344"/>
        <w:spacing w:after="0" w:line="28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99" w:hanging="344"/>
        <w:spacing w:after="0" w:line="28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116" w:lineRule="exact"/>
        <w:rPr>
          <w:rFonts w:ascii="Times New Roman" w:cs="Times New Roman" w:eastAsia="Times New Roman" w:hAnsi="Times New Roman"/>
          <w:sz w:val="18"/>
          <w:szCs w:val="18"/>
          <w:color w:val="auto"/>
        </w:rPr>
      </w:pPr>
    </w:p>
    <w:p>
      <w:pPr>
        <w:ind w:left="1000" w:right="459" w:hanging="344"/>
        <w:spacing w:after="0" w:line="28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4" w:lineRule="exact"/>
        <w:rPr>
          <w:rFonts w:ascii="Times New Roman" w:cs="Times New Roman" w:eastAsia="Times New Roman" w:hAnsi="Times New Roman"/>
          <w:sz w:val="18"/>
          <w:szCs w:val="18"/>
          <w:color w:val="auto"/>
        </w:rPr>
      </w:pPr>
    </w:p>
    <w:p>
      <w:pPr>
        <w:ind w:left="1000" w:right="659" w:hanging="344"/>
        <w:spacing w:after="0" w:line="28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4" w:lineRule="exact"/>
        <w:rPr>
          <w:rFonts w:ascii="Times New Roman" w:cs="Times New Roman" w:eastAsia="Times New Roman" w:hAnsi="Times New Roman"/>
          <w:sz w:val="18"/>
          <w:szCs w:val="18"/>
          <w:color w:val="auto"/>
        </w:rPr>
      </w:pPr>
    </w:p>
    <w:p>
      <w:pPr>
        <w:ind w:left="1000" w:right="759" w:hanging="344"/>
        <w:spacing w:after="0" w:line="28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our Annual Report on Form 10-K and our other filings with the SEC.</w:t>
      </w:r>
    </w:p>
    <w:p>
      <w:pPr>
        <w:spacing w:after="0" w:line="55"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91440</wp:posOffset>
            </wp:positionV>
            <wp:extent cx="5638165" cy="8027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8165" cy="80270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439" w:firstLine="360"/>
        <w:spacing w:after="0" w:line="272" w:lineRule="auto"/>
        <w:rPr>
          <w:sz w:val="20"/>
          <w:szCs w:val="20"/>
          <w:color w:val="auto"/>
        </w:rPr>
      </w:pPr>
      <w:r>
        <w:rPr>
          <w:rFonts w:ascii="Times New Roman" w:cs="Times New Roman" w:eastAsia="Times New Roman" w:hAnsi="Times New Roman"/>
          <w:sz w:val="17"/>
          <w:szCs w:val="17"/>
          <w:color w:val="auto"/>
        </w:rPr>
        <w:t>We are a global energy infrastructure company founded to help address energy poverty and accelerate the world’s transition to reliable, affordable and clean energy. We own and operate natural gas and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20" w:right="35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LNG and Natural Gas Supply and Liquefaction </w:t>
      </w:r>
      <w:r>
        <w:rPr>
          <w:rFonts w:ascii="Times New Roman" w:cs="Times New Roman" w:eastAsia="Times New Roman" w:hAnsi="Times New Roman"/>
          <w:sz w:val="17"/>
          <w:szCs w:val="17"/>
          <w:color w:val="auto"/>
        </w:rPr>
        <w:t>– We supply LNG and natural gas to our own power plants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320" w:right="359"/>
        <w:spacing w:after="0" w:line="253" w:lineRule="auto"/>
        <w:rPr>
          <w:sz w:val="20"/>
          <w:szCs w:val="20"/>
          <w:color w:val="auto"/>
        </w:rPr>
      </w:pPr>
      <w:r>
        <w:rPr>
          <w:rFonts w:ascii="Times New Roman" w:cs="Times New Roman" w:eastAsia="Times New Roman" w:hAnsi="Times New Roman"/>
          <w:sz w:val="18"/>
          <w:szCs w:val="18"/>
          <w:color w:val="auto"/>
        </w:rPr>
        <w:t>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off the shore of Altamira, Mexico to provide a source of low-cost supply of LNG.</w:t>
      </w:r>
    </w:p>
    <w:p>
      <w:pPr>
        <w:spacing w:after="0" w:line="78"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 We lease, own or operate a fleet of seven regasification units and 13 liquefied natural gas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floating storage units. Ten vessels are owned by our joint venture affiliate, Energos Infrastructure (“Energos”), and one is owned by NFE. We also charter vessels to and from third parties as well as from Energos. In February 2024, we sold substantially all of our stake in Energos to our joint venture partner.</w:t>
      </w:r>
    </w:p>
    <w:p>
      <w:pPr>
        <w:spacing w:after="0" w:line="70"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72" w:lineRule="exact"/>
        <w:rPr>
          <w:sz w:val="20"/>
          <w:szCs w:val="20"/>
          <w:color w:val="auto"/>
        </w:rPr>
      </w:pPr>
    </w:p>
    <w:p>
      <w:pPr>
        <w:jc w:val="both"/>
        <w:ind w:left="320" w:right="359" w:firstLine="360"/>
        <w:spacing w:after="0" w:line="265" w:lineRule="auto"/>
        <w:rPr>
          <w:sz w:val="20"/>
          <w:szCs w:val="20"/>
          <w:color w:val="auto"/>
        </w:rPr>
      </w:pPr>
      <w:r>
        <w:rPr>
          <w:rFonts w:ascii="Times New Roman" w:cs="Times New Roman" w:eastAsia="Times New Roman" w:hAnsi="Times New Roman"/>
          <w:sz w:val="18"/>
          <w:szCs w:val="18"/>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117" w:lineRule="exact"/>
        <w:rPr>
          <w:sz w:val="20"/>
          <w:szCs w:val="20"/>
          <w:color w:val="auto"/>
        </w:rPr>
      </w:pPr>
    </w:p>
    <w:p>
      <w:pPr>
        <w:ind w:left="1020" w:hanging="346"/>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w:t>
      </w:r>
    </w:p>
    <w:p>
      <w:pPr>
        <w:spacing w:after="0" w:line="116" w:lineRule="exact"/>
        <w:rPr>
          <w:rFonts w:ascii="Times New Roman" w:cs="Times New Roman" w:eastAsia="Times New Roman" w:hAnsi="Times New Roman"/>
          <w:sz w:val="18"/>
          <w:szCs w:val="18"/>
          <w:color w:val="auto"/>
        </w:rPr>
      </w:pPr>
    </w:p>
    <w:p>
      <w:pPr>
        <w:ind w:left="1020" w:hanging="346"/>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91440</wp:posOffset>
            </wp:positionV>
            <wp:extent cx="5638165" cy="3625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8165" cy="36258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46"/>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dual-fired combined heat and power facility in Clarendon, Jamaica;</w:t>
      </w:r>
    </w:p>
    <w:p>
      <w:pPr>
        <w:spacing w:after="0" w:line="116" w:lineRule="exact"/>
        <w:rPr>
          <w:rFonts w:ascii="Times New Roman" w:cs="Times New Roman" w:eastAsia="Times New Roman" w:hAnsi="Times New Roman"/>
          <w:sz w:val="18"/>
          <w:szCs w:val="18"/>
          <w:color w:val="auto"/>
        </w:rPr>
      </w:pPr>
    </w:p>
    <w:p>
      <w:pPr>
        <w:ind w:left="1020" w:hanging="346"/>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116" w:lineRule="exact"/>
        <w:rPr>
          <w:rFonts w:ascii="Times New Roman" w:cs="Times New Roman" w:eastAsia="Times New Roman" w:hAnsi="Times New Roman"/>
          <w:sz w:val="18"/>
          <w:szCs w:val="18"/>
          <w:color w:val="auto"/>
        </w:rPr>
      </w:pPr>
    </w:p>
    <w:p>
      <w:pPr>
        <w:ind w:left="1020" w:right="679" w:hanging="346"/>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and gas-fired power plant at the Port of Pichilingue in Baja California Sur, Mexico; and</w:t>
      </w:r>
    </w:p>
    <w:p>
      <w:pPr>
        <w:spacing w:after="0" w:line="54" w:lineRule="exact"/>
        <w:rPr>
          <w:rFonts w:ascii="Times New Roman" w:cs="Times New Roman" w:eastAsia="Times New Roman" w:hAnsi="Times New Roman"/>
          <w:sz w:val="18"/>
          <w:szCs w:val="18"/>
          <w:color w:val="auto"/>
        </w:rPr>
      </w:pPr>
    </w:p>
    <w:p>
      <w:pPr>
        <w:ind w:left="1020" w:hanging="346"/>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Miami Facility.</w:t>
      </w:r>
    </w:p>
    <w:p>
      <w:pPr>
        <w:spacing w:after="0" w:line="117"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as described in more detail in our Annual Report.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359" w:firstLine="360"/>
        <w:spacing w:after="0" w:line="265" w:lineRule="auto"/>
        <w:rPr>
          <w:sz w:val="20"/>
          <w:szCs w:val="20"/>
          <w:color w:val="auto"/>
        </w:rPr>
      </w:pPr>
      <w:r>
        <w:rPr>
          <w:rFonts w:ascii="Times New Roman" w:cs="Times New Roman" w:eastAsia="Times New Roman" w:hAnsi="Times New Roman"/>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0" w:lineRule="exact"/>
        <w:rPr>
          <w:sz w:val="20"/>
          <w:szCs w:val="20"/>
          <w:color w:val="auto"/>
        </w:rPr>
      </w:pPr>
    </w:p>
    <w:p>
      <w:pPr>
        <w:ind w:left="320" w:right="359" w:firstLine="360"/>
        <w:spacing w:after="0" w:line="228" w:lineRule="auto"/>
        <w:rPr>
          <w:sz w:val="20"/>
          <w:szCs w:val="20"/>
          <w:color w:val="auto"/>
        </w:rPr>
      </w:pPr>
      <w:r>
        <w:rPr>
          <w:rFonts w:ascii="Times New Roman" w:cs="Times New Roman" w:eastAsia="Times New Roman" w:hAnsi="Times New Roman"/>
          <w:sz w:val="18"/>
          <w:szCs w:val="18"/>
          <w:color w:val="auto"/>
        </w:rPr>
        <w:t>Our principal executive office is located at 111 W.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10011 and our telephone number is (516) 268-7400. We maintain a website at </w:t>
      </w:r>
      <w:r>
        <w:rPr>
          <w:rFonts w:ascii="Times New Roman" w:cs="Times New Roman" w:eastAsia="Times New Roman" w:hAnsi="Times New Roman"/>
          <w:sz w:val="18"/>
          <w:szCs w:val="18"/>
          <w:u w:val="single" w:color="auto"/>
          <w:color w:val="auto"/>
        </w:rPr>
        <w:t>www.newfortressenergy.com</w:t>
      </w:r>
      <w:r>
        <w:rPr>
          <w:rFonts w:ascii="Times New Roman" w:cs="Times New Roman" w:eastAsia="Times New Roman" w:hAnsi="Times New Roman"/>
          <w:sz w:val="18"/>
          <w:szCs w:val="18"/>
          <w:color w:val="auto"/>
        </w:rPr>
        <w:t>.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19" w:firstLine="359"/>
        <w:spacing w:after="0" w:line="270" w:lineRule="auto"/>
        <w:rPr>
          <w:sz w:val="20"/>
          <w:szCs w:val="20"/>
          <w:color w:val="auto"/>
        </w:rPr>
      </w:pPr>
      <w:r>
        <w:rPr>
          <w:rFonts w:ascii="Times New Roman" w:cs="Times New Roman" w:eastAsia="Times New Roman" w:hAnsi="Times New Roman"/>
          <w:sz w:val="17"/>
          <w:szCs w:val="17"/>
          <w:color w:val="auto"/>
        </w:rPr>
        <w:t>Before you invest in our Class A common stock, in addition to the other information in this prospectus supplement, the accompanying prospectus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will not receive any of the proceeds from the sale of shares by the selling securityholder in this offering.</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121" w:lineRule="exact"/>
        <w:rPr>
          <w:sz w:val="20"/>
          <w:szCs w:val="20"/>
          <w:color w:val="auto"/>
        </w:rPr>
      </w:pPr>
    </w:p>
    <w:p>
      <w:pPr>
        <w:ind w:left="300" w:right="319" w:firstLine="359"/>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the resale from time to time of up to a total of 2,064,517 shares of our Class A common stock by the selling securityholder identified in this prospectus supplement, including the pledgees, donees, transferees or other successors in interest of the selling securityholder. Such shares of our Class A common stock may be issued upon the conversion, repurchase or redemption of 96,746 shares of our Series A Convertible Preferred Stock. The following table sets forth information with respect to the current beneficial ownership of the selling securityholder, the number of shares of Class A common stock being offered hereby by the selling securityholder and information with respect to shares to be beneficially owned by the selling securityholder after completion of this offering, assuming all shares that may be offered from time to time by the selling securityholder pursuant to this prospectus supplement are sold.</w:t>
      </w:r>
    </w:p>
    <w:p>
      <w:pPr>
        <w:spacing w:after="0" w:line="78" w:lineRule="exact"/>
        <w:rPr>
          <w:sz w:val="20"/>
          <w:szCs w:val="20"/>
          <w:color w:val="auto"/>
        </w:rPr>
      </w:pPr>
    </w:p>
    <w:p>
      <w:pPr>
        <w:ind w:left="300" w:right="379" w:firstLine="359"/>
        <w:spacing w:after="0" w:line="255" w:lineRule="auto"/>
        <w:rPr>
          <w:sz w:val="20"/>
          <w:szCs w:val="20"/>
          <w:color w:val="auto"/>
        </w:rPr>
      </w:pPr>
      <w:r>
        <w:rPr>
          <w:rFonts w:ascii="Times New Roman" w:cs="Times New Roman" w:eastAsia="Times New Roman" w:hAnsi="Times New Roman"/>
          <w:sz w:val="18"/>
          <w:szCs w:val="18"/>
          <w:color w:val="auto"/>
        </w:rPr>
        <w:t>The shares listed in the table below may be issued upon the conversion, repurchase or redemption of the shares of our Series A Convertible Preferred Stock that were assigned to the selling securityholder by an entity that received the shares as part of the consideration for our acquisition of a 1.6 gigawatt power purchase agreement in Brazil (the “Barcarena PPA Exchange”). In connection with the Barcarena PPA Exchange, the entity listed under “Selling Securityholder” in the table below is party to a Registration Rights Agreement with us pursuant to which such entity and its respective permitted transferees have the right, in certain circumstances, to require us to register such shares of our Class A common stock under the Securities Act for sale into the public markets.</w:t>
      </w:r>
    </w:p>
    <w:p>
      <w:pPr>
        <w:spacing w:after="0" w:line="79"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beneficial ownership as provided by the selling securityholder to us and the number of shares of our Class A common stock issued and outstanding on March 22, 2024.</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2140" w:type="dxa"/>
            <w:vAlign w:val="bottom"/>
          </w:tcPr>
          <w:p>
            <w:pPr>
              <w:spacing w:after="0"/>
              <w:rPr>
                <w:sz w:val="14"/>
                <w:szCs w:val="14"/>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4"/>
                <w:szCs w:val="14"/>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 by this</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2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left="8"/>
              <w:spacing w:after="0" w:line="12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left="2"/>
              <w:spacing w:after="0" w:line="12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331"/>
        </w:trPr>
        <w:tc>
          <w:tcPr>
            <w:tcW w:w="2140" w:type="dxa"/>
            <w:vAlign w:val="bottom"/>
            <w:shd w:val="clear" w:color="auto" w:fill="CCEEFF"/>
          </w:tcPr>
          <w:p>
            <w:pPr>
              <w:spacing w:after="0" w:line="330" w:lineRule="exact"/>
              <w:rPr>
                <w:sz w:val="20"/>
                <w:szCs w:val="20"/>
                <w:color w:val="auto"/>
              </w:rPr>
            </w:pPr>
            <w:r>
              <w:rPr>
                <w:rFonts w:ascii="Times New Roman" w:cs="Times New Roman" w:eastAsia="Times New Roman" w:hAnsi="Times New Roman"/>
                <w:sz w:val="18"/>
                <w:szCs w:val="18"/>
                <w:color w:val="auto"/>
              </w:rPr>
              <w:t>Ceiba Energy US LP</w:t>
            </w:r>
            <w:r>
              <w:rPr>
                <w:rFonts w:ascii="Times New Roman" w:cs="Times New Roman" w:eastAsia="Times New Roman" w:hAnsi="Times New Roman"/>
                <w:sz w:val="29"/>
                <w:szCs w:val="29"/>
                <w:color w:val="auto"/>
                <w:vertAlign w:val="superscript"/>
              </w:rPr>
              <w:t>(2)</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2,064,517</w:t>
            </w:r>
            <w:r>
              <w:rPr>
                <w:rFonts w:ascii="Times New Roman" w:cs="Times New Roman" w:eastAsia="Times New Roman" w:hAnsi="Times New Roman"/>
                <w:sz w:val="3"/>
                <w:szCs w:val="3"/>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3"/>
                <w:szCs w:val="3"/>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2,064,517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-222250</wp:posOffset>
            </wp:positionV>
            <wp:extent cx="240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-222250</wp:posOffset>
            </wp:positionV>
            <wp:extent cx="240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-222250</wp:posOffset>
            </wp:positionV>
            <wp:extent cx="240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-222250</wp:posOffset>
            </wp:positionV>
            <wp:extent cx="240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1845310</wp:posOffset>
            </wp:positionH>
            <wp:positionV relativeFrom="paragraph">
              <wp:posOffset>-222250</wp:posOffset>
            </wp:positionV>
            <wp:extent cx="248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154305</wp:posOffset>
            </wp:positionV>
            <wp:extent cx="82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67" w:lineRule="exact"/>
        <w:rPr>
          <w:sz w:val="20"/>
          <w:szCs w:val="20"/>
          <w:color w:val="auto"/>
        </w:rPr>
      </w:pPr>
    </w:p>
    <w:p>
      <w:pPr>
        <w:ind w:left="640" w:hanging="34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205,041,824 shares of our Class A common stock issued and outstanding as of March 22, 2024.</w:t>
      </w:r>
    </w:p>
    <w:p>
      <w:pPr>
        <w:spacing w:after="0" w:line="41" w:lineRule="exact"/>
        <w:rPr>
          <w:rFonts w:ascii="Times New Roman" w:cs="Times New Roman" w:eastAsia="Times New Roman" w:hAnsi="Times New Roman"/>
          <w:sz w:val="14"/>
          <w:szCs w:val="14"/>
          <w:color w:val="auto"/>
        </w:rPr>
      </w:pPr>
    </w:p>
    <w:p>
      <w:pPr>
        <w:ind w:left="640" w:right="379" w:hanging="343"/>
        <w:spacing w:after="0" w:line="239"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Ceiba Energy US LP is controlled by a board of managers comprised of four individuals. Any actions by Ceiba Energy US LP with respect to the disposition or voting of shares of Class A common stock are managed by the board of managers. The principal business address of Ceiba Energy US LP is 7676 Woodway Dr., Suite 325, Houston, TX 77063.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79" w:firstLine="359"/>
        <w:spacing w:after="0" w:line="258" w:lineRule="auto"/>
        <w:rPr>
          <w:sz w:val="20"/>
          <w:szCs w:val="20"/>
          <w:color w:val="auto"/>
        </w:rPr>
      </w:pPr>
      <w:r>
        <w:rPr>
          <w:rFonts w:ascii="Times New Roman" w:cs="Times New Roman" w:eastAsia="Times New Roman" w:hAnsi="Times New Roman"/>
          <w:sz w:val="18"/>
          <w:szCs w:val="18"/>
          <w:color w:val="auto"/>
        </w:rPr>
        <w:t>The resale shares covered by this prospectus supplement and the accompanying prospectus may be offered and sold from time to time by the selling securityholder, including certain transferees who may later hold interest in the shares of Class A common stock covered by this prospectus. We will not receive any of the proceeds from the sale of shares of our Class A common stock covered by this prospectus supplement. We will pay all expenses of the registration of the Class A common stock and certain other expenses.</w:t>
      </w:r>
    </w:p>
    <w:p>
      <w:pPr>
        <w:spacing w:after="0" w:line="74" w:lineRule="exact"/>
        <w:rPr>
          <w:sz w:val="20"/>
          <w:szCs w:val="20"/>
          <w:color w:val="auto"/>
        </w:rPr>
      </w:pPr>
    </w:p>
    <w:p>
      <w:pPr>
        <w:ind w:left="300" w:right="379" w:firstLine="359"/>
        <w:spacing w:after="0" w:line="254" w:lineRule="auto"/>
        <w:rPr>
          <w:sz w:val="20"/>
          <w:szCs w:val="20"/>
          <w:color w:val="auto"/>
        </w:rPr>
      </w:pPr>
      <w:r>
        <w:rPr>
          <w:rFonts w:ascii="Times New Roman" w:cs="Times New Roman" w:eastAsia="Times New Roman" w:hAnsi="Times New Roman"/>
          <w:sz w:val="18"/>
          <w:szCs w:val="18"/>
          <w:color w:val="auto"/>
        </w:rPr>
        <w:t>The selling securityholder may sell all or a portion of the shares of Class A common stock beneficially owned by the selling securityholder and offered hereby from time to time directly or through one or more underwriters, broker-dealers or agents. If the shares of Class A common stock are sold through underwriters or broker-dealers, the applicable selling securityholder will be responsible for underwriting discounts or commissions or agent’s commissions. The shares of Class A common stock may be sold in one or more transactions at fixed prices (which may be changed), at prevailing market prices at the time of the sale, at prices related to the prevailing market prices, at varying prices determined at the time of sale, or at negotiated prices. These sales may be effected in transactions, which may involve crosses or block transactions,</w:t>
      </w:r>
    </w:p>
    <w:p>
      <w:pPr>
        <w:spacing w:after="0" w:line="81" w:lineRule="exact"/>
        <w:rPr>
          <w:sz w:val="20"/>
          <w:szCs w:val="20"/>
          <w:color w:val="auto"/>
        </w:rPr>
      </w:pPr>
    </w:p>
    <w:p>
      <w:pPr>
        <w:ind w:left="1000" w:right="719" w:hanging="344"/>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our Class A common stock may be listed or quoted at the time of sale;</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broker-dealer solicits purchasers;</w:t>
      </w:r>
    </w:p>
    <w:p>
      <w:pPr>
        <w:spacing w:after="0" w:line="116" w:lineRule="exact"/>
        <w:rPr>
          <w:rFonts w:ascii="Times New Roman" w:cs="Times New Roman" w:eastAsia="Times New Roman" w:hAnsi="Times New Roman"/>
          <w:sz w:val="18"/>
          <w:szCs w:val="18"/>
          <w:color w:val="auto"/>
        </w:rPr>
      </w:pPr>
    </w:p>
    <w:p>
      <w:pPr>
        <w:ind w:left="1000" w:right="679" w:hanging="344"/>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the broker-dealer will attempt to sell the shares as agent but may position and resell a portion of the block as principal to facilitate the transaction;</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purchases by a broker-dealer as principal and resale by the broker-dealer for its account;</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w:t>
      </w:r>
    </w:p>
    <w:p>
      <w:pPr>
        <w:spacing w:after="0" w:line="116" w:lineRule="exact"/>
        <w:rPr>
          <w:rFonts w:ascii="Times New Roman" w:cs="Times New Roman" w:eastAsia="Times New Roman" w:hAnsi="Times New Roman"/>
          <w:sz w:val="18"/>
          <w:szCs w:val="18"/>
          <w:color w:val="auto"/>
        </w:rPr>
      </w:pPr>
    </w:p>
    <w:p>
      <w:pPr>
        <w:ind w:left="1000" w:right="339" w:hanging="344"/>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broker-dealers may agree with the selling securityholder to sell a specified number of such shares at a stipulated price per share;</w:t>
      </w:r>
    </w:p>
    <w:p>
      <w:pPr>
        <w:spacing w:after="0" w:line="54" w:lineRule="exact"/>
        <w:rPr>
          <w:rFonts w:ascii="Times New Roman" w:cs="Times New Roman" w:eastAsia="Times New Roman" w:hAnsi="Times New Roman"/>
          <w:sz w:val="18"/>
          <w:szCs w:val="18"/>
          <w:color w:val="auto"/>
        </w:rPr>
      </w:pPr>
    </w:p>
    <w:p>
      <w:pPr>
        <w:ind w:left="1000" w:right="399" w:hanging="344"/>
        <w:spacing w:after="0" w:line="26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settlement of short sales, or sales of put, call or other types of options, forward delivery contracts, swaps, offerings of structured equity-linked securities, or other derivative, convertible or exchangeable securities or transactions;</w:t>
      </w:r>
    </w:p>
    <w:p>
      <w:pPr>
        <w:spacing w:after="0" w:line="69" w:lineRule="exact"/>
        <w:rPr>
          <w:rFonts w:ascii="Times New Roman" w:cs="Times New Roman" w:eastAsia="Times New Roman" w:hAnsi="Times New Roman"/>
          <w:sz w:val="18"/>
          <w:szCs w:val="18"/>
          <w:color w:val="auto"/>
        </w:rPr>
      </w:pPr>
    </w:p>
    <w:p>
      <w:pPr>
        <w:ind w:left="1000" w:right="479" w:hanging="344"/>
        <w:spacing w:after="0" w:line="26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selling securityholder enters into options, forwards or other transactions that require the selling securityholder to deliver, in a transaction exempt from registration under the Securities Act, the securities to a broker-dealer or an affiliate of a broker-dealer or other third party who may then become a selling securityholder and publicly resell or otherwise transfer the securities under this prospectus;</w:t>
      </w:r>
    </w:p>
    <w:p>
      <w:pPr>
        <w:spacing w:after="0" w:line="7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combination of any such methods of sale; and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method permitted pursuant to applicable law.</w:t>
      </w:r>
    </w:p>
    <w:p>
      <w:pPr>
        <w:spacing w:after="0" w:line="117" w:lineRule="exact"/>
        <w:rPr>
          <w:sz w:val="20"/>
          <w:szCs w:val="20"/>
          <w:color w:val="auto"/>
        </w:rPr>
      </w:pPr>
    </w:p>
    <w:p>
      <w:pPr>
        <w:ind w:left="300" w:right="439" w:firstLine="359"/>
        <w:spacing w:after="0" w:line="256" w:lineRule="auto"/>
        <w:rPr>
          <w:sz w:val="20"/>
          <w:szCs w:val="20"/>
          <w:color w:val="auto"/>
        </w:rPr>
      </w:pPr>
      <w:r>
        <w:rPr>
          <w:rFonts w:ascii="Times New Roman" w:cs="Times New Roman" w:eastAsia="Times New Roman" w:hAnsi="Times New Roman"/>
          <w:sz w:val="18"/>
          <w:szCs w:val="18"/>
          <w:color w:val="auto"/>
        </w:rPr>
        <w:t>If the selling securityholder effects such transactions by selling shares of Class A common stock to or through underwriters, broker-dealers or agents, such underwriters, broker-dealers or agents may receive commissions in the form of discounts, concessions or commissions from the selling securityholder or commissions from purchasers of the shares of Class A common stock for whom they may act as agent or to whom they may sell as principal (which discounts, concessions or commissions as to particular underwriters, broker-dealers or agents may be in excess of those customary in the types of transactions involved).</w:t>
      </w:r>
    </w:p>
    <w:p>
      <w:pPr>
        <w:spacing w:after="0" w:line="78" w:lineRule="exact"/>
        <w:rPr>
          <w:sz w:val="20"/>
          <w:szCs w:val="20"/>
          <w:color w:val="auto"/>
        </w:rPr>
      </w:pPr>
    </w:p>
    <w:p>
      <w:pPr>
        <w:ind w:left="300" w:right="679" w:firstLine="359"/>
        <w:spacing w:after="0" w:line="288" w:lineRule="auto"/>
        <w:rPr>
          <w:sz w:val="20"/>
          <w:szCs w:val="20"/>
          <w:color w:val="auto"/>
        </w:rPr>
      </w:pPr>
      <w:r>
        <w:rPr>
          <w:rFonts w:ascii="Times New Roman" w:cs="Times New Roman" w:eastAsia="Times New Roman" w:hAnsi="Times New Roman"/>
          <w:sz w:val="17"/>
          <w:szCs w:val="17"/>
          <w:color w:val="auto"/>
        </w:rPr>
        <w:t>The selling securityholder may pledge or grant a security interest in some or all of the shares of Class A common stock owned by the selling securityholder and, if they default in the performance of their secured obligations, the pledgees or secured parties may offer and sell the shares of Class A common stock from time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time pursuant to this prospectus supplement, or under an amendment to this prospectus supplement under Rule 424(b)(3) or other applicable provision of the Securities Act, amending, if necessary, the list of selling securityholders to include the pledgee, transferee or other successors-in-interest as selling securityholders under this prospectus supplement. The selling securityholder also may transfer and donate the shares of Class A common stock in other circumstances, in which case the transferees, donees, pledgees or other successors-in-interest will be the selling beneficial owners for purposes of this prospectus supplement. The selling securityholder may also enter into option or other transactions, including the issuance of convertible or exchangeable securities with broker-dealers, financial institutions or other investors or the creation of one or more derivative, convertible or exchangeable securities which require the delivery to such broker-dealer, financial institution or other investors of Class A common stock offered by this prospectus, which Class A common stock such broker-dealer, financial institution or other investors may resell pursuant to this prospectus (as supplemented or amended to reflect such transaction).</w:t>
      </w:r>
    </w:p>
    <w:p>
      <w:pPr>
        <w:spacing w:after="0" w:line="71" w:lineRule="exact"/>
        <w:rPr>
          <w:sz w:val="20"/>
          <w:szCs w:val="20"/>
          <w:color w:val="auto"/>
        </w:rPr>
      </w:pPr>
    </w:p>
    <w:p>
      <w:pPr>
        <w:ind w:left="300" w:right="319" w:firstLine="359"/>
        <w:spacing w:after="0" w:line="260" w:lineRule="auto"/>
        <w:rPr>
          <w:sz w:val="20"/>
          <w:szCs w:val="20"/>
          <w:color w:val="auto"/>
        </w:rPr>
      </w:pPr>
      <w:r>
        <w:rPr>
          <w:rFonts w:ascii="Times New Roman" w:cs="Times New Roman" w:eastAsia="Times New Roman" w:hAnsi="Times New Roman"/>
          <w:sz w:val="18"/>
          <w:szCs w:val="18"/>
          <w:color w:val="auto"/>
        </w:rPr>
        <w:t>The selling securityholder may also sell shares under Rule 144 under the Securities Act, if available, rather than under this prospectus supplement. The selling securityholder is not obligated to, and there is no assurance that the selling securityholder will, sell all or any of the shares we are registering. The selling securityholder may transfer, devise or gift such shares by other means not described in this prospectus supplement.</w:t>
      </w:r>
    </w:p>
    <w:p>
      <w:pPr>
        <w:spacing w:after="0" w:line="74" w:lineRule="exact"/>
        <w:rPr>
          <w:sz w:val="20"/>
          <w:szCs w:val="20"/>
          <w:color w:val="auto"/>
        </w:rPr>
      </w:pPr>
    </w:p>
    <w:p>
      <w:pPr>
        <w:ind w:left="300" w:right="439" w:firstLine="359"/>
        <w:spacing w:after="0" w:line="254" w:lineRule="auto"/>
        <w:rPr>
          <w:sz w:val="20"/>
          <w:szCs w:val="20"/>
          <w:color w:val="auto"/>
        </w:rPr>
      </w:pPr>
      <w:r>
        <w:rPr>
          <w:rFonts w:ascii="Times New Roman" w:cs="Times New Roman" w:eastAsia="Times New Roman" w:hAnsi="Times New Roman"/>
          <w:sz w:val="18"/>
          <w:szCs w:val="18"/>
          <w:color w:val="auto"/>
        </w:rPr>
        <w:t>The selling securityholder and any broker-dealer participating in the distribution of the shares of Class A common stock may be deemed to be “underwriters” within the meaning of the Securities Act, and any commission paid, or any discounts or concessions allowed to, the selling securityholder or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securityholder and any discounts, commissions or concessions allowed or reallowed or paid to broker-dealers.</w:t>
      </w:r>
    </w:p>
    <w:p>
      <w:pPr>
        <w:spacing w:after="0" w:line="78" w:lineRule="exact"/>
        <w:rPr>
          <w:sz w:val="20"/>
          <w:szCs w:val="20"/>
          <w:color w:val="auto"/>
        </w:rPr>
      </w:pPr>
    </w:p>
    <w:p>
      <w:pPr>
        <w:ind w:left="300" w:right="499" w:firstLine="359"/>
        <w:spacing w:after="0" w:line="260" w:lineRule="auto"/>
        <w:rPr>
          <w:sz w:val="20"/>
          <w:szCs w:val="20"/>
          <w:color w:val="auto"/>
        </w:rPr>
      </w:pPr>
      <w:r>
        <w:rPr>
          <w:rFonts w:ascii="Times New Roman" w:cs="Times New Roman" w:eastAsia="Times New Roman" w:hAnsi="Times New Roman"/>
          <w:sz w:val="18"/>
          <w:szCs w:val="18"/>
          <w:color w:val="auto"/>
        </w:rPr>
        <w:t>Under the securities laws of some states, the shares of Class A common stock may be sold in such states only through registered or licensed brokers or dealers. In addition, in some states the shares of Class A common stock may not be sold unless such shares have been registered or qualified for sale in such state or an exemption from registration or qualification is available and is complied with.</w:t>
      </w:r>
    </w:p>
    <w:p>
      <w:pPr>
        <w:spacing w:after="0" w:line="74" w:lineRule="exact"/>
        <w:rPr>
          <w:sz w:val="20"/>
          <w:szCs w:val="20"/>
          <w:color w:val="auto"/>
        </w:rPr>
      </w:pPr>
    </w:p>
    <w:p>
      <w:pPr>
        <w:ind w:left="300" w:right="519" w:firstLine="359"/>
        <w:spacing w:after="0" w:line="281" w:lineRule="auto"/>
        <w:rPr>
          <w:sz w:val="20"/>
          <w:szCs w:val="20"/>
          <w:color w:val="auto"/>
        </w:rPr>
      </w:pPr>
      <w:r>
        <w:rPr>
          <w:rFonts w:ascii="Times New Roman" w:cs="Times New Roman" w:eastAsia="Times New Roman" w:hAnsi="Times New Roman"/>
          <w:sz w:val="18"/>
          <w:szCs w:val="18"/>
          <w:color w:val="auto"/>
        </w:rPr>
        <w:t>There can be no assurance that the selling securityholder will sell any or all of the shares of Class A common stock registered pursuant to the registration statement of which this prospectus supplement forms a part.</w:t>
      </w:r>
    </w:p>
    <w:p>
      <w:pPr>
        <w:spacing w:after="0" w:line="55" w:lineRule="exact"/>
        <w:rPr>
          <w:sz w:val="20"/>
          <w:szCs w:val="20"/>
          <w:color w:val="auto"/>
        </w:rPr>
      </w:pPr>
    </w:p>
    <w:p>
      <w:pPr>
        <w:ind w:left="300" w:right="359" w:firstLine="359"/>
        <w:spacing w:after="0" w:line="254" w:lineRule="auto"/>
        <w:rPr>
          <w:sz w:val="20"/>
          <w:szCs w:val="20"/>
          <w:color w:val="auto"/>
        </w:rPr>
      </w:pPr>
      <w:r>
        <w:rPr>
          <w:rFonts w:ascii="Times New Roman" w:cs="Times New Roman" w:eastAsia="Times New Roman" w:hAnsi="Times New Roman"/>
          <w:sz w:val="18"/>
          <w:szCs w:val="18"/>
          <w:color w:val="auto"/>
        </w:rPr>
        <w:t>The selling securityholder and any other person participating in such distribution will be subject to applicable provisions of the Exchange Act, and the rules and regulations thereunder, including, without limitation, Regulation M under the Exchange Act, which may limit the timing of purchases and sales of any of the shares of Class A common stock by the selling securityholder and any other participating person. Regulation M may also restrict the ability of any person engaged in the distribution of the shares of Class A common stock to engage in market-making activities with respect to the shares of Class A common stock. All of the foregoing may affect the marketability of the shares of Class A common stock and the ability of any person or entity to engage in market-making activities with respect to the shares of Class A common stock.</w:t>
      </w:r>
    </w:p>
    <w:p>
      <w:pPr>
        <w:spacing w:after="0" w:line="81" w:lineRule="exact"/>
        <w:rPr>
          <w:sz w:val="20"/>
          <w:szCs w:val="20"/>
          <w:color w:val="auto"/>
        </w:rPr>
      </w:pPr>
    </w:p>
    <w:p>
      <w:pPr>
        <w:ind w:left="300" w:right="419" w:firstLine="359"/>
        <w:spacing w:after="0" w:line="265" w:lineRule="auto"/>
        <w:rPr>
          <w:sz w:val="20"/>
          <w:szCs w:val="20"/>
          <w:color w:val="auto"/>
        </w:rPr>
      </w:pPr>
      <w:r>
        <w:rPr>
          <w:rFonts w:ascii="Times New Roman" w:cs="Times New Roman" w:eastAsia="Times New Roman" w:hAnsi="Times New Roman"/>
          <w:sz w:val="18"/>
          <w:szCs w:val="18"/>
          <w:color w:val="auto"/>
        </w:rPr>
        <w:t>Pursuant to the Registration Rights Agreement between us and the selling securityholder, we have agreed to indemnify and hold harmless, to the full extent permitted by law, the selling securityholder from and against certain liabilities incurred in connection with the registration of the selling securityholder’s shares.</w:t>
      </w:r>
    </w:p>
    <w:p>
      <w:pPr>
        <w:spacing w:after="0" w:line="69" w:lineRule="exact"/>
        <w:rPr>
          <w:sz w:val="20"/>
          <w:szCs w:val="20"/>
          <w:color w:val="auto"/>
        </w:rPr>
      </w:pPr>
    </w:p>
    <w:p>
      <w:pPr>
        <w:ind w:left="300" w:right="739" w:firstLine="359"/>
        <w:spacing w:after="0" w:line="281"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supplement forms a part, the shares of Class A common stock will be freely tradable in the hands of persons other than our affiliates.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619" w:firstLine="359"/>
        <w:spacing w:after="0" w:line="281" w:lineRule="auto"/>
        <w:rPr>
          <w:sz w:val="20"/>
          <w:szCs w:val="20"/>
          <w:color w:val="auto"/>
        </w:rPr>
      </w:pPr>
      <w:r>
        <w:rPr>
          <w:rFonts w:ascii="Times New Roman" w:cs="Times New Roman" w:eastAsia="Times New Roman" w:hAnsi="Times New Roman"/>
          <w:sz w:val="18"/>
          <w:szCs w:val="18"/>
          <w:color w:val="auto"/>
        </w:rPr>
        <w:t>Certain legal matters will be passed upon for us by Skadden, Arps, Slate, Meagher &amp; Flom LLP, New York, New York.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59" w:firstLine="359"/>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499" w:firstLine="359"/>
        <w:spacing w:after="0" w:line="26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9" w:lineRule="exact"/>
        <w:rPr>
          <w:sz w:val="20"/>
          <w:szCs w:val="20"/>
          <w:color w:val="auto"/>
        </w:rPr>
      </w:pPr>
    </w:p>
    <w:p>
      <w:pPr>
        <w:ind w:left="300" w:right="399" w:firstLine="359"/>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78" w:lineRule="exact"/>
        <w:rPr>
          <w:sz w:val="20"/>
          <w:szCs w:val="20"/>
          <w:color w:val="auto"/>
        </w:rPr>
      </w:pPr>
    </w:p>
    <w:p>
      <w:pPr>
        <w:ind w:left="1000" w:right="699" w:hanging="344"/>
        <w:spacing w:after="0" w:line="281" w:lineRule="auto"/>
        <w:tabs>
          <w:tab w:leader="none" w:pos="100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44">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0000EE"/>
        </w:rPr>
      </w:pPr>
    </w:p>
    <w:p>
      <w:pPr>
        <w:ind w:left="1000" w:right="559" w:hanging="344"/>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5">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6, 2024</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March 8, 2024</w:t>
        </w:r>
      </w:hyperlink>
      <w:r>
        <w:rPr>
          <w:rFonts w:ascii="Times New Roman" w:cs="Times New Roman" w:eastAsia="Times New Roman" w:hAnsi="Times New Roman"/>
          <w:sz w:val="18"/>
          <w:szCs w:val="18"/>
          <w:color w:val="auto"/>
        </w:rPr>
        <w:t xml:space="preserve"> and </w:t>
      </w:r>
      <w:hyperlink r:id="rId48">
        <w:r>
          <w:rPr>
            <w:rFonts w:ascii="Times New Roman" w:cs="Times New Roman" w:eastAsia="Times New Roman" w:hAnsi="Times New Roman"/>
            <w:sz w:val="18"/>
            <w:szCs w:val="18"/>
            <w:u w:val="single" w:color="auto"/>
            <w:color w:val="0000EE"/>
          </w:rPr>
          <w:t>March 25, 2024</w:t>
        </w:r>
      </w:hyperlink>
      <w:r>
        <w:rPr>
          <w:rFonts w:ascii="Times New Roman" w:cs="Times New Roman" w:eastAsia="Times New Roman" w:hAnsi="Times New Roman"/>
          <w:sz w:val="18"/>
          <w:szCs w:val="18"/>
          <w:color w:val="auto"/>
        </w:rPr>
        <w:t>; and</w:t>
      </w:r>
    </w:p>
    <w:p>
      <w:pPr>
        <w:spacing w:after="0" w:line="54" w:lineRule="exact"/>
        <w:rPr>
          <w:rFonts w:ascii="Times New Roman" w:cs="Times New Roman" w:eastAsia="Times New Roman" w:hAnsi="Times New Roman"/>
          <w:sz w:val="18"/>
          <w:szCs w:val="18"/>
          <w:color w:val="auto"/>
        </w:rPr>
      </w:pPr>
    </w:p>
    <w:p>
      <w:pPr>
        <w:ind w:left="1000" w:right="479" w:hanging="344"/>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49">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300" w:right="499" w:firstLine="359"/>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8" w:lineRule="exact"/>
        <w:rPr>
          <w:rFonts w:ascii="Times New Roman" w:cs="Times New Roman" w:eastAsia="Times New Roman" w:hAnsi="Times New Roman"/>
          <w:sz w:val="18"/>
          <w:szCs w:val="18"/>
          <w:color w:val="auto"/>
        </w:rPr>
      </w:pPr>
    </w:p>
    <w:p>
      <w:pPr>
        <w:ind w:left="300" w:right="319" w:firstLine="359"/>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80" w:right="3959" w:hanging="437"/>
        <w:spacing w:after="0" w:line="510" w:lineRule="auto"/>
        <w:tabs>
          <w:tab w:leader="none" w:pos="4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268-7400 S-9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-628650</wp:posOffset>
            </wp:positionH>
            <wp:positionV relativeFrom="paragraph">
              <wp:posOffset>-35560</wp:posOffset>
            </wp:positionV>
            <wp:extent cx="69869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173355</wp:posOffset>
            </wp:positionV>
            <wp:extent cx="1995170" cy="52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9951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and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114,670,972 Shares of Class A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140970</wp:posOffset>
            </wp:positionV>
            <wp:extent cx="10960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305" w:lineRule="exact"/>
        <w:rPr>
          <w:sz w:val="20"/>
          <w:szCs w:val="20"/>
          <w:color w:val="auto"/>
        </w:rPr>
      </w:pPr>
    </w:p>
    <w:p>
      <w:pPr>
        <w:ind w:left="400" w:right="439" w:firstLine="359"/>
        <w:spacing w:after="0" w:line="254" w:lineRule="auto"/>
        <w:rPr>
          <w:sz w:val="20"/>
          <w:szCs w:val="20"/>
          <w:color w:val="auto"/>
        </w:rPr>
      </w:pPr>
      <w:r>
        <w:rPr>
          <w:rFonts w:ascii="Times New Roman" w:cs="Times New Roman" w:eastAsia="Times New Roman" w:hAnsi="Times New Roman"/>
          <w:sz w:val="18"/>
          <w:szCs w:val="18"/>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stockholders named in this prospectus or in any supplement to this prospectus may offer and sell Class A common stock from time to time. We will not receive any of the proceeds from the sale of our Class A common stock by the selling stockholders.</w:t>
      </w:r>
    </w:p>
    <w:p>
      <w:pPr>
        <w:spacing w:after="0" w:line="81" w:lineRule="exact"/>
        <w:rPr>
          <w:sz w:val="20"/>
          <w:szCs w:val="20"/>
          <w:color w:val="auto"/>
        </w:rPr>
      </w:pPr>
    </w:p>
    <w:p>
      <w:pPr>
        <w:ind w:left="400" w:right="619" w:firstLine="359"/>
        <w:spacing w:after="0" w:line="265" w:lineRule="auto"/>
        <w:rPr>
          <w:sz w:val="20"/>
          <w:szCs w:val="20"/>
          <w:color w:val="auto"/>
        </w:rPr>
      </w:pPr>
      <w:r>
        <w:rPr>
          <w:rFonts w:ascii="Times New Roman" w:cs="Times New Roman" w:eastAsia="Times New Roman" w:hAnsi="Times New Roman"/>
          <w:sz w:val="18"/>
          <w:szCs w:val="18"/>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158750</wp:posOffset>
            </wp:positionV>
            <wp:extent cx="10960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329" w:lineRule="exact"/>
        <w:rPr>
          <w:sz w:val="20"/>
          <w:szCs w:val="20"/>
          <w:color w:val="auto"/>
        </w:rPr>
      </w:pPr>
    </w:p>
    <w:p>
      <w:pPr>
        <w:ind w:left="400" w:right="579" w:firstLine="3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number of risks. See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before you make your investment decision.</w:t>
      </w:r>
    </w:p>
    <w:p>
      <w:pPr>
        <w:spacing w:after="0" w:line="50" w:lineRule="exact"/>
        <w:rPr>
          <w:sz w:val="20"/>
          <w:szCs w:val="20"/>
          <w:color w:val="auto"/>
        </w:rPr>
      </w:pPr>
    </w:p>
    <w:p>
      <w:pPr>
        <w:ind w:left="400" w:right="439" w:firstLine="359"/>
        <w:spacing w:after="0" w:line="280" w:lineRule="auto"/>
        <w:rPr>
          <w:sz w:val="20"/>
          <w:szCs w:val="20"/>
          <w:color w:val="auto"/>
        </w:rPr>
      </w:pPr>
      <w:r>
        <w:rPr>
          <w:rFonts w:ascii="Times New Roman" w:cs="Times New Roman" w:eastAsia="Times New Roman" w:hAnsi="Times New Roman"/>
          <w:sz w:val="17"/>
          <w:szCs w:val="17"/>
          <w:color w:val="auto"/>
        </w:rPr>
        <w:t>We or the selling stockholders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59" w:lineRule="exact"/>
        <w:rPr>
          <w:sz w:val="20"/>
          <w:szCs w:val="20"/>
          <w:color w:val="auto"/>
        </w:rPr>
      </w:pPr>
    </w:p>
    <w:p>
      <w:pPr>
        <w:ind w:left="400" w:right="439" w:firstLine="359"/>
        <w:spacing w:after="0" w:line="265" w:lineRule="auto"/>
        <w:rPr>
          <w:sz w:val="20"/>
          <w:szCs w:val="20"/>
          <w:color w:val="auto"/>
        </w:rPr>
      </w:pPr>
      <w:r>
        <w:rPr>
          <w:rFonts w:ascii="Times New Roman" w:cs="Times New Roman" w:eastAsia="Times New Roman" w:hAnsi="Times New Roman"/>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65" w:lineRule="exact"/>
        <w:rPr>
          <w:sz w:val="20"/>
          <w:szCs w:val="20"/>
          <w:color w:val="auto"/>
        </w:rPr>
      </w:pPr>
    </w:p>
    <w:p>
      <w:pPr>
        <w:ind w:left="400" w:right="439" w:firstLine="35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156210</wp:posOffset>
            </wp:positionV>
            <wp:extent cx="1096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138430</wp:posOffset>
            </wp:positionV>
            <wp:extent cx="69869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 w:name="page16"/>
    <w:bookmarkEnd w:id="15"/>
    <w:tbl>
      <w:tblPr>
        <w:tblLayout w:type="fixed"/>
        <w:tblInd w:w="300" w:type="dxa"/>
        <w:tblCellMar>
          <w:top w:w="0" w:type="dxa"/>
          <w:left w:w="0" w:type="dxa"/>
          <w:bottom w:w="0" w:type="dxa"/>
          <w:right w:w="0" w:type="dxa"/>
        </w:tblCellMar>
      </w:tblPr>
      <w:tr>
        <w:trPr>
          <w:trHeight w:val="161"/>
        </w:trPr>
        <w:tc>
          <w:tcPr>
            <w:tcW w:w="74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40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36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THE COMPANY</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40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36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CCEEFF"/>
            </w:tcBorders>
            <w:gridSpan w:val="4"/>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17</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gridSpan w:val="4"/>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40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36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WARRANTS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CCEEFF"/>
            </w:tcBorders>
            <w:gridSpan w:val="4"/>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21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SELLING STOCKHOLDERS</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gridSpan w:val="4"/>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40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PLAN OF DISTRIBUTION</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CCEEFF"/>
            </w:tcBorders>
            <w:gridSpan w:val="4"/>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U.S. FEDERAL INCOME TAX CONSIDERATIONS FOR NON-U.S. HOLDERS OF CLASS A</w:t>
            </w:r>
          </w:p>
        </w:tc>
        <w:tc>
          <w:tcPr>
            <w:tcW w:w="360" w:type="dxa"/>
            <w:vAlign w:val="bottom"/>
            <w:vMerge w:val="restart"/>
          </w:tcPr>
          <w:p>
            <w:pPr>
              <w:spacing w:after="0"/>
              <w:rPr>
                <w:sz w:val="19"/>
                <w:szCs w:val="19"/>
                <w:color w:val="auto"/>
              </w:rPr>
            </w:pP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0" w:type="dxa"/>
            <w:vAlign w:val="bottom"/>
            <w:gridSpan w:val="21"/>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COMMON STOCK</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CERTAIN ERISA AND BENEFIT PLAN CONSIDERATIONS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CCEEFF"/>
            </w:tcBorders>
            <w:gridSpan w:val="4"/>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EE"/>
              </w:rPr>
              <w:t>LEGAL MATTERS</w:t>
            </w:r>
          </w:p>
        </w:tc>
        <w:tc>
          <w:tcPr>
            <w:tcW w:w="48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gridSpan w:val="4"/>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57"/>
        </w:trPr>
        <w:tc>
          <w:tcPr>
            <w:tcW w:w="180" w:type="dxa"/>
            <w:vAlign w:val="bottom"/>
            <w:tcBorders>
              <w:bottom w:val="single" w:sz="8" w:color="0000EE"/>
            </w:tcBorders>
          </w:tcPr>
          <w:p>
            <w:pPr>
              <w:spacing w:after="0"/>
              <w:rPr>
                <w:sz w:val="4"/>
                <w:szCs w:val="4"/>
                <w:color w:val="auto"/>
              </w:rPr>
            </w:pPr>
          </w:p>
        </w:tc>
        <w:tc>
          <w:tcPr>
            <w:tcW w:w="5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EXPERTS</w:t>
            </w:r>
          </w:p>
        </w:tc>
        <w:tc>
          <w:tcPr>
            <w:tcW w:w="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CCEEFF"/>
            </w:tcBorders>
            <w:gridSpan w:val="4"/>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59"/>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stockholders may sell up to 114,670,972 shares of Class A common stock from time to time in one or more offerings. This prospectus only provides you with a general description of the securities that we and the selling stockholders may offer. Each time we or any stockholders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78" w:lineRule="exact"/>
        <w:rPr>
          <w:sz w:val="20"/>
          <w:szCs w:val="20"/>
          <w:color w:val="auto"/>
        </w:rPr>
      </w:pPr>
    </w:p>
    <w:p>
      <w:pPr>
        <w:ind w:left="300" w:right="319" w:firstLine="359"/>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other than that contained in or incorporated by reference into this prospectus, any accompanying prospectus supplement and any free writing prospectus prepared by or on behalf of us. Neither we nor the selling stockholders take responsibility for, and can provide no assurance as to the reliability of, any other information that others may give you. Neither we nor the selling stockholders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79" w:lineRule="exact"/>
        <w:rPr>
          <w:sz w:val="20"/>
          <w:szCs w:val="20"/>
          <w:color w:val="auto"/>
        </w:rPr>
      </w:pPr>
    </w:p>
    <w:p>
      <w:pPr>
        <w:ind w:left="300" w:right="439" w:firstLine="359"/>
        <w:spacing w:after="0" w:line="281"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55" w:lineRule="exact"/>
        <w:rPr>
          <w:sz w:val="20"/>
          <w:szCs w:val="20"/>
          <w:color w:val="auto"/>
        </w:rPr>
      </w:pPr>
    </w:p>
    <w:p>
      <w:pPr>
        <w:ind w:left="300" w:right="359" w:firstLine="359"/>
        <w:spacing w:after="0" w:line="281" w:lineRule="auto"/>
        <w:rPr>
          <w:sz w:val="20"/>
          <w:szCs w:val="20"/>
          <w:color w:val="auto"/>
        </w:rPr>
      </w:pPr>
      <w:r>
        <w:rPr>
          <w:rFonts w:ascii="Times New Roman" w:cs="Times New Roman" w:eastAsia="Times New Roman" w:hAnsi="Times New Roman"/>
          <w:sz w:val="18"/>
          <w:szCs w:val="18"/>
          <w:color w:val="auto"/>
        </w:rPr>
        <w:t>When used in this prospectus, the terms “NFE,” “we,” “our” and “us” refer to New Fortress Energy Inc. and its consolidated subsidiaries, unless otherwise specified or the context otherwise requires.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499" w:firstLine="359"/>
        <w:spacing w:after="0" w:line="26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9"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8" w:lineRule="exact"/>
        <w:rPr>
          <w:sz w:val="20"/>
          <w:szCs w:val="20"/>
          <w:color w:val="auto"/>
        </w:rPr>
      </w:pPr>
    </w:p>
    <w:p>
      <w:pPr>
        <w:ind w:left="1000" w:right="699" w:hanging="344"/>
        <w:spacing w:after="0" w:line="281" w:lineRule="auto"/>
        <w:tabs>
          <w:tab w:leader="none" w:pos="100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44">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0000EE"/>
        </w:rPr>
      </w:pPr>
    </w:p>
    <w:p>
      <w:pPr>
        <w:ind w:left="1000" w:right="1059" w:hanging="344"/>
        <w:spacing w:after="0" w:line="28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49">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4" w:lineRule="exact"/>
        <w:rPr>
          <w:rFonts w:ascii="Times New Roman" w:cs="Times New Roman" w:eastAsia="Times New Roman" w:hAnsi="Times New Roman"/>
          <w:sz w:val="18"/>
          <w:szCs w:val="18"/>
          <w:color w:val="auto"/>
        </w:rPr>
      </w:pPr>
    </w:p>
    <w:p>
      <w:pPr>
        <w:ind w:left="1000" w:right="719" w:hanging="344"/>
        <w:spacing w:after="0" w:line="265"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2023 Annual Meeting of Shareholders, filed with the SEC on </w:t>
      </w:r>
      <w:hyperlink r:id="rId58">
        <w:r>
          <w:rPr>
            <w:rFonts w:ascii="Times New Roman" w:cs="Times New Roman" w:eastAsia="Times New Roman" w:hAnsi="Times New Roman"/>
            <w:sz w:val="18"/>
            <w:szCs w:val="18"/>
            <w:u w:val="single" w:color="auto"/>
            <w:color w:val="0000EE"/>
          </w:rPr>
          <w:t>April 5, 2023</w:t>
        </w:r>
      </w:hyperlink>
      <w:r>
        <w:rPr>
          <w:rFonts w:ascii="Times New Roman" w:cs="Times New Roman" w:eastAsia="Times New Roman" w:hAnsi="Times New Roman"/>
          <w:sz w:val="18"/>
          <w:szCs w:val="18"/>
          <w:color w:val="auto"/>
        </w:rPr>
        <w:t>, that are incorporated by reference into our Annual Report on Form 10-K for the fiscal year ended December 31, 2022.</w:t>
      </w:r>
    </w:p>
    <w:p>
      <w:pPr>
        <w:spacing w:after="0" w:line="69" w:lineRule="exact"/>
        <w:rPr>
          <w:rFonts w:ascii="Times New Roman" w:cs="Times New Roman" w:eastAsia="Times New Roman" w:hAnsi="Times New Roman"/>
          <w:sz w:val="18"/>
          <w:szCs w:val="18"/>
          <w:color w:val="auto"/>
        </w:rPr>
      </w:pPr>
    </w:p>
    <w:p>
      <w:pPr>
        <w:ind w:left="300" w:right="339" w:firstLine="359"/>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8" w:lineRule="exact"/>
        <w:rPr>
          <w:rFonts w:ascii="Times New Roman" w:cs="Times New Roman" w:eastAsia="Times New Roman" w:hAnsi="Times New Roman"/>
          <w:sz w:val="18"/>
          <w:szCs w:val="18"/>
          <w:color w:val="auto"/>
        </w:rPr>
      </w:pPr>
    </w:p>
    <w:p>
      <w:pPr>
        <w:ind w:left="300" w:right="319" w:firstLine="359"/>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80" w:hanging="437"/>
        <w:spacing w:after="0"/>
        <w:tabs>
          <w:tab w:leader="none" w:pos="4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268-7400</w:t>
      </w:r>
    </w:p>
    <w:p>
      <w:pPr>
        <w:spacing w:after="0" w:line="206"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79" w:firstLine="359"/>
        <w:spacing w:after="0" w:line="26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69" w:lineRule="exact"/>
        <w:rPr>
          <w:sz w:val="20"/>
          <w:szCs w:val="20"/>
          <w:color w:val="auto"/>
        </w:rPr>
      </w:pPr>
    </w:p>
    <w:p>
      <w:pPr>
        <w:ind w:left="300" w:right="319" w:firstLine="359"/>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such factors, factors that could cause actual results to differ materially from those estimated by us include:</w:t>
      </w:r>
    </w:p>
    <w:p>
      <w:pPr>
        <w:spacing w:after="0" w:line="86" w:lineRule="exact"/>
        <w:rPr>
          <w:sz w:val="20"/>
          <w:szCs w:val="20"/>
          <w:color w:val="auto"/>
        </w:rPr>
      </w:pPr>
    </w:p>
    <w:p>
      <w:pPr>
        <w:ind w:left="1000" w:right="379" w:hanging="344"/>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6" w:lineRule="exact"/>
        <w:rPr>
          <w:rFonts w:ascii="Times New Roman" w:cs="Times New Roman" w:eastAsia="Times New Roman" w:hAnsi="Times New Roman"/>
          <w:sz w:val="18"/>
          <w:szCs w:val="18"/>
          <w:color w:val="auto"/>
        </w:rPr>
      </w:pPr>
    </w:p>
    <w:p>
      <w:pPr>
        <w:ind w:left="1000" w:right="619" w:hanging="344"/>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(as defined herein) or natural gas to be a competitive source of energy in the markets in which we operate, and seek to operate;</w:t>
      </w:r>
    </w:p>
    <w:p>
      <w:pPr>
        <w:spacing w:after="0" w:line="54" w:lineRule="exact"/>
        <w:rPr>
          <w:rFonts w:ascii="Times New Roman" w:cs="Times New Roman" w:eastAsia="Times New Roman" w:hAnsi="Times New Roman"/>
          <w:sz w:val="18"/>
          <w:szCs w:val="18"/>
          <w:color w:val="auto"/>
        </w:rPr>
      </w:pPr>
    </w:p>
    <w:p>
      <w:pPr>
        <w:ind w:left="1000" w:right="319" w:hanging="344"/>
        <w:spacing w:after="0" w:line="26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6" w:lineRule="exact"/>
        <w:rPr>
          <w:rFonts w:ascii="Times New Roman" w:cs="Times New Roman" w:eastAsia="Times New Roman" w:hAnsi="Times New Roman"/>
          <w:sz w:val="18"/>
          <w:szCs w:val="18"/>
          <w:color w:val="auto"/>
        </w:rPr>
      </w:pPr>
    </w:p>
    <w:p>
      <w:pPr>
        <w:ind w:left="1000" w:right="939" w:hanging="344"/>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sufficient working capital for the development and operation of our business and assets;</w:t>
      </w:r>
    </w:p>
    <w:p>
      <w:pPr>
        <w:spacing w:after="0" w:line="128" w:lineRule="exact"/>
        <w:rPr>
          <w:rFonts w:ascii="Times New Roman" w:cs="Times New Roman" w:eastAsia="Times New Roman" w:hAnsi="Times New Roman"/>
          <w:sz w:val="17"/>
          <w:szCs w:val="17"/>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6" w:lineRule="exact"/>
        <w:rPr>
          <w:rFonts w:ascii="Times New Roman" w:cs="Times New Roman" w:eastAsia="Times New Roman" w:hAnsi="Times New Roman"/>
          <w:sz w:val="18"/>
          <w:szCs w:val="18"/>
          <w:color w:val="auto"/>
        </w:rPr>
      </w:pPr>
    </w:p>
    <w:p>
      <w:pPr>
        <w:ind w:left="1000" w:right="859" w:hanging="344"/>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6" w:lineRule="exact"/>
        <w:rPr>
          <w:rFonts w:ascii="Times New Roman" w:cs="Times New Roman" w:eastAsia="Times New Roman" w:hAnsi="Times New Roman"/>
          <w:sz w:val="18"/>
          <w:szCs w:val="18"/>
          <w:color w:val="auto"/>
        </w:rPr>
      </w:pPr>
    </w:p>
    <w:p>
      <w:pPr>
        <w:ind w:left="1000" w:right="939" w:hanging="344"/>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99" w:hanging="344"/>
        <w:spacing w:after="0" w:line="28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116" w:lineRule="exact"/>
        <w:rPr>
          <w:rFonts w:ascii="Times New Roman" w:cs="Times New Roman" w:eastAsia="Times New Roman" w:hAnsi="Times New Roman"/>
          <w:sz w:val="18"/>
          <w:szCs w:val="18"/>
          <w:color w:val="auto"/>
        </w:rPr>
      </w:pPr>
    </w:p>
    <w:p>
      <w:pPr>
        <w:ind w:left="1000" w:right="459" w:hanging="344"/>
        <w:spacing w:after="0" w:line="28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4" w:lineRule="exact"/>
        <w:rPr>
          <w:rFonts w:ascii="Times New Roman" w:cs="Times New Roman" w:eastAsia="Times New Roman" w:hAnsi="Times New Roman"/>
          <w:sz w:val="18"/>
          <w:szCs w:val="18"/>
          <w:color w:val="auto"/>
        </w:rPr>
      </w:pPr>
    </w:p>
    <w:p>
      <w:pPr>
        <w:ind w:left="1000" w:right="659" w:hanging="344"/>
        <w:spacing w:after="0" w:line="28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4" w:lineRule="exact"/>
        <w:rPr>
          <w:rFonts w:ascii="Times New Roman" w:cs="Times New Roman" w:eastAsia="Times New Roman" w:hAnsi="Times New Roman"/>
          <w:sz w:val="18"/>
          <w:szCs w:val="18"/>
          <w:color w:val="auto"/>
        </w:rPr>
      </w:pPr>
    </w:p>
    <w:p>
      <w:pPr>
        <w:ind w:left="1000" w:right="759" w:hanging="344"/>
        <w:spacing w:after="0" w:line="28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our Annual Report on Form 10-K and our other filings with the SEC.</w:t>
      </w:r>
    </w:p>
    <w:p>
      <w:pPr>
        <w:spacing w:after="0" w:line="55" w:lineRule="exact"/>
        <w:rPr>
          <w:sz w:val="20"/>
          <w:szCs w:val="20"/>
          <w:color w:val="auto"/>
        </w:rPr>
      </w:pPr>
    </w:p>
    <w:p>
      <w:pPr>
        <w:ind w:left="300" w:right="359" w:firstLine="359"/>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00" w:right="379" w:firstLine="35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LNG and Natural Gas Supply and Liquefaction </w:t>
      </w:r>
      <w:r>
        <w:rPr>
          <w:rFonts w:ascii="Times New Roman" w:cs="Times New Roman" w:eastAsia="Times New Roman" w:hAnsi="Times New Roman"/>
          <w:sz w:val="17"/>
          <w:szCs w:val="17"/>
          <w:color w:val="auto"/>
        </w:rPr>
        <w:t>– We supply LNG and natural gas to our own power plants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w:t>
      </w:r>
    </w:p>
    <w:p>
      <w:pPr>
        <w:spacing w:after="0" w:line="78" w:lineRule="exact"/>
        <w:rPr>
          <w:sz w:val="20"/>
          <w:szCs w:val="20"/>
          <w:color w:val="auto"/>
        </w:rPr>
      </w:pPr>
    </w:p>
    <w:p>
      <w:pPr>
        <w:ind w:left="300" w:right="559" w:firstLine="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 We lease, own or operate a fleet of seven regasification units and 13 liquefied natural gas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floating storage units. Ten vessels are owned by our joint venture affiliate, Energos Infrastructure. We also charter vessels to and from third parties as well as from Energos.</w:t>
      </w:r>
    </w:p>
    <w:p>
      <w:pPr>
        <w:spacing w:after="0" w:line="64" w:lineRule="exact"/>
        <w:rPr>
          <w:sz w:val="20"/>
          <w:szCs w:val="20"/>
          <w:color w:val="auto"/>
        </w:rPr>
      </w:pPr>
    </w:p>
    <w:p>
      <w:pPr>
        <w:ind w:left="300" w:right="459" w:firstLine="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72" w:lineRule="exact"/>
        <w:rPr>
          <w:sz w:val="20"/>
          <w:szCs w:val="20"/>
          <w:color w:val="auto"/>
        </w:rPr>
      </w:pPr>
    </w:p>
    <w:p>
      <w:pPr>
        <w:jc w:val="both"/>
        <w:ind w:left="300" w:right="379" w:firstLine="359"/>
        <w:spacing w:after="0" w:line="265" w:lineRule="auto"/>
        <w:rPr>
          <w:sz w:val="20"/>
          <w:szCs w:val="20"/>
          <w:color w:val="auto"/>
        </w:rPr>
      </w:pPr>
      <w:r>
        <w:rPr>
          <w:rFonts w:ascii="Times New Roman" w:cs="Times New Roman" w:eastAsia="Times New Roman" w:hAnsi="Times New Roman"/>
          <w:sz w:val="18"/>
          <w:szCs w:val="18"/>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300" w:right="319" w:firstLine="359"/>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63" w:lineRule="exact"/>
        <w:rPr>
          <w:sz w:val="20"/>
          <w:szCs w:val="20"/>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w:t>
      </w:r>
    </w:p>
    <w:p>
      <w:pPr>
        <w:spacing w:after="0" w:line="6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w:t>
      </w:r>
    </w:p>
    <w:p>
      <w:pPr>
        <w:spacing w:after="0" w:line="6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dual-fired combined heat and power facility in Clarendon, Jamaica,</w:t>
      </w:r>
    </w:p>
    <w:p>
      <w:pPr>
        <w:spacing w:after="0" w:line="6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62" w:lineRule="exact"/>
        <w:rPr>
          <w:rFonts w:ascii="Times New Roman" w:cs="Times New Roman" w:eastAsia="Times New Roman" w:hAnsi="Times New Roman"/>
          <w:sz w:val="18"/>
          <w:szCs w:val="18"/>
          <w:color w:val="auto"/>
        </w:rPr>
      </w:pPr>
    </w:p>
    <w:p>
      <w:pPr>
        <w:ind w:left="1000" w:right="699" w:hanging="344"/>
        <w:spacing w:after="0" w:line="28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and gas-fired power plant at the Port of Pichilingue in Baja California Sur, Mexico, and</w:t>
      </w: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Miami Facility.</w:t>
      </w:r>
    </w:p>
    <w:p>
      <w:pPr>
        <w:spacing w:after="0" w:line="117" w:lineRule="exact"/>
        <w:rPr>
          <w:sz w:val="20"/>
          <w:szCs w:val="20"/>
          <w:color w:val="auto"/>
        </w:rPr>
      </w:pPr>
    </w:p>
    <w:p>
      <w:pPr>
        <w:ind w:left="300" w:right="339" w:firstLine="359"/>
        <w:spacing w:after="0" w:line="258"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519" w:firstLine="359"/>
        <w:spacing w:after="0" w:line="265"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69" w:lineRule="exact"/>
        <w:rPr>
          <w:sz w:val="20"/>
          <w:szCs w:val="20"/>
          <w:color w:val="auto"/>
        </w:rPr>
      </w:pPr>
    </w:p>
    <w:p>
      <w:pPr>
        <w:ind w:left="300" w:right="399" w:firstLine="359"/>
        <w:spacing w:after="0" w:line="281"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stockholder.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right="359" w:firstLine="359"/>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59"/>
        <w:spacing w:after="0" w:line="256" w:lineRule="auto"/>
        <w:rPr>
          <w:sz w:val="20"/>
          <w:szCs w:val="20"/>
          <w:color w:val="auto"/>
        </w:rPr>
      </w:pPr>
      <w:r>
        <w:rPr>
          <w:rFonts w:ascii="Times New Roman" w:cs="Times New Roman" w:eastAsia="Times New Roman" w:hAnsi="Times New Roman"/>
          <w:sz w:val="18"/>
          <w:szCs w:val="18"/>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300" w:right="299" w:firstLine="359"/>
        <w:spacing w:after="0" w:line="254" w:lineRule="auto"/>
        <w:rPr>
          <w:sz w:val="20"/>
          <w:szCs w:val="20"/>
          <w:color w:val="auto"/>
        </w:rPr>
      </w:pPr>
      <w:r>
        <w:rPr>
          <w:rFonts w:ascii="Times New Roman" w:cs="Times New Roman" w:eastAsia="Times New Roman" w:hAnsi="Times New Roman"/>
          <w:sz w:val="18"/>
          <w:szCs w:val="18"/>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February 26, 2024, there were 205,033,557 shares of Class A common stock outstanding. As of the date hereof, there are no shares of Class B common stock or preferred stock outstanding.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300" w:right="379" w:firstLine="3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common stock are entitled to one vote per share held of record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the stockholders. Holders of our Class A common stock and Class B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79" w:lineRule="exact"/>
        <w:rPr>
          <w:sz w:val="20"/>
          <w:szCs w:val="20"/>
          <w:color w:val="auto"/>
        </w:rPr>
      </w:pPr>
    </w:p>
    <w:p>
      <w:pPr>
        <w:ind w:left="300" w:right="319" w:firstLine="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70" w:lineRule="exact"/>
        <w:rPr>
          <w:sz w:val="20"/>
          <w:szCs w:val="20"/>
          <w:color w:val="auto"/>
        </w:rPr>
      </w:pPr>
    </w:p>
    <w:p>
      <w:pPr>
        <w:ind w:left="300" w:right="619" w:firstLine="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dissolution, liquidation or winding up,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70" w:lineRule="exact"/>
        <w:rPr>
          <w:sz w:val="20"/>
          <w:szCs w:val="20"/>
          <w:color w:val="auto"/>
        </w:rPr>
      </w:pPr>
    </w:p>
    <w:p>
      <w:pPr>
        <w:jc w:val="both"/>
        <w:ind w:left="300" w:right="739" w:firstLine="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Class A common stock have no preemptive or conversion rights and are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calls or assessment by us. There are no redemption or sinking fund provisions applicable to the Class A common stock. All outstanding Class A common stock are fully paid and non-assessable.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left="300" w:right="319" w:firstLine="359"/>
        <w:spacing w:after="0" w:line="254" w:lineRule="auto"/>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Prior to the exchange of all of the units (the “NFI LLC Units”) (other than NFI LLC Units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81" w:lineRule="exact"/>
        <w:rPr>
          <w:sz w:val="20"/>
          <w:szCs w:val="20"/>
          <w:color w:val="auto"/>
        </w:rPr>
      </w:pPr>
    </w:p>
    <w:p>
      <w:pPr>
        <w:ind w:left="300" w:right="659" w:firstLine="359"/>
        <w:spacing w:after="0" w:line="314"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our Class B common stock are entitled to one vote per share held of record on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to be voted upon by the shareholders. Holders of our Class A common stock and Class B common stock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72" w:lineRule="exact"/>
        <w:rPr>
          <w:sz w:val="20"/>
          <w:szCs w:val="20"/>
          <w:color w:val="auto"/>
        </w:rPr>
      </w:pPr>
    </w:p>
    <w:p>
      <w:pPr>
        <w:ind w:left="300" w:right="419" w:firstLine="359"/>
        <w:spacing w:after="0" w:line="255" w:lineRule="auto"/>
        <w:rPr>
          <w:sz w:val="20"/>
          <w:szCs w:val="20"/>
          <w:color w:val="auto"/>
        </w:rPr>
      </w:pPr>
      <w:r>
        <w:rPr>
          <w:rFonts w:ascii="Times New Roman" w:cs="Times New Roman" w:eastAsia="Times New Roman" w:hAnsi="Times New Roman"/>
          <w:sz w:val="18"/>
          <w:szCs w:val="18"/>
          <w:i w:val="1"/>
          <w:iCs w:val="1"/>
          <w:color w:val="auto"/>
        </w:rPr>
        <w:t>Dividend and Liquidation Rights</w:t>
      </w:r>
      <w:r>
        <w:rPr>
          <w:rFonts w:ascii="Times New Roman" w:cs="Times New Roman" w:eastAsia="Times New Roman" w:hAnsi="Times New Roman"/>
          <w:sz w:val="18"/>
          <w:szCs w:val="18"/>
          <w:color w:val="auto"/>
        </w:rPr>
        <w:t>. Holders of our Class B common stock do not have any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79" w:lineRule="exact"/>
        <w:rPr>
          <w:sz w:val="20"/>
          <w:szCs w:val="20"/>
          <w:color w:val="auto"/>
        </w:rPr>
      </w:pPr>
    </w:p>
    <w:p>
      <w:pPr>
        <w:ind w:left="300" w:right="399" w:firstLine="359"/>
        <w:spacing w:after="0" w:line="26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Pursuant to the limited liability company agreement of NFI, each holder of NFI LLC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19" w:firstLine="35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Duties</w:t>
      </w:r>
    </w:p>
    <w:p>
      <w:pPr>
        <w:spacing w:after="0" w:line="119" w:lineRule="exact"/>
        <w:rPr>
          <w:sz w:val="20"/>
          <w:szCs w:val="20"/>
          <w:color w:val="auto"/>
        </w:rPr>
      </w:pPr>
    </w:p>
    <w:p>
      <w:pPr>
        <w:jc w:val="both"/>
        <w:ind w:left="300" w:right="599" w:firstLine="359"/>
        <w:spacing w:after="0" w:line="265" w:lineRule="auto"/>
        <w:rPr>
          <w:sz w:val="20"/>
          <w:szCs w:val="20"/>
          <w:color w:val="auto"/>
        </w:rPr>
      </w:pPr>
      <w:r>
        <w:rPr>
          <w:rFonts w:ascii="Times New Roman" w:cs="Times New Roman" w:eastAsia="Times New Roman" w:hAnsi="Times New Roman"/>
          <w:sz w:val="18"/>
          <w:szCs w:val="18"/>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69" w:lineRule="exact"/>
        <w:rPr>
          <w:sz w:val="20"/>
          <w:szCs w:val="20"/>
          <w:color w:val="auto"/>
        </w:rPr>
      </w:pPr>
    </w:p>
    <w:p>
      <w:pPr>
        <w:ind w:left="1000" w:hanging="344"/>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Class A share; and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117" w:lineRule="exact"/>
        <w:rPr>
          <w:sz w:val="20"/>
          <w:szCs w:val="20"/>
          <w:color w:val="auto"/>
        </w:rPr>
      </w:pPr>
    </w:p>
    <w:p>
      <w:pPr>
        <w:ind w:left="300" w:right="359" w:firstLine="359"/>
        <w:spacing w:after="0" w:line="260" w:lineRule="auto"/>
        <w:rPr>
          <w:sz w:val="20"/>
          <w:szCs w:val="20"/>
          <w:color w:val="auto"/>
        </w:rPr>
      </w:pPr>
      <w:r>
        <w:rPr>
          <w:rFonts w:ascii="Times New Roman" w:cs="Times New Roman" w:eastAsia="Times New Roman" w:hAnsi="Times New Roman"/>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Resignation or Removal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may resign, by notice to us, or be removed by us.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Class A common stock and Class B common stock</w:t>
      </w:r>
    </w:p>
    <w:p>
      <w:pPr>
        <w:spacing w:after="0" w:line="121" w:lineRule="exact"/>
        <w:rPr>
          <w:sz w:val="20"/>
          <w:szCs w:val="20"/>
          <w:color w:val="auto"/>
        </w:rPr>
      </w:pPr>
    </w:p>
    <w:p>
      <w:pPr>
        <w:jc w:val="both"/>
        <w:ind w:left="300" w:right="499" w:firstLine="359"/>
        <w:spacing w:after="0" w:line="265" w:lineRule="auto"/>
        <w:rPr>
          <w:sz w:val="20"/>
          <w:szCs w:val="20"/>
          <w:color w:val="auto"/>
        </w:rPr>
      </w:pPr>
      <w:r>
        <w:rPr>
          <w:rFonts w:ascii="Times New Roman" w:cs="Times New Roman" w:eastAsia="Times New Roman" w:hAnsi="Times New Roman"/>
          <w:sz w:val="18"/>
          <w:szCs w:val="18"/>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69" w:lineRule="exact"/>
        <w:rPr>
          <w:sz w:val="20"/>
          <w:szCs w:val="20"/>
          <w:color w:val="auto"/>
        </w:rPr>
      </w:pPr>
    </w:p>
    <w:p>
      <w:pPr>
        <w:ind w:left="300" w:right="799" w:firstLine="359"/>
        <w:spacing w:after="0" w:line="281" w:lineRule="auto"/>
        <w:rPr>
          <w:sz w:val="20"/>
          <w:szCs w:val="20"/>
          <w:color w:val="auto"/>
        </w:rPr>
      </w:pPr>
      <w:r>
        <w:rPr>
          <w:rFonts w:ascii="Times New Roman" w:cs="Times New Roman" w:eastAsia="Times New Roman" w:hAnsi="Times New Roman"/>
          <w:sz w:val="18"/>
          <w:szCs w:val="18"/>
          <w:color w:val="auto"/>
        </w:rPr>
        <w:t>Class A common stock and Class B common stock are securities and any transfers are subject to the laws governing the transfer of securities.</w:t>
      </w:r>
    </w:p>
    <w:p>
      <w:pPr>
        <w:spacing w:after="0" w:line="55" w:lineRule="exact"/>
        <w:rPr>
          <w:sz w:val="20"/>
          <w:szCs w:val="20"/>
          <w:color w:val="auto"/>
        </w:rPr>
      </w:pPr>
    </w:p>
    <w:p>
      <w:pPr>
        <w:ind w:left="300" w:right="339" w:firstLine="359"/>
        <w:spacing w:after="0" w:line="265" w:lineRule="auto"/>
        <w:rPr>
          <w:sz w:val="20"/>
          <w:szCs w:val="20"/>
          <w:color w:val="auto"/>
        </w:rPr>
      </w:pPr>
      <w:r>
        <w:rPr>
          <w:rFonts w:ascii="Times New Roman" w:cs="Times New Roman" w:eastAsia="Times New Roman" w:hAnsi="Times New Roman"/>
          <w:sz w:val="18"/>
          <w:szCs w:val="18"/>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Certificate of Incorporation and Bylaws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419" w:firstLine="359"/>
        <w:spacing w:after="0" w:line="265" w:lineRule="auto"/>
        <w:rPr>
          <w:sz w:val="20"/>
          <w:szCs w:val="20"/>
          <w:color w:val="auto"/>
        </w:rPr>
      </w:pPr>
      <w:r>
        <w:rPr>
          <w:rFonts w:ascii="Times New Roman" w:cs="Times New Roman" w:eastAsia="Times New Roman" w:hAnsi="Times New Roman"/>
          <w:sz w:val="18"/>
          <w:szCs w:val="18"/>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419" w:firstLine="359"/>
        <w:spacing w:after="0" w:line="265" w:lineRule="auto"/>
        <w:rPr>
          <w:sz w:val="20"/>
          <w:szCs w:val="20"/>
          <w:color w:val="auto"/>
        </w:rPr>
      </w:pPr>
      <w:r>
        <w:rPr>
          <w:rFonts w:ascii="Times New Roman" w:cs="Times New Roman" w:eastAsia="Times New Roman" w:hAnsi="Times New Roman"/>
          <w:sz w:val="18"/>
          <w:szCs w:val="18"/>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Organizational Documents</w:t>
      </w:r>
    </w:p>
    <w:p>
      <w:pPr>
        <w:spacing w:after="0" w:line="121" w:lineRule="exact"/>
        <w:rPr>
          <w:sz w:val="20"/>
          <w:szCs w:val="20"/>
          <w:color w:val="auto"/>
        </w:rPr>
      </w:pPr>
    </w:p>
    <w:p>
      <w:pPr>
        <w:ind w:left="300" w:right="419" w:firstLine="359"/>
        <w:spacing w:after="0" w:line="258"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Prohibited Amendments. </w:t>
      </w:r>
      <w:r>
        <w:rPr>
          <w:rFonts w:ascii="Times New Roman" w:cs="Times New Roman" w:eastAsia="Times New Roman" w:hAnsi="Times New Roman"/>
          <w:sz w:val="18"/>
          <w:szCs w:val="18"/>
          <w:color w:val="auto"/>
        </w:rPr>
        <w:t>No amendment may be made that would:</w:t>
      </w:r>
    </w:p>
    <w:p>
      <w:pPr>
        <w:spacing w:after="0" w:line="119" w:lineRule="exact"/>
        <w:rPr>
          <w:sz w:val="20"/>
          <w:szCs w:val="20"/>
          <w:color w:val="auto"/>
        </w:rPr>
      </w:pPr>
    </w:p>
    <w:p>
      <w:pPr>
        <w:ind w:left="1000" w:right="399" w:hanging="344"/>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stockholder without such stockholder’s consent, unless approved by at least a majority of the type or class of shares so affected; or</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w:t>
      </w:r>
    </w:p>
    <w:p>
      <w:pPr>
        <w:spacing w:after="0" w:line="117" w:lineRule="exact"/>
        <w:rPr>
          <w:sz w:val="20"/>
          <w:szCs w:val="20"/>
          <w:color w:val="auto"/>
        </w:rPr>
      </w:pPr>
    </w:p>
    <w:p>
      <w:pPr>
        <w:ind w:left="300" w:right="419" w:firstLine="359"/>
        <w:spacing w:after="0" w:line="312" w:lineRule="auto"/>
        <w:rPr>
          <w:sz w:val="20"/>
          <w:szCs w:val="20"/>
          <w:color w:val="auto"/>
        </w:rPr>
      </w:pPr>
      <w:r>
        <w:rPr>
          <w:rFonts w:ascii="Times New Roman" w:cs="Times New Roman" w:eastAsia="Times New Roman" w:hAnsi="Times New Roman"/>
          <w:sz w:val="17"/>
          <w:szCs w:val="17"/>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29" w:lineRule="exact"/>
        <w:rPr>
          <w:sz w:val="20"/>
          <w:szCs w:val="20"/>
          <w:color w:val="auto"/>
        </w:rPr>
      </w:pPr>
    </w:p>
    <w:p>
      <w:pPr>
        <w:ind w:left="300" w:right="679" w:firstLine="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Approval. </w:t>
      </w:r>
      <w:r>
        <w:rPr>
          <w:rFonts w:ascii="Times New Roman" w:cs="Times New Roman" w:eastAsia="Times New Roman" w:hAnsi="Times New Roman"/>
          <w:sz w:val="18"/>
          <w:szCs w:val="18"/>
          <w:color w:val="auto"/>
        </w:rPr>
        <w:t>Our board of directors may generally make amendments to our Bylaws,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to our Certificate of Incorporation, without the approval of any stockholder or assignee to reflect:</w:t>
      </w:r>
    </w:p>
    <w:p>
      <w:pPr>
        <w:spacing w:after="0" w:line="66" w:lineRule="exact"/>
        <w:rPr>
          <w:sz w:val="20"/>
          <w:szCs w:val="20"/>
          <w:color w:val="auto"/>
        </w:rPr>
      </w:pPr>
    </w:p>
    <w:p>
      <w:pPr>
        <w:ind w:left="1000" w:right="819" w:hanging="344"/>
        <w:spacing w:after="0" w:line="28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4" w:lineRule="exact"/>
        <w:rPr>
          <w:rFonts w:ascii="Times New Roman" w:cs="Times New Roman" w:eastAsia="Times New Roman" w:hAnsi="Times New Roman"/>
          <w:sz w:val="18"/>
          <w:szCs w:val="18"/>
          <w:color w:val="auto"/>
        </w:rPr>
      </w:pPr>
    </w:p>
    <w:p>
      <w:pPr>
        <w:ind w:left="1000" w:right="359" w:hanging="344"/>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74" w:lineRule="exact"/>
        <w:rPr>
          <w:rFonts w:ascii="Times New Roman" w:cs="Times New Roman" w:eastAsia="Times New Roman" w:hAnsi="Times New Roman"/>
          <w:sz w:val="18"/>
          <w:szCs w:val="18"/>
          <w:color w:val="auto"/>
        </w:rPr>
      </w:pPr>
    </w:p>
    <w:p>
      <w:pPr>
        <w:ind w:left="1000" w:right="499" w:hanging="344"/>
        <w:spacing w:after="0" w:line="28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4" w:lineRule="exact"/>
        <w:rPr>
          <w:rFonts w:ascii="Times New Roman" w:cs="Times New Roman" w:eastAsia="Times New Roman" w:hAnsi="Times New Roman"/>
          <w:sz w:val="18"/>
          <w:szCs w:val="18"/>
          <w:color w:val="auto"/>
        </w:rPr>
      </w:pPr>
    </w:p>
    <w:p>
      <w:pPr>
        <w:ind w:left="1000" w:right="379" w:hanging="344"/>
        <w:spacing w:after="0" w:line="28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organizational documents to be made by our board of directors acting alone;</w:t>
      </w:r>
    </w:p>
    <w:p>
      <w:pPr>
        <w:spacing w:after="0" w:line="54" w:lineRule="exact"/>
        <w:rPr>
          <w:rFonts w:ascii="Times New Roman" w:cs="Times New Roman" w:eastAsia="Times New Roman" w:hAnsi="Times New Roman"/>
          <w:sz w:val="18"/>
          <w:szCs w:val="18"/>
          <w:color w:val="auto"/>
        </w:rPr>
      </w:pPr>
    </w:p>
    <w:p>
      <w:pPr>
        <w:ind w:left="1000" w:right="319" w:hanging="344"/>
        <w:spacing w:after="0" w:line="28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organizational documents;</w:t>
      </w:r>
    </w:p>
    <w:p>
      <w:pPr>
        <w:spacing w:after="0" w:line="54" w:lineRule="exact"/>
        <w:rPr>
          <w:rFonts w:ascii="Times New Roman" w:cs="Times New Roman" w:eastAsia="Times New Roman" w:hAnsi="Times New Roman"/>
          <w:sz w:val="18"/>
          <w:szCs w:val="18"/>
          <w:color w:val="auto"/>
        </w:rPr>
      </w:pPr>
    </w:p>
    <w:p>
      <w:pPr>
        <w:ind w:left="1000" w:right="419" w:hanging="344"/>
        <w:spacing w:after="0" w:line="26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6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099" w:firstLine="359"/>
        <w:spacing w:after="0" w:line="281"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Bylaws without the approval of any stockholder or assignee if our board of directors determines that those amendments:</w:t>
      </w:r>
    </w:p>
    <w:p>
      <w:pPr>
        <w:spacing w:after="0" w:line="55" w:lineRule="exact"/>
        <w:rPr>
          <w:sz w:val="20"/>
          <w:szCs w:val="20"/>
          <w:color w:val="auto"/>
        </w:rPr>
      </w:pPr>
    </w:p>
    <w:p>
      <w:pPr>
        <w:ind w:left="1000" w:hanging="344"/>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stockholders in any material respect;</w:t>
      </w:r>
    </w:p>
    <w:p>
      <w:pPr>
        <w:spacing w:after="0" w:line="116" w:lineRule="exact"/>
        <w:rPr>
          <w:rFonts w:ascii="Times New Roman" w:cs="Times New Roman" w:eastAsia="Times New Roman" w:hAnsi="Times New Roman"/>
          <w:sz w:val="18"/>
          <w:szCs w:val="18"/>
          <w:color w:val="auto"/>
        </w:rPr>
      </w:pPr>
    </w:p>
    <w:p>
      <w:pPr>
        <w:jc w:val="both"/>
        <w:ind w:left="1000" w:right="319" w:hanging="344"/>
        <w:spacing w:after="0" w:line="265"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9" w:lineRule="exact"/>
        <w:rPr>
          <w:rFonts w:ascii="Times New Roman" w:cs="Times New Roman" w:eastAsia="Times New Roman" w:hAnsi="Times New Roman"/>
          <w:sz w:val="18"/>
          <w:szCs w:val="18"/>
          <w:color w:val="auto"/>
        </w:rPr>
      </w:pPr>
    </w:p>
    <w:p>
      <w:pPr>
        <w:ind w:left="1000" w:right="539" w:hanging="344"/>
        <w:spacing w:after="0" w:line="26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73" w:lineRule="exact"/>
        <w:rPr>
          <w:rFonts w:ascii="Times New Roman" w:cs="Times New Roman" w:eastAsia="Times New Roman" w:hAnsi="Times New Roman"/>
          <w:sz w:val="18"/>
          <w:szCs w:val="18"/>
          <w:color w:val="auto"/>
        </w:rPr>
      </w:pPr>
    </w:p>
    <w:p>
      <w:pPr>
        <w:ind w:left="1000" w:right="1279" w:hanging="344"/>
        <w:spacing w:after="0" w:line="28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Bylaws; or</w:t>
      </w:r>
    </w:p>
    <w:p>
      <w:pPr>
        <w:spacing w:after="0" w:line="54" w:lineRule="exact"/>
        <w:rPr>
          <w:rFonts w:ascii="Times New Roman" w:cs="Times New Roman" w:eastAsia="Times New Roman" w:hAnsi="Times New Roman"/>
          <w:sz w:val="18"/>
          <w:szCs w:val="18"/>
          <w:color w:val="auto"/>
        </w:rPr>
      </w:pPr>
    </w:p>
    <w:p>
      <w:pPr>
        <w:ind w:left="1000" w:right="959" w:hanging="344"/>
        <w:spacing w:after="0" w:line="28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organizational documents or are otherwise contemplated by our organizational documents.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the DGCL, our board of directors is generally prohibited, without the prior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approval of holders of a majority of the total combined voting power of all of our Class A common stock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B common stock, from causing us to, among other things, merge, sell, exchange or otherwise dispose of all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substantially all of our assets in a single transaction or a series of related transactions, or approving on our behalf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 exchange or other disposition of all or substantially all of our assets, provided that our board of directors may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mortgage, pledge, hypothecate or grant a security interest in all or substantially all of our assets without the approval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any stockholder. Our board of directors may also sell all or substantially all of our assets under a foreclosure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realization upon the encumbrances above without that approval.</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left="300" w:right="559" w:firstLine="359"/>
        <w:spacing w:after="0" w:line="265"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Organizational Documents</w:t>
      </w:r>
    </w:p>
    <w:p>
      <w:pPr>
        <w:spacing w:after="0" w:line="121" w:lineRule="exact"/>
        <w:rPr>
          <w:sz w:val="20"/>
          <w:szCs w:val="20"/>
          <w:color w:val="auto"/>
        </w:rPr>
      </w:pPr>
    </w:p>
    <w:p>
      <w:pPr>
        <w:ind w:left="300" w:right="379" w:firstLine="359"/>
        <w:spacing w:after="0" w:line="260" w:lineRule="auto"/>
        <w:rPr>
          <w:sz w:val="20"/>
          <w:szCs w:val="20"/>
          <w:color w:val="auto"/>
        </w:rPr>
      </w:pPr>
      <w:r>
        <w:rPr>
          <w:rFonts w:ascii="Times New Roman" w:cs="Times New Roman" w:eastAsia="Times New Roman" w:hAnsi="Times New Roman"/>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72" w:lineRule="exact"/>
        <w:rPr>
          <w:sz w:val="20"/>
          <w:szCs w:val="20"/>
          <w:color w:val="auto"/>
        </w:rPr>
      </w:pPr>
    </w:p>
    <w:p>
      <w:pPr>
        <w:ind w:left="300" w:right="339" w:firstLine="3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Interests. </w:t>
      </w:r>
      <w:r>
        <w:rPr>
          <w:rFonts w:ascii="Times New Roman" w:cs="Times New Roman" w:eastAsia="Times New Roman" w:hAnsi="Times New Roman"/>
          <w:sz w:val="18"/>
          <w:szCs w:val="18"/>
          <w:color w:val="auto"/>
        </w:rPr>
        <w:t>Our organizational documents authorize us to issue up to 750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Statute—Section 203. </w:t>
      </w:r>
      <w:r>
        <w:rPr>
          <w:rFonts w:ascii="Times New Roman" w:cs="Times New Roman" w:eastAsia="Times New Roman" w:hAnsi="Times New Roman"/>
          <w:sz w:val="18"/>
          <w:szCs w:val="18"/>
          <w:color w:val="auto"/>
        </w:rPr>
        <w:t>We are a corporation organized under Delaware law.</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Some provisions of Delaware law may delay or prevent a transaction that would cause a change in our control.</w:t>
      </w:r>
    </w:p>
    <w:p>
      <w:pPr>
        <w:spacing w:after="0" w:line="98" w:lineRule="exact"/>
        <w:rPr>
          <w:sz w:val="20"/>
          <w:szCs w:val="20"/>
          <w:color w:val="auto"/>
        </w:rPr>
      </w:pPr>
    </w:p>
    <w:p>
      <w:pPr>
        <w:ind w:left="300" w:right="419" w:firstLine="359"/>
        <w:spacing w:after="0" w:line="260" w:lineRule="auto"/>
        <w:rPr>
          <w:sz w:val="20"/>
          <w:szCs w:val="20"/>
          <w:color w:val="auto"/>
        </w:rPr>
      </w:pPr>
      <w:r>
        <w:rPr>
          <w:rFonts w:ascii="Times New Roman" w:cs="Times New Roman" w:eastAsia="Times New Roman" w:hAnsi="Times New Roman"/>
          <w:sz w:val="18"/>
          <w:szCs w:val="18"/>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59"/>
        <w:spacing w:after="0" w:line="288" w:lineRule="auto"/>
        <w:rPr>
          <w:sz w:val="20"/>
          <w:szCs w:val="20"/>
          <w:color w:val="auto"/>
        </w:rPr>
      </w:pPr>
      <w:r>
        <w:rPr>
          <w:rFonts w:ascii="Times New Roman" w:cs="Times New Roman" w:eastAsia="Times New Roman" w:hAnsi="Times New Roman"/>
          <w:sz w:val="17"/>
          <w:szCs w:val="17"/>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1" w:lineRule="exact"/>
        <w:rPr>
          <w:sz w:val="20"/>
          <w:szCs w:val="20"/>
          <w:color w:val="auto"/>
        </w:rPr>
      </w:pPr>
    </w:p>
    <w:p>
      <w:pPr>
        <w:ind w:left="1000" w:right="759" w:hanging="344"/>
        <w:spacing w:after="0" w:line="28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54" w:lineRule="exact"/>
        <w:rPr>
          <w:rFonts w:ascii="Times New Roman" w:cs="Times New Roman" w:eastAsia="Times New Roman" w:hAnsi="Times New Roman"/>
          <w:sz w:val="18"/>
          <w:szCs w:val="18"/>
          <w:color w:val="auto"/>
        </w:rPr>
      </w:pPr>
    </w:p>
    <w:p>
      <w:pPr>
        <w:ind w:left="1000" w:right="439" w:hanging="344"/>
        <w:spacing w:after="0" w:line="26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9" w:lineRule="exact"/>
        <w:rPr>
          <w:rFonts w:ascii="Times New Roman" w:cs="Times New Roman" w:eastAsia="Times New Roman" w:hAnsi="Times New Roman"/>
          <w:sz w:val="18"/>
          <w:szCs w:val="18"/>
          <w:color w:val="auto"/>
        </w:rPr>
      </w:pPr>
    </w:p>
    <w:p>
      <w:pPr>
        <w:jc w:val="both"/>
        <w:ind w:left="1000" w:right="499" w:hanging="344"/>
        <w:spacing w:after="0" w:line="26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described above do not apply if (a) the Company does not have a class of voting stock that is:</w:t>
      </w:r>
    </w:p>
    <w:p>
      <w:pPr>
        <w:spacing w:after="0" w:line="27" w:lineRule="exact"/>
        <w:rPr>
          <w:sz w:val="20"/>
          <w:szCs w:val="20"/>
          <w:color w:val="auto"/>
        </w:rPr>
      </w:pPr>
    </w:p>
    <w:p>
      <w:pPr>
        <w:ind w:left="300" w:right="319" w:hanging="3"/>
        <w:spacing w:after="0" w:line="251" w:lineRule="auto"/>
        <w:tabs>
          <w:tab w:leader="none" w:pos="5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84" w:lineRule="exact"/>
        <w:rPr>
          <w:sz w:val="20"/>
          <w:szCs w:val="20"/>
          <w:color w:val="auto"/>
        </w:rPr>
      </w:pPr>
    </w:p>
    <w:p>
      <w:pPr>
        <w:ind w:left="300" w:right="319" w:firstLine="359"/>
        <w:spacing w:after="0" w:line="253"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81" w:lineRule="exact"/>
        <w:rPr>
          <w:sz w:val="20"/>
          <w:szCs w:val="20"/>
          <w:color w:val="auto"/>
        </w:rPr>
      </w:pPr>
    </w:p>
    <w:p>
      <w:pPr>
        <w:ind w:left="300" w:right="399" w:firstLine="359"/>
        <w:spacing w:after="0" w:line="255"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7" w:lineRule="exact"/>
        <w:rPr>
          <w:sz w:val="20"/>
          <w:szCs w:val="20"/>
          <w:color w:val="auto"/>
        </w:rPr>
      </w:pPr>
    </w:p>
    <w:p>
      <w:pPr>
        <w:ind w:left="300" w:right="379" w:firstLine="3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Provisions of Our Organizational Documents. </w:t>
      </w:r>
      <w:r>
        <w:rPr>
          <w:rFonts w:ascii="Times New Roman" w:cs="Times New Roman" w:eastAsia="Times New Roman" w:hAnsi="Times New Roman"/>
          <w:sz w:val="18"/>
          <w:szCs w:val="18"/>
          <w:color w:val="auto"/>
        </w:rPr>
        <w:t>Our Certificate of Incorporation provides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59"/>
        <w:spacing w:after="0" w:line="288" w:lineRule="auto"/>
        <w:rPr>
          <w:sz w:val="20"/>
          <w:szCs w:val="20"/>
          <w:color w:val="auto"/>
        </w:rPr>
      </w:pPr>
      <w:r>
        <w:rPr>
          <w:rFonts w:ascii="Times New Roman" w:cs="Times New Roman" w:eastAsia="Times New Roman" w:hAnsi="Times New Roman"/>
          <w:sz w:val="17"/>
          <w:szCs w:val="17"/>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51" w:lineRule="exact"/>
        <w:rPr>
          <w:sz w:val="20"/>
          <w:szCs w:val="20"/>
          <w:color w:val="auto"/>
        </w:rPr>
      </w:pPr>
    </w:p>
    <w:p>
      <w:pPr>
        <w:jc w:val="both"/>
        <w:ind w:left="300" w:right="339" w:firstLine="359"/>
        <w:spacing w:after="0" w:line="265"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69" w:lineRule="exact"/>
        <w:rPr>
          <w:sz w:val="20"/>
          <w:szCs w:val="20"/>
          <w:color w:val="auto"/>
        </w:rPr>
      </w:pPr>
    </w:p>
    <w:p>
      <w:pPr>
        <w:ind w:left="300" w:right="439" w:firstLine="359"/>
        <w:spacing w:after="0" w:line="265" w:lineRule="auto"/>
        <w:rPr>
          <w:sz w:val="20"/>
          <w:szCs w:val="20"/>
          <w:color w:val="auto"/>
        </w:rPr>
      </w:pPr>
      <w:r>
        <w:rPr>
          <w:rFonts w:ascii="Times New Roman" w:cs="Times New Roman" w:eastAsia="Times New Roman" w:hAnsi="Times New Roman"/>
          <w:sz w:val="18"/>
          <w:szCs w:val="18"/>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67" w:lineRule="exact"/>
        <w:rPr>
          <w:sz w:val="20"/>
          <w:szCs w:val="20"/>
          <w:color w:val="auto"/>
        </w:rPr>
      </w:pPr>
    </w:p>
    <w:p>
      <w:pPr>
        <w:ind w:left="300" w:right="379" w:firstLine="3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Ability of Our Stockholders to Act. </w:t>
      </w:r>
      <w:r>
        <w:rPr>
          <w:rFonts w:ascii="Times New Roman" w:cs="Times New Roman" w:eastAsia="Times New Roman" w:hAnsi="Times New Roman"/>
          <w:sz w:val="18"/>
          <w:szCs w:val="18"/>
          <w:color w:val="auto"/>
        </w:rPr>
        <w:t>Our organizational documents do not permit our stockholders to call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80" w:lineRule="exact"/>
        <w:rPr>
          <w:sz w:val="20"/>
          <w:szCs w:val="20"/>
          <w:color w:val="auto"/>
        </w:rPr>
      </w:pPr>
    </w:p>
    <w:p>
      <w:pPr>
        <w:ind w:left="300" w:right="379" w:firstLine="359"/>
        <w:spacing w:after="0" w:line="258" w:lineRule="auto"/>
        <w:rPr>
          <w:sz w:val="20"/>
          <w:szCs w:val="20"/>
          <w:color w:val="auto"/>
        </w:rPr>
      </w:pPr>
      <w:r>
        <w:rPr>
          <w:rFonts w:ascii="Times New Roman" w:cs="Times New Roman" w:eastAsia="Times New Roman" w:hAnsi="Times New Roman"/>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74" w:lineRule="exact"/>
        <w:rPr>
          <w:sz w:val="20"/>
          <w:szCs w:val="20"/>
          <w:color w:val="auto"/>
        </w:rPr>
      </w:pPr>
    </w:p>
    <w:p>
      <w:pPr>
        <w:ind w:left="300" w:right="319" w:firstLine="359"/>
        <w:spacing w:after="0" w:line="252" w:lineRule="auto"/>
        <w:rPr>
          <w:sz w:val="20"/>
          <w:szCs w:val="20"/>
          <w:color w:val="auto"/>
        </w:rPr>
      </w:pPr>
      <w:r>
        <w:rPr>
          <w:rFonts w:ascii="Times New Roman" w:cs="Times New Roman" w:eastAsia="Times New Roman" w:hAnsi="Times New Roman"/>
          <w:sz w:val="18"/>
          <w:szCs w:val="18"/>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459" w:firstLine="359"/>
        <w:spacing w:after="0" w:line="260"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ind w:left="300" w:right="519" w:firstLine="359"/>
        <w:spacing w:after="0" w:line="26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69" w:lineRule="exact"/>
        <w:rPr>
          <w:sz w:val="20"/>
          <w:szCs w:val="20"/>
          <w:color w:val="auto"/>
        </w:rPr>
      </w:pPr>
    </w:p>
    <w:p>
      <w:pPr>
        <w:ind w:left="1000" w:hanging="344"/>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00" w:right="1119" w:hanging="344"/>
        <w:spacing w:after="0" w:line="28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54" w:lineRule="exact"/>
        <w:rPr>
          <w:rFonts w:ascii="Times New Roman" w:cs="Times New Roman" w:eastAsia="Times New Roman" w:hAnsi="Times New Roman"/>
          <w:sz w:val="18"/>
          <w:szCs w:val="18"/>
          <w:color w:val="auto"/>
        </w:rPr>
      </w:pPr>
    </w:p>
    <w:p>
      <w:pPr>
        <w:ind w:left="1000" w:right="339" w:hanging="344"/>
        <w:spacing w:after="0" w:line="28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DGCL or our organizational documents; or</w:t>
      </w:r>
    </w:p>
    <w:p>
      <w:pPr>
        <w:spacing w:after="0" w:line="54" w:lineRule="exact"/>
        <w:rPr>
          <w:rFonts w:ascii="Times New Roman" w:cs="Times New Roman" w:eastAsia="Times New Roman" w:hAnsi="Times New Roman"/>
          <w:sz w:val="18"/>
          <w:szCs w:val="18"/>
          <w:color w:val="auto"/>
        </w:rPr>
      </w:pPr>
    </w:p>
    <w:p>
      <w:pPr>
        <w:ind w:left="1000" w:right="339" w:hanging="344"/>
        <w:spacing w:after="0" w:line="265"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69" w:lineRule="exact"/>
        <w:rPr>
          <w:sz w:val="20"/>
          <w:szCs w:val="20"/>
          <w:color w:val="auto"/>
        </w:rPr>
      </w:pPr>
    </w:p>
    <w:p>
      <w:pPr>
        <w:ind w:left="300" w:right="319" w:firstLine="359"/>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79"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ind w:left="300" w:right="439" w:firstLine="359"/>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4" w:lineRule="exact"/>
        <w:rPr>
          <w:sz w:val="20"/>
          <w:szCs w:val="20"/>
          <w:color w:val="auto"/>
        </w:rPr>
      </w:pPr>
    </w:p>
    <w:p>
      <w:pPr>
        <w:ind w:left="1000" w:right="839" w:hanging="344"/>
        <w:spacing w:after="0" w:line="28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February 4, 2019;</w:t>
      </w:r>
    </w:p>
    <w:p>
      <w:pPr>
        <w:spacing w:after="0" w:line="54" w:lineRule="exact"/>
        <w:rPr>
          <w:rFonts w:ascii="Times New Roman" w:cs="Times New Roman" w:eastAsia="Times New Roman" w:hAnsi="Times New Roman"/>
          <w:sz w:val="18"/>
          <w:szCs w:val="18"/>
          <w:color w:val="auto"/>
        </w:rPr>
      </w:pPr>
    </w:p>
    <w:p>
      <w:pPr>
        <w:ind w:left="1000" w:right="699" w:hanging="344"/>
        <w:spacing w:after="0" w:line="28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4" w:lineRule="exact"/>
        <w:rPr>
          <w:rFonts w:ascii="Times New Roman" w:cs="Times New Roman" w:eastAsia="Times New Roman" w:hAnsi="Times New Roman"/>
          <w:sz w:val="18"/>
          <w:szCs w:val="18"/>
          <w:color w:val="auto"/>
        </w:rPr>
      </w:pPr>
    </w:p>
    <w:p>
      <w:pPr>
        <w:ind w:left="1000" w:right="399" w:hanging="344"/>
        <w:spacing w:after="0" w:line="288"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51" w:lineRule="exact"/>
        <w:rPr>
          <w:rFonts w:ascii="Times New Roman" w:cs="Times New Roman" w:eastAsia="Times New Roman" w:hAnsi="Times New Roman"/>
          <w:sz w:val="17"/>
          <w:szCs w:val="17"/>
          <w:color w:val="auto"/>
        </w:rPr>
      </w:pPr>
    </w:p>
    <w:p>
      <w:pPr>
        <w:ind w:left="1000" w:right="699" w:hanging="344"/>
        <w:spacing w:after="0" w:line="28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4" w:lineRule="exact"/>
        <w:rPr>
          <w:rFonts w:ascii="Times New Roman" w:cs="Times New Roman" w:eastAsia="Times New Roman" w:hAnsi="Times New Roman"/>
          <w:sz w:val="18"/>
          <w:szCs w:val="18"/>
          <w:color w:val="auto"/>
        </w:rPr>
      </w:pPr>
    </w:p>
    <w:p>
      <w:pPr>
        <w:ind w:left="1000" w:right="359" w:hanging="344"/>
        <w:spacing w:after="0" w:line="28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4" w:lineRule="exact"/>
        <w:rPr>
          <w:rFonts w:ascii="Times New Roman" w:cs="Times New Roman" w:eastAsia="Times New Roman" w:hAnsi="Times New Roman"/>
          <w:sz w:val="18"/>
          <w:szCs w:val="18"/>
          <w:color w:val="auto"/>
        </w:rPr>
      </w:pPr>
    </w:p>
    <w:p>
      <w:pPr>
        <w:ind w:left="1000" w:right="439" w:hanging="344"/>
        <w:spacing w:after="0" w:line="265"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ind w:left="300" w:right="439" w:firstLine="359"/>
        <w:spacing w:after="0" w:line="255" w:lineRule="auto"/>
        <w:rPr>
          <w:sz w:val="20"/>
          <w:szCs w:val="20"/>
          <w:color w:val="auto"/>
        </w:rPr>
      </w:pPr>
      <w:r>
        <w:rPr>
          <w:rFonts w:ascii="Times New Roman" w:cs="Times New Roman" w:eastAsia="Times New Roman" w:hAnsi="Times New Roman"/>
          <w:sz w:val="18"/>
          <w:szCs w:val="18"/>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79" w:lineRule="exact"/>
        <w:rPr>
          <w:sz w:val="20"/>
          <w:szCs w:val="20"/>
          <w:color w:val="auto"/>
        </w:rPr>
      </w:pPr>
    </w:p>
    <w:p>
      <w:pPr>
        <w:jc w:val="both"/>
        <w:ind w:left="300" w:right="319" w:firstLine="359"/>
        <w:spacing w:after="0" w:line="257" w:lineRule="auto"/>
        <w:rPr>
          <w:sz w:val="20"/>
          <w:szCs w:val="20"/>
          <w:color w:val="auto"/>
        </w:rPr>
      </w:pPr>
      <w:r>
        <w:rPr>
          <w:rFonts w:ascii="Times New Roman" w:cs="Times New Roman" w:eastAsia="Times New Roman" w:hAnsi="Times New Roman"/>
          <w:sz w:val="18"/>
          <w:szCs w:val="18"/>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300" w:right="339" w:firstLine="359"/>
        <w:spacing w:after="0" w:line="252"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and Class B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21" w:lineRule="exact"/>
        <w:rPr>
          <w:sz w:val="20"/>
          <w:szCs w:val="20"/>
          <w:color w:val="auto"/>
        </w:rPr>
      </w:pPr>
    </w:p>
    <w:p>
      <w:pPr>
        <w:ind w:left="300" w:right="479" w:firstLine="359"/>
        <w:spacing w:after="0" w:line="26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69" w:lineRule="exact"/>
        <w:rPr>
          <w:sz w:val="20"/>
          <w:szCs w:val="20"/>
          <w:color w:val="auto"/>
        </w:rPr>
      </w:pPr>
    </w:p>
    <w:p>
      <w:pPr>
        <w:ind w:left="300" w:right="499" w:firstLine="359"/>
        <w:spacing w:after="0" w:line="255" w:lineRule="auto"/>
        <w:rPr>
          <w:sz w:val="20"/>
          <w:szCs w:val="20"/>
          <w:color w:val="auto"/>
        </w:rPr>
      </w:pPr>
      <w:r>
        <w:rPr>
          <w:rFonts w:ascii="Times New Roman" w:cs="Times New Roman" w:eastAsia="Times New Roman" w:hAnsi="Times New Roman"/>
          <w:sz w:val="18"/>
          <w:szCs w:val="18"/>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79" w:lineRule="exact"/>
        <w:rPr>
          <w:sz w:val="20"/>
          <w:szCs w:val="20"/>
          <w:color w:val="auto"/>
        </w:rPr>
      </w:pPr>
    </w:p>
    <w:p>
      <w:pPr>
        <w:jc w:val="both"/>
        <w:ind w:left="300" w:right="579" w:firstLine="359"/>
        <w:spacing w:after="0" w:line="265" w:lineRule="auto"/>
        <w:rPr>
          <w:sz w:val="20"/>
          <w:szCs w:val="20"/>
          <w:color w:val="auto"/>
        </w:rPr>
      </w:pPr>
      <w:r>
        <w:rPr>
          <w:rFonts w:ascii="Times New Roman" w:cs="Times New Roman" w:eastAsia="Times New Roman" w:hAnsi="Times New Roman"/>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300" w:right="319" w:firstLine="359"/>
        <w:spacing w:after="0" w:line="255" w:lineRule="auto"/>
        <w:rPr>
          <w:sz w:val="20"/>
          <w:szCs w:val="20"/>
          <w:color w:val="auto"/>
        </w:rPr>
      </w:pPr>
      <w:r>
        <w:rPr>
          <w:rFonts w:ascii="Times New Roman" w:cs="Times New Roman" w:eastAsia="Times New Roman" w:hAnsi="Times New Roman"/>
          <w:sz w:val="18"/>
          <w:szCs w:val="18"/>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300" w:right="679" w:firstLine="359"/>
        <w:spacing w:after="0" w:line="265" w:lineRule="auto"/>
        <w:rPr>
          <w:sz w:val="20"/>
          <w:szCs w:val="20"/>
          <w:color w:val="auto"/>
        </w:rPr>
      </w:pPr>
      <w:r>
        <w:rPr>
          <w:rFonts w:ascii="Times New Roman" w:cs="Times New Roman" w:eastAsia="Times New Roman" w:hAnsi="Times New Roman"/>
          <w:sz w:val="18"/>
          <w:szCs w:val="18"/>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300" w:right="339" w:firstLine="359"/>
        <w:spacing w:after="0" w:line="258" w:lineRule="auto"/>
        <w:rPr>
          <w:sz w:val="20"/>
          <w:szCs w:val="20"/>
          <w:color w:val="auto"/>
        </w:rPr>
      </w:pPr>
      <w:r>
        <w:rPr>
          <w:rFonts w:ascii="Times New Roman" w:cs="Times New Roman" w:eastAsia="Times New Roman" w:hAnsi="Times New Roman"/>
          <w:sz w:val="18"/>
          <w:szCs w:val="18"/>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300" w:right="339" w:firstLine="359"/>
        <w:spacing w:after="0" w:line="256" w:lineRule="auto"/>
        <w:rPr>
          <w:sz w:val="20"/>
          <w:szCs w:val="20"/>
          <w:color w:val="auto"/>
        </w:rPr>
      </w:pPr>
      <w:r>
        <w:rPr>
          <w:rFonts w:ascii="Times New Roman" w:cs="Times New Roman" w:eastAsia="Times New Roman" w:hAnsi="Times New Roman"/>
          <w:sz w:val="18"/>
          <w:szCs w:val="18"/>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300" w:right="379" w:firstLine="359"/>
        <w:spacing w:after="0" w:line="26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left="300" w:right="499" w:firstLine="359"/>
        <w:spacing w:after="0" w:line="258" w:lineRule="auto"/>
        <w:rPr>
          <w:sz w:val="20"/>
          <w:szCs w:val="20"/>
          <w:color w:val="auto"/>
        </w:rPr>
      </w:pPr>
      <w:r>
        <w:rPr>
          <w:rFonts w:ascii="Times New Roman" w:cs="Times New Roman" w:eastAsia="Times New Roman" w:hAnsi="Times New Roman"/>
          <w:sz w:val="18"/>
          <w:szCs w:val="18"/>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21" w:lineRule="exact"/>
        <w:rPr>
          <w:sz w:val="20"/>
          <w:szCs w:val="20"/>
          <w:color w:val="auto"/>
        </w:rPr>
      </w:pPr>
    </w:p>
    <w:p>
      <w:pPr>
        <w:ind w:left="300" w:right="359" w:firstLine="359"/>
        <w:spacing w:after="0" w:line="253" w:lineRule="auto"/>
        <w:rPr>
          <w:sz w:val="20"/>
          <w:szCs w:val="20"/>
          <w:color w:val="auto"/>
        </w:rPr>
      </w:pPr>
      <w:r>
        <w:rPr>
          <w:rFonts w:ascii="Times New Roman" w:cs="Times New Roman" w:eastAsia="Times New Roman" w:hAnsi="Times New Roman"/>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83" w:lineRule="exact"/>
        <w:rPr>
          <w:sz w:val="20"/>
          <w:szCs w:val="20"/>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to which it relates have been redeemed or converted; or</w:t>
      </w:r>
    </w:p>
    <w:p>
      <w:pPr>
        <w:spacing w:after="0" w:line="116" w:lineRule="exact"/>
        <w:rPr>
          <w:rFonts w:ascii="Times New Roman" w:cs="Times New Roman" w:eastAsia="Times New Roman" w:hAnsi="Times New Roman"/>
          <w:sz w:val="18"/>
          <w:szCs w:val="18"/>
          <w:color w:val="auto"/>
        </w:rPr>
      </w:pPr>
    </w:p>
    <w:p>
      <w:pPr>
        <w:ind w:left="1000" w:right="359" w:hanging="344"/>
        <w:spacing w:after="0" w:line="28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made a final distribution to the holders of the depositary shares issued under the deposit agreement upon our liquidation, dissolution or winding up.</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300" w:right="499" w:firstLine="359"/>
        <w:spacing w:after="0" w:line="272" w:lineRule="auto"/>
        <w:rPr>
          <w:sz w:val="20"/>
          <w:szCs w:val="20"/>
          <w:color w:val="auto"/>
        </w:rPr>
      </w:pPr>
      <w:r>
        <w:rPr>
          <w:rFonts w:ascii="Times New Roman" w:cs="Times New Roman" w:eastAsia="Times New Roman" w:hAnsi="Times New Roman"/>
          <w:sz w:val="17"/>
          <w:szCs w:val="17"/>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1" w:lineRule="exact"/>
        <w:rPr>
          <w:sz w:val="20"/>
          <w:szCs w:val="20"/>
          <w:color w:val="auto"/>
        </w:rPr>
      </w:pPr>
    </w:p>
    <w:p>
      <w:pPr>
        <w:ind w:left="300" w:right="559" w:hanging="3"/>
        <w:spacing w:after="0" w:line="255" w:lineRule="auto"/>
        <w:tabs>
          <w:tab w:leader="none" w:pos="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579" w:firstLine="359"/>
        <w:spacing w:after="0" w:line="281"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55" w:lineRule="exact"/>
        <w:rPr>
          <w:sz w:val="20"/>
          <w:szCs w:val="20"/>
          <w:color w:val="auto"/>
        </w:rPr>
      </w:pPr>
    </w:p>
    <w:p>
      <w:pPr>
        <w:ind w:left="300" w:right="359" w:firstLine="359"/>
        <w:spacing w:after="0" w:line="270" w:lineRule="auto"/>
        <w:rPr>
          <w:sz w:val="20"/>
          <w:szCs w:val="20"/>
          <w:color w:val="auto"/>
        </w:rPr>
      </w:pPr>
      <w:r>
        <w:rPr>
          <w:rFonts w:ascii="Times New Roman" w:cs="Times New Roman" w:eastAsia="Times New Roman" w:hAnsi="Times New Roman"/>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successor to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66" w:lineRule="exact"/>
        <w:rPr>
          <w:sz w:val="20"/>
          <w:szCs w:val="20"/>
          <w:color w:val="auto"/>
        </w:rPr>
      </w:pPr>
    </w:p>
    <w:p>
      <w:pPr>
        <w:ind w:left="300" w:right="559" w:firstLine="359"/>
        <w:spacing w:after="0" w:line="265"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6" w:lineRule="exact"/>
        <w:rPr>
          <w:sz w:val="20"/>
          <w:szCs w:val="20"/>
          <w:color w:val="auto"/>
        </w:rPr>
      </w:pPr>
    </w:p>
    <w:p>
      <w:pPr>
        <w:ind w:left="1000" w:right="69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4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8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03" w:lineRule="exact"/>
        <w:rPr>
          <w:rFonts w:ascii="Times New Roman" w:cs="Times New Roman" w:eastAsia="Times New Roman" w:hAnsi="Times New Roman"/>
          <w:sz w:val="18"/>
          <w:szCs w:val="18"/>
          <w:color w:val="auto"/>
        </w:rPr>
      </w:pPr>
    </w:p>
    <w:p>
      <w:pPr>
        <w:ind w:left="1000" w:right="519" w:hanging="344"/>
        <w:spacing w:after="0" w:line="26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2" w:lineRule="exact"/>
        <w:rPr>
          <w:rFonts w:ascii="Times New Roman" w:cs="Times New Roman" w:eastAsia="Times New Roman" w:hAnsi="Times New Roman"/>
          <w:sz w:val="18"/>
          <w:szCs w:val="18"/>
          <w:color w:val="auto"/>
        </w:rPr>
      </w:pPr>
    </w:p>
    <w:p>
      <w:pPr>
        <w:ind w:left="1000" w:right="39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4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8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03" w:lineRule="exact"/>
        <w:rPr>
          <w:rFonts w:ascii="Times New Roman" w:cs="Times New Roman" w:eastAsia="Times New Roman" w:hAnsi="Times New Roman"/>
          <w:sz w:val="18"/>
          <w:szCs w:val="18"/>
          <w:color w:val="auto"/>
        </w:rPr>
      </w:pPr>
    </w:p>
    <w:p>
      <w:pPr>
        <w:ind w:left="1000" w:right="31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41" w:lineRule="exact"/>
        <w:rPr>
          <w:rFonts w:ascii="Times New Roman" w:cs="Times New Roman" w:eastAsia="Times New Roman" w:hAnsi="Times New Roman"/>
          <w:sz w:val="18"/>
          <w:szCs w:val="18"/>
          <w:color w:val="auto"/>
        </w:rPr>
      </w:pPr>
    </w:p>
    <w:p>
      <w:pPr>
        <w:ind w:left="1000" w:right="95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27" w:lineRule="exact"/>
        <w:rPr>
          <w:rFonts w:ascii="Times New Roman" w:cs="Times New Roman" w:eastAsia="Times New Roman" w:hAnsi="Times New Roman"/>
          <w:sz w:val="18"/>
          <w:szCs w:val="18"/>
          <w:color w:val="auto"/>
        </w:rPr>
      </w:pPr>
    </w:p>
    <w:p>
      <w:pPr>
        <w:ind w:left="1000" w:right="51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4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8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03" w:lineRule="exact"/>
        <w:rPr>
          <w:rFonts w:ascii="Times New Roman" w:cs="Times New Roman" w:eastAsia="Times New Roman" w:hAnsi="Times New Roman"/>
          <w:sz w:val="18"/>
          <w:szCs w:val="18"/>
          <w:color w:val="auto"/>
        </w:rPr>
      </w:pPr>
    </w:p>
    <w:p>
      <w:pPr>
        <w:ind w:left="1000" w:right="57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7" w:lineRule="exact"/>
        <w:rPr>
          <w:rFonts w:ascii="Times New Roman" w:cs="Times New Roman" w:eastAsia="Times New Roman" w:hAnsi="Times New Roman"/>
          <w:sz w:val="18"/>
          <w:szCs w:val="18"/>
          <w:color w:val="auto"/>
        </w:rPr>
      </w:pPr>
    </w:p>
    <w:p>
      <w:pPr>
        <w:ind w:left="1000" w:right="73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41" w:lineRule="exact"/>
        <w:rPr>
          <w:rFonts w:ascii="Times New Roman" w:cs="Times New Roman" w:eastAsia="Times New Roman" w:hAnsi="Times New Roman"/>
          <w:sz w:val="18"/>
          <w:szCs w:val="18"/>
          <w:color w:val="auto"/>
        </w:rPr>
      </w:pPr>
    </w:p>
    <w:p>
      <w:pPr>
        <w:ind w:left="1000" w:right="979" w:hanging="344"/>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59" w:hanging="344"/>
        <w:spacing w:after="0" w:line="28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41" w:lineRule="exact"/>
        <w:rPr>
          <w:rFonts w:ascii="Times New Roman" w:cs="Times New Roman" w:eastAsia="Times New Roman" w:hAnsi="Times New Roman"/>
          <w:sz w:val="18"/>
          <w:szCs w:val="18"/>
          <w:color w:val="auto"/>
        </w:rPr>
      </w:pPr>
    </w:p>
    <w:p>
      <w:pPr>
        <w:ind w:left="1000" w:right="499" w:hanging="344"/>
        <w:spacing w:after="0" w:line="28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4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8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03" w:lineRule="exact"/>
        <w:rPr>
          <w:rFonts w:ascii="Times New Roman" w:cs="Times New Roman" w:eastAsia="Times New Roman" w:hAnsi="Times New Roman"/>
          <w:sz w:val="18"/>
          <w:szCs w:val="18"/>
          <w:color w:val="auto"/>
        </w:rPr>
      </w:pPr>
    </w:p>
    <w:p>
      <w:pPr>
        <w:ind w:left="1000" w:right="959" w:hanging="344"/>
        <w:spacing w:after="0" w:line="28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41" w:lineRule="exact"/>
        <w:rPr>
          <w:rFonts w:ascii="Times New Roman" w:cs="Times New Roman" w:eastAsia="Times New Roman" w:hAnsi="Times New Roman"/>
          <w:sz w:val="18"/>
          <w:szCs w:val="18"/>
          <w:color w:val="auto"/>
        </w:rPr>
      </w:pPr>
    </w:p>
    <w:p>
      <w:pPr>
        <w:jc w:val="both"/>
        <w:ind w:left="1000" w:right="599" w:hanging="344"/>
        <w:spacing w:after="0" w:line="26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42" w:lineRule="exact"/>
        <w:rPr>
          <w:rFonts w:ascii="Times New Roman" w:cs="Times New Roman" w:eastAsia="Times New Roman" w:hAnsi="Times New Roman"/>
          <w:sz w:val="18"/>
          <w:szCs w:val="18"/>
          <w:color w:val="auto"/>
        </w:rPr>
      </w:pPr>
    </w:p>
    <w:p>
      <w:pPr>
        <w:ind w:left="1000" w:right="319" w:hanging="344"/>
        <w:spacing w:after="0" w:line="26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firstLine="359"/>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84" w:lineRule="exact"/>
        <w:rPr>
          <w:sz w:val="20"/>
          <w:szCs w:val="20"/>
          <w:color w:val="auto"/>
        </w:rPr>
      </w:pPr>
    </w:p>
    <w:p>
      <w:pPr>
        <w:ind w:left="300" w:right="419" w:firstLine="359"/>
        <w:spacing w:after="0" w:line="281"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55" w:lineRule="exact"/>
        <w:rPr>
          <w:sz w:val="20"/>
          <w:szCs w:val="20"/>
          <w:color w:val="auto"/>
        </w:rPr>
      </w:pPr>
    </w:p>
    <w:p>
      <w:pPr>
        <w:ind w:left="300" w:right="339" w:firstLine="359"/>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right="339" w:firstLine="359"/>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619" w:firstLine="359"/>
        <w:spacing w:after="0" w:line="281"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499" w:firstLine="359"/>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78" w:lineRule="exact"/>
        <w:rPr>
          <w:sz w:val="20"/>
          <w:szCs w:val="20"/>
          <w:color w:val="auto"/>
        </w:rPr>
      </w:pPr>
    </w:p>
    <w:p>
      <w:pPr>
        <w:ind w:left="300" w:right="499" w:firstLine="359"/>
        <w:spacing w:after="0" w:line="281"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55" w:lineRule="exact"/>
        <w:rPr>
          <w:sz w:val="20"/>
          <w:szCs w:val="20"/>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6" w:lineRule="exact"/>
        <w:rPr>
          <w:rFonts w:ascii="Times New Roman" w:cs="Times New Roman" w:eastAsia="Times New Roman" w:hAnsi="Times New Roman"/>
          <w:sz w:val="18"/>
          <w:szCs w:val="18"/>
          <w:color w:val="auto"/>
        </w:rPr>
      </w:pPr>
    </w:p>
    <w:p>
      <w:pPr>
        <w:ind w:left="1000" w:right="599" w:hanging="344"/>
        <w:spacing w:after="0" w:line="28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16" w:lineRule="exact"/>
        <w:rPr>
          <w:rFonts w:ascii="Times New Roman" w:cs="Times New Roman" w:eastAsia="Times New Roman" w:hAnsi="Times New Roman"/>
          <w:sz w:val="18"/>
          <w:szCs w:val="18"/>
          <w:color w:val="auto"/>
        </w:rPr>
      </w:pPr>
    </w:p>
    <w:p>
      <w:pPr>
        <w:ind w:left="1000" w:right="439" w:hanging="344"/>
        <w:spacing w:after="0" w:line="28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16" w:lineRule="exact"/>
        <w:rPr>
          <w:rFonts w:ascii="Times New Roman" w:cs="Times New Roman" w:eastAsia="Times New Roman" w:hAnsi="Times New Roman"/>
          <w:sz w:val="18"/>
          <w:szCs w:val="18"/>
          <w:color w:val="auto"/>
        </w:rPr>
      </w:pPr>
    </w:p>
    <w:p>
      <w:pPr>
        <w:ind w:left="1000" w:right="319" w:hanging="344"/>
        <w:spacing w:after="0" w:line="28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issue of warrants will be evidenced by warrant certificates. After warrants expire they will become void.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prospectus supplement may provide for the adjustment of the exercise price of the warrants.</w:t>
      </w:r>
    </w:p>
    <w:p>
      <w:pPr>
        <w:spacing w:after="0" w:line="98" w:lineRule="exact"/>
        <w:rPr>
          <w:sz w:val="20"/>
          <w:szCs w:val="20"/>
          <w:color w:val="auto"/>
        </w:rPr>
      </w:pPr>
    </w:p>
    <w:p>
      <w:pPr>
        <w:jc w:val="both"/>
        <w:ind w:left="300" w:right="639" w:firstLine="359"/>
        <w:spacing w:after="0" w:line="260"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4" w:lineRule="exact"/>
        <w:rPr>
          <w:sz w:val="20"/>
          <w:szCs w:val="20"/>
          <w:color w:val="auto"/>
        </w:rPr>
      </w:pPr>
    </w:p>
    <w:p>
      <w:pPr>
        <w:ind w:left="300" w:right="419" w:firstLine="359"/>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439" w:firstLine="359"/>
        <w:spacing w:after="0" w:line="260"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of up to 114,670,972 shares of Class A common stock by certain of our stockholders identified in the table below, who we refer to in this prospectus as the “selling stockholders.” The selling stockholders identified below may currently hold or acquire at any time Class A common stock in addition to those registered hereby.</w:t>
      </w:r>
    </w:p>
    <w:p>
      <w:pPr>
        <w:spacing w:after="0" w:line="74" w:lineRule="exact"/>
        <w:rPr>
          <w:sz w:val="20"/>
          <w:szCs w:val="20"/>
          <w:color w:val="auto"/>
        </w:rPr>
      </w:pPr>
    </w:p>
    <w:p>
      <w:pPr>
        <w:jc w:val="both"/>
        <w:ind w:left="300" w:right="639" w:firstLine="359"/>
        <w:spacing w:after="0" w:line="272"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w:t>
      </w:r>
    </w:p>
    <w:p>
      <w:pPr>
        <w:spacing w:after="0" w:line="1" w:lineRule="exact"/>
        <w:rPr>
          <w:sz w:val="20"/>
          <w:szCs w:val="20"/>
          <w:color w:val="auto"/>
        </w:rPr>
      </w:pPr>
    </w:p>
    <w:p>
      <w:pPr>
        <w:jc w:val="both"/>
        <w:ind w:left="300" w:right="559"/>
        <w:spacing w:after="0" w:line="255" w:lineRule="auto"/>
        <w:rPr>
          <w:sz w:val="20"/>
          <w:szCs w:val="20"/>
          <w:color w:val="auto"/>
        </w:rPr>
      </w:pPr>
      <w:r>
        <w:rPr>
          <w:rFonts w:ascii="Times New Roman" w:cs="Times New Roman" w:eastAsia="Times New Roman" w:hAnsi="Times New Roman"/>
          <w:sz w:val="18"/>
          <w:szCs w:val="18"/>
          <w:color w:val="auto"/>
        </w:rPr>
        <w:t>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77" w:lineRule="exact"/>
        <w:rPr>
          <w:sz w:val="20"/>
          <w:szCs w:val="20"/>
          <w:color w:val="auto"/>
        </w:rPr>
      </w:pPr>
    </w:p>
    <w:p>
      <w:pPr>
        <w:ind w:left="300" w:right="499" w:firstLine="359"/>
        <w:spacing w:after="0" w:line="260" w:lineRule="auto"/>
        <w:rPr>
          <w:sz w:val="20"/>
          <w:szCs w:val="20"/>
          <w:color w:val="auto"/>
        </w:rPr>
      </w:pPr>
      <w:r>
        <w:rPr>
          <w:rFonts w:ascii="Times New Roman" w:cs="Times New Roman" w:eastAsia="Times New Roman" w:hAnsi="Times New Roman"/>
          <w:sz w:val="18"/>
          <w:szCs w:val="18"/>
          <w:color w:val="auto"/>
        </w:rPr>
        <w:t>The information in the below table (other than the percentages of our outstanding Class A common stock beneficially owned) in respect of the selling stockholders was furnished by or on behalf of the selling stockholders and is as of March 1, 2024. Except as may be noted in this section, none of the selling stockholders has, or within the past three years has had, any material relationship with us or any of our affiliates.</w:t>
      </w:r>
    </w:p>
    <w:p>
      <w:pPr>
        <w:spacing w:after="0" w:line="74" w:lineRule="exact"/>
        <w:rPr>
          <w:sz w:val="20"/>
          <w:szCs w:val="20"/>
          <w:color w:val="auto"/>
        </w:rPr>
      </w:pPr>
    </w:p>
    <w:p>
      <w:pPr>
        <w:ind w:left="300" w:right="499" w:firstLine="359"/>
        <w:spacing w:after="0" w:line="260" w:lineRule="auto"/>
        <w:rPr>
          <w:sz w:val="20"/>
          <w:szCs w:val="20"/>
          <w:color w:val="auto"/>
        </w:rPr>
      </w:pPr>
      <w:r>
        <w:rPr>
          <w:rFonts w:ascii="Times New Roman" w:cs="Times New Roman" w:eastAsia="Times New Roman" w:hAnsi="Times New Roman"/>
          <w:sz w:val="18"/>
          <w:szCs w:val="18"/>
          <w:color w:val="auto"/>
        </w:rPr>
        <w:t>Wesley R. Edens, Randal A. Nardone and all of the entities listed under “Selling Stockholders”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74" w:lineRule="exact"/>
        <w:rPr>
          <w:sz w:val="20"/>
          <w:szCs w:val="20"/>
          <w:color w:val="auto"/>
        </w:rPr>
      </w:pPr>
    </w:p>
    <w:p>
      <w:pPr>
        <w:ind w:left="300" w:right="499" w:firstLine="359"/>
        <w:spacing w:after="0" w:line="258" w:lineRule="auto"/>
        <w:rPr>
          <w:sz w:val="20"/>
          <w:szCs w:val="20"/>
          <w:color w:val="auto"/>
        </w:rPr>
      </w:pPr>
      <w:r>
        <w:rPr>
          <w:rFonts w:ascii="Times New Roman" w:cs="Times New Roman" w:eastAsia="Times New Roman" w:hAnsi="Times New Roman"/>
          <w:sz w:val="18"/>
          <w:szCs w:val="18"/>
          <w:color w:val="auto"/>
        </w:rPr>
        <w:t>No offer or sale under this prospectus may be made by any stockholder unless that holder is listed in the table below, in any supplement to this prospectus or in an amendment to the relevant registration statement that has become effective. We will supplement or amend this prospectus if applicable to include additional selling stockholders upon provision of all required information to us and subject to the terms of any relevant agreement between us and the selling stockholders.</w:t>
      </w:r>
    </w:p>
    <w:p>
      <w:pPr>
        <w:spacing w:after="0" w:line="74" w:lineRule="exact"/>
        <w:rPr>
          <w:sz w:val="20"/>
          <w:szCs w:val="20"/>
          <w:color w:val="auto"/>
        </w:rPr>
      </w:pPr>
    </w:p>
    <w:p>
      <w:pPr>
        <w:ind w:left="300" w:right="399" w:firstLine="359"/>
        <w:spacing w:after="0" w:line="254" w:lineRule="auto"/>
        <w:rPr>
          <w:sz w:val="20"/>
          <w:szCs w:val="20"/>
          <w:color w:val="auto"/>
        </w:rPr>
      </w:pPr>
      <w:r>
        <w:rPr>
          <w:rFonts w:ascii="Times New Roman" w:cs="Times New Roman" w:eastAsia="Times New Roman" w:hAnsi="Times New Roman"/>
          <w:sz w:val="18"/>
          <w:szCs w:val="18"/>
          <w:color w:val="auto"/>
        </w:rPr>
        <w:t>The selling stockholders are not obligated to sell any of the Class A common stock offered by this prospectus. Because the selling stockholders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stockholders upon termination of this offering. Therefore, for the purposes of the following table, we have assumed that the selling stockholders will sell all of the Class A common stock beneficially owned by them that are covered by this prospectus, but will not sell any other Class A common stock that they may currently own.</w:t>
      </w:r>
    </w:p>
    <w:p>
      <w:pPr>
        <w:spacing w:after="0" w:line="211" w:lineRule="exact"/>
        <w:rPr>
          <w:sz w:val="20"/>
          <w:szCs w:val="20"/>
          <w:color w:val="auto"/>
        </w:rPr>
      </w:pPr>
    </w:p>
    <w:tbl>
      <w:tblPr>
        <w:tblLayout w:type="fixed"/>
        <w:tblInd w:w="418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vMerge w:val="continue"/>
          </w:tcPr>
          <w:p>
            <w:pPr>
              <w:spacing w:after="0"/>
              <w:rPr>
                <w:sz w:val="12"/>
                <w:szCs w:val="12"/>
                <w:color w:val="auto"/>
              </w:rPr>
            </w:pP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4"/>
                <w:szCs w:val="14"/>
                <w:b w:val="1"/>
                <w:bCs w:val="1"/>
                <w:color w:val="auto"/>
              </w:rPr>
              <w:t>Class A Common</w:t>
            </w:r>
            <w:r>
              <w:rPr>
                <w:rFonts w:ascii="Times New Roman" w:cs="Times New Roman" w:eastAsia="Times New Roman" w:hAnsi="Times New Roman"/>
                <w:sz w:val="4"/>
                <w:szCs w:val="4"/>
                <w:color w:val="auto"/>
              </w:rPr>
              <w:t>​</w:t>
            </w:r>
          </w:p>
        </w:tc>
        <w:tc>
          <w:tcPr>
            <w:tcW w:w="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1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restart"/>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 xml:space="preserve">Number  </w:t>
            </w:r>
            <w:r>
              <w:rPr>
                <w:rFonts w:ascii="Times New Roman" w:cs="Times New Roman" w:eastAsia="Times New Roman" w:hAnsi="Times New Roman"/>
                <w:sz w:val="3"/>
                <w:szCs w:val="3"/>
                <w:color w:val="auto"/>
                <w:w w:val="92"/>
              </w:rPr>
              <w:t>​   ​</w:t>
            </w: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line="20" w:lineRule="exact"/>
              <w:rPr>
                <w:sz w:val="1"/>
                <w:szCs w:val="1"/>
                <w:color w:val="auto"/>
              </w:rPr>
            </w:pPr>
          </w:p>
        </w:tc>
      </w:tr>
      <w:tr>
        <w:trPr>
          <w:trHeight w:val="315"/>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1520" w:type="dxa"/>
            <w:vAlign w:val="bottom"/>
            <w:vMerge w:val="continue"/>
          </w:tcPr>
          <w:p>
            <w:pPr>
              <w:spacing w:after="0"/>
              <w:rPr>
                <w:sz w:val="24"/>
                <w:szCs w:val="24"/>
                <w:color w:val="auto"/>
              </w:rPr>
            </w:pP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Offered Hereby  </w:t>
            </w:r>
            <w:r>
              <w:rPr>
                <w:rFonts w:ascii="Times New Roman" w:cs="Times New Roman" w:eastAsia="Times New Roman" w:hAnsi="Times New Roman"/>
                <w:sz w:val="3"/>
                <w:szCs w:val="3"/>
                <w:color w:val="auto"/>
              </w:rPr>
              <w:t>​</w:t>
            </w:r>
          </w:p>
        </w:tc>
        <w:tc>
          <w:tcPr>
            <w:tcW w:w="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-46990</wp:posOffset>
            </wp:positionV>
            <wp:extent cx="5342890" cy="213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5342890" cy="21399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tbl>
      <w:tblPr>
        <w:tblLayout w:type="fixed"/>
        <w:tblInd w:w="300" w:type="dxa"/>
        <w:tblCellMar>
          <w:top w:w="0" w:type="dxa"/>
          <w:left w:w="0" w:type="dxa"/>
          <w:bottom w:w="0" w:type="dxa"/>
          <w:right w:w="0" w:type="dxa"/>
        </w:tblCellMar>
      </w:tblPr>
      <w:tr>
        <w:trPr>
          <w:trHeight w:val="124"/>
        </w:trPr>
        <w:tc>
          <w:tcPr>
            <w:tcW w:w="322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Selling Stockholders</w:t>
            </w:r>
          </w:p>
        </w:tc>
        <w:tc>
          <w:tcPr>
            <w:tcW w:w="8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0"/>
                <w:szCs w:val="10"/>
                <w:color w:val="auto"/>
              </w:rPr>
            </w:pPr>
          </w:p>
        </w:tc>
      </w:tr>
      <w:tr>
        <w:trPr>
          <w:trHeight w:val="44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Fortress Equity Partners GP LLC</w:t>
            </w:r>
            <w:r>
              <w:rPr>
                <w:rFonts w:ascii="Times New Roman" w:cs="Times New Roman" w:eastAsia="Times New Roman" w:hAnsi="Times New Roman"/>
                <w:sz w:val="29"/>
                <w:szCs w:val="29"/>
                <w:color w:val="auto"/>
                <w:vertAlign w:val="superscript"/>
              </w:rPr>
              <w:t>(2)</w:t>
            </w:r>
          </w:p>
        </w:tc>
        <w:tc>
          <w:tcPr>
            <w:tcW w:w="8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13,399,317 </w:t>
            </w:r>
            <w:r>
              <w:rPr>
                <w:rFonts w:ascii="Times New Roman" w:cs="Times New Roman" w:eastAsia="Times New Roman" w:hAnsi="Times New Roman"/>
                <w:sz w:val="3"/>
                <w:szCs w:val="3"/>
                <w:color w:val="auto"/>
              </w:rPr>
              <w:t>​   ​</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r>
      <w:tr>
        <w:trPr>
          <w:trHeight w:val="39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Energy Transition Holdings LLC</w:t>
            </w:r>
            <w:r>
              <w:rPr>
                <w:rFonts w:ascii="Times New Roman" w:cs="Times New Roman" w:eastAsia="Times New Roman" w:hAnsi="Times New Roman"/>
                <w:sz w:val="29"/>
                <w:szCs w:val="29"/>
                <w:color w:val="auto"/>
                <w:vertAlign w:val="superscript"/>
              </w:rPr>
              <w:t>(3)</w:t>
            </w:r>
          </w:p>
        </w:tc>
        <w:tc>
          <w:tcPr>
            <w:tcW w:w="80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25,559,846 </w:t>
            </w:r>
            <w:r>
              <w:rPr>
                <w:rFonts w:ascii="Times New Roman" w:cs="Times New Roman" w:eastAsia="Times New Roman" w:hAnsi="Times New Roman"/>
                <w:sz w:val="3"/>
                <w:szCs w:val="3"/>
                <w:color w:val="auto"/>
              </w:rPr>
              <w:t>​   ​</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25,559,846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-257175</wp:posOffset>
            </wp:positionV>
            <wp:extent cx="534289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34289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40" w:val="left"/>
          <w:tab w:leader="none" w:pos="900" w:val="left"/>
          <w:tab w:leader="none" w:pos="9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50" w:lineRule="exact"/>
        <w:rPr>
          <w:sz w:val="20"/>
          <w:szCs w:val="20"/>
          <w:color w:val="auto"/>
        </w:rPr>
      </w:pPr>
    </w:p>
    <w:p>
      <w:pPr>
        <w:sectPr>
          <w:pgSz w:w="11900" w:h="16838" w:orient="portrait"/>
          <w:cols w:equalWidth="0" w:num="2">
            <w:col w:w="6980" w:space="120"/>
            <w:col w:w="1919"/>
          </w:cols>
          <w:pgMar w:left="1440" w:top="263" w:right="1440" w:bottom="1440" w:gutter="0" w:footer="0" w:header="0"/>
          <w:type w:val="continuous"/>
        </w:sectPr>
      </w:pPr>
    </w:p>
    <w:p>
      <w:pPr>
        <w:ind w:left="4180"/>
        <w:spacing w:after="0"/>
        <w:tabs>
          <w:tab w:leader="none" w:pos="4220" w:val="left"/>
          <w:tab w:leader="none" w:pos="5220" w:val="left"/>
          <w:tab w:leader="none" w:pos="5280" w:val="left"/>
          <w:tab w:leader="none" w:pos="5880" w:val="left"/>
          <w:tab w:leader="none" w:pos="5940" w:val="left"/>
          <w:tab w:leader="none" w:pos="7080" w:val="left"/>
          <w:tab w:leader="none" w:pos="7140" w:val="left"/>
          <w:tab w:leader="none" w:pos="8000" w:val="left"/>
          <w:tab w:leader="none" w:pos="80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87630</wp:posOffset>
            </wp:positionV>
            <wp:extent cx="534289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342890" cy="18859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8"/>
                <w:szCs w:val="18"/>
                <w:color w:val="auto"/>
              </w:rPr>
            </w:pPr>
          </w:p>
        </w:tc>
      </w:tr>
      <w:tr>
        <w:trPr>
          <w:trHeight w:val="44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9"/>
                <w:szCs w:val="29"/>
                <w:color w:val="auto"/>
                <w:vertAlign w:val="superscript"/>
              </w:rPr>
              <w:t>(4)</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47,540,924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47,540,924</w:t>
            </w:r>
          </w:p>
        </w:tc>
      </w:tr>
      <w:tr>
        <w:trPr>
          <w:trHeight w:val="306"/>
        </w:trPr>
        <w:tc>
          <w:tcPr>
            <w:tcW w:w="3200" w:type="dxa"/>
            <w:vAlign w:val="bottom"/>
          </w:tcPr>
          <w:p>
            <w:pPr>
              <w:spacing w:after="0" w:line="306" w:lineRule="exact"/>
              <w:rPr>
                <w:sz w:val="20"/>
                <w:szCs w:val="20"/>
                <w:color w:val="auto"/>
              </w:rPr>
            </w:pPr>
            <w:r>
              <w:rPr>
                <w:rFonts w:ascii="Times New Roman" w:cs="Times New Roman" w:eastAsia="Times New Roman" w:hAnsi="Times New Roman"/>
                <w:sz w:val="18"/>
                <w:szCs w:val="18"/>
                <w:color w:val="auto"/>
              </w:rPr>
              <w:t>Randal A. Nardone</w:t>
            </w:r>
            <w:r>
              <w:rPr>
                <w:rFonts w:ascii="Times New Roman" w:cs="Times New Roman" w:eastAsia="Times New Roman" w:hAnsi="Times New Roman"/>
                <w:sz w:val="29"/>
                <w:szCs w:val="29"/>
                <w:color w:val="auto"/>
                <w:vertAlign w:val="superscript"/>
              </w:rPr>
              <w:t>(5)</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12.8%</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201,653</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69,841</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69,841</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333,429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333,429</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John J. Mack</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1,178,013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1,178,013</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8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-1292225</wp:posOffset>
            </wp:positionV>
            <wp:extent cx="534289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342890" cy="18859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-915670</wp:posOffset>
            </wp:positionV>
            <wp:extent cx="534289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342890" cy="18859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-539115</wp:posOffset>
            </wp:positionV>
            <wp:extent cx="534289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342890" cy="18859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-161925</wp:posOffset>
            </wp:positionV>
            <wp:extent cx="534289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342890" cy="19685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179705</wp:posOffset>
            </wp:positionV>
            <wp:extent cx="821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40" w:val="left"/>
          <w:tab w:leader="none" w:pos="900" w:val="left"/>
          <w:tab w:leader="none" w:pos="9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sectPr>
          <w:pgSz w:w="11900" w:h="16838" w:orient="portrait"/>
          <w:cols w:equalWidth="0" w:num="2">
            <w:col w:w="6980" w:space="120"/>
            <w:col w:w="1919"/>
          </w:cols>
          <w:pgMar w:left="1440" w:top="263" w:right="1440" w:bottom="1440" w:gutter="0" w:footer="0" w:header="0"/>
          <w:type w:val="continuous"/>
        </w:sectPr>
      </w:pPr>
    </w:p>
    <w:p>
      <w:pPr>
        <w:spacing w:after="0" w:line="128" w:lineRule="exact"/>
        <w:rPr>
          <w:sz w:val="20"/>
          <w:szCs w:val="20"/>
          <w:color w:val="auto"/>
        </w:rPr>
      </w:pPr>
    </w:p>
    <w:p>
      <w:pPr>
        <w:ind w:left="640" w:hanging="343"/>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shares outstanding. See footnote (1).</w:t>
      </w:r>
    </w:p>
    <w:p>
      <w:pPr>
        <w:spacing w:after="0" w:line="41" w:lineRule="exact"/>
        <w:rPr>
          <w:sz w:val="20"/>
          <w:szCs w:val="20"/>
          <w:color w:val="auto"/>
        </w:rPr>
      </w:pPr>
    </w:p>
    <w:p>
      <w:pPr>
        <w:ind w:left="640" w:hanging="343"/>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February 26, 2024, we had 205,033,557 shares of Class A common stock outstanding.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640" w:right="319" w:hanging="343"/>
        <w:spacing w:after="0" w:line="232"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7" w:lineRule="exact"/>
        <w:rPr>
          <w:rFonts w:ascii="Times New Roman" w:cs="Times New Roman" w:eastAsia="Times New Roman" w:hAnsi="Times New Roman"/>
          <w:sz w:val="14"/>
          <w:szCs w:val="14"/>
          <w:color w:val="auto"/>
        </w:rPr>
      </w:pPr>
    </w:p>
    <w:p>
      <w:pPr>
        <w:ind w:left="640" w:right="359" w:hanging="343"/>
        <w:spacing w:after="0" w:line="214"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Haven, CT 06510.</w:t>
      </w:r>
    </w:p>
    <w:p>
      <w:pPr>
        <w:spacing w:after="0" w:line="1" w:lineRule="exact"/>
        <w:rPr>
          <w:rFonts w:ascii="Times New Roman" w:cs="Times New Roman" w:eastAsia="Times New Roman" w:hAnsi="Times New Roman"/>
          <w:sz w:val="14"/>
          <w:szCs w:val="14"/>
          <w:color w:val="auto"/>
        </w:rPr>
      </w:pPr>
    </w:p>
    <w:p>
      <w:pPr>
        <w:ind w:left="640" w:right="479" w:hanging="343"/>
        <w:spacing w:after="0" w:line="227"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29,928,173 shares of Class A common stock held by Edens Family Partners LLC and 17,612,751 shares of Class A common stock held by WRE 2012 Trust LLC (“WRE Trust”), a limited liability company organized under the laws of the State of Delaware. Mr. Edens is the sole beneficial owner of Edens Family Partners LLC.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8" w:lineRule="exact"/>
        <w:rPr>
          <w:rFonts w:ascii="Times New Roman" w:cs="Times New Roman" w:eastAsia="Times New Roman" w:hAnsi="Times New Roman"/>
          <w:sz w:val="14"/>
          <w:szCs w:val="14"/>
          <w:color w:val="auto"/>
        </w:rPr>
      </w:pPr>
    </w:p>
    <w:p>
      <w:pPr>
        <w:ind w:left="640" w:right="359" w:hanging="343"/>
        <w:spacing w:after="0" w:line="23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719" w:firstLine="359"/>
        <w:spacing w:after="0" w:line="281" w:lineRule="auto"/>
        <w:rPr>
          <w:sz w:val="20"/>
          <w:szCs w:val="20"/>
          <w:color w:val="auto"/>
        </w:rPr>
      </w:pPr>
      <w:r>
        <w:rPr>
          <w:rFonts w:ascii="Times New Roman" w:cs="Times New Roman" w:eastAsia="Times New Roman" w:hAnsi="Times New Roman"/>
          <w:sz w:val="18"/>
          <w:szCs w:val="18"/>
          <w:color w:val="auto"/>
        </w:rPr>
        <w:t>We or the selling stockholders may sell the securities being offered hereby in one or more of the following ways from time to time:</w:t>
      </w:r>
    </w:p>
    <w:p>
      <w:pPr>
        <w:spacing w:after="0" w:line="55" w:lineRule="exact"/>
        <w:rPr>
          <w:sz w:val="20"/>
          <w:szCs w:val="20"/>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 market” offerings (as defined in Rule 415 under the Securities Act of 1933);</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117" w:lineRule="exact"/>
        <w:rPr>
          <w:sz w:val="20"/>
          <w:szCs w:val="20"/>
          <w:color w:val="auto"/>
        </w:rPr>
      </w:pPr>
    </w:p>
    <w:p>
      <w:pPr>
        <w:ind w:left="300" w:right="339" w:firstLine="359"/>
        <w:spacing w:after="0" w:line="254" w:lineRule="auto"/>
        <w:rPr>
          <w:sz w:val="20"/>
          <w:szCs w:val="20"/>
          <w:color w:val="auto"/>
        </w:rPr>
      </w:pPr>
      <w:r>
        <w:rPr>
          <w:rFonts w:ascii="Times New Roman" w:cs="Times New Roman" w:eastAsia="Times New Roman" w:hAnsi="Times New Roman"/>
          <w:sz w:val="18"/>
          <w:szCs w:val="18"/>
          <w:color w:val="auto"/>
        </w:rPr>
        <w:t>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or the selling stockholders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78" w:lineRule="exact"/>
        <w:rPr>
          <w:sz w:val="20"/>
          <w:szCs w:val="20"/>
          <w:color w:val="auto"/>
        </w:rPr>
      </w:pPr>
    </w:p>
    <w:p>
      <w:pPr>
        <w:ind w:left="300" w:right="939" w:firstLine="359"/>
        <w:spacing w:after="0" w:line="281" w:lineRule="auto"/>
        <w:rPr>
          <w:sz w:val="20"/>
          <w:szCs w:val="20"/>
          <w:color w:val="auto"/>
        </w:rPr>
      </w:pPr>
      <w:r>
        <w:rPr>
          <w:rFonts w:ascii="Times New Roman" w:cs="Times New Roman" w:eastAsia="Times New Roman" w:hAnsi="Times New Roman"/>
          <w:sz w:val="18"/>
          <w:szCs w:val="18"/>
          <w:color w:val="auto"/>
        </w:rPr>
        <w:t>We or the selling stockholders will identify the specific plan of distribution in a prospectus supplement, including:</w:t>
      </w:r>
    </w:p>
    <w:p>
      <w:pPr>
        <w:spacing w:after="0" w:line="55" w:lineRule="exact"/>
        <w:rPr>
          <w:sz w:val="20"/>
          <w:szCs w:val="20"/>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agents or direct purchasers and their compensation;</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we will receive from the sale;</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obligations to take the securities;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underwriters’ obligations to take the securities;</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selling stockholders, if applicable; and</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ind w:left="300" w:right="339" w:firstLine="359"/>
        <w:spacing w:after="0" w:line="253" w:lineRule="auto"/>
        <w:rPr>
          <w:sz w:val="20"/>
          <w:szCs w:val="20"/>
          <w:color w:val="auto"/>
        </w:rPr>
      </w:pPr>
      <w:r>
        <w:rPr>
          <w:rFonts w:ascii="Times New Roman" w:cs="Times New Roman" w:eastAsia="Times New Roman" w:hAnsi="Times New Roman"/>
          <w:sz w:val="18"/>
          <w:szCs w:val="18"/>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81" w:lineRule="exact"/>
        <w:rPr>
          <w:sz w:val="20"/>
          <w:szCs w:val="20"/>
          <w:color w:val="auto"/>
        </w:rPr>
      </w:pPr>
    </w:p>
    <w:p>
      <w:pPr>
        <w:ind w:left="300" w:right="519" w:firstLine="359"/>
        <w:spacing w:after="0" w:line="265" w:lineRule="auto"/>
        <w:rPr>
          <w:sz w:val="20"/>
          <w:szCs w:val="20"/>
          <w:color w:val="auto"/>
        </w:rPr>
      </w:pPr>
      <w:r>
        <w:rPr>
          <w:rFonts w:ascii="Times New Roman" w:cs="Times New Roman" w:eastAsia="Times New Roman" w:hAnsi="Times New Roman"/>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59"/>
        <w:spacing w:after="0" w:line="265"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69" w:lineRule="exact"/>
        <w:rPr>
          <w:sz w:val="20"/>
          <w:szCs w:val="20"/>
          <w:color w:val="auto"/>
        </w:rPr>
      </w:pPr>
    </w:p>
    <w:p>
      <w:pPr>
        <w:ind w:left="300" w:right="379" w:firstLine="359"/>
        <w:spacing w:after="0" w:line="256"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8" w:lineRule="exact"/>
        <w:rPr>
          <w:sz w:val="20"/>
          <w:szCs w:val="20"/>
          <w:color w:val="auto"/>
        </w:rPr>
      </w:pPr>
    </w:p>
    <w:p>
      <w:pPr>
        <w:ind w:left="300" w:right="559" w:firstLine="359"/>
        <w:spacing w:after="0" w:line="281"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in the ordinary course of business.</w:t>
      </w:r>
    </w:p>
    <w:p>
      <w:pPr>
        <w:spacing w:after="0" w:line="55" w:lineRule="exact"/>
        <w:rPr>
          <w:sz w:val="20"/>
          <w:szCs w:val="20"/>
          <w:color w:val="auto"/>
        </w:rPr>
      </w:pPr>
    </w:p>
    <w:p>
      <w:pPr>
        <w:ind w:left="300" w:right="339" w:firstLine="359"/>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300" w:right="539" w:firstLine="359"/>
        <w:spacing w:after="0" w:line="265" w:lineRule="auto"/>
        <w:rPr>
          <w:sz w:val="20"/>
          <w:szCs w:val="20"/>
          <w:color w:val="auto"/>
        </w:rPr>
      </w:pPr>
      <w:r>
        <w:rPr>
          <w:rFonts w:ascii="Times New Roman" w:cs="Times New Roman" w:eastAsia="Times New Roman" w:hAnsi="Times New Roman"/>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markets and listing of securities</w:t>
      </w:r>
    </w:p>
    <w:p>
      <w:pPr>
        <w:spacing w:after="0" w:line="121" w:lineRule="exact"/>
        <w:rPr>
          <w:sz w:val="20"/>
          <w:szCs w:val="20"/>
          <w:color w:val="auto"/>
        </w:rPr>
      </w:pPr>
    </w:p>
    <w:p>
      <w:pPr>
        <w:ind w:left="300" w:right="359" w:firstLine="359"/>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ind w:left="300" w:right="379" w:firstLine="359"/>
        <w:spacing w:after="0" w:line="252"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86" w:lineRule="exact"/>
        <w:rPr>
          <w:sz w:val="20"/>
          <w:szCs w:val="20"/>
          <w:color w:val="auto"/>
        </w:rPr>
      </w:pPr>
    </w:p>
    <w:p>
      <w:pPr>
        <w:ind w:left="300" w:right="359" w:firstLine="359"/>
        <w:spacing w:after="0" w:line="281"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8" w:lineRule="exact"/>
        <w:rPr>
          <w:sz w:val="20"/>
          <w:szCs w:val="20"/>
          <w:color w:val="auto"/>
        </w:rPr>
      </w:pPr>
    </w:p>
    <w:p>
      <w:pPr>
        <w:ind w:left="300" w:right="319" w:firstLine="359"/>
        <w:spacing w:after="0" w:line="252" w:lineRule="auto"/>
        <w:rPr>
          <w:sz w:val="20"/>
          <w:szCs w:val="20"/>
          <w:color w:val="auto"/>
        </w:rPr>
      </w:pPr>
      <w:r>
        <w:rPr>
          <w:rFonts w:ascii="Times New Roman" w:cs="Times New Roman" w:eastAsia="Times New Roman" w:hAnsi="Times New Roman"/>
          <w:sz w:val="18"/>
          <w:szCs w:val="18"/>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79" w:lineRule="exact"/>
        <w:rPr>
          <w:sz w:val="20"/>
          <w:szCs w:val="20"/>
          <w:color w:val="auto"/>
        </w:rPr>
      </w:pPr>
    </w:p>
    <w:p>
      <w:pPr>
        <w:ind w:left="300" w:right="319" w:firstLine="359"/>
        <w:spacing w:after="0" w:line="254"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1" w:lineRule="exact"/>
        <w:rPr>
          <w:sz w:val="20"/>
          <w:szCs w:val="20"/>
          <w:color w:val="auto"/>
        </w:rPr>
      </w:pPr>
    </w:p>
    <w:p>
      <w:pPr>
        <w:ind w:left="300" w:right="399" w:firstLine="359"/>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300" w:right="359" w:firstLine="359"/>
        <w:spacing w:after="0" w:line="254" w:lineRule="auto"/>
        <w:rPr>
          <w:sz w:val="20"/>
          <w:szCs w:val="20"/>
          <w:color w:val="auto"/>
        </w:rPr>
      </w:pPr>
      <w:r>
        <w:rPr>
          <w:rFonts w:ascii="Times New Roman" w:cs="Times New Roman" w:eastAsia="Times New Roman" w:hAnsi="Times New Roman"/>
          <w:sz w:val="18"/>
          <w:szCs w:val="18"/>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78" w:lineRule="exact"/>
        <w:rPr>
          <w:sz w:val="20"/>
          <w:szCs w:val="20"/>
          <w:color w:val="auto"/>
        </w:rPr>
      </w:pPr>
    </w:p>
    <w:p>
      <w:pPr>
        <w:ind w:left="300" w:right="379" w:firstLine="359"/>
        <w:spacing w:after="0" w:line="256" w:lineRule="auto"/>
        <w:rPr>
          <w:sz w:val="20"/>
          <w:szCs w:val="20"/>
          <w:color w:val="auto"/>
        </w:rPr>
      </w:pPr>
      <w:r>
        <w:rPr>
          <w:rFonts w:ascii="Times New Roman" w:cs="Times New Roman" w:eastAsia="Times New Roman" w:hAnsi="Times New Roman"/>
          <w:sz w:val="18"/>
          <w:szCs w:val="18"/>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88" w:lineRule="auto"/>
        <w:rPr>
          <w:sz w:val="20"/>
          <w:szCs w:val="20"/>
          <w:color w:val="auto"/>
        </w:rPr>
      </w:pPr>
      <w:r>
        <w:rPr>
          <w:rFonts w:ascii="Times New Roman" w:cs="Times New Roman" w:eastAsia="Times New Roman" w:hAnsi="Times New Roman"/>
          <w:sz w:val="17"/>
          <w:szCs w:val="17"/>
          <w:color w:val="auto"/>
        </w:rPr>
        <w:t>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51" w:lineRule="exact"/>
        <w:rPr>
          <w:sz w:val="20"/>
          <w:szCs w:val="20"/>
          <w:color w:val="auto"/>
        </w:rPr>
      </w:pPr>
    </w:p>
    <w:p>
      <w:pPr>
        <w:ind w:left="300" w:right="319" w:firstLine="359"/>
        <w:spacing w:after="0" w:line="256" w:lineRule="auto"/>
        <w:rPr>
          <w:sz w:val="20"/>
          <w:szCs w:val="20"/>
          <w:color w:val="auto"/>
        </w:rPr>
      </w:pPr>
      <w:r>
        <w:rPr>
          <w:rFonts w:ascii="Times New Roman" w:cs="Times New Roman" w:eastAsia="Times New Roman" w:hAnsi="Times New Roman"/>
          <w:sz w:val="18"/>
          <w:szCs w:val="18"/>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21" w:lineRule="exact"/>
        <w:rPr>
          <w:sz w:val="20"/>
          <w:szCs w:val="20"/>
          <w:color w:val="auto"/>
        </w:rPr>
      </w:pPr>
    </w:p>
    <w:p>
      <w:pPr>
        <w:ind w:left="300" w:right="459" w:firstLine="359"/>
        <w:spacing w:after="0" w:line="281"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with respect to gain realized on the sale, exchange or other disposition of our Class A common stock unless:</w:t>
      </w:r>
    </w:p>
    <w:p>
      <w:pPr>
        <w:spacing w:after="0" w:line="55" w:lineRule="exact"/>
        <w:rPr>
          <w:sz w:val="20"/>
          <w:szCs w:val="20"/>
          <w:color w:val="auto"/>
        </w:rPr>
      </w:pPr>
    </w:p>
    <w:p>
      <w:pPr>
        <w:ind w:left="1000" w:right="319" w:hanging="344"/>
        <w:spacing w:after="0" w:line="265"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69" w:lineRule="exact"/>
        <w:rPr>
          <w:rFonts w:ascii="Times New Roman" w:cs="Times New Roman" w:eastAsia="Times New Roman" w:hAnsi="Times New Roman"/>
          <w:sz w:val="18"/>
          <w:szCs w:val="18"/>
          <w:color w:val="auto"/>
        </w:rPr>
      </w:pPr>
    </w:p>
    <w:p>
      <w:pPr>
        <w:ind w:left="1000" w:right="339" w:hanging="344"/>
        <w:spacing w:after="0" w:line="265"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69" w:lineRule="exact"/>
        <w:rPr>
          <w:rFonts w:ascii="Times New Roman" w:cs="Times New Roman" w:eastAsia="Times New Roman" w:hAnsi="Times New Roman"/>
          <w:sz w:val="18"/>
          <w:szCs w:val="18"/>
          <w:color w:val="auto"/>
        </w:rPr>
      </w:pPr>
    </w:p>
    <w:p>
      <w:pPr>
        <w:ind w:left="1000" w:right="319" w:hanging="344"/>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w:t>
      </w:r>
    </w:p>
    <w:p>
      <w:pPr>
        <w:spacing w:after="0" w:line="78" w:lineRule="exact"/>
        <w:rPr>
          <w:sz w:val="20"/>
          <w:szCs w:val="20"/>
          <w:color w:val="auto"/>
        </w:rPr>
      </w:pPr>
    </w:p>
    <w:p>
      <w:pPr>
        <w:ind w:left="300" w:right="299" w:firstLine="359"/>
        <w:spacing w:after="0" w:line="253" w:lineRule="auto"/>
        <w:rPr>
          <w:sz w:val="20"/>
          <w:szCs w:val="20"/>
          <w:color w:val="auto"/>
        </w:rPr>
      </w:pPr>
      <w:r>
        <w:rPr>
          <w:rFonts w:ascii="Times New Roman" w:cs="Times New Roman" w:eastAsia="Times New Roman" w:hAnsi="Times New Roman"/>
          <w:sz w:val="18"/>
          <w:szCs w:val="18"/>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83" w:lineRule="exact"/>
        <w:rPr>
          <w:sz w:val="20"/>
          <w:szCs w:val="20"/>
          <w:color w:val="auto"/>
        </w:rPr>
      </w:pPr>
    </w:p>
    <w:p>
      <w:pPr>
        <w:ind w:left="300" w:right="319" w:firstLine="359"/>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300" w:right="339" w:firstLine="359"/>
        <w:spacing w:after="0" w:line="265" w:lineRule="auto"/>
        <w:rPr>
          <w:sz w:val="20"/>
          <w:szCs w:val="20"/>
          <w:color w:val="auto"/>
        </w:rPr>
      </w:pPr>
      <w:r>
        <w:rPr>
          <w:rFonts w:ascii="Times New Roman" w:cs="Times New Roman" w:eastAsia="Times New Roman" w:hAnsi="Times New Roman"/>
          <w:sz w:val="18"/>
          <w:szCs w:val="18"/>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ERISA AND BENEFIT PLAN CONSIDERATIONS</w:t>
      </w:r>
    </w:p>
    <w:p>
      <w:pPr>
        <w:spacing w:after="0" w:line="121" w:lineRule="exact"/>
        <w:rPr>
          <w:sz w:val="20"/>
          <w:szCs w:val="20"/>
          <w:color w:val="auto"/>
        </w:rPr>
      </w:pPr>
    </w:p>
    <w:p>
      <w:pPr>
        <w:ind w:left="300" w:right="319" w:firstLine="359"/>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associated with the acquisition and holding of securities offered hereunder (including interests therein) by employee benefit plans that are subject to Title I of ERISA, plans, individual retirement accounts and other arrangements that are subject to Section 4975 of the Code and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78" w:lineRule="exact"/>
        <w:rPr>
          <w:sz w:val="20"/>
          <w:szCs w:val="20"/>
          <w:color w:val="auto"/>
        </w:rPr>
      </w:pPr>
    </w:p>
    <w:p>
      <w:pPr>
        <w:ind w:left="300" w:right="359" w:firstLine="359"/>
        <w:spacing w:after="0" w:line="254" w:lineRule="auto"/>
        <w:rPr>
          <w:sz w:val="20"/>
          <w:szCs w:val="20"/>
          <w:color w:val="auto"/>
        </w:rPr>
      </w:pPr>
      <w:r>
        <w:rPr>
          <w:rFonts w:ascii="Times New Roman" w:cs="Times New Roman" w:eastAsia="Times New Roman" w:hAnsi="Times New Roman"/>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stockholders offer, issue or sell securities, we will provide a supplement to this prospectus that may contain supplemental information to this summary.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300" w:right="379" w:firstLine="359"/>
        <w:spacing w:after="0" w:line="255"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We and our affiliates will not act in a fiduciary capacity with respect to any Plan’s investment in our securities.</w:t>
      </w:r>
    </w:p>
    <w:p>
      <w:pPr>
        <w:spacing w:after="0" w:line="79" w:lineRule="exact"/>
        <w:rPr>
          <w:sz w:val="20"/>
          <w:szCs w:val="20"/>
          <w:color w:val="auto"/>
        </w:rPr>
      </w:pPr>
    </w:p>
    <w:p>
      <w:pPr>
        <w:ind w:left="300" w:right="319" w:firstLine="359"/>
        <w:spacing w:after="0" w:line="258" w:lineRule="auto"/>
        <w:rPr>
          <w:sz w:val="20"/>
          <w:szCs w:val="20"/>
          <w:color w:val="auto"/>
        </w:rPr>
      </w:pPr>
      <w:r>
        <w:rPr>
          <w:rFonts w:ascii="Times New Roman" w:cs="Times New Roman" w:eastAsia="Times New Roman" w:hAnsi="Times New Roman"/>
          <w:sz w:val="18"/>
          <w:szCs w:val="18"/>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74" w:lineRule="exact"/>
        <w:rPr>
          <w:sz w:val="20"/>
          <w:szCs w:val="20"/>
          <w:color w:val="auto"/>
        </w:rPr>
      </w:pPr>
    </w:p>
    <w:p>
      <w:pPr>
        <w:ind w:left="1000" w:right="759" w:hanging="344"/>
        <w:spacing w:after="0" w:line="28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prudent under Section 404(a)(1)(B) of ERISA, if applicable, and any other applicable Similar Laws;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making the investment, the Plan will satisfy the diversification requirements of Section 404(a)</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(1)(C) of ERISA, if applicable, and any other applicable Similar Laws;</w:t>
      </w:r>
    </w:p>
    <w:p>
      <w:pPr>
        <w:spacing w:after="0" w:line="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permitted under the terms of the applicable documents governing the Plan;</w:t>
      </w:r>
    </w:p>
    <w:p>
      <w:pPr>
        <w:spacing w:after="0" w:line="11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future there may be no market in which to sell or otherwise dispose of the security ;</w:t>
      </w:r>
    </w:p>
    <w:p>
      <w:pPr>
        <w:spacing w:after="0" w:line="116" w:lineRule="exact"/>
        <w:rPr>
          <w:rFonts w:ascii="Times New Roman" w:cs="Times New Roman" w:eastAsia="Times New Roman" w:hAnsi="Times New Roman"/>
          <w:sz w:val="18"/>
          <w:szCs w:val="18"/>
          <w:color w:val="auto"/>
        </w:rPr>
      </w:pPr>
    </w:p>
    <w:p>
      <w:pPr>
        <w:ind w:left="1000" w:right="519" w:hanging="344"/>
        <w:spacing w:after="0" w:line="265"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acquisition or holding of such security will constitute a “prohibited transaction” under Section 406 of ERISA or Section 4975 of the Code or any Similar Law (please see discussion under “— Prohibited Transaction Issues” below); and</w:t>
      </w:r>
    </w:p>
    <w:p>
      <w:pPr>
        <w:spacing w:after="0" w:line="69" w:lineRule="exact"/>
        <w:rPr>
          <w:rFonts w:ascii="Times New Roman" w:cs="Times New Roman" w:eastAsia="Times New Roman" w:hAnsi="Times New Roman"/>
          <w:sz w:val="18"/>
          <w:szCs w:val="18"/>
          <w:color w:val="auto"/>
        </w:rPr>
      </w:pPr>
    </w:p>
    <w:p>
      <w:pPr>
        <w:ind w:left="1000" w:right="779" w:hanging="344"/>
        <w:spacing w:after="0" w:line="28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Plan will be considered to hold, as plan assets, (i) only such security or (ii) an undivided interest in our underlying assets (please see the discussion under “—Plan Asset Issues”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ind w:left="300" w:right="319" w:firstLine="359"/>
        <w:spacing w:after="0" w:line="258"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137160</wp:posOffset>
            </wp:positionV>
            <wp:extent cx="698690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Covered Plan that engages in such a non-exempt prohibited transaction may be subject to penalties and liabilities under ERISA and the Code. For example, the acquisition and/or holding of our securities by a Covered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78" w:lineRule="exact"/>
        <w:rPr>
          <w:sz w:val="20"/>
          <w:szCs w:val="20"/>
          <w:color w:val="auto"/>
        </w:rPr>
      </w:pPr>
    </w:p>
    <w:p>
      <w:pPr>
        <w:jc w:val="both"/>
        <w:ind w:left="300" w:right="679" w:firstLine="359"/>
        <w:spacing w:after="0" w:line="288" w:lineRule="auto"/>
        <w:rPr>
          <w:sz w:val="20"/>
          <w:szCs w:val="20"/>
          <w:color w:val="auto"/>
        </w:rPr>
      </w:pPr>
      <w:r>
        <w:rPr>
          <w:rFonts w:ascii="Times New Roman" w:cs="Times New Roman" w:eastAsia="Times New Roman" w:hAnsi="Times New Roman"/>
          <w:sz w:val="17"/>
          <w:szCs w:val="17"/>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Asset Issues</w:t>
      </w:r>
    </w:p>
    <w:p>
      <w:pPr>
        <w:spacing w:after="0" w:line="121" w:lineRule="exact"/>
        <w:rPr>
          <w:sz w:val="20"/>
          <w:szCs w:val="20"/>
          <w:color w:val="auto"/>
        </w:rPr>
      </w:pPr>
    </w:p>
    <w:p>
      <w:pPr>
        <w:ind w:left="300" w:right="419" w:firstLine="359"/>
        <w:spacing w:after="0" w:line="260" w:lineRule="auto"/>
        <w:rPr>
          <w:sz w:val="20"/>
          <w:szCs w:val="20"/>
          <w:color w:val="auto"/>
        </w:rPr>
      </w:pPr>
      <w:r>
        <w:rPr>
          <w:rFonts w:ascii="Times New Roman" w:cs="Times New Roman" w:eastAsia="Times New Roman" w:hAnsi="Times New Roman"/>
          <w:sz w:val="18"/>
          <w:szCs w:val="18"/>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4" w:lineRule="exact"/>
        <w:rPr>
          <w:sz w:val="20"/>
          <w:szCs w:val="20"/>
          <w:color w:val="auto"/>
        </w:rPr>
      </w:pPr>
    </w:p>
    <w:p>
      <w:pPr>
        <w:ind w:left="300" w:right="359" w:firstLine="359"/>
        <w:spacing w:after="0" w:line="260" w:lineRule="auto"/>
        <w:rPr>
          <w:sz w:val="20"/>
          <w:szCs w:val="20"/>
          <w:color w:val="auto"/>
        </w:rPr>
      </w:pPr>
      <w:r>
        <w:rPr>
          <w:rFonts w:ascii="Times New Roman" w:cs="Times New Roman" w:eastAsia="Times New Roman" w:hAnsi="Times New Roman"/>
          <w:sz w:val="18"/>
          <w:szCs w:val="18"/>
          <w:color w:val="auto"/>
        </w:rPr>
        <w:t>The Department of Labor (the “DOL”) regulations, as modified by Section 3(42) of ERISA (the “Plan Asset Regulation”) provide guidance with respect to whether the assets of an entity in which Covered Plans acquire equity interests would be deemed “plan assets” of the Covered Plan under some circumstances. Under the Plan Asset Regulation, an entity’s assets generally would not be considered to be “plan assets” if, among other things:</w:t>
      </w:r>
    </w:p>
    <w:p>
      <w:pPr>
        <w:spacing w:after="0" w:line="74" w:lineRule="exact"/>
        <w:rPr>
          <w:sz w:val="20"/>
          <w:szCs w:val="20"/>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acquired by Covered Plans are “publicly offered securities” (as defined in the</w:t>
      </w:r>
    </w:p>
    <w:p>
      <w:pPr>
        <w:spacing w:after="0" w:line="27" w:lineRule="exact"/>
        <w:rPr>
          <w:rFonts w:ascii="Times New Roman" w:cs="Times New Roman" w:eastAsia="Times New Roman" w:hAnsi="Times New Roman"/>
          <w:sz w:val="18"/>
          <w:szCs w:val="18"/>
          <w:color w:val="auto"/>
        </w:rPr>
      </w:pPr>
    </w:p>
    <w:p>
      <w:pPr>
        <w:ind w:left="10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Covered Plan as part of a public offering under certain conditions;</w:t>
      </w:r>
    </w:p>
    <w:p>
      <w:pPr>
        <w:spacing w:after="0" w:line="79" w:lineRule="exact"/>
        <w:rPr>
          <w:rFonts w:ascii="Times New Roman" w:cs="Times New Roman" w:eastAsia="Times New Roman" w:hAnsi="Times New Roman"/>
          <w:sz w:val="18"/>
          <w:szCs w:val="18"/>
          <w:color w:val="auto"/>
        </w:rPr>
      </w:pPr>
    </w:p>
    <w:p>
      <w:pPr>
        <w:jc w:val="both"/>
        <w:ind w:left="1000" w:right="839" w:hanging="344"/>
        <w:spacing w:after="0" w:line="26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an “operating company” (as defined in the Plan Asset Regulations)—i.e., it is primarily engaged in the production or sale of a product or service, other than the investment of capital, either directly or through a majority-owned subsidiary or subsidiaries; or</w:t>
      </w:r>
    </w:p>
    <w:p>
      <w:pPr>
        <w:spacing w:after="0" w:line="69" w:lineRule="exact"/>
        <w:rPr>
          <w:rFonts w:ascii="Times New Roman" w:cs="Times New Roman" w:eastAsia="Times New Roman" w:hAnsi="Times New Roman"/>
          <w:sz w:val="18"/>
          <w:szCs w:val="18"/>
          <w:color w:val="auto"/>
        </w:rPr>
      </w:pPr>
    </w:p>
    <w:p>
      <w:pPr>
        <w:ind w:left="1000" w:right="339" w:hanging="344"/>
        <w:spacing w:after="0" w:line="254"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significant investment by “benefit plan investors”, which is defined to mean that immediately after the most recent acquisition by a Covered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Covered Plans (which does not include governmental plans, foreign plans and certain church plans), and entities whose underlying assets are deemed to include plan assets by reason of a Covered Plan’s investment in the entity.</w:t>
      </w:r>
    </w:p>
    <w:p>
      <w:pPr>
        <w:spacing w:after="0" w:line="81" w:lineRule="exact"/>
        <w:rPr>
          <w:sz w:val="20"/>
          <w:szCs w:val="20"/>
          <w:color w:val="auto"/>
        </w:rPr>
      </w:pPr>
    </w:p>
    <w:p>
      <w:pPr>
        <w:ind w:left="300" w:right="319" w:firstLine="359"/>
        <w:spacing w:after="0" w:line="253" w:lineRule="auto"/>
        <w:rPr>
          <w:sz w:val="20"/>
          <w:szCs w:val="20"/>
          <w:color w:val="auto"/>
        </w:rPr>
      </w:pPr>
      <w:r>
        <w:rPr>
          <w:rFonts w:ascii="Times New Roman" w:cs="Times New Roman" w:eastAsia="Times New Roman" w:hAnsi="Times New Roman"/>
          <w:sz w:val="18"/>
          <w:szCs w:val="18"/>
          <w:color w:val="auto"/>
        </w:rPr>
        <w:t>Due to the complexity of these rules and the excise taxes, penalties and liabilities that may be imposed upon persons involved in non-exempt prohibited transactions or other violations,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necessary, and if so applicable, with respect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128270</wp:posOffset>
            </wp:positionV>
            <wp:extent cx="69869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19" w:firstLine="359"/>
        <w:spacing w:after="0" w:line="280" w:lineRule="auto"/>
        <w:rPr>
          <w:sz w:val="20"/>
          <w:szCs w:val="20"/>
          <w:color w:val="auto"/>
        </w:rPr>
      </w:pPr>
      <w:r>
        <w:rPr>
          <w:rFonts w:ascii="Times New Roman" w:cs="Times New Roman" w:eastAsia="Times New Roman" w:hAnsi="Times New Roman"/>
          <w:sz w:val="17"/>
          <w:szCs w:val="17"/>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59"/>
        <w:spacing w:after="0" w:line="256" w:lineRule="auto"/>
        <w:rPr>
          <w:sz w:val="20"/>
          <w:szCs w:val="20"/>
          <w:color w:val="auto"/>
        </w:rPr>
      </w:pPr>
      <w:r>
        <w:rPr>
          <w:rFonts w:ascii="Times New Roman" w:cs="Times New Roman" w:eastAsia="Times New Roman" w:hAnsi="Times New Roman"/>
          <w:sz w:val="18"/>
          <w:szCs w:val="18"/>
          <w:color w:val="auto"/>
        </w:rPr>
        <w:t>Ernst &amp; Young LLP ,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this registration statement. Our financial statements are incorporated by reference in reliance on Ernst &amp; Young LLP’s’s reports, given on their authority as experts in accounting and auditing.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263" w:right="1440" w:bottom="1440" w:gutter="0" w:footer="0" w:header="0"/>
        </w:sectPr>
      </w:pPr>
    </w:p>
    <w:bookmarkStart w:id="48" w:name="page49"/>
    <w:bookmarkEnd w:id="48"/>
    <w:p>
      <w:pPr>
        <w:ind w:left="10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184"/>
        </w:trPr>
        <w:tc>
          <w:tcPr>
            <w:tcW w:w="84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9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7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7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72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139"/>
        </w:trPr>
        <w:tc>
          <w:tcPr>
            <w:tcW w:w="8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Calculation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Forward</w:t>
            </w:r>
          </w:p>
        </w:tc>
        <w:tc>
          <w:tcPr>
            <w:tcW w:w="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Forward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184"/>
        </w:trPr>
        <w:tc>
          <w:tcPr>
            <w:tcW w:w="84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Carry</w:t>
            </w:r>
          </w:p>
        </w:tc>
        <w:tc>
          <w:tcPr>
            <w:tcW w:w="800" w:type="dxa"/>
            <w:vAlign w:val="bottom"/>
            <w:vMerge w:val="continue"/>
          </w:tcPr>
          <w:p>
            <w:pPr>
              <w:spacing w:after="0"/>
              <w:rPr>
                <w:sz w:val="16"/>
                <w:szCs w:val="16"/>
                <w:color w:val="auto"/>
              </w:rPr>
            </w:pP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(1)</w:t>
            </w:r>
          </w:p>
        </w:tc>
        <w:tc>
          <w:tcPr>
            <w:tcW w:w="8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18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9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740" w:type="dxa"/>
            <w:vAlign w:val="bottom"/>
            <w:tcBorders>
              <w:right w:val="single" w:sz="8" w:color="auto"/>
            </w:tcBorders>
            <w:vMerge w:val="continue"/>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Initial</w:t>
            </w:r>
          </w:p>
        </w:tc>
        <w:tc>
          <w:tcPr>
            <w:tcW w:w="9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4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Type</w:t>
            </w:r>
          </w:p>
        </w:tc>
        <w:tc>
          <w:tcPr>
            <w:tcW w:w="8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Class Title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5"/>
                <w:szCs w:val="15"/>
                <w:b w:val="1"/>
                <w:bCs w:val="1"/>
                <w:color w:val="auto"/>
              </w:rPr>
              <w:t>Registered</w:t>
            </w:r>
          </w:p>
        </w:tc>
        <w:tc>
          <w:tcPr>
            <w:tcW w:w="2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8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Offering</w:t>
            </w:r>
          </w:p>
        </w:tc>
        <w:tc>
          <w:tcPr>
            <w:tcW w:w="9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7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Form</w:t>
            </w:r>
          </w:p>
        </w:tc>
        <w:tc>
          <w:tcPr>
            <w:tcW w:w="7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File</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auto"/>
              </w:rPr>
              <w:t>Unsold</w:t>
            </w:r>
          </w:p>
        </w:tc>
        <w:tc>
          <w:tcPr>
            <w:tcW w:w="0" w:type="dxa"/>
            <w:vAlign w:val="bottom"/>
          </w:tcPr>
          <w:p>
            <w:pPr>
              <w:spacing w:after="0"/>
              <w:rPr>
                <w:sz w:val="1"/>
                <w:szCs w:val="1"/>
                <w:color w:val="auto"/>
              </w:rPr>
            </w:pPr>
          </w:p>
        </w:tc>
      </w:tr>
      <w:tr>
        <w:trPr>
          <w:trHeight w:val="194"/>
        </w:trPr>
        <w:tc>
          <w:tcPr>
            <w:tcW w:w="84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22"/>
                <w:szCs w:val="22"/>
                <w:b w:val="1"/>
                <w:bCs w:val="1"/>
                <w:color w:val="auto"/>
                <w:vertAlign w:val="superscript"/>
              </w:rPr>
              <w:t>(2)</w:t>
            </w:r>
          </w:p>
        </w:tc>
        <w:tc>
          <w:tcPr>
            <w:tcW w:w="9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7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Unit</w:t>
            </w:r>
            <w:r>
              <w:rPr>
                <w:rFonts w:ascii="Times New Roman" w:cs="Times New Roman" w:eastAsia="Times New Roman" w:hAnsi="Times New Roman"/>
                <w:sz w:val="25"/>
                <w:szCs w:val="25"/>
                <w:b w:val="1"/>
                <w:bCs w:val="1"/>
                <w:color w:val="auto"/>
                <w:vertAlign w:val="superscript"/>
              </w:rPr>
              <w:t>(2)</w:t>
            </w: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32"/>
        </w:trPr>
        <w:tc>
          <w:tcPr>
            <w:tcW w:w="840" w:type="dxa"/>
            <w:vAlign w:val="bottom"/>
            <w:tcBorders>
              <w:left w:val="single" w:sz="8" w:color="auto"/>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Carried</w:t>
            </w:r>
          </w:p>
        </w:tc>
        <w:tc>
          <w:tcPr>
            <w:tcW w:w="0" w:type="dxa"/>
            <w:vAlign w:val="bottom"/>
          </w:tcPr>
          <w:p>
            <w:pPr>
              <w:spacing w:after="0"/>
              <w:rPr>
                <w:sz w:val="1"/>
                <w:szCs w:val="1"/>
                <w:color w:val="auto"/>
              </w:rPr>
            </w:pPr>
          </w:p>
        </w:tc>
      </w:tr>
      <w:tr>
        <w:trPr>
          <w:trHeight w:val="245"/>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Class A</w:t>
            </w:r>
          </w:p>
        </w:tc>
        <w:tc>
          <w:tcPr>
            <w:tcW w:w="9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$0.01</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issuable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1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2,064,517</w:t>
            </w:r>
            <w:r>
              <w:rPr>
                <w:rFonts w:ascii="Times New Roman" w:cs="Times New Roman" w:eastAsia="Times New Roman" w:hAnsi="Times New Roman"/>
                <w:sz w:val="29"/>
                <w:szCs w:val="29"/>
                <w:color w:val="auto"/>
                <w:w w:val="95"/>
                <w:vertAlign w:val="superscript"/>
              </w:rPr>
              <w:t>(3)</w:t>
            </w: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tcBorders>
              <w:left w:val="single" w:sz="8" w:color="auto"/>
              <w:right w:val="single" w:sz="8" w:color="auto"/>
            </w:tcBorders>
            <w:vMerge w:val="continue"/>
          </w:tcPr>
          <w:p>
            <w:pPr>
              <w:spacing w:after="0"/>
              <w:rPr>
                <w:sz w:val="15"/>
                <w:szCs w:val="15"/>
                <w:color w:val="auto"/>
              </w:rPr>
            </w:pPr>
          </w:p>
        </w:tc>
        <w:tc>
          <w:tcPr>
            <w:tcW w:w="7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upon</w:t>
            </w:r>
          </w:p>
        </w:tc>
        <w:tc>
          <w:tcPr>
            <w:tcW w:w="9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rPr>
              <w:t>457(c)</w:t>
            </w:r>
          </w:p>
        </w:tc>
        <w:tc>
          <w:tcPr>
            <w:tcW w:w="1000" w:type="dxa"/>
            <w:vAlign w:val="bottom"/>
            <w:tcBorders>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tcPr>
          <w:p>
            <w:pPr>
              <w:jc w:val="right"/>
              <w:ind w:right="112"/>
              <w:spacing w:after="0" w:line="180" w:lineRule="exact"/>
              <w:rPr>
                <w:sz w:val="20"/>
                <w:szCs w:val="20"/>
                <w:color w:val="auto"/>
              </w:rPr>
            </w:pPr>
            <w:r>
              <w:rPr>
                <w:rFonts w:ascii="Times New Roman" w:cs="Times New Roman" w:eastAsia="Times New Roman" w:hAnsi="Times New Roman"/>
                <w:sz w:val="18"/>
                <w:szCs w:val="18"/>
                <w:color w:val="auto"/>
              </w:rPr>
              <w:t>$30.07</w:t>
            </w:r>
          </w:p>
        </w:tc>
        <w:tc>
          <w:tcPr>
            <w:tcW w:w="11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$62,080,026.19</w:t>
            </w:r>
          </w:p>
        </w:tc>
        <w:tc>
          <w:tcPr>
            <w:tcW w:w="940" w:type="dxa"/>
            <w:vAlign w:val="bottom"/>
            <w:tcBorders>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w w:val="95"/>
              </w:rPr>
              <w:t>$0.00014760</w:t>
            </w:r>
          </w:p>
        </w:tc>
        <w:tc>
          <w:tcPr>
            <w:tcW w:w="9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$9,163.01</w:t>
            </w:r>
          </w:p>
        </w:tc>
        <w:tc>
          <w:tcPr>
            <w:tcW w:w="7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conversion</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840" w:type="dxa"/>
            <w:vAlign w:val="bottom"/>
            <w:tcBorders>
              <w:left w:val="single" w:sz="8" w:color="auto"/>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940" w:type="dxa"/>
            <w:vAlign w:val="bottom"/>
            <w:tcBorders>
              <w:right w:val="single" w:sz="8" w:color="auto"/>
            </w:tcBorders>
            <w:vMerge w:val="continue"/>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the</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Series A</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Convertible</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9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9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Fees</w:t>
            </w: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Carry</w:t>
            </w: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2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$62,080,026.19</w:t>
            </w:r>
          </w:p>
        </w:tc>
        <w:tc>
          <w:tcPr>
            <w:tcW w:w="9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$9,163.01</w:t>
            </w:r>
          </w:p>
        </w:tc>
        <w:tc>
          <w:tcPr>
            <w:tcW w:w="7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2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Net Fee Due</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$9,163.01</w:t>
            </w:r>
            <w:r>
              <w:rPr>
                <w:rFonts w:ascii="Times New Roman" w:cs="Times New Roman" w:eastAsia="Times New Roman" w:hAnsi="Times New Roman"/>
                <w:sz w:val="25"/>
                <w:szCs w:val="25"/>
                <w:color w:val="auto"/>
                <w:vertAlign w:val="superscript"/>
              </w:rPr>
              <w:t>(4)</w:t>
            </w:r>
          </w:p>
        </w:tc>
        <w:tc>
          <w:tcPr>
            <w:tcW w:w="7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120" w:hanging="332"/>
        <w:spacing w:after="0" w:line="257"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prospectus supplement also covers such additional shares as may hereafter be offered or issued with respect to the shares registered hereby resulting from stock splits, stock dividends, recapitalizations or similar capital adjustments.</w:t>
      </w:r>
    </w:p>
    <w:p>
      <w:pPr>
        <w:ind w:left="340" w:right="1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computed in accordance with Rule 457(c) on the basis of the average of the high and low sales prices for the Class A common stock on March 25, 2024, as reported on the NASDAQ Global Select Market.</w:t>
      </w:r>
    </w:p>
    <w:p>
      <w:pPr>
        <w:ind w:left="340" w:right="10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resale of up to 2,064,517 shares of common stock issuable upon conversion of the preferred stock previously and separately registered under this Registration Statement.</w:t>
      </w:r>
    </w:p>
    <w:p>
      <w:pPr>
        <w:ind w:left="340" w:right="10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424(g)(2) and General Instruction II.F to Form S-3, this prospectus supplement shall be deemed a final prospectus for purposes of the offering of the securities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340"/>
      </w:cols>
      <w:pgMar w:left="32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516"/>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516"/>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4"/>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jpe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44" Type="http://schemas.openxmlformats.org/officeDocument/2006/relationships/hyperlink" Target="https://www.sec.gov/ix?doc=/Archives/edgar/data/1749723/000174972324000011/nfe-20231231.htm" TargetMode="External"/><Relationship Id="rId45" Type="http://schemas.openxmlformats.org/officeDocument/2006/relationships/hyperlink" Target="https://www.sec.gov/ix?doc=/Archives/edgar/data/1749723/000174972324000014/nfe-20240304.htm" TargetMode="External"/><Relationship Id="rId46" Type="http://schemas.openxmlformats.org/officeDocument/2006/relationships/hyperlink" Target="https://www.sec.gov/ix?doc=/Archives/edgar/data/1749723/000174972324000017/nfe-20240305.htm" TargetMode="External"/><Relationship Id="rId47" Type="http://schemas.openxmlformats.org/officeDocument/2006/relationships/hyperlink" Target="https://www.sec.gov/ix?doc=/Archives/edgar/data/1749723/000174972324000019/nfe-20240308.htm" TargetMode="External"/><Relationship Id="rId48" Type="http://schemas.openxmlformats.org/officeDocument/2006/relationships/hyperlink" Target="https://www.sec.gov/ix?doc=/Archives/edgar/data/1749723/000174972324000022/nfe-20240319.htm" TargetMode="External"/><Relationship Id="rId49" Type="http://schemas.openxmlformats.org/officeDocument/2006/relationships/hyperlink" Target="https://www.sec.gov/Archives/edgar/data/1749723/000114036120017741/brhc10014200_8a12ba.htm" TargetMode="External"/><Relationship Id="rId58" Type="http://schemas.openxmlformats.org/officeDocument/2006/relationships/hyperlink" Target="https://www.sec.gov/ix?doc=/Archives/edgar/data/1749723/000174972323000025/nfe-20230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2024-03-26T16:35:06Z</dcterms:created>
  <dcterms:modified xsi:type="dcterms:W3CDTF">2024-03-26T16:35:06Z</dcterms:modified>
</cp:coreProperties>
</file>