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51.jpeg" ContentType="image/jpeg"/>
  <Override PartName="/word/media/image221.jpeg" ContentType="image/jpeg"/>
  <Override PartName="/word/media/image6.jpeg" ContentType="image/jpeg"/>
  <Override PartName="/word/media/image220.jpeg" ContentType="image/jpeg"/>
  <Override PartName="/word/media/image139.jpeg" ContentType="image/jpeg"/>
  <Override PartName="/word/media/image50.jpeg" ContentType="image/jpeg"/>
  <Override PartName="/word/media/image188.jpeg" ContentType="image/jpeg"/>
  <Override PartName="/word/media/image26.jpeg" ContentType="image/jpeg"/>
  <Override PartName="/word/media/image85.jpeg" ContentType="image/jpeg"/>
  <Override PartName="/word/media/image25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254.jpeg" ContentType="image/jpeg"/>
  <Override PartName="/word/media/image104.jpeg" ContentType="image/jpeg"/>
  <Override PartName="/word/media/image207.jpeg" ContentType="image/jpeg"/>
  <Override PartName="/word/media/image3.jpeg" ContentType="image/jpeg"/>
  <Override PartName="/word/media/image24.jpeg" ContentType="image/jpeg"/>
  <Override PartName="/word/media/image186.jpeg" ContentType="image/jpeg"/>
  <Override PartName="/word/media/image83.jpeg" ContentType="image/jpeg"/>
  <Override PartName="/word/media/image253.jpeg" ContentType="image/jpeg"/>
  <Override PartName="/word/media/image103.jpeg" ContentType="image/jpeg"/>
  <Override PartName="/word/media/image206.jpeg" ContentType="image/jpeg"/>
  <Override PartName="/word/media/image36.jpeg" ContentType="image/jpeg"/>
  <Override PartName="/word/media/image2.jpeg" ContentType="image/jpeg"/>
  <Override PartName="/word/media/image205.jpeg" ContentType="image/jpeg"/>
  <Override PartName="/word/media/image35.jpeg" ContentType="image/jpeg"/>
  <Override PartName="/word/media/image1.jpeg" ContentType="image/jpeg"/>
  <Override PartName="/word/media/image89.jpeg" ContentType="image/jpeg"/>
  <Override PartName="/word/media/image5.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17.jpeg" ContentType="image/jpeg"/>
  <Override PartName="/word/media/image190.jpeg" ContentType="image/jpeg"/>
  <Override PartName="/word/media/image9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94.jpeg" ContentType="image/jpeg"/>
  <Override PartName="/word/media/image264.jpeg" ContentType="image/jpeg"/>
  <Override PartName="/word/media/image245.jpeg" ContentType="image/jpeg"/>
  <Override PartName="/word/media/image75.jpeg" ContentType="image/jpeg"/>
  <Override PartName="/word/media/image92.jpeg" ContentType="image/jpeg"/>
  <Override PartName="/word/media/image262.jpeg" ContentType="image/jpeg"/>
  <Override PartName="/word/media/image65.jpeg" ContentType="image/jpeg"/>
  <Override PartName="/word/media/image235.jpeg" ContentType="image/jpeg"/>
  <Override PartName="/word/media/image93.jpeg" ContentType="image/jpeg"/>
  <Override PartName="/word/media/image263.jpeg" ContentType="image/jpeg"/>
  <Override PartName="/word/media/image91.jpeg" ContentType="image/jpeg"/>
  <Override PartName="/word/media/image261.jpeg" ContentType="image/jpeg"/>
  <Override PartName="/word/media/image244.jpeg" ContentType="image/jpeg"/>
  <Override PartName="/word/media/image74.jpeg" ContentType="image/jpeg"/>
  <Override PartName="/word/media/image90.jpeg" ContentType="image/jpeg"/>
  <Override PartName="/word/media/image260.jpeg" ContentType="image/jpeg"/>
  <Override PartName="/word/media/image251.jpeg" ContentType="image/jpeg"/>
  <Override PartName="/word/media/image81.jpeg" ContentType="image/jpeg"/>
  <Override PartName="/word/media/image17.jpeg" ContentType="image/jpeg"/>
  <Override PartName="/word/media/image111.jpeg" ContentType="image/jpeg"/>
  <Override PartName="/word/media/image64.jpeg" ContentType="image/jpeg"/>
  <Override PartName="/word/media/image234.jpeg" ContentType="image/jpeg"/>
  <Override PartName="/word/media/image95.jpeg" ContentType="image/jpeg"/>
  <Override PartName="/word/media/image265.jpeg" ContentType="image/jpeg"/>
  <Override PartName="/word/media/image252.jpeg" ContentType="image/jpeg"/>
  <Override PartName="/word/media/image82.jpeg" ContentType="image/jpeg"/>
  <Override PartName="/word/media/image18.jpeg" ContentType="image/jpeg"/>
  <Override PartName="/word/media/image112.jpeg" ContentType="image/jpeg"/>
  <Override PartName="/word/media/image246.jpeg" ContentType="image/jpeg"/>
  <Override PartName="/word/media/image76.jpeg" ContentType="image/jpeg"/>
  <Override PartName="/word/media/image114.jpeg" ContentType="image/jpeg"/>
  <Override PartName="/word/media/image115.jpeg" ContentType="image/jpeg"/>
  <Override PartName="/word/media/image121.jpeg" ContentType="image/jpeg"/>
  <Override PartName="/word/media/image122.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19.jpeg" ContentType="image/jpeg"/>
  <Override PartName="/word/media/image113.jpeg" ContentType="image/jpeg"/>
  <Override PartName="/word/media/image23.jpeg" ContentType="image/jpeg"/>
  <Override PartName="/word/media/image185.jpeg" ContentType="image/jpeg"/>
  <Override PartName="/word/media/image102.jpeg" ContentType="image/jpeg"/>
  <Override PartName="/word/media/image119.jpeg" ContentType="image/jpeg"/>
  <Override PartName="/word/media/image259.jpeg" ContentType="image/jpeg"/>
  <Override PartName="/word/media/image22.jpeg" ContentType="image/jpeg"/>
  <Override PartName="/word/media/image184.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123.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236.jpeg" ContentType="image/jpeg"/>
  <Override PartName="/word/media/image233.jpeg" ContentType="image/jpeg"/>
  <Override PartName="/word/media/image63.jpeg" ContentType="image/jpeg"/>
  <Override PartName="/word/media/image73.jpeg" ContentType="image/jpeg"/>
  <Override PartName="/word/media/image243.jpeg" ContentType="image/jpeg"/>
  <Override PartName="/word/media/image110.jpeg" ContentType="image/jpeg"/>
  <Override PartName="/word/media/image16.jpeg" ContentType="image/jpeg"/>
  <Override PartName="/word/media/image242.jpeg" ContentType="image/jpeg"/>
  <Override PartName="/word/media/image72.jpeg" ContentType="image/jpeg"/>
  <Override PartName="/word/media/image159.jpeg" ContentType="image/jpeg"/>
  <Override PartName="/word/media/image70.jpeg" ContentType="image/jpeg"/>
  <Override PartName="/word/media/image240.jpeg" ContentType="image/jpeg"/>
  <Override PartName="/word/media/image231.jpeg" ContentType="image/jpeg"/>
  <Override PartName="/word/media/image61.jpeg" ContentType="image/jpeg"/>
  <Override PartName="/word/media/image248.jpeg" ContentType="image/jpeg"/>
  <Override PartName="/word/media/image78.jpeg" ContentType="image/jpeg"/>
  <Override PartName="/word/media/image71.jpeg" ContentType="image/jpeg"/>
  <Override PartName="/word/media/image241.jpeg" ContentType="image/jpeg"/>
  <Override PartName="/word/media/image15.jpeg" ContentType="image/jpeg"/>
  <Override PartName="/word/media/image14.jpeg" ContentType="image/jpeg"/>
  <Override PartName="/word/media/image62.jpeg" ContentType="image/jpeg"/>
  <Override PartName="/word/media/image232.jpeg" ContentType="image/jpeg"/>
  <Override PartName="/word/media/image239.jpeg" ContentType="image/jpeg"/>
  <Override PartName="/word/media/image79.jpeg" ContentType="image/jpeg"/>
  <Override PartName="/word/media/image238.jpeg" ContentType="image/jpeg"/>
  <Override PartName="/word/media/image7.jpeg" ContentType="image/jpeg"/>
  <Override PartName="/word/media/image191.jpeg" ContentType="image/jpeg"/>
  <Override PartName="/word/media/image9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29.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27.jpeg" ContentType="image/jpeg"/>
  <Override PartName="/word/media/image189.jpeg" ContentType="image/jpeg"/>
  <Override PartName="/word/media/image10.jpeg" ContentType="image/jpeg"/>
  <Override PartName="/word/media/image172.jpeg" ContentType="image/jpeg"/>
  <Override PartName="/word/media/image8.jpeg" ContentType="image/jpeg"/>
  <Override PartName="/word/media/image192.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28.jpeg" ContentType="image/jpeg"/>
  <Override PartName="/word/media/image11.jpeg" ContentType="image/jpeg"/>
  <Override PartName="/word/media/image173.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217.jpeg" ContentType="image/jpeg"/>
  <Override PartName="/word/media/image218.jpeg" ContentType="image/jpeg"/>
  <Override PartName="/word/media/image219.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54.jpeg" ContentType="image/jpeg"/>
  <Override PartName="/word/media/image155.jpeg" ContentType="image/jpeg"/>
  <Override PartName="/word/media/image156.jpeg" ContentType="image/jpeg"/>
  <Override PartName="/word/media/image157.jpeg" ContentType="image/jpeg"/>
  <Override PartName="/word/media/image158.jpeg" ContentType="image/jpeg"/>
  <Override PartName="/word/media/image66.jpeg" ContentType="image/jpeg"/>
  <Override PartName="/word/media/image160.jpeg" ContentType="image/jpeg"/>
  <Override PartName="/word/media/image67.jpeg" ContentType="image/jpeg"/>
  <Override PartName="/word/media/image161.jpeg" ContentType="image/jpeg"/>
  <Override PartName="/word/media/image68.jpeg" ContentType="image/jpeg"/>
  <Override PartName="/word/media/image162.jpeg" ContentType="image/jpeg"/>
  <Override PartName="/word/media/image69.jpeg" ContentType="image/jpeg"/>
  <Override PartName="/word/media/image163.jpeg" ContentType="image/jpeg"/>
  <Override PartName="/word/media/image164.jpeg" ContentType="image/jpeg"/>
  <Override PartName="/word/media/image165.jpeg" ContentType="image/jpeg"/>
  <Override PartName="/word/media/image166.jpeg" ContentType="image/jpeg"/>
  <Override PartName="/word/media/image167.jpeg" ContentType="image/jpeg"/>
  <Override PartName="/word/media/image168.jpeg" ContentType="image/jpeg"/>
  <Override PartName="/word/media/image169.jpeg" ContentType="image/jpeg"/>
  <Override PartName="/word/media/image249.jpeg" ContentType="image/jpeg"/>
  <Override PartName="/word/media/image170.jpeg" ContentType="image/jpeg"/>
  <Override PartName="/word/media/image171.jpeg" ContentType="image/jpeg"/>
  <Override PartName="/word/media/image37.jpeg" ContentType="image/jpeg"/>
  <Override PartName="/word/media/image175.jpeg" ContentType="image/jpeg"/>
  <Override PartName="/word/media/image176.jpeg" ContentType="image/jpeg"/>
  <Override PartName="/word/media/image177.jpeg" ContentType="image/jpeg"/>
  <Override PartName="/word/media/image178.jpeg" ContentType="image/jpeg"/>
  <Override PartName="/word/media/image179.jpeg" ContentType="image/jpeg"/>
  <Override PartName="/word/media/image99.jpeg" ContentType="image/jpeg"/>
  <Override PartName="/word/media/image19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quarterly period ended June 30, 2024</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__________ to__________</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001-38790</w:t>
      </w:r>
    </w:p>
    <w:p>
      <w:pPr>
        <w:pStyle w:val="TextBody"/>
        <w:bidi w:val="0"/>
        <w:spacing w:lineRule="auto" w:line="288" w:before="12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New Fortress Energy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4335" w:type="dxa"/>
        <w:jc w:val="left"/>
        <w:tblInd w:w="0" w:type="dxa"/>
        <w:tblLayout w:type="fixed"/>
        <w:tblCellMar>
          <w:top w:w="28" w:type="dxa"/>
          <w:left w:w="28" w:type="dxa"/>
          <w:bottom w:w="28" w:type="dxa"/>
          <w:right w:w="28" w:type="dxa"/>
        </w:tblCellMar>
      </w:tblPr>
      <w:tblGrid>
        <w:gridCol w:w="1193"/>
        <w:gridCol w:w="1049"/>
        <w:gridCol w:w="1058"/>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Registrant’s telephone number, including area code: (516) 268-7400</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color w:val="000000"/>
          <w:shd w:fill="FFFFFF" w:val="clear"/>
        </w:rPr>
        <w:t>☐</w:t>
      </w:r>
    </w:p>
    <w:p>
      <w:pPr>
        <w:pStyle w:val="TextBody"/>
        <w:bidi w:val="0"/>
        <w:spacing w:lineRule="auto" w:line="288" w:before="12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84" w:type="dxa"/>
        <w:jc w:val="left"/>
        <w:tblInd w:w="0" w:type="dxa"/>
        <w:tblLayout w:type="fixed"/>
        <w:tblCellMar>
          <w:top w:w="28" w:type="dxa"/>
          <w:left w:w="28" w:type="dxa"/>
          <w:bottom w:w="28" w:type="dxa"/>
          <w:right w:w="28" w:type="dxa"/>
        </w:tblCellMar>
      </w:tblPr>
      <w:tblGrid>
        <w:gridCol w:w="787"/>
        <w:gridCol w:w="693"/>
        <w:gridCol w:w="695"/>
        <w:gridCol w:w="763"/>
        <w:gridCol w:w="763"/>
        <w:gridCol w:w="1083"/>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shd w:fill="FFFFFF" w:val="clear"/>
              </w:rPr>
              <w:t>x</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 xml:space="preserve">Accelerated filer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 xml:space="preserve">Smaller reporting company </w:t>
            </w:r>
            <w:r>
              <w:rPr>
                <w:color w:val="000000"/>
              </w:rPr>
              <w:t>☐</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 xml:space="preserve">Emerging growth company </w:t>
            </w:r>
            <w:r>
              <w:rPr>
                <w:color w:val="000000"/>
              </w:rPr>
              <w:t>☐</w:t>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shd w:fill="FFFFFF" w:val="clear"/>
        </w:rPr>
        <w:t xml:space="preserve">Indicate by check mark whether the registrant is a shell company (as defined in Rule 12b-2 of the Exchange Act). Yes </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registered pursuant to Section 12(b) of the Act:</w:t>
      </w:r>
    </w:p>
    <w:tbl>
      <w:tblPr>
        <w:tblW w:w="7988" w:type="dxa"/>
        <w:jc w:val="left"/>
        <w:tblInd w:w="0" w:type="dxa"/>
        <w:tblLayout w:type="fixed"/>
        <w:tblCellMar>
          <w:top w:w="28" w:type="dxa"/>
          <w:left w:w="28" w:type="dxa"/>
          <w:bottom w:w="28" w:type="dxa"/>
          <w:right w:w="28" w:type="dxa"/>
        </w:tblCellMar>
      </w:tblPr>
      <w:tblGrid>
        <w:gridCol w:w="728"/>
        <w:gridCol w:w="637"/>
        <w:gridCol w:w="645"/>
        <w:gridCol w:w="109"/>
        <w:gridCol w:w="109"/>
        <w:gridCol w:w="109"/>
        <w:gridCol w:w="539"/>
        <w:gridCol w:w="539"/>
        <w:gridCol w:w="541"/>
        <w:gridCol w:w="109"/>
        <w:gridCol w:w="109"/>
        <w:gridCol w:w="109"/>
        <w:gridCol w:w="1085"/>
        <w:gridCol w:w="1085"/>
        <w:gridCol w:w="1535"/>
      </w:tblGrid>
      <w:tr>
        <w:trPr/>
        <w:tc>
          <w:tcPr>
            <w:tcW w:w="7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2"/>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color w:val="000000"/>
              </w:rPr>
            </w:pPr>
            <w:r>
              <w:rPr>
                <w:color w:val="000000"/>
              </w:rPr>
              <w:t>“</w:t>
            </w:r>
            <w:r>
              <w:rPr>
                <w:rFonts w:ascii="Times New Roman;sans-serif" w:hAnsi="Times New Roman;sans-serif"/>
                <w:b/>
                <w:color w:val="000000"/>
                <w:sz w:val="20"/>
              </w:rPr>
              <w:t>NFE”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August 6, 2024, the registrant had 205,067,047 shares of Class A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76"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058"/>
        <w:gridCol w:w="930"/>
        <w:gridCol w:w="930"/>
        <w:gridCol w:w="2288"/>
        <w:gridCol w:w="2251"/>
        <w:gridCol w:w="2278"/>
        <w:gridCol w:w="136"/>
        <w:gridCol w:w="136"/>
        <w:gridCol w:w="198"/>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0">
              <w:r>
                <w:rPr>
                  <w:rStyle w:val="InternetLink"/>
                  <w:rFonts w:ascii="Times New Roman;sans-serif" w:hAnsi="Times New Roman;sans-serif"/>
                  <w:b w:val="false"/>
                  <w:color w:val="0000FF"/>
                  <w:sz w:val="20"/>
                  <w:u w:val="single"/>
                </w:rPr>
                <w:t>GLOSSARY OF TERMS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0">
              <w:r>
                <w:rPr>
                  <w:rStyle w:val="InternetLink"/>
                  <w:rFonts w:ascii="Times New Roman;sans-serif" w:hAnsi="Times New Roman;sans-serif"/>
                  <w:b w:val="false"/>
                  <w:strike w:val="false"/>
                  <w:dstrike w:val="false"/>
                  <w:color w:val="000000"/>
                  <w:sz w:val="20"/>
                  <w:u w:val="none"/>
                  <w:effect w:val="none"/>
                </w:rPr>
                <w:t>ii</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3">
              <w:r>
                <w:rPr>
                  <w:rStyle w:val="InternetLink"/>
                  <w:rFonts w:ascii="Times New Roman;sans-serif" w:hAnsi="Times New Roman;sans-serif"/>
                  <w:b w:val="false"/>
                  <w:color w:val="0000FF"/>
                  <w:sz w:val="20"/>
                  <w:u w:val="single"/>
                </w:rPr>
                <w:t>CAUTIONARY STATEMENT ON FORWARD-LOOKING STATEMENTS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3">
              <w:r>
                <w:rPr>
                  <w:rStyle w:val="InternetLink"/>
                  <w:rFonts w:ascii="Times New Roman;sans-serif" w:hAnsi="Times New Roman;sans-serif"/>
                  <w:b w:val="false"/>
                  <w:strike w:val="false"/>
                  <w:dstrike w:val="false"/>
                  <w:color w:val="000000"/>
                  <w:sz w:val="20"/>
                  <w:u w:val="none"/>
                  <w:effect w:val="none"/>
                </w:rPr>
                <w:t>iv</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6">
              <w:r>
                <w:rPr>
                  <w:rStyle w:val="InternetLink"/>
                  <w:rFonts w:ascii="Times New Roman;sans-serif" w:hAnsi="Times New Roman;sans-serif"/>
                  <w:b w:val="false"/>
                  <w:color w:val="0000FF"/>
                  <w:sz w:val="20"/>
                  <w:u w:val="single"/>
                </w:rPr>
                <w:t>PART I FINANCIAL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6">
              <w:r>
                <w:rPr>
                  <w:rStyle w:val="InternetLink"/>
                  <w:rFonts w:ascii="Times New Roman;sans-serif" w:hAnsi="Times New Roman;sans-serif"/>
                  <w:b w:val="false"/>
                  <w:strike w:val="false"/>
                  <w:dstrike w:val="false"/>
                  <w:color w:val="000000"/>
                  <w:sz w:val="20"/>
                  <w:u w:val="none"/>
                  <w:effect w:val="none"/>
                </w:rPr>
                <w:t>1</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9">
              <w:r>
                <w:rPr>
                  <w:rStyle w:val="InternetLink"/>
                  <w:rFonts w:ascii="Times New Roman;sans-serif" w:hAnsi="Times New Roman;sans-serif"/>
                  <w:b w:val="false"/>
                  <w:strike w:val="false"/>
                  <w:dstrike w:val="false"/>
                  <w:color w:val="000000"/>
                  <w:sz w:val="20"/>
                  <w:u w:val="none"/>
                  <w:effect w:val="none"/>
                </w:rPr>
                <w:t>Item 1.</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9">
              <w:r>
                <w:rPr>
                  <w:rStyle w:val="InternetLink"/>
                  <w:rFonts w:ascii="Times New Roman;sans-serif" w:hAnsi="Times New Roman;sans-serif"/>
                  <w:b w:val="false"/>
                  <w:color w:val="0000FF"/>
                  <w:sz w:val="20"/>
                  <w:u w:val="single"/>
                </w:rPr>
                <w:t>Financial Statements.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9">
              <w:r>
                <w:rPr>
                  <w:rStyle w:val="InternetLink"/>
                  <w:rFonts w:ascii="Times New Roman;sans-serif" w:hAnsi="Times New Roman;sans-serif"/>
                  <w:b w:val="false"/>
                  <w:strike w:val="false"/>
                  <w:dstrike w:val="false"/>
                  <w:color w:val="000000"/>
                  <w:sz w:val="20"/>
                  <w:u w:val="none"/>
                  <w:effect w:val="none"/>
                </w:rPr>
                <w:t>1</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12">
              <w:r>
                <w:rPr>
                  <w:rStyle w:val="InternetLink"/>
                  <w:rFonts w:ascii="Times New Roman;sans-serif" w:hAnsi="Times New Roman;sans-serif"/>
                  <w:b w:val="false"/>
                  <w:strike w:val="false"/>
                  <w:dstrike w:val="false"/>
                  <w:color w:val="000000"/>
                  <w:sz w:val="20"/>
                  <w:u w:val="none"/>
                  <w:effect w:val="none"/>
                </w:rPr>
                <w:t>Item 2.</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12">
              <w:r>
                <w:rPr>
                  <w:rStyle w:val="InternetLink"/>
                  <w:rFonts w:ascii="Times New Roman;sans-serif" w:hAnsi="Times New Roman;sans-serif"/>
                  <w:b w:val="false"/>
                  <w:strike w:val="false"/>
                  <w:dstrike w:val="false"/>
                  <w:color w:val="000000"/>
                  <w:sz w:val="20"/>
                  <w:u w:val="none"/>
                  <w:effect w:val="none"/>
                </w:rPr>
                <w:t>34</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51">
              <w:r>
                <w:rPr>
                  <w:rStyle w:val="InternetLink"/>
                  <w:rFonts w:ascii="Times New Roman;sans-serif" w:hAnsi="Times New Roman;sans-serif"/>
                  <w:b w:val="false"/>
                  <w:strike w:val="false"/>
                  <w:dstrike w:val="false"/>
                  <w:color w:val="000000"/>
                  <w:sz w:val="20"/>
                  <w:u w:val="none"/>
                  <w:effect w:val="none"/>
                </w:rPr>
                <w:t>Item 3.</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51">
              <w:r>
                <w:rPr>
                  <w:rStyle w:val="InternetLink"/>
                  <w:rFonts w:ascii="Times New Roman;sans-serif" w:hAnsi="Times New Roman;sans-serif"/>
                  <w:b w:val="false"/>
                  <w:color w:val="0000FF"/>
                  <w:sz w:val="20"/>
                  <w:u w:val="single"/>
                </w:rPr>
                <w:t>Quantitative and Qualitative Disclosures About Market Risk.</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51">
              <w:r>
                <w:rPr>
                  <w:rStyle w:val="InternetLink"/>
                  <w:rFonts w:ascii="Times New Roman;sans-serif" w:hAnsi="Times New Roman;sans-serif"/>
                  <w:b w:val="false"/>
                  <w:strike w:val="false"/>
                  <w:dstrike w:val="false"/>
                  <w:color w:val="000000"/>
                  <w:sz w:val="20"/>
                  <w:u w:val="none"/>
                  <w:effect w:val="none"/>
                </w:rPr>
                <w:t>55</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54">
              <w:r>
                <w:rPr>
                  <w:rStyle w:val="InternetLink"/>
                  <w:rFonts w:ascii="Times New Roman;sans-serif" w:hAnsi="Times New Roman;sans-serif"/>
                  <w:b w:val="false"/>
                  <w:strike w:val="false"/>
                  <w:dstrike w:val="false"/>
                  <w:color w:val="000000"/>
                  <w:sz w:val="20"/>
                  <w:u w:val="none"/>
                  <w:effect w:val="none"/>
                </w:rPr>
                <w:t>Item 4.</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54">
              <w:r>
                <w:rPr>
                  <w:rStyle w:val="InternetLink"/>
                  <w:rFonts w:ascii="Times New Roman;sans-serif" w:hAnsi="Times New Roman;sans-serif"/>
                  <w:b w:val="false"/>
                  <w:color w:val="0000FF"/>
                  <w:sz w:val="20"/>
                  <w:u w:val="single"/>
                </w:rPr>
                <w:t>Controls and Procedures.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54">
              <w:r>
                <w:rPr>
                  <w:rStyle w:val="InternetLink"/>
                  <w:rFonts w:ascii="Times New Roman;sans-serif" w:hAnsi="Times New Roman;sans-serif"/>
                  <w:b w:val="false"/>
                  <w:strike w:val="false"/>
                  <w:dstrike w:val="false"/>
                  <w:color w:val="000000"/>
                  <w:sz w:val="20"/>
                  <w:u w:val="none"/>
                  <w:effect w:val="none"/>
                </w:rPr>
                <w:t>55</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57">
              <w:r>
                <w:rPr>
                  <w:rStyle w:val="InternetLink"/>
                  <w:rFonts w:ascii="Times New Roman;sans-serif" w:hAnsi="Times New Roman;sans-serif"/>
                  <w:b w:val="false"/>
                  <w:color w:val="0000FF"/>
                  <w:sz w:val="20"/>
                  <w:u w:val="single"/>
                </w:rPr>
                <w:t>PART II 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57">
              <w:r>
                <w:rPr>
                  <w:rStyle w:val="InternetLink"/>
                  <w:rFonts w:ascii="Times New Roman;sans-serif" w:hAnsi="Times New Roman;sans-serif"/>
                  <w:b w:val="false"/>
                  <w:strike w:val="false"/>
                  <w:dstrike w:val="false"/>
                  <w:color w:val="000000"/>
                  <w:sz w:val="20"/>
                  <w:u w:val="none"/>
                  <w:effect w:val="none"/>
                </w:rPr>
                <w:t>57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60">
              <w:r>
                <w:rPr>
                  <w:rStyle w:val="InternetLink"/>
                  <w:rFonts w:ascii="Times New Roman;sans-serif" w:hAnsi="Times New Roman;sans-serif"/>
                  <w:b w:val="false"/>
                  <w:strike w:val="false"/>
                  <w:dstrike w:val="false"/>
                  <w:color w:val="000000"/>
                  <w:sz w:val="20"/>
                  <w:u w:val="none"/>
                  <w:effect w:val="none"/>
                </w:rPr>
                <w:t>Item 1.</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60">
              <w:r>
                <w:rPr>
                  <w:rStyle w:val="InternetLink"/>
                  <w:rFonts w:ascii="Times New Roman;sans-serif" w:hAnsi="Times New Roman;sans-serif"/>
                  <w:b w:val="false"/>
                  <w:color w:val="0000FF"/>
                  <w:sz w:val="20"/>
                  <w:u w:val="single"/>
                </w:rPr>
                <w:t>Legal Proceedings.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60">
              <w:r>
                <w:rPr>
                  <w:rStyle w:val="InternetLink"/>
                  <w:rFonts w:ascii="Times New Roman;sans-serif" w:hAnsi="Times New Roman;sans-serif"/>
                  <w:b w:val="false"/>
                  <w:strike w:val="false"/>
                  <w:dstrike w:val="false"/>
                  <w:color w:val="000000"/>
                  <w:sz w:val="20"/>
                  <w:u w:val="none"/>
                  <w:effect w:val="none"/>
                </w:rPr>
                <w:t>57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63">
              <w:r>
                <w:rPr>
                  <w:rStyle w:val="InternetLink"/>
                  <w:rFonts w:ascii="Times New Roman;sans-serif" w:hAnsi="Times New Roman;sans-serif"/>
                  <w:b w:val="false"/>
                  <w:strike w:val="false"/>
                  <w:dstrike w:val="false"/>
                  <w:color w:val="000000"/>
                  <w:sz w:val="20"/>
                  <w:u w:val="none"/>
                  <w:effect w:val="none"/>
                </w:rPr>
                <w:t>Item 1A.</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63">
              <w:r>
                <w:rPr>
                  <w:rStyle w:val="InternetLink"/>
                  <w:rFonts w:ascii="Times New Roman;sans-serif" w:hAnsi="Times New Roman;sans-serif"/>
                  <w:b w:val="false"/>
                  <w:color w:val="0000FF"/>
                  <w:sz w:val="20"/>
                  <w:u w:val="single"/>
                </w:rPr>
                <w:t>Risk Factors.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63">
              <w:r>
                <w:rPr>
                  <w:rStyle w:val="InternetLink"/>
                  <w:rFonts w:ascii="Times New Roman;sans-serif" w:hAnsi="Times New Roman;sans-serif"/>
                  <w:b w:val="false"/>
                  <w:strike w:val="false"/>
                  <w:dstrike w:val="false"/>
                  <w:color w:val="000000"/>
                  <w:sz w:val="20"/>
                  <w:u w:val="none"/>
                  <w:effect w:val="none"/>
                </w:rPr>
                <w:t>57</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66">
              <w:r>
                <w:rPr>
                  <w:rStyle w:val="InternetLink"/>
                  <w:rFonts w:ascii="Times New Roman;sans-serif" w:hAnsi="Times New Roman;sans-serif"/>
                  <w:b w:val="false"/>
                  <w:strike w:val="false"/>
                  <w:dstrike w:val="false"/>
                  <w:color w:val="000000"/>
                  <w:sz w:val="20"/>
                  <w:u w:val="none"/>
                  <w:effect w:val="none"/>
                </w:rPr>
                <w:t>Item 2.</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66">
              <w:r>
                <w:rPr>
                  <w:rStyle w:val="InternetLink"/>
                  <w:rFonts w:ascii="Times New Roman;sans-serif" w:hAnsi="Times New Roman;sans-serif"/>
                  <w:b w:val="false"/>
                  <w:color w:val="0000FF"/>
                  <w:sz w:val="20"/>
                  <w:u w:val="single"/>
                </w:rPr>
                <w:t>Unregistered Sales of Equity Securities and Use of Proceeds.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66">
              <w:r>
                <w:rPr>
                  <w:rStyle w:val="InternetLink"/>
                  <w:rFonts w:ascii="Times New Roman;sans-serif" w:hAnsi="Times New Roman;sans-serif"/>
                  <w:b w:val="false"/>
                  <w:strike w:val="false"/>
                  <w:dstrike w:val="false"/>
                  <w:color w:val="000000"/>
                  <w:sz w:val="20"/>
                  <w:u w:val="none"/>
                  <w:effect w:val="none"/>
                </w:rPr>
                <w:t>93</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69">
              <w:r>
                <w:rPr>
                  <w:rStyle w:val="InternetLink"/>
                  <w:rFonts w:ascii="Times New Roman;sans-serif" w:hAnsi="Times New Roman;sans-serif"/>
                  <w:b w:val="false"/>
                  <w:strike w:val="false"/>
                  <w:dstrike w:val="false"/>
                  <w:color w:val="000000"/>
                  <w:sz w:val="20"/>
                  <w:u w:val="none"/>
                  <w:effect w:val="none"/>
                </w:rPr>
                <w:t>Item 3.</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69">
              <w:r>
                <w:rPr>
                  <w:rStyle w:val="InternetLink"/>
                  <w:rFonts w:ascii="Times New Roman;sans-serif" w:hAnsi="Times New Roman;sans-serif"/>
                  <w:b w:val="false"/>
                  <w:color w:val="0000FF"/>
                  <w:sz w:val="20"/>
                  <w:u w:val="single"/>
                </w:rPr>
                <w:t>Defaults Upon Senior Securities.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69">
              <w:r>
                <w:rPr>
                  <w:rStyle w:val="InternetLink"/>
                  <w:rFonts w:ascii="Times New Roman;sans-serif" w:hAnsi="Times New Roman;sans-serif"/>
                  <w:b w:val="false"/>
                  <w:strike w:val="false"/>
                  <w:dstrike w:val="false"/>
                  <w:color w:val="000000"/>
                  <w:sz w:val="20"/>
                  <w:u w:val="none"/>
                  <w:effect w:val="none"/>
                </w:rPr>
                <w:t>94</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72">
              <w:r>
                <w:rPr>
                  <w:rStyle w:val="InternetLink"/>
                  <w:rFonts w:ascii="Times New Roman;sans-serif" w:hAnsi="Times New Roman;sans-serif"/>
                  <w:b w:val="false"/>
                  <w:strike w:val="false"/>
                  <w:dstrike w:val="false"/>
                  <w:color w:val="000000"/>
                  <w:sz w:val="20"/>
                  <w:u w:val="none"/>
                  <w:effect w:val="none"/>
                </w:rPr>
                <w:t>Item 4.</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72">
              <w:r>
                <w:rPr>
                  <w:rStyle w:val="InternetLink"/>
                  <w:rFonts w:ascii="Times New Roman;sans-serif" w:hAnsi="Times New Roman;sans-serif"/>
                  <w:b w:val="false"/>
                  <w:color w:val="0000FF"/>
                  <w:sz w:val="20"/>
                  <w:u w:val="single"/>
                </w:rPr>
                <w:t>Mine Safety Disclosures.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72">
              <w:r>
                <w:rPr>
                  <w:rStyle w:val="InternetLink"/>
                  <w:rFonts w:ascii="Times New Roman;sans-serif" w:hAnsi="Times New Roman;sans-serif"/>
                  <w:b w:val="false"/>
                  <w:strike w:val="false"/>
                  <w:dstrike w:val="false"/>
                  <w:color w:val="000000"/>
                  <w:sz w:val="20"/>
                  <w:u w:val="none"/>
                  <w:effect w:val="none"/>
                </w:rPr>
                <w:t>94</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75">
              <w:r>
                <w:rPr>
                  <w:rStyle w:val="InternetLink"/>
                  <w:rFonts w:ascii="Times New Roman;sans-serif" w:hAnsi="Times New Roman;sans-serif"/>
                  <w:b w:val="false"/>
                  <w:strike w:val="false"/>
                  <w:dstrike w:val="false"/>
                  <w:color w:val="000000"/>
                  <w:sz w:val="20"/>
                  <w:u w:val="none"/>
                  <w:effect w:val="none"/>
                </w:rPr>
                <w:t>Item 5.</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75">
              <w:r>
                <w:rPr>
                  <w:rStyle w:val="InternetLink"/>
                  <w:rFonts w:ascii="Times New Roman;sans-serif" w:hAnsi="Times New Roman;sans-serif"/>
                  <w:b w:val="false"/>
                  <w:color w:val="0000FF"/>
                  <w:sz w:val="20"/>
                  <w:u w:val="single"/>
                </w:rPr>
                <w:t>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75">
              <w:r>
                <w:rPr>
                  <w:rStyle w:val="InternetLink"/>
                  <w:rFonts w:ascii="Times New Roman;sans-serif" w:hAnsi="Times New Roman;sans-serif"/>
                  <w:b w:val="false"/>
                  <w:strike w:val="false"/>
                  <w:dstrike w:val="false"/>
                  <w:color w:val="000000"/>
                  <w:sz w:val="20"/>
                  <w:u w:val="none"/>
                  <w:effect w:val="none"/>
                </w:rPr>
                <w:t>94</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3a313101e7b4ae3afd8007fa659ade4_178">
              <w:r>
                <w:rPr>
                  <w:rStyle w:val="InternetLink"/>
                  <w:rFonts w:ascii="Times New Roman;sans-serif" w:hAnsi="Times New Roman;sans-serif"/>
                  <w:b w:val="false"/>
                  <w:strike w:val="false"/>
                  <w:dstrike w:val="false"/>
                  <w:color w:val="000000"/>
                  <w:sz w:val="20"/>
                  <w:u w:val="none"/>
                  <w:effect w:val="none"/>
                </w:rPr>
                <w:t>Item 6.</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78">
              <w:r>
                <w:rPr>
                  <w:rStyle w:val="InternetLink"/>
                  <w:rFonts w:ascii="Times New Roman;sans-serif" w:hAnsi="Times New Roman;sans-serif"/>
                  <w:b w:val="false"/>
                  <w:color w:val="0000FF"/>
                  <w:sz w:val="20"/>
                  <w:u w:val="single"/>
                </w:rPr>
                <w:t>Exhibits.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78">
              <w:r>
                <w:rPr>
                  <w:rStyle w:val="InternetLink"/>
                  <w:rFonts w:ascii="Times New Roman;sans-serif" w:hAnsi="Times New Roman;sans-serif"/>
                  <w:b w:val="false"/>
                  <w:strike w:val="false"/>
                  <w:dstrike w:val="false"/>
                  <w:color w:val="000000"/>
                  <w:sz w:val="20"/>
                  <w:u w:val="none"/>
                  <w:effect w:val="none"/>
                </w:rPr>
                <w:t>94</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3a313101e7b4ae3afd8007fa659ade4_181">
              <w:r>
                <w:rPr>
                  <w:rStyle w:val="InternetLink"/>
                  <w:rFonts w:ascii="Times New Roman;sans-serif" w:hAnsi="Times New Roman;sans-serif"/>
                  <w:b w:val="false"/>
                  <w:color w:val="0000FF"/>
                  <w:sz w:val="20"/>
                  <w:u w:val="single"/>
                </w:rPr>
                <w:t>SIGNATURES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3a313101e7b4ae3afd8007fa659ade4_181">
              <w:r>
                <w:rPr>
                  <w:rStyle w:val="InternetLink"/>
                  <w:rFonts w:ascii="Times New Roman;sans-serif" w:hAnsi="Times New Roman;sans-serif"/>
                  <w:b w:val="false"/>
                  <w:strike w:val="false"/>
                  <w:dstrike w:val="false"/>
                  <w:color w:val="000000"/>
                  <w:sz w:val="20"/>
                  <w:u w:val="none"/>
                  <w:effect w:val="non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GLOSSARY OF TERMS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commonly used in the liquefied natural gas industry, to the extent applicable and as used in this Quarterly Report on Form 10-Q (“Quarterly Report”), the terms listed below have the following meanings:</w:t>
      </w:r>
    </w:p>
    <w:tbl>
      <w:tblPr>
        <w:tblW w:w="10205" w:type="dxa"/>
        <w:jc w:val="left"/>
        <w:tblInd w:w="0" w:type="dxa"/>
        <w:tblLayout w:type="fixed"/>
        <w:tblCellMar>
          <w:top w:w="28" w:type="dxa"/>
          <w:left w:w="28" w:type="dxa"/>
          <w:bottom w:w="28" w:type="dxa"/>
          <w:right w:w="28" w:type="dxa"/>
        </w:tblCellMar>
      </w:tblPr>
      <w:tblGrid>
        <w:gridCol w:w="455"/>
        <w:gridCol w:w="401"/>
        <w:gridCol w:w="406"/>
        <w:gridCol w:w="2761"/>
        <w:gridCol w:w="2552"/>
        <w:gridCol w:w="363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diesel oil</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Bcf/yr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 per year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heat required to raise the temperature of one avoirdupois pound of pure water from 59 degrees Fahrenheit to 60 degrees Fahrenheit at an absolute pressure of 14.696 pounds per square inch gage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Air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CERCLA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Environmental Response, Compensation and Liability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Water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Energy</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Environmental Protection Agency</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FTA countries</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countries with which the United States has a free trade agreement providing for national treatment for trade in natural gas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sales agreement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pipeline located in Erath, Louisiana that serves as the official delivery location for futures contracts on the New York Mercantile Exchange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Organization of Standardization, an intermodal container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w:t>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 its liquid state at or below its boiling point at or near atmospheric pressure</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Btus, which corresponds to approximately 12.1 gallons of LNG</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tons per year</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 We estimate 2,500 LNG gallons would be required to produce one megawatt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Act of 1938, as amended</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non-FTA countries</w:t>
            </w:r>
          </w:p>
        </w:tc>
        <w:tc>
          <w:tcPr>
            <w:tcW w:w="8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countries without a free trade agreement with the United States providing for national treatment for trade in natural gas and with which trade is permitted</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Pollution Act</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w:t>
            </w:r>
          </w:p>
        </w:tc>
        <w:tc>
          <w:tcPr>
            <w:tcW w:w="8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Utilities Regulation (Jamaica)</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7576" w:type="dxa"/>
        <w:jc w:val="left"/>
        <w:tblInd w:w="0" w:type="dxa"/>
        <w:tblLayout w:type="fixed"/>
        <w:tblCellMar>
          <w:top w:w="28" w:type="dxa"/>
          <w:left w:w="28" w:type="dxa"/>
          <w:bottom w:w="28" w:type="dxa"/>
          <w:right w:w="28" w:type="dxa"/>
        </w:tblCellMar>
      </w:tblPr>
      <w:tblGrid>
        <w:gridCol w:w="283"/>
        <w:gridCol w:w="248"/>
        <w:gridCol w:w="250"/>
        <w:gridCol w:w="1988"/>
        <w:gridCol w:w="1988"/>
        <w:gridCol w:w="2819"/>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PHMSA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and Hazardous Materials Safety Administration</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steam supply agreement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TBtu</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trillion Btus, which corresponds to approximately 12,100,000 gallons of LNG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STATEMENT ON FORWARD-LOOKING STATEMENTS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results of our subsidiaries, affiliates, joint ventures and special purpose entities in which we invest and their ability to make dividends or distributions to us;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construction and operational risks related to our facilities and assets, including cost overruns and delays;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of LNG or natural gas to be a competitive source of energy in the markets in which we operate, and seek to operate;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delays or failure to obtain and maintain approvals and permits from governmental and regulatory agencies;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to obtain a return on our investments for the development of our projects and assets and the implementation of our business strategy;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failure to maintain sufficient working capital for the development and operation of our business and assets;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failure to convert our customer pipeline into actual sales;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lack of asset, geographic or customer diversification, including loss of one or more of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competition from third parties in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cyclical or other changes in the demand for and price of LNG and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procure LNG at necessary quantities or at favorable prices to meet customer demand, or otherwise to manage LNG supply and price risks, including hedging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successfully develop and implement our technological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service our debt and comply with our covenant restrictions;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obtain additional financing to effect our strategy;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inability to successfully complete mergers, sales, divestments or similar transactions related to our businesses or assets or to integrate such businesses or assets and realize the anticipated benefits;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economic, political, social and other risks related to the jurisdictions in which we do, or seek to do,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weather events or other natural or manmade disasters or phenomena;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any future pandemic or any other major health and safety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iv</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increased labor costs, disputes or strikes, and the unavailability of skilled workers or our failure to attract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the tax treatment of, or changes in tax laws applicable to, us or our business or of an investment in our Class A common stock; and</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other risks described in the “Risk Factors” section of this Quarterly Report.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2023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v</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of June 30, 2024 and December 31, 2023</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 in thousands of U.S. dollars, except share amounts)</w:t>
      </w:r>
    </w:p>
    <w:tbl>
      <w:tblPr>
        <w:tblW w:w="10205" w:type="dxa"/>
        <w:jc w:val="left"/>
        <w:tblInd w:w="0" w:type="dxa"/>
        <w:tblLayout w:type="fixed"/>
        <w:tblCellMar>
          <w:top w:w="28" w:type="dxa"/>
          <w:left w:w="28" w:type="dxa"/>
          <w:bottom w:w="28" w:type="dxa"/>
          <w:right w:w="28" w:type="dxa"/>
        </w:tblCellMar>
      </w:tblPr>
      <w:tblGrid>
        <w:gridCol w:w="2804"/>
        <w:gridCol w:w="2201"/>
        <w:gridCol w:w="2208"/>
        <w:gridCol w:w="196"/>
        <w:gridCol w:w="961"/>
        <w:gridCol w:w="109"/>
        <w:gridCol w:w="109"/>
        <w:gridCol w:w="109"/>
        <w:gridCol w:w="109"/>
        <w:gridCol w:w="208"/>
        <w:gridCol w:w="1024"/>
        <w:gridCol w:w="167"/>
      </w:tblGrid>
      <w:tr>
        <w:trPr/>
        <w:tc>
          <w:tcPr>
            <w:tcW w:w="280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 of allowances of $10,025 and $1,158,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979,973 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in progress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5,348,294 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2,481,415 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588,385 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11,408,377 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10,501,245 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 and 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471,675 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1,706,288 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6,510,523 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9,623,264 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8,723,376 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21)</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A convertible preferred stock, $0.01 par value, 96,746 shares authorized, issued and outstanding as of June 30, 2024 (0 as of December 31, 2023); aggregate liquidation preference of $96,746 and $0 at June 30, 2024 and December 31, 2023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750 million shares authorized, 205.1 million issued and outstanding as of June 30, 2024; 205.0 million issued and outstanding as of December 31, 2023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1,038,530 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 attributable to NFE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1,640,094 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1,777,869 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convertible preferred stock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11,408,377 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10,501,245 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Operations and Comprehensive Income (Loss)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three and six months ended June 30, 2024 and 2023</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 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1616"/>
        <w:gridCol w:w="1183"/>
        <w:gridCol w:w="1199"/>
        <w:gridCol w:w="237"/>
        <w:gridCol w:w="949"/>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61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charter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from equity method investments and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stockholders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basic</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diluted</w:t>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205,070,756 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205,066,362 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206,867,828 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205,851,364 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205,711,467 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205,846,970 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207,534,174 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attributable to non-controlling interest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stockholders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76"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Changes in Stockholders’ Equity</w:t>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three and six months ended June 30, 2024 and 2023</w:t>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 in thousands of U.S. dollars, except share amounts)</w:t>
      </w:r>
    </w:p>
    <w:tbl>
      <w:tblPr>
        <w:tblW w:w="1439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109"/>
        <w:gridCol w:w="109"/>
        <w:gridCol w:w="109"/>
        <w:gridCol w:w="130"/>
        <w:gridCol w:w="130"/>
        <w:gridCol w:w="130"/>
        <w:gridCol w:w="130"/>
        <w:gridCol w:w="383"/>
        <w:gridCol w:w="263"/>
        <w:gridCol w:w="136"/>
        <w:gridCol w:w="109"/>
        <w:gridCol w:w="109"/>
        <w:gridCol w:w="109"/>
        <w:gridCol w:w="196"/>
        <w:gridCol w:w="646"/>
        <w:gridCol w:w="109"/>
        <w:gridCol w:w="109"/>
        <w:gridCol w:w="109"/>
        <w:gridCol w:w="109"/>
        <w:gridCol w:w="525"/>
        <w:gridCol w:w="526"/>
        <w:gridCol w:w="196"/>
        <w:gridCol w:w="109"/>
        <w:gridCol w:w="109"/>
        <w:gridCol w:w="109"/>
        <w:gridCol w:w="198"/>
        <w:gridCol w:w="562"/>
        <w:gridCol w:w="111"/>
        <w:gridCol w:w="109"/>
        <w:gridCol w:w="109"/>
        <w:gridCol w:w="109"/>
        <w:gridCol w:w="196"/>
        <w:gridCol w:w="871"/>
        <w:gridCol w:w="109"/>
        <w:gridCol w:w="109"/>
        <w:gridCol w:w="109"/>
        <w:gridCol w:w="109"/>
        <w:gridCol w:w="220"/>
        <w:gridCol w:w="827"/>
        <w:gridCol w:w="124"/>
        <w:gridCol w:w="109"/>
        <w:gridCol w:w="109"/>
        <w:gridCol w:w="109"/>
        <w:gridCol w:w="196"/>
        <w:gridCol w:w="646"/>
        <w:gridCol w:w="109"/>
        <w:gridCol w:w="109"/>
        <w:gridCol w:w="109"/>
        <w:gridCol w:w="109"/>
        <w:gridCol w:w="200"/>
        <w:gridCol w:w="753"/>
        <w:gridCol w:w="113"/>
        <w:gridCol w:w="109"/>
        <w:gridCol w:w="109"/>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 xml:space="preserve">stockholders’ equity </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205,031,406 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A convertible preferred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205,041,824 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561,422 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(88,854)</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(86,860)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96,746 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205,065,328 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450,871 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127,268 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1,687,268 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1839"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109"/>
        <w:gridCol w:w="109"/>
        <w:gridCol w:w="109"/>
        <w:gridCol w:w="109"/>
        <w:gridCol w:w="109"/>
        <w:gridCol w:w="109"/>
        <w:gridCol w:w="109"/>
        <w:gridCol w:w="542"/>
        <w:gridCol w:w="509"/>
        <w:gridCol w:w="109"/>
        <w:gridCol w:w="109"/>
        <w:gridCol w:w="109"/>
        <w:gridCol w:w="109"/>
        <w:gridCol w:w="198"/>
        <w:gridCol w:w="562"/>
        <w:gridCol w:w="111"/>
        <w:gridCol w:w="109"/>
        <w:gridCol w:w="109"/>
        <w:gridCol w:w="109"/>
        <w:gridCol w:w="196"/>
        <w:gridCol w:w="871"/>
        <w:gridCol w:w="109"/>
        <w:gridCol w:w="109"/>
        <w:gridCol w:w="109"/>
        <w:gridCol w:w="109"/>
        <w:gridCol w:w="220"/>
        <w:gridCol w:w="827"/>
        <w:gridCol w:w="124"/>
        <w:gridCol w:w="109"/>
        <w:gridCol w:w="109"/>
        <w:gridCol w:w="109"/>
        <w:gridCol w:w="196"/>
        <w:gridCol w:w="646"/>
        <w:gridCol w:w="109"/>
        <w:gridCol w:w="109"/>
        <w:gridCol w:w="109"/>
        <w:gridCol w:w="109"/>
        <w:gridCol w:w="200"/>
        <w:gridCol w:w="753"/>
        <w:gridCol w:w="113"/>
        <w:gridCol w:w="109"/>
        <w:gridCol w:w="109"/>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 xml:space="preserve">stockholders’ equity </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208,770,088 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204,670,088 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191,819 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1,449,326 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119,248 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205,031,406 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290,564 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New Fortress Energy Inc.</w:t>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six months ended June 30, 2024 and 2023</w: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 in thousands of U.S. dollars)</w:t>
      </w:r>
    </w:p>
    <w:tbl>
      <w:tblPr>
        <w:tblW w:w="8375" w:type="dxa"/>
        <w:jc w:val="left"/>
        <w:tblInd w:w="0" w:type="dxa"/>
        <w:tblLayout w:type="fixed"/>
        <w:tblCellMar>
          <w:top w:w="28" w:type="dxa"/>
          <w:left w:w="28" w:type="dxa"/>
          <w:bottom w:w="28" w:type="dxa"/>
          <w:right w:w="28" w:type="dxa"/>
        </w:tblCellMar>
      </w:tblPr>
      <w:tblGrid>
        <w:gridCol w:w="2135"/>
        <w:gridCol w:w="1877"/>
        <w:gridCol w:w="1883"/>
        <w:gridCol w:w="198"/>
        <w:gridCol w:w="747"/>
        <w:gridCol w:w="109"/>
        <w:gridCol w:w="109"/>
        <w:gridCol w:w="109"/>
        <w:gridCol w:w="109"/>
        <w:gridCol w:w="198"/>
        <w:gridCol w:w="747"/>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for:</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Movement in credit loss allowances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asset sales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recognized from vessels chartered to third parties transferred to Energos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the disposal of equity method investment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impairment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receivables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inventories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right-of-use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accounts payable/accrued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lease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equity method investment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sales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(1,367,092)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 of debt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financing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debt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changes in foreign exchange rates on cash and cash equivalents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 cash, cash equivalents and restricted cash</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 beginning of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 end of period</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785"/>
        <w:gridCol w:w="2448"/>
        <w:gridCol w:w="2455"/>
        <w:gridCol w:w="196"/>
        <w:gridCol w:w="797"/>
        <w:gridCol w:w="109"/>
        <w:gridCol w:w="109"/>
        <w:gridCol w:w="109"/>
        <w:gridCol w:w="109"/>
        <w:gridCol w:w="196"/>
        <w:gridCol w:w="736"/>
        <w:gridCol w:w="156"/>
      </w:tblGrid>
      <w:tr>
        <w:trPr/>
        <w:tc>
          <w:tcPr>
            <w:tcW w:w="278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accounts payable and accrued liabilities associated with construction in progress and property, plant and equipment additions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 associated with construction in progress and property, plant and equipment additions</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1,159,441 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financing obligation to Energos by third party charters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received in Hilli Exchange</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(122,754)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convertible preferred stock issued and debt assumed in the PortoCem Acquisition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obligation</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the balance sheet line-items included in Cash and cash equivalents and Restricted cash presented in the Condensed Consolidated Statements of Cash Flows:</w:t>
      </w:r>
    </w:p>
    <w:tbl>
      <w:tblPr>
        <w:tblW w:w="6564" w:type="dxa"/>
        <w:jc w:val="left"/>
        <w:tblInd w:w="0" w:type="dxa"/>
        <w:tblLayout w:type="fixed"/>
        <w:tblCellMar>
          <w:top w:w="28" w:type="dxa"/>
          <w:left w:w="28" w:type="dxa"/>
          <w:bottom w:w="28" w:type="dxa"/>
          <w:right w:w="28" w:type="dxa"/>
        </w:tblCellMar>
      </w:tblPr>
      <w:tblGrid>
        <w:gridCol w:w="1488"/>
        <w:gridCol w:w="1308"/>
        <w:gridCol w:w="1314"/>
        <w:gridCol w:w="196"/>
        <w:gridCol w:w="736"/>
        <w:gridCol w:w="109"/>
        <w:gridCol w:w="109"/>
        <w:gridCol w:w="109"/>
        <w:gridCol w:w="109"/>
        <w:gridCol w:w="196"/>
        <w:gridCol w:w="73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100,513 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classified as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297,848 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Basis of presentation</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w:t>
      </w:r>
      <w:r>
        <w:rPr>
          <w:rFonts w:ascii="Times New Roman;sans-serif" w:hAnsi="Times New Roman;sans-serif"/>
          <w:b w:val="false"/>
          <w:color w:val="000000"/>
          <w:sz w:val="20"/>
          <w:shd w:fill="FFFFFF" w:val="clear"/>
        </w:rPr>
        <w:t xml:space="preserve">December 31, 2023 (the "Annual Report"). Certain prior year amounts have been reclassified to conform to current year presentation.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Adoption of new and revised standards</w:t>
      </w:r>
    </w:p>
    <w:p>
      <w:pPr>
        <w:pStyle w:val="TextBody"/>
        <w:bidi w:val="0"/>
        <w:spacing w:lineRule="auto" w:line="288" w:before="240" w:after="283"/>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ASU 2023-07 requires disclosure of significant segment expenses and other segment items that are regularly provided to the CODM and included within each reported measure of segment profit or loss, and the title and position of the entity’s CODM. The amendments in this update also require entities to provide in interim periods all disclosures about a reportable segment’s profit or loss and assets that are currently required annually. ASU 2023-07 will be effective for fiscal years beginning after December 15, 2023, and interim periods within fiscal years beginning after December 15, 2024. Early adoption is allowed, and the amendments in this update must be applied retrospectively to all periods presented in the financial statements, unless it is not feasible. The Company is currently reviewing the impact that the adoption of ASU 2023-07 may have on the Company's consolidated financial statements and disclosures.</w:t>
      </w:r>
    </w:p>
    <w:p>
      <w:pPr>
        <w:pStyle w:val="TextBody"/>
        <w:bidi w:val="0"/>
        <w:spacing w:lineRule="auto" w:line="288" w:before="240" w:after="283"/>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requiring companies to annually present specific categories in the effective tax rate reconciliation and provide additional information for reconciling items that meet a quantitative threshold. Further, the ASU requires disclosure of income taxes paid (net of refunds received) disaggregated by federal, state and foreign taxes and to disaggregate the information by jurisdiction based on a quantitative threshold. The amendments in this ASU are effective for annual periods beginning after December 15, 2024, and early adoption is allowed. The amendments should be applied on a prospective basis, but retrospective application is allowed. The Company is currently reviewing the impact that the adoption of ASU 2023-09 may have on the Company's consolidated financial statements and disclosures.</w:t>
      </w:r>
    </w:p>
    <w:p>
      <w:pPr>
        <w:pStyle w:val="TextBody"/>
        <w:bidi w:val="0"/>
        <w:spacing w:lineRule="auto" w:line="288" w:before="240" w:after="283"/>
        <w:jc w:val="left"/>
        <w:rPr/>
      </w:pPr>
      <w:r>
        <w:rPr>
          <w:rFonts w:ascii="Times New Roman;sans-serif" w:hAnsi="Times New Roman;sans-serif"/>
          <w:b w:val="false"/>
          <w:color w:val="000000"/>
          <w:sz w:val="20"/>
        </w:rPr>
        <w:t xml:space="preserve">In March 2024, the FASB issued ASU 2024-01, </w:t>
      </w:r>
      <w:r>
        <w:rPr>
          <w:rFonts w:ascii="Times New Roman;sans-serif" w:hAnsi="Times New Roman;sans-serif"/>
          <w:b w:val="false"/>
          <w:i/>
          <w:color w:val="000000"/>
          <w:sz w:val="20"/>
        </w:rPr>
        <w:t>Compensation—Stock Compensation (Topic 718): Scope Application of Profits Interest and Similar Awards</w:t>
      </w:r>
      <w:r>
        <w:rPr>
          <w:rFonts w:ascii="Times New Roman;sans-serif" w:hAnsi="Times New Roman;sans-serif"/>
          <w:b w:val="false"/>
          <w:color w:val="000000"/>
          <w:sz w:val="20"/>
        </w:rPr>
        <w:t>, providing illustrative guidance to help entities determine whether profits interest and similar awards should be accounted for as share-based payment arrangements within the scope of Topic 718. The amendments in this ASU are effective for annual periods beginning after December 15, 2024, and interim periods within those annual periods. Early adoption is allowed, and the amendments can be applied on a prospective or retrospective basis. The Company is currently reviewing the impact that the adoption of ASU 2024-01 may have on the Company's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all other recently issued accounting pronouncements and concluded that such pronouncements are either not applicable to the Company or no material impact is expected in the consolidated financial statements as a result of future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Asset acquisition and redeemable preferred stock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20, 2024, the Company completed transactions pursuant to an agreement among the Company, Ceiba Energy Fundo de Investimento em Participações Multiestratégia - Investimento no Exterior (“Ceiba Energy”) and PortoCem Geração de Energia S.A., a wholly-owned subsidiary of Ceiba Energy (“PortoCem”), pursuant to which the Company issued to Ceiba Energy 96,746 shares of 4.8% Series A Convertible Preferred Stock of the Company (the “Series A Convertible Preferred Stock”), and assumed certain of PortoCem’s existing indebtedness in exchange for all outstanding equity interests in PortoCem, the owner of a 15-year 1.6GW capacity reserve contract in Brazil (the “PortoCem Acquisition”).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PortoCem Acquisition was accounted for as an asset acquisition. As a result, no goodwill was recorded, and the Company’s acquisition-related costs of $592 were included in the purchase consideration. The total purchase consideration of $162,860, which was comprised of the value of the Series A Convertible Preferred Stock issued, PortoCem BTG Loan assumed (defined in Note 19) and deferred tax liability of $37,662 recognized as a result of the acquisition, was allocated to acquired capacity reserve contract within Intangible assets, net.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Series A Convertible Preferred Stock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Series A Convertible Preferred Stock has a liquidation preference of $1,000 per share and is not subject to any sinking fund. The Series A Convertible Preferred Stock has no stated maturity and will remain outstanding indefinitely unless redeemed or repurchased by the Company or converted into shares of Class A common stock.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Dividend rights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Series A Convertible Preferred Stock ranks senior to the shares of the Company’s common stock, in terms of dividend rights and rights upon any voluntary or involuntary liquidation, dissolution or winding up of the Company. Holders of Series A Convertible Preferred Stock are entitled to a cumulative dividend at the rate of 4.8% per annum, which is payable quarterly in arrears. If the Company does not declare and pay a dividend, the dividend rate will increase to 6.8% per annum until all accrued but unpaid dividends have been paid in full.</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Conversion features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Series A Convertible Preferred Stock may be converted by each holder, in whole or in minimum increments of 5,000 shares, at any time into a number of shares of Class A common stock per share of Series A Convertible Preferred Stock equal to the quotient of $1,000 per share plus any accumulated and unpaid dividends thereon and the then applicable conversion price. The initial conversion price is $47.43 per share of Class A common stock, subject to customary anti-dilution adjustments.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Redemption rights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certain events, the holders constituting at least a majority of the outstanding voting power of the Series A Convertible Preferred Stock may require the Company to repurchase the Series A Convertible Preferred Stock, in whole but not in part, for cash or shares of Class A common stock (or any combination thereof) at a repurchase price of $1,000 per share plus any accumulated and unpaid dividends thereon. Contingent events that would allow the holders to require repurchase by the Company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change in control, downgrade in the credit rating of certain of the Company's debt or if certain financial leverage ratios aren't achieved ("Change Event");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of the 30th trading day following March 20, 2027, if the arithmetic average of the daily volume-weighted average price of the Company's common stock for the thirty consecutive trading day period beginning on first trading day following March 20, 2027 is less than the then-applicable conversion price ("Share Price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Series A Convertible Preferred Stock is to be repurchased by the Company, the majority of the holders of the Series A Convertible Preferred Stock may require the Company to repurchase the Series A Convertible Preferred Stock for shares of Class A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Convertible Preferred Stock may be redeemed by the Company, in whole but not in part, at its option upon 45 days’ written notice as follows: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on or before March 20, 2027 at a redemption price equal to the greater of (i) $1,000 per share plus any accumulated and unpaid dividends and (ii) the cash amount necessary per share for a holder to achieve a Return on Investment (as defined in the Certificate of Designations) as of the redemption date equal to 1.4;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after the 30th trading day following March 20, 2027 if the Share Price Condition is not met or (y) 30 calendar days after the delivery of the required notice if the Share Price Condition is met, in each case, at a redemption price equal to $1,000 per share plus any accumulated and unpaid dividends;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occurrence of a Change Event at a redemption price equal to $1,000 per share plus any accumulated and unpaid dividends.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Series A Convertible Preferred Stock for cash or shares of Class A common stock (or any combination thereof); provided that for a redemption prior to March 20, 2027 due to a Change Event, a majority of the holders of the Series A Convertible Preferred Stock may require the Company to redeem for cash or shares of Class A common stock.</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Since the redemption of the Series A Convertible Preferred Stock is contingently redeemable and therefore not certain to occur, the Series A Convertible Preferred Stock is not required to be classified as a liability. The Series A Convertible Preferred Stock is redeemable at the option of the holder in certain circumstances upon the occurrence of an event that is not solely within the Company's control, and as such, the Series A Convertible Preferred Stock is classified as mezzanine equity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Voting rights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Series A Convertible Preferred Stock are generally entitled to vote with the holders of common stock on an as-converted basis. Holders of Series A Convertible Preferred Stock are entitled to a separate class vote with respect to amendments to the Company’s organizational documents that adversely affect the rights, preferences or voting powers of the Series A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 Asset sale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completed a series of transactions that included the sale of turbines and related equipment to the Puerto Rico Electric Power Authority ("PREPA") under an Asset Purchase Agreement ("APA"). The Company deployed this equipment in 2023 in response to a request to provide emergency power to stabilize the power grid in Puerto Rico. The purchase price was $306,599. Additionally, the APA includes a requirement that the Company provide major maintenance services on certain of the sold turbines within 12 months of the sale date; the standalone selling price of these maintenance services of $15,330 will be recognized when these services are performed, and the transaction price allocated to the sale of turbines was reduced by this amount. The Company recognized $3,830 of the maintenance services revenue during the quarter. The book value of the turbines and equipment at the time of sale was $368,799, and the Company recognized a loss of $77,530 in Loss on sale of assets, net in the Condensed Consolidated Statements of Operations and Comprehensive Income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assets sold to PREPA were previously leased by the Company. To facilitate the sale of these leased turbines, the Company terminated leases, acquiring turbines and equipment immediately prior to the sale of such turbines and equipment to PREPA. The cost to acquire the leased turbines, including the write-off of the right-of-use asset and lease liability were included in the book value of the turbines and the related loss upon sale.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these transactions, the Company repaid the Equipment Notes (See Note 19) that were collateralized by the sold turbines, recognizing a loss on extinguishment of debt of $7,879, which was comprised of fees due upon prepayment as well as the unamortized portion of financing costs incurred at the inception of the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to provide emergency power services to support the grid stabilization project was also terminated. All unrecognized contract liabilities and cost to fulfil at the time of termination were recognized in the Condensed Consolidated Statements of Operations and Comprehensive Income (Loss) (See Note 6). The Company believes that there are remedies available under the customer contract, and is currently pursuing these remedies. As the outcome of this process is uncertain, any transaction price associated with closing this contract has been fully constrained. The Company has been awarded a new gas sale agreement with PREPA under which the Company is providing gas supply to the sold turbines.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Revenue recognition</w:t>
      </w:r>
    </w:p>
    <w:p>
      <w:pPr>
        <w:pStyle w:val="TextBody"/>
        <w:bidi w:val="0"/>
        <w:spacing w:lineRule="auto" w:line="288" w:before="240" w:after="283"/>
        <w:jc w:val="left"/>
        <w:rPr/>
      </w:pPr>
      <w:r>
        <w:rPr>
          <w:rFonts w:ascii="Times New Roman;sans-serif" w:hAnsi="Times New Roman;sans-serif"/>
          <w:b w:val="false"/>
          <w:color w:val="000000"/>
          <w:sz w:val="20"/>
        </w:rPr>
        <w:t xml:space="preserve">Operating revenue in the Condensed Consolidated Statements of Operations and Comprehensive Income (Loss) includes revenue from sales of LNG and natural gas as well as outputs from the Company’s natural gas-fueled power generation facilities, including power and steam, and the sale of LNG cargos. LNG cargo sales for the three and six months ended June 30, 2024 were $24,502 and $24,502, respectively. LNG cargo sales for the three and six months ended June 30, 2023 were </w:t>
      </w:r>
      <w:r>
        <w:rPr>
          <w:rFonts w:ascii="Times New Roman;sans-serif" w:hAnsi="Times New Roman;sans-serif"/>
          <w:b w:val="false"/>
          <w:color w:val="000000"/>
          <w:sz w:val="20"/>
          <w:shd w:fill="FFFFFF" w:val="clear"/>
        </w:rPr>
        <w:t>$267,777 and $617,138</w:t>
      </w:r>
      <w:r>
        <w:rPr>
          <w:rFonts w:ascii="Times New Roman;sans-serif" w:hAnsi="Times New Roman;sans-serif"/>
          <w:b w:val="false"/>
          <w:color w:val="000000"/>
          <w:sz w:val="20"/>
        </w:rPr>
        <w:t xml:space="preserve">, respectively, which included $162,500 and $332,000 of contract settlements,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balances in Other revenue:</w:t>
      </w:r>
    </w:p>
    <w:tbl>
      <w:tblPr>
        <w:tblW w:w="8445" w:type="dxa"/>
        <w:jc w:val="left"/>
        <w:tblInd w:w="0" w:type="dxa"/>
        <w:tblLayout w:type="fixed"/>
        <w:tblCellMar>
          <w:top w:w="28" w:type="dxa"/>
          <w:left w:w="28" w:type="dxa"/>
          <w:bottom w:w="28" w:type="dxa"/>
          <w:right w:w="28" w:type="dxa"/>
        </w:tblCellMar>
      </w:tblPr>
      <w:tblGrid>
        <w:gridCol w:w="1101"/>
        <w:gridCol w:w="969"/>
        <w:gridCol w:w="974"/>
        <w:gridCol w:w="257"/>
        <w:gridCol w:w="878"/>
        <w:gridCol w:w="132"/>
        <w:gridCol w:w="132"/>
        <w:gridCol w:w="132"/>
        <w:gridCol w:w="132"/>
        <w:gridCol w:w="257"/>
        <w:gridCol w:w="568"/>
        <w:gridCol w:w="132"/>
        <w:gridCol w:w="109"/>
        <w:gridCol w:w="109"/>
        <w:gridCol w:w="109"/>
        <w:gridCol w:w="211"/>
        <w:gridCol w:w="826"/>
        <w:gridCol w:w="109"/>
        <w:gridCol w:w="109"/>
        <w:gridCol w:w="109"/>
        <w:gridCol w:w="109"/>
        <w:gridCol w:w="211"/>
        <w:gridCol w:w="61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revenue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 revenue</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revenue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Operation and maintenance revenue is recognized by the Company's subsidiary, Genera PR LLC ("Genera"), under its contract for the operation and maintenance of PREPA's thermal generation assets. Under this agreement, Genera is paid a fixed annual fee and reimbursed for pass-through expenses, including payroll expenses of Genera employees, beginning when the contract commenced on July 1, 2023. Amounts recognized in the first half of 2024 include fixed fees, reimbursement of pass-through expenditures and an estimate of variable consideration for incentive fees to be received. Variable consideration has been estimated based on the most likely amount method, and the Company includes estimated amounts in the transaction price to the extent it is probable that a significant reversal of cumulative revenue recognized will not occur when the uncertainty associated with the variable consideration is resolved. The determination of estimated amounts included in the transaction price is based largely upon an assessment of the uncertainties associated with the variable consideration, including the susceptibility of payment to factors outside of the Company’s control. The Company considers all information that is reasonably available, including historical, current and estimates of future performance.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Under most customer contracts, invoicing occurs once the Company’s performance obligations have been satisfied, at which point payment is unconditional. As of June 30, 2024 and December 31, 2023, receivables related to revenue from contracts with customers totaled $405,196 and $331,108, respectively, and were included in Receivables, net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xml:space="preserve">, net of current expected credit losses of $10,025 and $1,158, respectively. During the first quarter of 2024, the Company recorded an additional allowance for uncollectible receivables of $11,595. The allowance reduces outstanding receivables for certain customers to reflect the amount that the Company expects to receive. Other items included in Receivables, net not related to revenue from contracts with customers represent leases, which are accounted for outside the scope of ASC 606, and receivables associated with reimbursable costs.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Contract assets are comprised of the transaction price allocated to completed performance obligations that will be billed to customers in subsequent periods. The Company has recognized contract liabilities, comprised of unconditional payments due or paid under the contracts with customers prior to the Company’s satisfaction of the related performance obligations. The contract assets and contract liabilities balances as of June 30, 2024 and December 31, 2023 are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9010" w:type="dxa"/>
        <w:jc w:val="left"/>
        <w:tblInd w:w="0" w:type="dxa"/>
        <w:tblLayout w:type="fixed"/>
        <w:tblCellMar>
          <w:top w:w="28" w:type="dxa"/>
          <w:left w:w="28" w:type="dxa"/>
          <w:bottom w:w="28" w:type="dxa"/>
          <w:right w:w="28" w:type="dxa"/>
        </w:tblCellMar>
      </w:tblPr>
      <w:tblGrid>
        <w:gridCol w:w="2042"/>
        <w:gridCol w:w="1794"/>
        <w:gridCol w:w="1803"/>
        <w:gridCol w:w="234"/>
        <w:gridCol w:w="919"/>
        <w:gridCol w:w="121"/>
        <w:gridCol w:w="109"/>
        <w:gridCol w:w="109"/>
        <w:gridCol w:w="109"/>
        <w:gridCol w:w="344"/>
        <w:gridCol w:w="1175"/>
        <w:gridCol w:w="251"/>
      </w:tblGrid>
      <w:tr>
        <w:trPr/>
        <w:tc>
          <w:tcPr>
            <w:tcW w:w="204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current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non-current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assets, net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 current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 non-current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net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year from:</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contract liabilities at the beginning of the year</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Contract assets are presented net of expected credit losses of $248 and $326 as of June 30, 2024 and December 31, 2023, respectively. As of June 30, 2024 and December 31, 2023, contract assets was comprised of $24,351 and $28,536 of unbilled receivables, respectively, which represent unconditional rights to payment only subject to the passage of time.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the second quarter of 2024, the Company received a prepayment of $90,000 for future contracted sales that is included in the contract liability balance as of June 30, 2024; deliveries under this contract will occur in the third and fourth quarters of 2024. Contract liabilities decreased in the first quarter of 2024 due to the termination of the Company's contract to support the grid stabilization project in Puerto Rico (Refer to Note 5 - Asset sale). Deferred revenue at the time of termination of </w:t>
      </w:r>
      <w:r>
        <w:rPr>
          <w:rFonts w:ascii="Times New Roman;sans-serif" w:hAnsi="Times New Roman;sans-serif"/>
          <w:b w:val="false"/>
          <w:color w:val="000000"/>
          <w:sz w:val="20"/>
        </w:rPr>
        <w:t>$43,577</w:t>
      </w:r>
      <w:r>
        <w:rPr>
          <w:color w:val="000000"/>
          <w:shd w:fill="FFFFFF" w:val="clear"/>
        </w:rPr>
        <w:t xml:space="preserve"> </w:t>
      </w:r>
      <w:r>
        <w:rPr>
          <w:rFonts w:ascii="Times New Roman;sans-serif" w:hAnsi="Times New Roman;sans-serif"/>
          <w:b w:val="false"/>
          <w:color w:val="000000"/>
          <w:sz w:val="20"/>
          <w:shd w:fill="FFFFFF" w:val="clear"/>
        </w:rPr>
        <w:t xml:space="preserve">was recognized as Operating revenue in the </w:t>
      </w:r>
      <w:r>
        <w:rPr>
          <w:rFonts w:ascii="Times New Roman;sans-serif" w:hAnsi="Times New Roman;sans-serif"/>
          <w:b w:val="false"/>
          <w:color w:val="000000"/>
          <w:sz w:val="20"/>
        </w:rPr>
        <w:t>Condensed Consolidated Statements of Operations and Comprehensive Income (Loss).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terms of the agreements. As of June 30, 2024, the Company has capitalized $23,270 of which $2,199 of these costs is presented within Prepaid expenses and other current assets, net and $21,071 is presented within Other non-current assets, net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xml:space="preserve">. As of December 31, 2023, the Company had capitalized $25,282, of which $2,864 of these costs was presented within Prepaid expenses and other current assets, net and $22,418 was presented within Other non-current assets, net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Transaction price allocated to remaining performance obligations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the Company’s contracts are short-term in nature with a contract term of less than a year. The Company applied the optional exemption not to report any unfulfilled performance obligations related to these contracts.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multiplied by the outstanding minimum guaranteed volumes. The Company expects to recognize this revenue over the following time periods. The pattern of recognition reflects the minimum guaranteed volumes in each period:</w:t>
      </w:r>
    </w:p>
    <w:tbl>
      <w:tblPr>
        <w:tblW w:w="3125" w:type="dxa"/>
        <w:jc w:val="left"/>
        <w:tblInd w:w="0" w:type="dxa"/>
        <w:tblLayout w:type="fixed"/>
        <w:tblCellMar>
          <w:top w:w="28" w:type="dxa"/>
          <w:left w:w="28" w:type="dxa"/>
          <w:bottom w:w="28" w:type="dxa"/>
          <w:right w:w="28" w:type="dxa"/>
        </w:tblCellMar>
      </w:tblPr>
      <w:tblGrid>
        <w:gridCol w:w="606"/>
        <w:gridCol w:w="534"/>
        <w:gridCol w:w="539"/>
        <w:gridCol w:w="211"/>
        <w:gridCol w:w="1081"/>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12,274,235 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all other sales contracts that have a term exceeding one year, the Company has elected the practical expedient in ASC 606. 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Lessor arrangements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Property, plant and equipment subject to vessel charters accounted for as operating leases is included within Vessels in Note 14. Vessels included in the Energos Formation Transaction (defined below in Note 12), including those vessels chartered to third parties, continue to be recognized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The carrying amount of these vessels that are leased to third parties under operating leases is as follows:</w:t>
      </w:r>
    </w:p>
    <w:tbl>
      <w:tblPr>
        <w:tblW w:w="6295" w:type="dxa"/>
        <w:jc w:val="left"/>
        <w:tblInd w:w="0" w:type="dxa"/>
        <w:tblLayout w:type="fixed"/>
        <w:tblCellMar>
          <w:top w:w="28" w:type="dxa"/>
          <w:left w:w="28" w:type="dxa"/>
          <w:bottom w:w="28" w:type="dxa"/>
          <w:right w:w="28" w:type="dxa"/>
        </w:tblCellMar>
      </w:tblPr>
      <w:tblGrid>
        <w:gridCol w:w="1059"/>
        <w:gridCol w:w="930"/>
        <w:gridCol w:w="936"/>
        <w:gridCol w:w="234"/>
        <w:gridCol w:w="919"/>
        <w:gridCol w:w="121"/>
        <w:gridCol w:w="109"/>
        <w:gridCol w:w="109"/>
        <w:gridCol w:w="109"/>
        <w:gridCol w:w="313"/>
        <w:gridCol w:w="1228"/>
        <w:gridCol w:w="22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686,683 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616,706 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components of lease income from vessel operating leases for the three and six months ended June 30, 2024 and 2023 are shown below. As the Company has not recognized the sale of all of the vessels included in the Energos Formation Transaction (defined below), the operating lease income shown below for the three and six months ended June 30, 2024 includes revenue of $42,578 and $85,162 from third-party charters of vessels included in the Energos Formation Transaction. The operating lease income shown below for the three and six months ended June 30, 2023 includes revenue of $65,840 and $142,364, respectively, from third-party charters of vessels included in the Energos Formation Transaction. </w:t>
      </w:r>
    </w:p>
    <w:tbl>
      <w:tblPr>
        <w:tblW w:w="7981" w:type="dxa"/>
        <w:jc w:val="left"/>
        <w:tblInd w:w="0" w:type="dxa"/>
        <w:tblLayout w:type="fixed"/>
        <w:tblCellMar>
          <w:top w:w="28" w:type="dxa"/>
          <w:left w:w="28" w:type="dxa"/>
          <w:bottom w:w="28" w:type="dxa"/>
          <w:right w:w="28" w:type="dxa"/>
        </w:tblCellMar>
      </w:tblPr>
      <w:tblGrid>
        <w:gridCol w:w="896"/>
        <w:gridCol w:w="787"/>
        <w:gridCol w:w="792"/>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82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income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Subsequent to the Energos Formation Transaction, all cash receipts on long-term vessel charters will be received by Energos. As such, future cash receipts from both operating and finance leases were not significant as of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Leases, as lessee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ROU assets, current lease liabilities and non-current lease liabilities consisted of the following:</w:t>
      </w:r>
    </w:p>
    <w:tbl>
      <w:tblPr>
        <w:tblW w:w="6189" w:type="dxa"/>
        <w:jc w:val="left"/>
        <w:tblInd w:w="0" w:type="dxa"/>
        <w:tblLayout w:type="fixed"/>
        <w:tblCellMar>
          <w:top w:w="28" w:type="dxa"/>
          <w:left w:w="28" w:type="dxa"/>
          <w:bottom w:w="28" w:type="dxa"/>
          <w:right w:w="28" w:type="dxa"/>
        </w:tblCellMar>
      </w:tblPr>
      <w:tblGrid>
        <w:gridCol w:w="1021"/>
        <w:gridCol w:w="898"/>
        <w:gridCol w:w="900"/>
        <w:gridCol w:w="234"/>
        <w:gridCol w:w="919"/>
        <w:gridCol w:w="121"/>
        <w:gridCol w:w="109"/>
        <w:gridCol w:w="109"/>
        <w:gridCol w:w="109"/>
        <w:gridCol w:w="313"/>
        <w:gridCol w:w="1228"/>
        <w:gridCol w:w="228"/>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538,055 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right-of-use-assets </w:t>
            </w:r>
            <w:r>
              <w:rPr>
                <w:rFonts w:ascii="Times New Roman;sans-serif" w:hAnsi="Times New Roman;sans-serif"/>
                <w:b w:val="false"/>
                <w:color w:val="000000"/>
                <w:sz w:val="13"/>
              </w:rPr>
              <w:t>(1)</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588,385 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521,225 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406,494 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Finance lease ROU assets are recorded net of accumulated amortization of </w:t>
      </w:r>
      <w:r>
        <w:rPr>
          <w:rFonts w:ascii="Times New Roman;sans-serif" w:hAnsi="Times New Roman;sans-serif"/>
          <w:b w:val="false"/>
          <w:color w:val="000000"/>
          <w:sz w:val="20"/>
          <w:shd w:fill="FFFFFF" w:val="clear"/>
        </w:rPr>
        <w:t>$5,575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$21,470</w:t>
      </w:r>
      <w:r>
        <w:rPr>
          <w:color w:val="000000"/>
        </w:rPr>
        <w:t xml:space="preserve">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June 30, 2024 and December 31, 2023</w:t>
      </w:r>
      <w:r>
        <w:rPr>
          <w:rFonts w:ascii="Times New Roman;sans-serif" w:hAnsi="Times New Roman;sans-serif"/>
          <w:b w:val="false"/>
          <w:color w:val="000000"/>
          <w:sz w:val="20"/>
        </w:rPr>
        <w:t>, respectively.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first quarter of 2024, the Company terminated the finance lease of certain turbines and purchased the turbines from the lessor. Immediately subsequent to the purchase of the turbines, the assets were sold as part of the sale of assets to PREPA (Refer to Note 5). </w:t>
      </w:r>
      <w:r>
        <w:rPr>
          <w:rFonts w:ascii="Times New Roman;sans-serif" w:hAnsi="Times New Roman;sans-serif"/>
          <w:b w:val="false"/>
          <w:color w:val="000000"/>
          <w:sz w:val="20"/>
        </w:rPr>
        <w:t xml:space="preserve">The termination of the lease resulted in the write-off of the right-of-use asset and lease liability of </w:t>
      </w:r>
      <w:r>
        <w:rPr>
          <w:rFonts w:ascii="Times New Roman;sans-serif" w:hAnsi="Times New Roman;sans-serif"/>
          <w:b w:val="false"/>
          <w:color w:val="000000"/>
          <w:sz w:val="20"/>
          <w:shd w:fill="FFFFFF" w:val="clear"/>
        </w:rPr>
        <w:t>$24,339</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$29,443</w:t>
      </w:r>
      <w:r>
        <w:rPr>
          <w:rFonts w:ascii="Times New Roman;sans-serif" w:hAnsi="Times New Roman;sans-serif"/>
          <w:b w:val="false"/>
          <w:color w:val="000000"/>
          <w:sz w:val="20"/>
        </w:rPr>
        <w:t>, respectively, which was included in the book value of the turbines and the related loss upon sale.</w:t>
      </w:r>
    </w:p>
    <w:p>
      <w:pPr>
        <w:pStyle w:val="TextBody"/>
        <w:bidi w:val="0"/>
        <w:spacing w:lineRule="auto" w:line="288" w:before="240" w:after="283"/>
        <w:jc w:val="left"/>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 xml:space="preserve">three months ended June 30, 2024, the Company terminated the operating lease of three turbines. The termination of the lease resulted in the write-off of the right-of-use asset and lease liability of $23,018 and $25,762 respectively, and a loss on lease termination of $4,789 recognized within </w:t>
      </w:r>
      <w:r>
        <w:rPr>
          <w:rFonts w:ascii="Times New Roman;sans-serif" w:hAnsi="Times New Roman;sans-serif"/>
          <w:b w:val="false"/>
          <w:color w:val="000000"/>
          <w:sz w:val="20"/>
        </w:rPr>
        <w:t>Other expense (income), net in the Condensed Consolidated Statements of Operations and Comprehensive Income (Loss)</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For the three and six months ended June 30, 2024 and 2023, the Company’s operating lease cost recorded within the </w:t>
      </w:r>
      <w:r>
        <w:rPr>
          <w:rFonts w:ascii="Times New Roman;sans-serif" w:hAnsi="Times New Roman;sans-serif"/>
          <w:b w:val="false"/>
          <w:color w:val="000000"/>
          <w:sz w:val="20"/>
        </w:rPr>
        <w:t>Condensed Consolidated Statements of Operations and Comprehensive Income (Loss)</w:t>
      </w:r>
      <w:r>
        <w:rPr>
          <w:color w:val="000000"/>
          <w:shd w:fill="FFFFFF" w:val="clear"/>
        </w:rPr>
        <w:t xml:space="preserve"> </w:t>
      </w:r>
      <w:r>
        <w:rPr>
          <w:rFonts w:ascii="Times New Roman;sans-serif" w:hAnsi="Times New Roman;sans-serif"/>
          <w:b w:val="false"/>
          <w:color w:val="000000"/>
          <w:sz w:val="20"/>
          <w:shd w:fill="FFFFFF" w:val="clear"/>
        </w:rPr>
        <w:t>was as follows:</w:t>
      </w:r>
    </w:p>
    <w:tbl>
      <w:tblPr>
        <w:tblW w:w="9345" w:type="dxa"/>
        <w:jc w:val="left"/>
        <w:tblInd w:w="0" w:type="dxa"/>
        <w:tblLayout w:type="fixed"/>
        <w:tblCellMar>
          <w:top w:w="28" w:type="dxa"/>
          <w:left w:w="28" w:type="dxa"/>
          <w:bottom w:w="28" w:type="dxa"/>
          <w:right w:w="28" w:type="dxa"/>
        </w:tblCellMar>
      </w:tblPr>
      <w:tblGrid>
        <w:gridCol w:w="1428"/>
        <w:gridCol w:w="1252"/>
        <w:gridCol w:w="126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Cost of sales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Operations and maintenance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Selling, general and administrative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three months ended June 30, 2024 and 2023, the Company has capitalized $22,208 and $14,449 of lease costs, respectively. For the six months ended June 30, 2024 and 2023, the Company has capitalized $37,137 and $18,705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leases of ISO tanks and a parcel of land that are recognized as finance leases. For the three and six months ended June 30, 2024 and 2023, the Company’s finance interest expense and amortization recorded in Interest expense and Depreciation and amortization, respectively, within the </w:t>
      </w:r>
      <w:r>
        <w:rPr>
          <w:rFonts w:ascii="Times New Roman;sans-serif" w:hAnsi="Times New Roman;sans-serif"/>
          <w:b w:val="false"/>
          <w:color w:val="000000"/>
          <w:sz w:val="20"/>
        </w:rPr>
        <w:t>Condensed Consolidated Statements of Operations and Comprehensive Income (Loss)</w:t>
      </w:r>
      <w:r>
        <w:rPr>
          <w:color w:val="000000"/>
          <w:shd w:fill="FFFFFF" w:val="clear"/>
        </w:rPr>
        <w:t xml:space="preserve"> </w:t>
      </w:r>
      <w:r>
        <w:rPr>
          <w:rFonts w:ascii="Times New Roman;sans-serif" w:hAnsi="Times New Roman;sans-serif"/>
          <w:b w:val="false"/>
          <w:color w:val="000000"/>
          <w:sz w:val="20"/>
          <w:shd w:fill="FFFFFF" w:val="clear"/>
        </w:rPr>
        <w:t>were as follows:</w:t>
      </w:r>
    </w:p>
    <w:tbl>
      <w:tblPr>
        <w:tblW w:w="10187" w:type="dxa"/>
        <w:jc w:val="left"/>
        <w:tblInd w:w="0" w:type="dxa"/>
        <w:tblLayout w:type="fixed"/>
        <w:tblCellMar>
          <w:top w:w="28" w:type="dxa"/>
          <w:left w:w="28" w:type="dxa"/>
          <w:bottom w:w="28" w:type="dxa"/>
          <w:right w:w="28" w:type="dxa"/>
        </w:tblCellMar>
      </w:tblPr>
      <w:tblGrid>
        <w:gridCol w:w="1745"/>
        <w:gridCol w:w="1528"/>
        <w:gridCol w:w="1541"/>
        <w:gridCol w:w="270"/>
        <w:gridCol w:w="597"/>
        <w:gridCol w:w="139"/>
        <w:gridCol w:w="139"/>
        <w:gridCol w:w="139"/>
        <w:gridCol w:w="139"/>
        <w:gridCol w:w="270"/>
        <w:gridCol w:w="789"/>
        <w:gridCol w:w="139"/>
        <w:gridCol w:w="109"/>
        <w:gridCol w:w="109"/>
        <w:gridCol w:w="109"/>
        <w:gridCol w:w="244"/>
        <w:gridCol w:w="540"/>
        <w:gridCol w:w="126"/>
        <w:gridCol w:w="126"/>
        <w:gridCol w:w="126"/>
        <w:gridCol w:w="126"/>
        <w:gridCol w:w="244"/>
        <w:gridCol w:w="715"/>
        <w:gridCol w:w="178"/>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finance leases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 related to finance leases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Cash paid for operating leases is reported in operating activities in the Condensed Consolidated Statements of Cash Flows. Supplemental cash flow information related to leases was as follows for the six months ended June 30, 2024 and 2023:</w:t>
      </w:r>
    </w:p>
    <w:tbl>
      <w:tblPr>
        <w:tblW w:w="8753" w:type="dxa"/>
        <w:jc w:val="left"/>
        <w:tblInd w:w="0" w:type="dxa"/>
        <w:tblLayout w:type="fixed"/>
        <w:tblCellMar>
          <w:top w:w="28" w:type="dxa"/>
          <w:left w:w="28" w:type="dxa"/>
          <w:bottom w:w="28" w:type="dxa"/>
          <w:right w:w="28" w:type="dxa"/>
        </w:tblCellMar>
      </w:tblPr>
      <w:tblGrid>
        <w:gridCol w:w="2242"/>
        <w:gridCol w:w="1969"/>
        <w:gridCol w:w="1983"/>
        <w:gridCol w:w="211"/>
        <w:gridCol w:w="826"/>
        <w:gridCol w:w="109"/>
        <w:gridCol w:w="109"/>
        <w:gridCol w:w="109"/>
        <w:gridCol w:w="109"/>
        <w:gridCol w:w="211"/>
        <w:gridCol w:w="721"/>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for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for finance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future payments due under operating and finance leases as of June 30, 2024 are as follows:</w:t>
      </w:r>
    </w:p>
    <w:tbl>
      <w:tblPr>
        <w:tblW w:w="6220" w:type="dxa"/>
        <w:jc w:val="left"/>
        <w:tblInd w:w="0" w:type="dxa"/>
        <w:tblLayout w:type="fixed"/>
        <w:tblCellMar>
          <w:top w:w="28" w:type="dxa"/>
          <w:left w:w="28" w:type="dxa"/>
          <w:bottom w:w="28" w:type="dxa"/>
          <w:right w:w="28" w:type="dxa"/>
        </w:tblCellMar>
      </w:tblPr>
      <w:tblGrid>
        <w:gridCol w:w="972"/>
        <w:gridCol w:w="853"/>
        <w:gridCol w:w="860"/>
        <w:gridCol w:w="292"/>
        <w:gridCol w:w="1146"/>
        <w:gridCol w:w="151"/>
        <w:gridCol w:w="109"/>
        <w:gridCol w:w="109"/>
        <w:gridCol w:w="109"/>
        <w:gridCol w:w="314"/>
        <w:gridCol w:w="1076"/>
        <w:gridCol w:w="229"/>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remainder of 2024</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901,752 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discounting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632,973 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liability</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liability</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the weighted average remaining lease term for operating leases was 7.1 years and finance leases was 3.1 years. Because the Company generally does not have access to the rate implicit in the lease, the incremental borrowing rate is utilized as the discount rate. The weighted average discount rate associated with operating leases as of June 30, 2024 was 10.3% and as of December 31, 2023 was 10.1%. The weighted average discount rate associated with finance leases as of June 30, 2024 was 5.2% and as of December 31, 2023 was 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Financial instruments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During the first and second quarters of 2024</w:t>
      </w:r>
      <w:r>
        <w:rPr>
          <w:rFonts w:ascii="Times New Roman;sans-serif" w:hAnsi="Times New Roman;sans-serif"/>
          <w:b w:val="false"/>
          <w:color w:val="000000"/>
          <w:sz w:val="20"/>
        </w:rPr>
        <w:t xml:space="preserve">, the Company entered into a series of foreign exchange forward contracts and zero-cost collar options to reduce exchange rate risk associated with U.S. dollar borrowings and expected capital expenditures. As of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xml:space="preserve">, the notional amount of outstanding foreign exchange contracts was approximately $359,135. The Company recognized unrealized losses on a portion of these instruments of $6,205 and $7,027 for the three and six months ended </w:t>
      </w:r>
      <w:r>
        <w:rPr>
          <w:rFonts w:ascii="Times New Roman;sans-serif" w:hAnsi="Times New Roman;sans-serif"/>
          <w:b w:val="false"/>
          <w:color w:val="000000"/>
          <w:sz w:val="20"/>
          <w:shd w:fill="FFFFFF" w:val="clear"/>
        </w:rPr>
        <w:t>June 30, 2024 respectively</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For certain instruments, the Company recognized an unrealized gain of </w:t>
      </w:r>
      <w:r>
        <w:rPr>
          <w:rFonts w:ascii="Times New Roman;sans-serif" w:hAnsi="Times New Roman;sans-serif"/>
          <w:b w:val="false"/>
          <w:color w:val="000000"/>
          <w:sz w:val="20"/>
        </w:rPr>
        <w:t xml:space="preserve">$17,121 for both the three and six months ended </w:t>
      </w:r>
      <w:r>
        <w:rPr>
          <w:rFonts w:ascii="Times New Roman;sans-serif" w:hAnsi="Times New Roman;sans-serif"/>
          <w:b w:val="false"/>
          <w:color w:val="000000"/>
          <w:sz w:val="20"/>
          <w:shd w:fill="FFFFFF" w:val="clear"/>
        </w:rPr>
        <w:t xml:space="preserve">June 30, 2024. </w:t>
      </w:r>
      <w:r>
        <w:rPr>
          <w:rFonts w:ascii="Times New Roman;sans-serif" w:hAnsi="Times New Roman;sans-serif"/>
          <w:b w:val="false"/>
          <w:color w:val="000000"/>
          <w:sz w:val="20"/>
        </w:rPr>
        <w:t>These instruments are expected to settle starting in 2024 through the third quarter of 2026.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mark-to-market gain or loss on the foreign exchange contracts and other derivative instruments that are not intended to mitigate commodity risk are reported in Other expense (income), net in the Condensed Consolidated Statements of Operations and Comprehensive Income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hold or issue instruments for speculative purposes, and the counterparties to such contracts are major banking and financial institutions. Credit risk exists to the extent that the counterparties may not meet their contractual responsibilities; however, the Company does not anticipate any inability to perform by any counterparties.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Fair value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measurements and disclosures require the use of valuation techniques to measure fair value that maximize the use of observable inputs and minimize use of unobservable inputs. These inputs are prioritized as follows: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Level 1 – observable inputs such as quoted prices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2 – inputs other than quoted prices included within Level 1 that are observable, either directly or indirectly, such as quoted prices for similar assets or liabilities or market corroborated inputs.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Level 3 – unobservable inputs for which there is little or no market data and for which the Company needs to develop its own assumptions about how market participants price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valuation techniques that may be used to measure fair value are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Market approach – uses prices and other relevant information generated by market transactions involving identical or comparable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Income approach – uses valuation techniques, such as the discounted cash flow technique, to convert future amounts to a single present amount based on current market expectations about those future amounts.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Cost approach – based on the amount that currently would be necessary to replace the service capacity of an asset (replacement cost).</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uses the market approach when valuing </w:t>
      </w:r>
      <w:r>
        <w:rPr>
          <w:rFonts w:ascii="Times New Roman;sans-serif" w:hAnsi="Times New Roman;sans-serif"/>
          <w:b w:val="false"/>
          <w:color w:val="000000"/>
          <w:sz w:val="20"/>
          <w:shd w:fill="FFFFFF" w:val="clear"/>
        </w:rPr>
        <w:t xml:space="preserve">investment in equity securities and foreign exchange forward contracts which are recorded in Other non-current assets and Other current liabilities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xml:space="preserve">, respectively. </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uses the income approach for valuing the </w:t>
      </w:r>
      <w:r>
        <w:rPr>
          <w:rFonts w:ascii="Times New Roman;sans-serif" w:hAnsi="Times New Roman;sans-serif"/>
          <w:b w:val="false"/>
          <w:color w:val="000000"/>
          <w:sz w:val="20"/>
          <w:shd w:fill="FFFFFF" w:val="clear"/>
        </w:rPr>
        <w:t xml:space="preserve">contingent consideration derivative liabilities. The liabilities represent consideration due to the sellers in asset acquisitions when certain contingent events occur and are recorded within Other current liabilities and Other long-term liabilities based on the timing of expected settlement.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financial assets and financial liabilities, including those that are measured at fair value, as of June 30, 2024 and December 31, 2023:</w:t>
      </w:r>
    </w:p>
    <w:tbl>
      <w:tblPr>
        <w:tblW w:w="9004" w:type="dxa"/>
        <w:jc w:val="left"/>
        <w:tblInd w:w="0" w:type="dxa"/>
        <w:tblLayout w:type="fixed"/>
        <w:tblCellMar>
          <w:top w:w="28" w:type="dxa"/>
          <w:left w:w="28" w:type="dxa"/>
          <w:bottom w:w="28" w:type="dxa"/>
          <w:right w:w="28" w:type="dxa"/>
        </w:tblCellMar>
      </w:tblPr>
      <w:tblGrid>
        <w:gridCol w:w="1409"/>
        <w:gridCol w:w="1238"/>
        <w:gridCol w:w="1252"/>
        <w:gridCol w:w="109"/>
        <w:gridCol w:w="109"/>
        <w:gridCol w:w="109"/>
        <w:gridCol w:w="213"/>
        <w:gridCol w:w="411"/>
        <w:gridCol w:w="110"/>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the carrying amounts of cash and cash equivalents, accounts receivable and accounts payable approximated their fair value as of June 30, 2024 and December 31, 2023 and are classified as Level 1 within the fair value hierarchy.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table below summarizes the fair value adjustment to instruments measured at Level 3 in the fair value hierarchy. These adjustments have been recorded within </w:t>
      </w:r>
      <w:r>
        <w:rPr>
          <w:rFonts w:ascii="Times New Roman;sans-serif" w:hAnsi="Times New Roman;sans-serif"/>
          <w:b w:val="false"/>
          <w:color w:val="000000"/>
          <w:sz w:val="20"/>
        </w:rPr>
        <w:t>Other expense (income), net</w:t>
      </w:r>
      <w:r>
        <w:rPr>
          <w:color w:val="000000"/>
          <w:shd w:fill="FFFFFF" w:val="clear"/>
        </w:rPr>
        <w:t xml:space="preserve"> </w:t>
      </w:r>
      <w:r>
        <w:rPr>
          <w:rFonts w:ascii="Times New Roman;sans-serif" w:hAnsi="Times New Roman;sans-serif"/>
          <w:b w:val="false"/>
          <w:color w:val="000000"/>
          <w:sz w:val="20"/>
          <w:shd w:fill="FFFFFF" w:val="clear"/>
        </w:rPr>
        <w:t xml:space="preserve">in the </w:t>
      </w:r>
      <w:r>
        <w:rPr>
          <w:rFonts w:ascii="Times New Roman;sans-serif" w:hAnsi="Times New Roman;sans-serif"/>
          <w:b w:val="false"/>
          <w:color w:val="000000"/>
          <w:sz w:val="20"/>
        </w:rPr>
        <w:t>Condensed Consolidated Statements of Operations and Comprehensive Income (Loss)</w:t>
      </w:r>
      <w:r>
        <w:rPr>
          <w:color w:val="000000"/>
          <w:shd w:fill="FFFFFF" w:val="clear"/>
        </w:rPr>
        <w:t xml:space="preserve"> </w:t>
      </w:r>
      <w:r>
        <w:rPr>
          <w:rFonts w:ascii="Times New Roman;sans-serif" w:hAnsi="Times New Roman;sans-serif"/>
          <w:b w:val="false"/>
          <w:color w:val="000000"/>
          <w:sz w:val="20"/>
          <w:shd w:fill="FFFFFF" w:val="clear"/>
        </w:rPr>
        <w:t>for the three and six months ended June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1827"/>
        <w:gridCol w:w="1606"/>
        <w:gridCol w:w="1610"/>
        <w:gridCol w:w="249"/>
        <w:gridCol w:w="803"/>
        <w:gridCol w:w="128"/>
        <w:gridCol w:w="128"/>
        <w:gridCol w:w="128"/>
        <w:gridCol w:w="128"/>
        <w:gridCol w:w="249"/>
        <w:gridCol w:w="500"/>
        <w:gridCol w:w="128"/>
        <w:gridCol w:w="109"/>
        <w:gridCol w:w="109"/>
        <w:gridCol w:w="109"/>
        <w:gridCol w:w="213"/>
        <w:gridCol w:w="682"/>
        <w:gridCol w:w="109"/>
        <w:gridCol w:w="109"/>
        <w:gridCol w:w="109"/>
        <w:gridCol w:w="109"/>
        <w:gridCol w:w="213"/>
        <w:gridCol w:w="682"/>
        <w:gridCol w:w="168"/>
      </w:tblGrid>
      <w:tr>
        <w:trPr/>
        <w:tc>
          <w:tcPr>
            <w:tcW w:w="182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 - Fair value adjustment - (gain)</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504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During the three and </w:t>
      </w:r>
      <w:r>
        <w:rPr>
          <w:rFonts w:ascii="Times New Roman;sans-serif" w:hAnsi="Times New Roman;sans-serif"/>
          <w:b w:val="false"/>
          <w:color w:val="000000"/>
          <w:sz w:val="20"/>
          <w:shd w:fill="FFFFFF" w:val="clear"/>
        </w:rPr>
        <w:t>six months ended June 30, 2024 and 2023,</w:t>
      </w:r>
      <w:r>
        <w:rPr>
          <w:color w:val="000000"/>
        </w:rPr>
        <w:t xml:space="preserve"> </w:t>
      </w:r>
      <w:r>
        <w:rPr>
          <w:rFonts w:ascii="Times New Roman;sans-serif" w:hAnsi="Times New Roman;sans-serif"/>
          <w:b w:val="false"/>
          <w:color w:val="000000"/>
          <w:sz w:val="20"/>
        </w:rPr>
        <w:t xml:space="preserve">the Company had no </w:t>
      </w:r>
      <w:r>
        <w:rPr>
          <w:rFonts w:ascii="Times New Roman;sans-serif" w:hAnsi="Times New Roman;sans-serif"/>
          <w:b w:val="false"/>
          <w:color w:val="000000"/>
          <w:sz w:val="20"/>
          <w:shd w:fill="FFFFFF" w:val="clear"/>
        </w:rPr>
        <w:t xml:space="preserve">transfers in or out of Level 3 in the fair value hierarchy. During the first quarter of 2024, the Company sold substantially all of its investment in Energos; this investment had been accounted for as an equity method investment </w:t>
      </w:r>
      <w:r>
        <w:rPr>
          <w:rFonts w:ascii="Times New Roman;sans-serif" w:hAnsi="Times New Roman;sans-serif"/>
          <w:b w:val="false"/>
          <w:color w:val="000000"/>
          <w:sz w:val="20"/>
        </w:rPr>
        <w:t xml:space="preserve">(refer to </w:t>
      </w:r>
      <w:r>
        <w:rPr>
          <w:rFonts w:ascii="Times New Roman;sans-serif" w:hAnsi="Times New Roman;sans-serif"/>
          <w:b w:val="false"/>
          <w:color w:val="000000"/>
          <w:sz w:val="20"/>
          <w:shd w:fill="FFFFFF" w:val="clear"/>
        </w:rPr>
        <w:t>Note 12</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retained an investment in Energos valued at $1,000, which is shown as a Level 3 investment in equity securities in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Restricted cash</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restricted cash consisted of the following:</w:t>
      </w:r>
    </w:p>
    <w:tbl>
      <w:tblPr>
        <w:tblW w:w="7765" w:type="dxa"/>
        <w:jc w:val="left"/>
        <w:tblInd w:w="0" w:type="dxa"/>
        <w:tblLayout w:type="fixed"/>
        <w:tblCellMar>
          <w:top w:w="28" w:type="dxa"/>
          <w:left w:w="28" w:type="dxa"/>
          <w:bottom w:w="28" w:type="dxa"/>
          <w:right w:w="28" w:type="dxa"/>
        </w:tblCellMar>
      </w:tblPr>
      <w:tblGrid>
        <w:gridCol w:w="1591"/>
        <w:gridCol w:w="1400"/>
        <w:gridCol w:w="1404"/>
        <w:gridCol w:w="234"/>
        <w:gridCol w:w="919"/>
        <w:gridCol w:w="121"/>
        <w:gridCol w:w="109"/>
        <w:gridCol w:w="109"/>
        <w:gridCol w:w="109"/>
        <w:gridCol w:w="313"/>
        <w:gridCol w:w="1228"/>
        <w:gridCol w:w="228"/>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under the terms of loan agreements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letters of credit and performance bonds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restricted cash</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Uses of cash proceeds under the BNDES Term Loan, Barcarena Debentures and PortoCem Bridge Loan (see Note 19) are restricted to certain payments to construct the Barcarena Power Plant.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Inventory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inventory consisted of the following:</w:t>
      </w:r>
    </w:p>
    <w:tbl>
      <w:tblPr>
        <w:tblW w:w="6850" w:type="dxa"/>
        <w:jc w:val="left"/>
        <w:tblInd w:w="0" w:type="dxa"/>
        <w:tblLayout w:type="fixed"/>
        <w:tblCellMar>
          <w:top w:w="28" w:type="dxa"/>
          <w:left w:w="28" w:type="dxa"/>
          <w:bottom w:w="28" w:type="dxa"/>
          <w:right w:w="28" w:type="dxa"/>
        </w:tblCellMar>
      </w:tblPr>
      <w:tblGrid>
        <w:gridCol w:w="1261"/>
        <w:gridCol w:w="1106"/>
        <w:gridCol w:w="1113"/>
        <w:gridCol w:w="234"/>
        <w:gridCol w:w="919"/>
        <w:gridCol w:w="121"/>
        <w:gridCol w:w="109"/>
        <w:gridCol w:w="109"/>
        <w:gridCol w:w="109"/>
        <w:gridCol w:w="313"/>
        <w:gridCol w:w="1228"/>
        <w:gridCol w:w="228"/>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and natural gas inventory</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diesel oil inventory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Bunker fuel, materials, supplies and other</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Inventory is adjusted to the lower of cost or net realizable value each quarter. Changes in the value of inventory are recorded within Cost of sales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 xml:space="preserve">. No adjustments were recorded during the six months ended June 30, 2024. The Company recognized an adjustment to inventory of $6,232 during the six months ended June 20, 2023. In the second quarter of 2023, the Company acquired a spot cargo at a higher cost to obtain a new customer contract, and the net realizable value of this cargo was below the cost.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Prepaid expenses and other current assets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prepaid expenses and other current assets consisted of the following:</w:t>
      </w:r>
    </w:p>
    <w:tbl>
      <w:tblPr>
        <w:tblW w:w="7644" w:type="dxa"/>
        <w:jc w:val="left"/>
        <w:tblInd w:w="0" w:type="dxa"/>
        <w:tblLayout w:type="fixed"/>
        <w:tblCellMar>
          <w:top w:w="28" w:type="dxa"/>
          <w:left w:w="28" w:type="dxa"/>
          <w:bottom w:w="28" w:type="dxa"/>
          <w:right w:w="28" w:type="dxa"/>
        </w:tblCellMar>
      </w:tblPr>
      <w:tblGrid>
        <w:gridCol w:w="1548"/>
        <w:gridCol w:w="1357"/>
        <w:gridCol w:w="1369"/>
        <w:gridCol w:w="234"/>
        <w:gridCol w:w="919"/>
        <w:gridCol w:w="121"/>
        <w:gridCol w:w="109"/>
        <w:gridCol w:w="109"/>
        <w:gridCol w:w="109"/>
        <w:gridCol w:w="313"/>
        <w:gridCol w:w="1228"/>
        <w:gridCol w:w="228"/>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taxes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277,983 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fourth quarter of 2023, the Company began to sub-charter the </w:t>
      </w:r>
      <w:r>
        <w:rPr>
          <w:rFonts w:ascii="Times New Roman;sans-serif" w:hAnsi="Times New Roman;sans-serif"/>
          <w:b w:val="false"/>
          <w:i/>
          <w:color w:val="000000"/>
          <w:sz w:val="20"/>
          <w:shd w:fill="FFFFFF" w:val="clear"/>
        </w:rPr>
        <w:t>Winter</w:t>
      </w:r>
      <w:r>
        <w:rPr>
          <w:rFonts w:ascii="Times New Roman;sans-serif" w:hAnsi="Times New Roman;sans-serif"/>
          <w:b w:val="false"/>
          <w:color w:val="000000"/>
          <w:sz w:val="20"/>
          <w:shd w:fill="FFFFFF" w:val="clear"/>
        </w:rPr>
        <w:t xml:space="preserve">, a vessel included in the Energos Formation Transaction, and an asset was recorded representing the existing charterer's remaining payments to Energos,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which was $59,074 as of December 31, 2023. The Company also recognized a liability of $49,400 (see Note 18) as of December 31, 2023 representing the Company's obligation to pay sub-charter payments until the vessel is chartered directly from Energos. The balance of the asset and liability as of June 30, 2024 was $29,537 and $20,319,</w:t>
      </w:r>
      <w:r>
        <w:rPr>
          <w:color w:val="000000"/>
        </w:rPr>
        <w:t xml:space="preserve"> </w:t>
      </w:r>
      <w:r>
        <w:rPr>
          <w:rFonts w:ascii="Times New Roman;sans-serif" w:hAnsi="Times New Roman;sans-serif"/>
          <w:b w:val="false"/>
          <w:color w:val="000000"/>
          <w:sz w:val="20"/>
          <w:shd w:fill="FFFFFF" w:val="clear"/>
        </w:rPr>
        <w:t xml:space="preserve">respectively.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remaining balance of other current assets as of June 30, 2024 and December 31, 2023 primarily consists of deposits and the current portion of contract assets (Note 6).</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Assets held for sale</w:t>
      </w:r>
    </w:p>
    <w:p>
      <w:pPr>
        <w:pStyle w:val="TextBody"/>
        <w:bidi w:val="0"/>
        <w:spacing w:lineRule="auto" w:line="288" w:before="240" w:after="283"/>
        <w:jc w:val="left"/>
        <w:rPr/>
      </w:pPr>
      <w:r>
        <w:rPr>
          <w:rFonts w:ascii="Times New Roman;sans-serif" w:hAnsi="Times New Roman;sans-serif"/>
          <w:b w:val="false"/>
          <w:color w:val="000000"/>
          <w:sz w:val="20"/>
        </w:rPr>
        <w:t xml:space="preserve">On June 30, 2024, the Company entered into a definitive agreement to sell its Miami Facility for </w:t>
      </w:r>
      <w:r>
        <w:rPr>
          <w:rFonts w:ascii="Times New Roman;sans-serif" w:hAnsi="Times New Roman;sans-serif"/>
          <w:b w:val="false"/>
          <w:color w:val="000000"/>
          <w:sz w:val="20"/>
          <w:shd w:fill="FFFFFF" w:val="clear"/>
        </w:rPr>
        <w:t>$62,000, subject to certain purchase price adjustments at close</w:t>
      </w:r>
      <w:r>
        <w:rPr>
          <w:rFonts w:ascii="Times New Roman;sans-serif" w:hAnsi="Times New Roman;sans-serif"/>
          <w:b w:val="false"/>
          <w:color w:val="000000"/>
          <w:sz w:val="20"/>
        </w:rPr>
        <w:t xml:space="preserve">. The transaction is expected to close in the third quarter of 2024 subject to customary terms and conditions. The assets related to the Miami Facility have been classified as held for sale </w:t>
      </w:r>
      <w:r>
        <w:rPr>
          <w:rFonts w:ascii="Times New Roman;sans-serif" w:hAnsi="Times New Roman;sans-serif"/>
          <w:b w:val="false"/>
          <w:color w:val="000000"/>
          <w:sz w:val="20"/>
          <w:shd w:fill="FFFFFF" w:val="clear"/>
        </w:rPr>
        <w:t xml:space="preserve">as of June 30, 2024. In conjunction with the classification to held for sale, the Company recognized an impairment of $4,272 within Asset impairment expense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 xml:space="preserve">. Nonrecurring, Level 2 inputs using a market approach were used to estimate the fair value of the investment for the purpose of recognizing the impairment.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December 2023, the Company entered into an agreement to sell the vessel,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for $22,400; the sale closed in the first quarter of 2024, and the vessel was classified as held for sale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Equity method investments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August 2022, the Company completed a transaction with an affiliate of Apollo Global Management, Inc., pursuant to which the Company transferred ownership of 11 vessels to Energos Infrastructure ("Energos") in exchange for approximately $1.85 billion in cash and a 20% equity interest in Energos (the “Energos Formation Transaction”). </w:t>
      </w:r>
      <w:r>
        <w:rPr>
          <w:rFonts w:ascii="Times New Roman;sans-serif" w:hAnsi="Times New Roman;sans-serif"/>
          <w:b w:val="false"/>
          <w:color w:val="000000"/>
          <w:sz w:val="20"/>
        </w:rPr>
        <w:t>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balance of the Company’s equity method investment in Energos is as follows:</w:t>
      </w:r>
    </w:p>
    <w:tbl>
      <w:tblPr>
        <w:tblW w:w="5931" w:type="dxa"/>
        <w:jc w:val="left"/>
        <w:tblInd w:w="0" w:type="dxa"/>
        <w:tblLayout w:type="fixed"/>
        <w:tblCellMar>
          <w:top w:w="28" w:type="dxa"/>
          <w:left w:w="28" w:type="dxa"/>
          <w:bottom w:w="28" w:type="dxa"/>
          <w:right w:w="28" w:type="dxa"/>
        </w:tblCellMar>
      </w:tblPr>
      <w:tblGrid>
        <w:gridCol w:w="1592"/>
        <w:gridCol w:w="1399"/>
        <w:gridCol w:w="1403"/>
        <w:gridCol w:w="234"/>
        <w:gridCol w:w="919"/>
        <w:gridCol w:w="121"/>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December 31, 2023</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equity method investment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(144,587)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June 30, 2024</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In February 2024, the Company sold substantially all of its stake in Energos. As a result of the transaction, the Company recognized an </w:t>
      </w:r>
      <w:r>
        <w:rPr>
          <w:rFonts w:ascii="Times New Roman;sans-serif" w:hAnsi="Times New Roman;sans-serif"/>
          <w:b w:val="false"/>
          <w:color w:val="000000"/>
          <w:sz w:val="20"/>
          <w:shd w:fill="FFFFFF" w:val="clear"/>
        </w:rPr>
        <w:t>other than temporary impairment ("OTTI")</w:t>
      </w:r>
      <w:r>
        <w:rPr>
          <w:color w:val="000000"/>
        </w:rPr>
        <w:t xml:space="preserve"> </w:t>
      </w:r>
      <w:r>
        <w:rPr>
          <w:rFonts w:ascii="Times New Roman;sans-serif" w:hAnsi="Times New Roman;sans-serif"/>
          <w:b w:val="false"/>
          <w:color w:val="000000"/>
          <w:sz w:val="20"/>
        </w:rPr>
        <w:t xml:space="preserve">of the investment in Energos totaling $5,277. This loss was recognized in </w:t>
      </w:r>
      <w:r>
        <w:rPr>
          <w:rFonts w:ascii="Times New Roman;sans-serif" w:hAnsi="Times New Roman;sans-serif"/>
          <w:b w:val="false"/>
          <w:color w:val="000000"/>
          <w:sz w:val="20"/>
          <w:shd w:fill="FFFFFF" w:val="clear"/>
        </w:rPr>
        <w:t xml:space="preserve">Income (loss) from equity method investments </w:t>
      </w:r>
      <w:r>
        <w:rPr>
          <w:rFonts w:ascii="Times New Roman;sans-serif" w:hAnsi="Times New Roman;sans-serif"/>
          <w:b w:val="false"/>
          <w:color w:val="000000"/>
          <w:sz w:val="20"/>
        </w:rPr>
        <w:t xml:space="preserve">in the </w:t>
      </w:r>
      <w:r>
        <w:rPr>
          <w:rFonts w:ascii="Times New Roman;sans-serif" w:hAnsi="Times New Roman;sans-serif"/>
          <w:b w:val="false"/>
          <w:color w:val="000000"/>
          <w:sz w:val="20"/>
          <w:shd w:fill="FFFFFF" w:val="clear"/>
        </w:rPr>
        <w:t xml:space="preserve">Consolidated Statement of </w:t>
      </w:r>
      <w:r>
        <w:rPr>
          <w:rFonts w:ascii="Times New Roman;sans-serif" w:hAnsi="Times New Roman;sans-serif"/>
          <w:b w:val="false"/>
          <w:color w:val="000000"/>
          <w:sz w:val="20"/>
        </w:rPr>
        <w:t>Operations</w:t>
      </w:r>
      <w:r>
        <w:rPr>
          <w:color w:val="000000"/>
          <w:shd w:fill="FFFFFF" w:val="clear"/>
        </w:rPr>
        <w:t xml:space="preserve"> </w:t>
      </w:r>
      <w:r>
        <w:rPr>
          <w:rFonts w:ascii="Times New Roman;sans-serif" w:hAnsi="Times New Roman;sans-serif"/>
          <w:b w:val="false"/>
          <w:color w:val="000000"/>
          <w:sz w:val="20"/>
          <w:shd w:fill="FFFFFF" w:val="clear"/>
        </w:rPr>
        <w:t>and Comprehensive Income (Loss) for the year-ended December 31, 2023</w:t>
      </w:r>
      <w:r>
        <w:rPr>
          <w:rFonts w:ascii="Times New Roman;sans-serif" w:hAnsi="Times New Roman;sans-serif"/>
          <w:b w:val="false"/>
          <w:color w:val="000000"/>
          <w:sz w:val="20"/>
        </w:rPr>
        <w:t xml:space="preserve">. The sale was completed on February 14, 2024 and the Company received proceeds of </w:t>
      </w:r>
      <w:r>
        <w:rPr>
          <w:rFonts w:ascii="Times New Roman;sans-serif" w:hAnsi="Times New Roman;sans-serif"/>
          <w:b w:val="false"/>
          <w:color w:val="000000"/>
          <w:sz w:val="20"/>
          <w:shd w:fill="FFFFFF" w:val="clear"/>
        </w:rPr>
        <w:t>$136,365</w:t>
      </w:r>
      <w:r>
        <w:rPr>
          <w:rFonts w:ascii="Times New Roman;sans-serif" w:hAnsi="Times New Roman;sans-serif"/>
          <w:b w:val="false"/>
          <w:color w:val="000000"/>
          <w:sz w:val="20"/>
        </w:rPr>
        <w:t xml:space="preserve">, resulting in a loss of $7,222 presented within Other expense (income), net in the Condensed Consolidated Statements of Operations and Comprehensive Income (Loss). The Company retained an investment in Energos valued at $1,000, which has been recognized within Other non-current assets. Following the disposition of substantially all of the stake in Energos, the Company no longer has significant influence over Energos.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Construction in progress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construction in progress activity during the six months ended June 30, 2024 is detailed below:</w:t>
      </w:r>
    </w:p>
    <w:tbl>
      <w:tblPr>
        <w:tblW w:w="5713" w:type="dxa"/>
        <w:jc w:val="left"/>
        <w:tblInd w:w="0" w:type="dxa"/>
        <w:tblLayout w:type="fixed"/>
        <w:tblCellMar>
          <w:top w:w="28" w:type="dxa"/>
          <w:left w:w="28" w:type="dxa"/>
          <w:bottom w:w="28" w:type="dxa"/>
          <w:right w:w="28" w:type="dxa"/>
        </w:tblCellMar>
      </w:tblPr>
      <w:tblGrid>
        <w:gridCol w:w="1505"/>
        <w:gridCol w:w="1323"/>
        <w:gridCol w:w="1326"/>
        <w:gridCol w:w="211"/>
        <w:gridCol w:w="976"/>
        <w:gridCol w:w="109"/>
        <w:gridCol w:w="109"/>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currency translation adjustment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placed in service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of $215,039 and $118,573, inclusive of amortized debt issuance costs, was capitalized for the six months ended June 30, 2024 and 2023, respectively.</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has significant development activities in Latin America as well as the development of the Company's Fast LNG liquefaction solution. The successful completion of these development projects is subject to various risks, such as obtaining government approvals, identifying suitable sites, securing financing and permitting, and ensuring contract compliance. The Company's development activities for the </w:t>
      </w:r>
      <w:r>
        <w:rPr>
          <w:rFonts w:ascii="Times New Roman;sans-serif" w:hAnsi="Times New Roman;sans-serif"/>
          <w:b w:val="false"/>
          <w:color w:val="000000"/>
          <w:sz w:val="20"/>
          <w:shd w:fill="FFFFFF" w:val="clear"/>
        </w:rPr>
        <w:t xml:space="preserve">six months ended June 30, 2024 </w:t>
      </w:r>
      <w:r>
        <w:rPr>
          <w:rFonts w:ascii="Times New Roman;sans-serif" w:hAnsi="Times New Roman;sans-serif"/>
          <w:b w:val="false"/>
          <w:color w:val="000000"/>
          <w:sz w:val="20"/>
        </w:rPr>
        <w:t>were primarily focused on Fast LNG and development of power projects in Brazil; additions to construction in progress in the first six months of 2024 of $938,448 were to develop Fast LNG and for our developments in Brazil including the Barcarena Power Plant and PortoCem Power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Property, plant and equipment, net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the Company’s property, plant and equipment, net consisted of the following:</w:t>
      </w:r>
    </w:p>
    <w:tbl>
      <w:tblPr>
        <w:tblW w:w="6796" w:type="dxa"/>
        <w:jc w:val="left"/>
        <w:tblInd w:w="0" w:type="dxa"/>
        <w:tblLayout w:type="fixed"/>
        <w:tblCellMar>
          <w:top w:w="28" w:type="dxa"/>
          <w:left w:w="28" w:type="dxa"/>
          <w:bottom w:w="28" w:type="dxa"/>
          <w:right w:w="28" w:type="dxa"/>
        </w:tblCellMar>
      </w:tblPr>
      <w:tblGrid>
        <w:gridCol w:w="1230"/>
        <w:gridCol w:w="1078"/>
        <w:gridCol w:w="1096"/>
        <w:gridCol w:w="211"/>
        <w:gridCol w:w="976"/>
        <w:gridCol w:w="109"/>
        <w:gridCol w:w="109"/>
        <w:gridCol w:w="109"/>
        <w:gridCol w:w="109"/>
        <w:gridCol w:w="278"/>
        <w:gridCol w:w="1288"/>
        <w:gridCol w:w="203"/>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1,494,433 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 and power plant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Power facilities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containers and other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liquefaction facilities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pipelines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(377,833)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2,481,415 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The book value of the vessels that was recognized due to the failed sale leaseback in the Energos Formation Transaction as of June 30, 2024 and </w:t>
      </w:r>
      <w:r>
        <w:rPr>
          <w:rFonts w:ascii="Times New Roman;sans-serif" w:hAnsi="Times New Roman;sans-serif"/>
          <w:b w:val="false"/>
          <w:color w:val="000000"/>
          <w:sz w:val="20"/>
          <w:shd w:fill="FFFFFF" w:val="clear"/>
        </w:rPr>
        <w:t xml:space="preserve">December 31, 2023 </w:t>
      </w:r>
      <w:r>
        <w:rPr>
          <w:rFonts w:ascii="Times New Roman;sans-serif" w:hAnsi="Times New Roman;sans-serif"/>
          <w:b w:val="false"/>
          <w:color w:val="000000"/>
          <w:sz w:val="20"/>
        </w:rPr>
        <w:t>was $1,284,400 and $1,293,384, respectively. The reduction to terminal and power plant equipment and leasehold improvements reflects the sale of turbines to PREPA (Note 5).</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Depreciation expense for the three months ended June 30, 2024 and 2023 totaled $33,626 and $30,275, respectively, of which $235 and $232, respectively, is included within Cost of sales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Depreciation expense for </w:t>
      </w:r>
      <w:r>
        <w:rPr>
          <w:rFonts w:ascii="Times New Roman;sans-serif" w:hAnsi="Times New Roman;sans-serif"/>
          <w:b w:val="false"/>
          <w:color w:val="000000"/>
          <w:sz w:val="20"/>
          <w:shd w:fill="FFFFFF" w:val="clear"/>
        </w:rPr>
        <w:t xml:space="preserve">the six months ended June 30, 2024 and 2023 totaled $78,151 and $56,275, respectively, of which $495 and $463, respectively, is included within Cost of sales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15. Goodwill and intangible assets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240" w:after="283"/>
        <w:jc w:val="left"/>
        <w:rPr/>
      </w:pPr>
      <w:r>
        <w:rPr>
          <w:rFonts w:ascii="Times New Roman;sans-serif" w:hAnsi="Times New Roman;sans-serif"/>
          <w:b w:val="false"/>
          <w:color w:val="000000"/>
          <w:sz w:val="20"/>
        </w:rPr>
        <w:t xml:space="preserve">The carrying amount of goodwill was $776,760 as of both </w:t>
      </w:r>
      <w:r>
        <w:rPr>
          <w:rFonts w:ascii="Times New Roman;sans-serif" w:hAnsi="Times New Roman;sans-serif"/>
          <w:b w:val="false"/>
          <w:color w:val="000000"/>
          <w:sz w:val="20"/>
          <w:shd w:fill="FFFFFF" w:val="clear"/>
        </w:rPr>
        <w:t>June 30, 2024 and December 31, 2023</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Intangible assets</w:t>
      </w:r>
      <w:r>
        <w:rPr>
          <w:color w:val="000000"/>
          <w:shd w:fill="FFFFFF" w:val="clear"/>
        </w:rPr>
        <w:t xml:space="preserv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composition of intangible assets as of June 30, 2024 and December 31, 2023:</w:t>
      </w:r>
    </w:p>
    <w:tbl>
      <w:tblPr>
        <w:tblW w:w="10205" w:type="dxa"/>
        <w:jc w:val="left"/>
        <w:tblInd w:w="0" w:type="dxa"/>
        <w:tblLayout w:type="fixed"/>
        <w:tblCellMar>
          <w:top w:w="28" w:type="dxa"/>
          <w:left w:w="28" w:type="dxa"/>
          <w:bottom w:w="28" w:type="dxa"/>
          <w:right w:w="28" w:type="dxa"/>
        </w:tblCellMar>
      </w:tblPr>
      <w:tblGrid>
        <w:gridCol w:w="886"/>
        <w:gridCol w:w="727"/>
        <w:gridCol w:w="730"/>
        <w:gridCol w:w="244"/>
        <w:gridCol w:w="956"/>
        <w:gridCol w:w="126"/>
        <w:gridCol w:w="109"/>
        <w:gridCol w:w="109"/>
        <w:gridCol w:w="109"/>
        <w:gridCol w:w="248"/>
        <w:gridCol w:w="868"/>
        <w:gridCol w:w="130"/>
        <w:gridCol w:w="109"/>
        <w:gridCol w:w="109"/>
        <w:gridCol w:w="109"/>
        <w:gridCol w:w="362"/>
        <w:gridCol w:w="1086"/>
        <w:gridCol w:w="188"/>
        <w:gridCol w:w="109"/>
        <w:gridCol w:w="109"/>
        <w:gridCol w:w="109"/>
        <w:gridCol w:w="220"/>
        <w:gridCol w:w="863"/>
        <w:gridCol w:w="113"/>
        <w:gridCol w:w="109"/>
        <w:gridCol w:w="109"/>
        <w:gridCol w:w="109"/>
        <w:gridCol w:w="334"/>
        <w:gridCol w:w="334"/>
        <w:gridCol w:w="482"/>
      </w:tblGrid>
      <w:tr>
        <w:trPr/>
        <w:tc>
          <w:tcPr>
            <w:tcW w:w="8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Life</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capacity reserve contract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230,708 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6"/>
        <w:gridCol w:w="732"/>
        <w:gridCol w:w="736"/>
        <w:gridCol w:w="264"/>
        <w:gridCol w:w="902"/>
        <w:gridCol w:w="135"/>
        <w:gridCol w:w="109"/>
        <w:gridCol w:w="109"/>
        <w:gridCol w:w="109"/>
        <w:gridCol w:w="248"/>
        <w:gridCol w:w="868"/>
        <w:gridCol w:w="130"/>
        <w:gridCol w:w="109"/>
        <w:gridCol w:w="109"/>
        <w:gridCol w:w="109"/>
        <w:gridCol w:w="439"/>
        <w:gridCol w:w="1003"/>
        <w:gridCol w:w="228"/>
        <w:gridCol w:w="109"/>
        <w:gridCol w:w="109"/>
        <w:gridCol w:w="109"/>
        <w:gridCol w:w="235"/>
        <w:gridCol w:w="807"/>
        <w:gridCol w:w="121"/>
        <w:gridCol w:w="109"/>
        <w:gridCol w:w="109"/>
        <w:gridCol w:w="109"/>
        <w:gridCol w:w="338"/>
        <w:gridCol w:w="338"/>
        <w:gridCol w:w="487"/>
      </w:tblGrid>
      <w:tr>
        <w:trPr/>
        <w:tc>
          <w:tcPr>
            <w:tcW w:w="88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Life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(16,513)</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Amortization expense for the three months ended June 30, 2024 and 2023 was $3,435 and $6,285, respectively. Amortization expense for the six months ended June 30, 2024 and 2023 was $4,430 and $13,081, respectively. Amortization expense is inclusive of reductions in expense for the amortization of unfavorable contract liabilities.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third quarter of 2023, An Bord Pleanála, Ireland's planning commission, denied the Company's application for the development of an LNG terminal and power plant in Shannon, Ireland. The Company is challenging this decision. Capitalized permits and development rights are primarily comprised of capitalized costs related to this project. The continued development of this project is uncertain and there are multiple risks, including regulatory risks, that could preclude the development of this project, and the results of these risks could have a material effect to the Company's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 Other non-current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Other non-current assets consisted of the following:</w:t>
      </w:r>
    </w:p>
    <w:tbl>
      <w:tblPr>
        <w:tblW w:w="6234" w:type="dxa"/>
        <w:jc w:val="left"/>
        <w:tblInd w:w="0" w:type="dxa"/>
        <w:tblLayout w:type="fixed"/>
        <w:tblCellMar>
          <w:top w:w="28" w:type="dxa"/>
          <w:left w:w="28" w:type="dxa"/>
          <w:bottom w:w="28" w:type="dxa"/>
          <w:right w:w="28" w:type="dxa"/>
        </w:tblCellMar>
      </w:tblPr>
      <w:tblGrid>
        <w:gridCol w:w="1036"/>
        <w:gridCol w:w="909"/>
        <w:gridCol w:w="919"/>
        <w:gridCol w:w="234"/>
        <w:gridCol w:w="919"/>
        <w:gridCol w:w="121"/>
        <w:gridCol w:w="109"/>
        <w:gridCol w:w="109"/>
        <w:gridCol w:w="109"/>
        <w:gridCol w:w="313"/>
        <w:gridCol w:w="1228"/>
        <w:gridCol w:w="228"/>
      </w:tblGrid>
      <w:tr>
        <w:trPr/>
        <w:tc>
          <w:tcPr>
            <w:tcW w:w="10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to fulfill (Note 6)</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(Note 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equity securities include investments without a readily determinable fair value of $8,678 and $7,678 as of June 30, 2024 and December 31, 2023, respectively. No gains or losses on such securities have been recognized in the three and six months ended June 30, 2024 and 2023,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non-current assets includes the value of the earnout receivable recognized upon the sale of two project companies in Brazil, development costs for hosted software products, foreign exchange contracts and deferred financing costs related to the Revolving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Accrued liabilities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Accrued liabilities consisted of the following:</w:t>
      </w:r>
    </w:p>
    <w:tbl>
      <w:tblPr>
        <w:tblW w:w="5724" w:type="dxa"/>
        <w:jc w:val="left"/>
        <w:tblInd w:w="0" w:type="dxa"/>
        <w:tblLayout w:type="fixed"/>
        <w:tblCellMar>
          <w:top w:w="28" w:type="dxa"/>
          <w:left w:w="28" w:type="dxa"/>
          <w:bottom w:w="28" w:type="dxa"/>
          <w:right w:w="28" w:type="dxa"/>
        </w:tblCellMar>
      </w:tblPr>
      <w:tblGrid>
        <w:gridCol w:w="854"/>
        <w:gridCol w:w="748"/>
        <w:gridCol w:w="752"/>
        <w:gridCol w:w="234"/>
        <w:gridCol w:w="919"/>
        <w:gridCol w:w="121"/>
        <w:gridCol w:w="109"/>
        <w:gridCol w:w="109"/>
        <w:gridCol w:w="109"/>
        <w:gridCol w:w="313"/>
        <w:gridCol w:w="1228"/>
        <w:gridCol w:w="228"/>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development costs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286,030 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384,476 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471,675 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18. Other current liabilities</w:t>
      </w:r>
    </w:p>
    <w:p>
      <w:pPr>
        <w:pStyle w:val="TextBody"/>
        <w:bidi w:val="0"/>
        <w:spacing w:lineRule="auto" w:line="288" w:before="240" w:after="283"/>
        <w:ind w:left="0" w:right="0" w:hanging="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 Other current liabilities consisted of the following:</w:t>
      </w:r>
    </w:p>
    <w:tbl>
      <w:tblPr>
        <w:tblW w:w="6175" w:type="dxa"/>
        <w:jc w:val="left"/>
        <w:tblInd w:w="0" w:type="dxa"/>
        <w:tblLayout w:type="fixed"/>
        <w:tblCellMar>
          <w:top w:w="28" w:type="dxa"/>
          <w:left w:w="28" w:type="dxa"/>
          <w:bottom w:w="28" w:type="dxa"/>
          <w:right w:w="28" w:type="dxa"/>
        </w:tblCellMar>
      </w:tblPr>
      <w:tblGrid>
        <w:gridCol w:w="1015"/>
        <w:gridCol w:w="893"/>
        <w:gridCol w:w="897"/>
        <w:gridCol w:w="234"/>
        <w:gridCol w:w="919"/>
        <w:gridCol w:w="121"/>
        <w:gridCol w:w="109"/>
        <w:gridCol w:w="109"/>
        <w:gridCol w:w="109"/>
        <w:gridCol w:w="313"/>
        <w:gridCol w:w="1228"/>
        <w:gridCol w:w="228"/>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(Note 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Winter sub-charter liability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 (Note 11)</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250,558 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19. Debt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and December 31, 2023, debt consisted of the following:</w:t>
      </w:r>
    </w:p>
    <w:tbl>
      <w:tblPr>
        <w:tblW w:w="7321" w:type="dxa"/>
        <w:jc w:val="left"/>
        <w:tblInd w:w="0" w:type="dxa"/>
        <w:tblLayout w:type="fixed"/>
        <w:tblCellMar>
          <w:top w:w="28" w:type="dxa"/>
          <w:left w:w="28" w:type="dxa"/>
          <w:bottom w:w="28" w:type="dxa"/>
          <w:right w:w="28" w:type="dxa"/>
        </w:tblCellMar>
      </w:tblPr>
      <w:tblGrid>
        <w:gridCol w:w="1421"/>
        <w:gridCol w:w="1252"/>
        <w:gridCol w:w="1256"/>
        <w:gridCol w:w="211"/>
        <w:gridCol w:w="976"/>
        <w:gridCol w:w="109"/>
        <w:gridCol w:w="109"/>
        <w:gridCol w:w="109"/>
        <w:gridCol w:w="109"/>
        <w:gridCol w:w="278"/>
        <w:gridCol w:w="1288"/>
        <w:gridCol w:w="203"/>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1,245,662 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1,486,374 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March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Financing Obligation, due August 2042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1,359,995 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October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BNDES Term Loan, due October 2045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PortoCem Bridge Loan, due October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Power 2029 Bonds, due May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Barcarena Debentures, due October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175,025 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Turbine Financing, due July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EB-5 Loan, due July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Tugboat Financing, due December 2038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Barcarena Term Loan, due February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Notes, due July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6,803,148 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292,625 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6,510,523 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2025 Notes mature on September 15, 2025. If any of the 2025 Notes remain outstanding 60 days prior to this maturity date (the "Springing Maturity Date"), the outstanding principal under the Revolving Facility, Term Loan B and FLNG2 Term Loans (defined below) will become immediately due. The aggregate principal amount of 2025 Notes outstanding as of June 30, 2024 is $875,000. The Company entered into a Backstop Agreement (the "Backstop Agreement") with a lender, pursuant to which the Company may, at its sole option, issue and sell to this lender (subject to the satisfaction of certain conditions) senior secured notes up to an aggregate principal amount sufficient to generate gross proceeds of $875,000 with a term of at least three years from the closing date within a certain window prior to the Springing Maturity Date. Proceeds received would be used to repurchase or redeem all outstanding 2025 Notes.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Long-term debt is recorded at amortized cost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xml:space="preserve">. The fair value of the Company's long-term debt was $7,525,853 and $6,835,487 as of June 30, 2024 and December 31, 2023, respectively, and is classified as Level 2 within the fair value hierarchy. The Company's debt arrangements include cross-acceleration clauses whereby events of default under an individual debt agreement can lead to acceleration of principal under other debt arrangements.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the Company's debt instruments have been described in the Annual Report on Form 10-K. Significant changes to the Company's outstanding debt are described below.</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2029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2024, the Company issued $750,000 of 8.75% senior secured notes in a private offering pursuant to Rule 144A under the Securities Act (the “2029 Notes”). Interest is payable semi-annually in arrears on March 15 and September 15 of each year; no principal payments are due until maturity on March 15, 2029. The Company may redeem the 2029 Notes, in whole or in part, at any time prior to maturity, subject to certain make-whole premiums.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2029 Notes are guaranteed on a senior secured basis by each domestic subsidiary and foreign subsidiary that is a guarantor under the 2025 Notes and 2026 Notes. The 2029 Notes are secured by substantially the same collateral as the first lien obligations under the 2025 Notes and 2026 Notes. The 2029 Notes may limit the Company’s ability to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 indebtedness or issue certain preferred shares, make certain payments, and sell or transfer certain assets subject to certain conditions and qualifications. The 2029 Notes also provide for customary events of default and prepayment provisions.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connection with the offering of the 2029 Notes, we completed a cash tender offer to repurchase $375,000 of the outstanding 2025 Notes, for an aggregate repurchase price of $376,875. The tender offer was closed and the partial repurchase of the 2025 Notes was completed in the first quarter of 2024. The premium over the repurchase price of $1,875 was recognized as Loss on extinguishment of debt, net in the </w:t>
      </w:r>
      <w:r>
        <w:rPr>
          <w:rFonts w:ascii="Times New Roman;sans-serif" w:hAnsi="Times New Roman;sans-serif"/>
          <w:b w:val="false"/>
          <w:color w:val="000000"/>
          <w:sz w:val="20"/>
        </w:rPr>
        <w:t>Condensed Consolidated Statements of Operations and Comprehensive Income (Loss).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connection with the issuance of the 2029 Notes, the Company incurred $13,837 in origination, structuring and other fees, which was deferred as a reduction of the principal balance of the 2029 Notes on the </w:t>
      </w:r>
      <w:r>
        <w:rPr>
          <w:rFonts w:ascii="Times New Roman;sans-serif" w:hAnsi="Times New Roman;sans-serif"/>
          <w:b w:val="false"/>
          <w:color w:val="000000"/>
          <w:sz w:val="20"/>
        </w:rPr>
        <w:t>Condensed Consolidated Balance Sheets</w:t>
      </w:r>
      <w:r>
        <w:rPr>
          <w:rFonts w:ascii="Times New Roman;sans-serif" w:hAnsi="Times New Roman;sans-serif"/>
          <w:b w:val="false"/>
          <w:color w:val="000000"/>
          <w:sz w:val="20"/>
          <w:shd w:fill="FFFFFF" w:val="clear"/>
        </w:rPr>
        <w:t xml:space="preserve">.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total remaining unamortized deferred financing costs for the 2029 Notes was $13,109.</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Revolving Facility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April 2021, the Company entered into a $200,000 senior secured revolving credit facility (the "Revolving Facility"). Through December 31, 2023, the Revolving Facility had been amended to increase the borrowing capacity to $950,000. In May 2024, the Company entered into an amendment which increased the borrowing capacity by $50,000, for a total capacity of $1,000,000. The amendment did not impact the interest rate or term of the Revolving Facility, and no deferred costs were written off. During the second quarter of 2024, the Company drew the additional capacity on the Revolving Facility and </w:t>
      </w:r>
      <w:r>
        <w:rPr>
          <w:rFonts w:ascii="Times New Roman;sans-serif" w:hAnsi="Times New Roman;sans-serif"/>
          <w:b w:val="false"/>
          <w:color w:val="000000"/>
          <w:sz w:val="20"/>
        </w:rPr>
        <w:t>$1,000,000</w:t>
      </w:r>
      <w:r>
        <w:rPr>
          <w:color w:val="000000"/>
          <w:shd w:fill="FFFFFF" w:val="clear"/>
        </w:rPr>
        <w:t xml:space="preserve"> </w:t>
      </w:r>
      <w:r>
        <w:rPr>
          <w:rFonts w:ascii="Times New Roman;sans-serif" w:hAnsi="Times New Roman;sans-serif"/>
          <w:b w:val="false"/>
          <w:color w:val="000000"/>
          <w:sz w:val="20"/>
          <w:shd w:fill="FFFFFF" w:val="clear"/>
        </w:rPr>
        <w:t xml:space="preserve">was outstanding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borrowings under the Revolving Facility bear interest at a Secured Overnight Financing Rate ("SOFR") based rate plus a margin based upon usage of the Revolving Facility. The Revolving Facility matures in 2025 upon the earliest to occur of April 15, 2026 or 60 days prior to the maturity of the 2025 Notes if the 2025 Notes have not been redeemed or refinanced in full. The Company may request to extend the maturity date once in a one-year increment. Borrowings under the Revolving Facility may be prepaid, at the option of the Company, at any time without premium.</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BNDES Term Loan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owner of the Company's power plant under construction </w:t>
      </w:r>
      <w:r>
        <w:rPr>
          <w:rFonts w:ascii="Times New Roman;sans-serif" w:hAnsi="Times New Roman;sans-serif"/>
          <w:b w:val="false"/>
          <w:color w:val="000000"/>
          <w:sz w:val="20"/>
        </w:rPr>
        <w:t>in Pará, Brazil (the "Barcarena Power Plant")</w:t>
      </w:r>
      <w:r>
        <w:rPr>
          <w:color w:val="000000"/>
          <w:shd w:fill="FFFFFF" w:val="clear"/>
        </w:rPr>
        <w:t xml:space="preserve"> </w:t>
      </w:r>
      <w:r>
        <w:rPr>
          <w:rFonts w:ascii="Times New Roman;sans-serif" w:hAnsi="Times New Roman;sans-serif"/>
          <w:b w:val="false"/>
          <w:color w:val="000000"/>
          <w:sz w:val="20"/>
          <w:shd w:fill="FFFFFF" w:val="clear"/>
        </w:rPr>
        <w:t>entered into a credit agreement with BNDES, the Brazilian Development Bank (the "BNDES Credit Agreement"). The Company is able to borrow up to $355,556 under the BNDES Credit Agreement, segregated into three tranches based on the use of proceeds ("BNDES Term Loan"). In the first quarter of 2024, the Company borrowed $284,444 under the BNDES Credit Agreement. Each tranche bears a different rate of interest ranging from 2.61% to 4.41% plus the fixed rate announced by BNDES. No principal payments are required until April 2026 and are due quarterly thereafter until maturity in 2045. Interest payments prior to April 2026 are made through an increase in the outstanding principal amount and are due quarterly thereafter.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BNDES Credit Agreement are guaranteed by certain indirect Brazilian subsidiaries that are constructing the Barcarena Power Plant, and are secured by the Barcarena Power Plant and receivables under the Barcarena Power Plant's capacity reserve contracts. These Brazilian subsidiaries must adhere to customary affirmative and negative covenants, and the BNDES Credit Agreement also provides for customary events of default, prepayment and cure provisions.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Proceeds received were used to repay the existing Barcarena Term Loan (defined in the Annual Report) and to pay for all remaining expected construction costs through the planned completion of the Barcarena Power Plant in 2025. In February 2024, the Company repaid the full outstanding principal balance of the Barcarena Term Loan, fully extinguishing the obligation. No material loss on extinguishment was recognized in conjunction with this repayment.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PortoCem Financings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part of the PortoCem Acquisition, the Company assumed a term loan in the aggregate principal amount of R$141,445 million ($28,093 based on rates in effect on the acquisition date) due December 2024, bearing interest at a rate equal to the one-day interbank deposit rate in Brazil plus 5.0% (the “PortoCem BTG Loan”). Lenders under the PortoCem BTG Loan waived acceleration requirements in the event of a change in control in conjunction with the PortoCem Acquisition,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repayment of the PortoCem BTG Loan was required upon the earlier of PortoCem obtaining additional financing or the original maturity date of December 2024.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2024, PortoCem and a syndicate of banks in Brazil entered into a commitment letter for R$2.9 billion of financing. PortoCem received funding under a short term credit note of R$600 million ("PortoCem Credit Note") from this syndicate that was due in July 2024, and a portion of the proceeds was used to repay the PortoCem BTG Loan.</w:t>
      </w:r>
    </w:p>
    <w:p>
      <w:pPr>
        <w:pStyle w:val="TextBody"/>
        <w:bidi w:val="0"/>
        <w:spacing w:lineRule="auto" w:line="288" w:before="240" w:after="283"/>
        <w:jc w:val="left"/>
        <w:rPr/>
      </w:pPr>
      <w:r>
        <w:rPr>
          <w:rFonts w:ascii="Times New Roman;sans-serif" w:hAnsi="Times New Roman;sans-serif"/>
          <w:b w:val="false"/>
          <w:color w:val="000000"/>
          <w:sz w:val="20"/>
        </w:rPr>
        <w:t>In May 2024, the PortoCem Credit Note was replaced by a bridge financing agreement that allows PortoCem to borrow up to R$2.9 billion due in October 2025 ("PortoCem Bridge Loan"). PortoCem initially borrowed R$1.5 billion (</w:t>
      </w:r>
      <w:r>
        <w:rPr>
          <w:rFonts w:ascii="Times New Roman;sans-serif" w:hAnsi="Times New Roman;sans-serif"/>
          <w:b w:val="false"/>
          <w:color w:val="000000"/>
          <w:sz w:val="20"/>
          <w:shd w:fill="FFFFFF" w:val="clear"/>
        </w:rPr>
        <w:t>$269,850</w:t>
      </w:r>
      <w:r>
        <w:rPr>
          <w:color w:val="000000"/>
        </w:rPr>
        <w:t xml:space="preserve"> </w:t>
      </w:r>
      <w:r>
        <w:rPr>
          <w:rFonts w:ascii="Times New Roman;sans-serif" w:hAnsi="Times New Roman;sans-serif"/>
          <w:b w:val="false"/>
          <w:color w:val="000000"/>
          <w:sz w:val="20"/>
        </w:rPr>
        <w:t xml:space="preserve">based on rates in effect at June 30, 2024), and this initial funding was used to repay the PortoCem Credit Note and to begin the development and construction of a power plant to deliver under the capacity reserve contracts acquired in the PortoCem Acquisition. </w:t>
      </w:r>
      <w:r>
        <w:rPr>
          <w:rFonts w:ascii="Times New Roman;sans-serif" w:hAnsi="Times New Roman;sans-serif"/>
          <w:b w:val="false"/>
          <w:color w:val="000000"/>
          <w:sz w:val="20"/>
          <w:shd w:fill="FFFFFF" w:val="clear"/>
        </w:rPr>
        <w:t>The PortoCem Bridge Loan bears interest at the one-day interbank deposit futures rate in Brazil plus 4.25%, and no principal payments are required until maturity in October 2025.</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PortoCem Bridge Loan contains usual and customary representations and warranties, and usual and customary affirmative and negative covenants. The PortoCem Bridge Loan does not contain any restrictive financial covenants.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Through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the Company has incurred $10,542 in origination, structuring and other fees in connection with the entry into the PortoCem Credit Note and the PortoCem Bridge Loan. The lender in the PortoCem BTG Loan is also participating in the syndicate of lenders in the PortoCem Credit Note and the PortoCem Bridge Loan, and the repayment of the PortoCem BTG Loan and the PortoCem Credit Note was treated as a modification. The additional third-party fees associated with the PortoCem Bridge Loan of $236 were recognized as expense in the second quarter of 2024.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total remaining unamortized deferred financing costs for the PortoCem Bridge Loan was $5,876.</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Turbine Financing</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May 2024, the Company executed a loan agreement with a lender to borrow $148,500 under a promissory note secured by certain turbines owned by a wholly-owned subsidiary of the Company (the “Turbine Financing”). The Turbine Financing bears interest at </w:t>
      </w:r>
      <w:r>
        <w:rPr>
          <w:rFonts w:ascii="Times New Roman;sans-serif" w:hAnsi="Times New Roman;sans-serif"/>
          <w:b w:val="false"/>
          <w:color w:val="000000"/>
          <w:sz w:val="20"/>
        </w:rPr>
        <w:t>10.30%</w:t>
      </w:r>
      <w:r>
        <w:rPr>
          <w:rFonts w:ascii="Times New Roman;sans-serif" w:hAnsi="Times New Roman;sans-serif"/>
          <w:b w:val="false"/>
          <w:color w:val="000000"/>
          <w:sz w:val="20"/>
          <w:shd w:fill="FFFFFF" w:val="clear"/>
        </w:rPr>
        <w:t>, and the principal is partially repayable in monthly installments over the 36-month term of the loan with the balance due upon maturity in June 2027.</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Turbine Financing contains usual and customary representations and warranties, and usual and customary affirmative and negative covenants. The Turbine Financing does not contain any restrictive financial covenants. The Company was required to pay a deposit of approximately $5,963 that will be held by the lender throughout the term of the borrowing.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Proceeds received were net of upfront fees due to the lender, and through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the Company has incurred $2,084 in origination, structuring and other fees, associated with entry into the Turbine Financing.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total remaining unamortized deferred financing costs for the Turbine Financing was $2,037.</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EB-5 Loan Agreement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July 21,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w:t>
      </w:r>
      <w:r>
        <w:rPr>
          <w:rFonts w:ascii="Times New Roman;sans-serif" w:hAnsi="Times New Roman;sans-serif"/>
          <w:b w:val="false"/>
          <w:color w:val="000000"/>
          <w:sz w:val="20"/>
        </w:rPr>
        <w:t>4.75%</w:t>
      </w:r>
      <w:r>
        <w:rPr>
          <w:rFonts w:ascii="Times New Roman;sans-serif" w:hAnsi="Times New Roman;sans-serif"/>
          <w:b w:val="false"/>
          <w:color w:val="000000"/>
          <w:sz w:val="20"/>
          <w:shd w:fill="FFFFFF" w:val="clear"/>
        </w:rPr>
        <w:t xml:space="preserve">. The loan matures </w:t>
      </w:r>
      <w:r>
        <w:rPr>
          <w:rFonts w:ascii="Times New Roman;sans-serif" w:hAnsi="Times New Roman;sans-serif"/>
          <w:b w:val="false"/>
          <w:color w:val="000000"/>
          <w:sz w:val="20"/>
        </w:rPr>
        <w:t>5 years</w:t>
      </w:r>
      <w:r>
        <w:rPr>
          <w:color w:val="000000"/>
          <w:shd w:fill="FFFFFF" w:val="clear"/>
        </w:rPr>
        <w:t xml:space="preserve"> </w:t>
      </w:r>
      <w:r>
        <w:rPr>
          <w:rFonts w:ascii="Times New Roman;sans-serif" w:hAnsi="Times New Roman;sans-serif"/>
          <w:b w:val="false"/>
          <w:color w:val="000000"/>
          <w:sz w:val="20"/>
          <w:shd w:fill="FFFFFF" w:val="clear"/>
        </w:rPr>
        <w:t xml:space="preserve">from the initial advance with an option to extend the maturity by two one-year periods. It is expected that the loan will be secured by the Company's green hydrogen facility, and the Company has provided a guarantee of the obligations under the EB-5 Loan Agreement. In the six months ended June 30, 2024, an additional $37,072 was funded under the EB-5 Loan Agreement.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Equipment Notes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conjunction with the execution of the APA to sell certain turbines to PREPA in March 2024 (Note 5), the Company repaid the Equipment Notes in full, releasing any liens held on the turbines prior to their sale. The balance outstanding as of the repayment date was $188,431, and the Company incurred a prepayment premium of 3%. The prepayment premium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any unamortized financing costs of $7,879 were recognized as Loss on extinguishment of debt, net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and related amortization of debt issuance costs, premiums and discounts recognized during major development and construction projects are capitalized and included in the cost of the project. Interest expense, net of amounts capitalized, recognized for the three and six months ended June 30, 2024 and 2023 consisted of the following:</w:t>
      </w:r>
    </w:p>
    <w:tbl>
      <w:tblPr>
        <w:tblW w:w="10205" w:type="dxa"/>
        <w:jc w:val="left"/>
        <w:tblInd w:w="0" w:type="dxa"/>
        <w:tblLayout w:type="fixed"/>
        <w:tblCellMar>
          <w:top w:w="28" w:type="dxa"/>
          <w:left w:w="28" w:type="dxa"/>
          <w:bottom w:w="28" w:type="dxa"/>
          <w:right w:w="28" w:type="dxa"/>
        </w:tblCellMar>
      </w:tblPr>
      <w:tblGrid>
        <w:gridCol w:w="1675"/>
        <w:gridCol w:w="1454"/>
        <w:gridCol w:w="1461"/>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7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per contractual rates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on Vessel Financing Obligation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premiums and discounts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incurred on finance lease obligations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Interest expense on the Vessel Financing Obligation includes non-cash expense of $30,694 and $63,887 f</w:t>
      </w:r>
      <w:r>
        <w:rPr>
          <w:rFonts w:ascii="Times New Roman;sans-serif" w:hAnsi="Times New Roman;sans-serif"/>
          <w:b w:val="false"/>
          <w:color w:val="000000"/>
          <w:sz w:val="20"/>
          <w:shd w:fill="FFFFFF" w:val="clear"/>
        </w:rPr>
        <w:t xml:space="preserve">or the three and six months ended June 30, 2024, respectively, and </w:t>
      </w:r>
      <w:r>
        <w:rPr>
          <w:rFonts w:ascii="Times New Roman;sans-serif" w:hAnsi="Times New Roman;sans-serif"/>
          <w:b w:val="false"/>
          <w:color w:val="000000"/>
          <w:sz w:val="20"/>
        </w:rPr>
        <w:t>$32,460</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$82,363</w:t>
      </w:r>
      <w:r>
        <w:rPr>
          <w:color w:val="000000"/>
          <w:shd w:fill="FFFFFF" w:val="clear"/>
        </w:rPr>
        <w:t xml:space="preserve"> </w:t>
      </w:r>
      <w:r>
        <w:rPr>
          <w:rFonts w:ascii="Times New Roman;sans-serif" w:hAnsi="Times New Roman;sans-serif"/>
          <w:b w:val="false"/>
          <w:color w:val="000000"/>
          <w:sz w:val="20"/>
          <w:shd w:fill="FFFFFF" w:val="clear"/>
        </w:rPr>
        <w:t>for the three and six</w:t>
      </w:r>
      <w:r>
        <w:rPr>
          <w:color w:val="000000"/>
        </w:rPr>
        <w:t xml:space="preserve"> </w:t>
      </w:r>
      <w:r>
        <w:rPr>
          <w:rFonts w:ascii="Times New Roman;sans-serif" w:hAnsi="Times New Roman;sans-serif"/>
          <w:b w:val="false"/>
          <w:color w:val="000000"/>
          <w:sz w:val="20"/>
        </w:rPr>
        <w:t>months ended June 30, 2023, respectively, related to payments received by Energos from third-party charterers.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20. Income Taxes</w:t>
      </w:r>
    </w:p>
    <w:p>
      <w:pPr>
        <w:pStyle w:val="TextBody"/>
        <w:bidi w:val="0"/>
        <w:spacing w:lineRule="auto" w:line="288" w:before="240" w:after="283"/>
        <w:jc w:val="left"/>
        <w:rPr/>
      </w:pPr>
      <w:r>
        <w:rPr>
          <w:rFonts w:ascii="Times New Roman;sans-serif" w:hAnsi="Times New Roman;sans-serif"/>
          <w:b w:val="false"/>
          <w:color w:val="000000"/>
          <w:sz w:val="20"/>
        </w:rPr>
        <w:t xml:space="preserve">The effective tax rate for the three months ended </w:t>
      </w:r>
      <w:r>
        <w:rPr>
          <w:rFonts w:ascii="Times New Roman;sans-serif" w:hAnsi="Times New Roman;sans-serif"/>
          <w:b w:val="false"/>
          <w:color w:val="000000"/>
          <w:sz w:val="20"/>
          <w:shd w:fill="FFFFFF" w:val="clear"/>
        </w:rPr>
        <w:t xml:space="preserve">June 30, 2024 </w:t>
      </w:r>
      <w:r>
        <w:rPr>
          <w:rFonts w:ascii="Times New Roman;sans-serif" w:hAnsi="Times New Roman;sans-serif"/>
          <w:b w:val="false"/>
          <w:color w:val="000000"/>
          <w:sz w:val="20"/>
        </w:rPr>
        <w:t xml:space="preserve">was (4.1)% compared to 11.3% for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total tax provision for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was $3,435 compared to a provision of $15,322 for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effective tax rate for the six months ended </w:t>
      </w:r>
      <w:r>
        <w:rPr>
          <w:rFonts w:ascii="Times New Roman;sans-serif" w:hAnsi="Times New Roman;sans-serif"/>
          <w:b w:val="false"/>
          <w:color w:val="000000"/>
          <w:sz w:val="20"/>
          <w:shd w:fill="FFFFFF" w:val="clear"/>
        </w:rPr>
        <w:t xml:space="preserve">June 30, 2024 </w:t>
      </w:r>
      <w:r>
        <w:rPr>
          <w:rFonts w:ascii="Times New Roman;sans-serif" w:hAnsi="Times New Roman;sans-serif"/>
          <w:b w:val="false"/>
          <w:color w:val="000000"/>
          <w:sz w:val="20"/>
        </w:rPr>
        <w:t xml:space="preserve">was (488.4)% compared to 14.0% for the six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The total tax provision for the six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was $25,059 compared to a provision of $44,282 for the six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Company's effective tax rate for the three and six months ended June 30, 2024 differs from the Company's statutory tax rate and the prior periods primarily due to decreases in pre-tax income in the US and foreign jurisdictions, as well as the establishment of additional valuation allowance in certain foreign entities. The reversal of net deferred tax assets in these foreign entities is not expected to be realizable.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21. Commitments and 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subject to certain legal and regulatory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22. Earnings per share</w:t>
      </w:r>
    </w:p>
    <w:tbl>
      <w:tblPr>
        <w:tblW w:w="10205" w:type="dxa"/>
        <w:jc w:val="left"/>
        <w:tblInd w:w="0" w:type="dxa"/>
        <w:tblLayout w:type="fixed"/>
        <w:tblCellMar>
          <w:top w:w="28" w:type="dxa"/>
          <w:left w:w="28" w:type="dxa"/>
          <w:bottom w:w="28" w:type="dxa"/>
          <w:right w:w="28" w:type="dxa"/>
        </w:tblCellMar>
      </w:tblPr>
      <w:tblGrid>
        <w:gridCol w:w="1485"/>
        <w:gridCol w:w="1258"/>
        <w:gridCol w:w="1251"/>
        <w:gridCol w:w="264"/>
        <w:gridCol w:w="922"/>
        <w:gridCol w:w="109"/>
        <w:gridCol w:w="109"/>
        <w:gridCol w:w="109"/>
        <w:gridCol w:w="109"/>
        <w:gridCol w:w="241"/>
        <w:gridCol w:w="945"/>
        <w:gridCol w:w="109"/>
        <w:gridCol w:w="109"/>
        <w:gridCol w:w="109"/>
        <w:gridCol w:w="109"/>
        <w:gridCol w:w="264"/>
        <w:gridCol w:w="922"/>
        <w:gridCol w:w="109"/>
        <w:gridCol w:w="109"/>
        <w:gridCol w:w="109"/>
        <w:gridCol w:w="109"/>
        <w:gridCol w:w="241"/>
        <w:gridCol w:w="945"/>
        <w:gridCol w:w="159"/>
      </w:tblGrid>
      <w:tr>
        <w:trPr/>
        <w:tc>
          <w:tcPr>
            <w:tcW w:w="148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271,666 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cumulative dividend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stock</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205,070,756 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206,867,828 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271,666 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cumulative dividend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attributable to dilutive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Class A common stock</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205,846,970 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207,534,174 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potentially dilutive securities excluded from the computation of diluted net income per share for the periods presented because its effects would have been anti-dilutive.</w:t>
      </w:r>
    </w:p>
    <w:tbl>
      <w:tblPr>
        <w:tblW w:w="9452" w:type="dxa"/>
        <w:jc w:val="left"/>
        <w:tblInd w:w="0" w:type="dxa"/>
        <w:tblLayout w:type="fixed"/>
        <w:tblCellMar>
          <w:top w:w="28" w:type="dxa"/>
          <w:left w:w="28" w:type="dxa"/>
          <w:bottom w:w="28" w:type="dxa"/>
          <w:right w:w="28" w:type="dxa"/>
        </w:tblCellMar>
      </w:tblPr>
      <w:tblGrid>
        <w:gridCol w:w="1168"/>
        <w:gridCol w:w="1026"/>
        <w:gridCol w:w="1030"/>
        <w:gridCol w:w="681"/>
        <w:gridCol w:w="295"/>
        <w:gridCol w:w="291"/>
        <w:gridCol w:w="291"/>
        <w:gridCol w:w="291"/>
        <w:gridCol w:w="291"/>
        <w:gridCol w:w="291"/>
        <w:gridCol w:w="291"/>
        <w:gridCol w:w="291"/>
        <w:gridCol w:w="109"/>
        <w:gridCol w:w="109"/>
        <w:gridCol w:w="109"/>
        <w:gridCol w:w="603"/>
        <w:gridCol w:w="373"/>
        <w:gridCol w:w="258"/>
        <w:gridCol w:w="258"/>
        <w:gridCol w:w="258"/>
        <w:gridCol w:w="258"/>
        <w:gridCol w:w="258"/>
        <w:gridCol w:w="258"/>
        <w:gridCol w:w="36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1,557,599 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Series A convertible preferred stock</w:t>
            </w:r>
            <w:r>
              <w:rPr>
                <w:rFonts w:ascii="Times New Roman;sans-serif" w:hAnsi="Times New Roman;sans-serif"/>
                <w:b w:val="false"/>
                <w:color w:val="000000"/>
                <w:sz w:val="13"/>
              </w:rPr>
              <w:t>(1)</w:t>
            </w:r>
            <w:r>
              <w:rPr>
                <w:color w:val="000000"/>
              </w:rPr>
              <w:t xml:space="preserv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2,067,509 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2,067,509 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2,067,509 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3,625,108 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Represents the weighted average number of potentially dilutive shares that are anti-dilutive if the Series A convertible preferred stock was converted on the issuance date.</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declared and paid quarterly dividends totaling $20,507 and $20,503 during the three months ended June 30, 2024 and 2023, respectively, representing </w:t>
      </w:r>
      <w:r>
        <w:rPr>
          <w:rFonts w:ascii="Times New Roman;sans-serif" w:hAnsi="Times New Roman;sans-serif"/>
          <w:b w:val="false"/>
          <w:color w:val="000000"/>
          <w:sz w:val="20"/>
        </w:rPr>
        <w:t>$0.10</w:t>
      </w:r>
      <w:r>
        <w:rPr>
          <w:color w:val="000000"/>
          <w:shd w:fill="FFFFFF" w:val="clear"/>
        </w:rPr>
        <w:t xml:space="preserve"> </w:t>
      </w:r>
      <w:r>
        <w:rPr>
          <w:rFonts w:ascii="Times New Roman;sans-serif" w:hAnsi="Times New Roman;sans-serif"/>
          <w:b w:val="false"/>
          <w:color w:val="000000"/>
          <w:sz w:val="20"/>
          <w:shd w:fill="FFFFFF" w:val="clear"/>
        </w:rPr>
        <w:t xml:space="preserve">per Class A share. The Company declared and paid dividends of </w:t>
      </w:r>
      <w:r>
        <w:rPr>
          <w:rFonts w:ascii="Times New Roman;sans-serif" w:hAnsi="Times New Roman;sans-serif"/>
          <w:b w:val="false"/>
          <w:color w:val="000000"/>
          <w:sz w:val="20"/>
        </w:rPr>
        <w:t xml:space="preserve">$41,010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$40,970</w:t>
      </w:r>
      <w:r>
        <w:rPr>
          <w:color w:val="000000"/>
          <w:shd w:fill="FFFFFF" w:val="clear"/>
        </w:rPr>
        <w:t xml:space="preserve"> </w:t>
      </w:r>
      <w:r>
        <w:rPr>
          <w:rFonts w:ascii="Times New Roman;sans-serif" w:hAnsi="Times New Roman;sans-serif"/>
          <w:b w:val="false"/>
          <w:color w:val="000000"/>
          <w:sz w:val="20"/>
          <w:shd w:fill="FFFFFF" w:val="clear"/>
        </w:rPr>
        <w:t xml:space="preserve">during the six months ended June 30, 2024 and 2023, respectively, representing </w:t>
      </w:r>
      <w:r>
        <w:rPr>
          <w:rFonts w:ascii="Times New Roman;sans-serif" w:hAnsi="Times New Roman;sans-serif"/>
          <w:b w:val="false"/>
          <w:color w:val="000000"/>
          <w:sz w:val="20"/>
        </w:rPr>
        <w:t>$0.10</w:t>
      </w:r>
      <w:r>
        <w:rPr>
          <w:color w:val="000000"/>
          <w:shd w:fill="FFFFFF" w:val="clear"/>
        </w:rPr>
        <w:t xml:space="preserve"> </w:t>
      </w:r>
      <w:r>
        <w:rPr>
          <w:rFonts w:ascii="Times New Roman;sans-serif" w:hAnsi="Times New Roman;sans-serif"/>
          <w:b w:val="false"/>
          <w:color w:val="000000"/>
          <w:sz w:val="20"/>
          <w:shd w:fill="FFFFFF" w:val="clear"/>
        </w:rPr>
        <w:t xml:space="preserve">per Class A share. </w:t>
      </w:r>
    </w:p>
    <w:p>
      <w:pPr>
        <w:pStyle w:val="TextBody"/>
        <w:bidi w:val="0"/>
        <w:spacing w:lineRule="auto" w:line="288" w:before="240" w:after="283"/>
        <w:jc w:val="left"/>
        <w:rPr/>
      </w:pPr>
      <w:r>
        <w:rPr>
          <w:rFonts w:ascii="Times New Roman;sans-serif" w:hAnsi="Times New Roman;sans-serif"/>
          <w:b w:val="false"/>
          <w:color w:val="000000"/>
          <w:sz w:val="20"/>
        </w:rPr>
        <w:t xml:space="preserve">During each of the three months ended </w:t>
      </w:r>
      <w:r>
        <w:rPr>
          <w:rFonts w:ascii="Times New Roman;sans-serif" w:hAnsi="Times New Roman;sans-serif"/>
          <w:b w:val="false"/>
          <w:color w:val="000000"/>
          <w:sz w:val="20"/>
          <w:shd w:fill="FFFFFF" w:val="clear"/>
        </w:rPr>
        <w:t xml:space="preserve">June 30, 2024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the Company paid dividends of $3,019 to holders of Golar LNG Partners LP's 8.75% Series A Cumulative Redeemable Preferred Units (“GMLP Series A Preferred Units”). During each of the six months ended </w:t>
      </w:r>
      <w:r>
        <w:rPr>
          <w:rFonts w:ascii="Times New Roman;sans-serif" w:hAnsi="Times New Roman;sans-serif"/>
          <w:b w:val="false"/>
          <w:color w:val="000000"/>
          <w:sz w:val="20"/>
          <w:shd w:fill="FFFFFF" w:val="clear"/>
        </w:rPr>
        <w:t xml:space="preserve">June 30, 2024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the Company paid dividends of $6,038 to holders of the GMLP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A Preferred Units. As these equity interests have been issued by one of the Company’s consolidated subsidiaries, the value of the GMLP Series A Preferred Units is recognized as non-controlling interest in the condensed consolidated financial statements.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one of the Company's majority owned consolidated subsidiaries paid a dividend to all shareholders, and the dividend of $3,600 paid to the non-controlling shareholders has been recognized as non-controlling interest in the condensed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accrued dividends on the Series A Convertible Preferred Stock of </w:t>
      </w:r>
      <w:r>
        <w:rPr>
          <w:rFonts w:ascii="Times New Roman;sans-serif" w:hAnsi="Times New Roman;sans-serif"/>
          <w:b w:val="false"/>
          <w:color w:val="000000"/>
          <w:sz w:val="20"/>
        </w:rPr>
        <w:t xml:space="preserve">$1,190 and $1,332 for the three and six months ended </w:t>
      </w:r>
      <w:r>
        <w:rPr>
          <w:rFonts w:ascii="Times New Roman;sans-serif" w:hAnsi="Times New Roman;sans-serif"/>
          <w:b w:val="false"/>
          <w:color w:val="000000"/>
          <w:sz w:val="20"/>
          <w:shd w:fill="FFFFFF" w:val="clear"/>
        </w:rPr>
        <w:t>June 30, 2024, respectively, which were paid on July 1, 2024.</w:t>
      </w:r>
    </w:p>
    <w:p>
      <w:pPr>
        <w:pStyle w:val="TextBody"/>
        <w:bidi w:val="0"/>
        <w:spacing w:lineRule="auto" w:line="288" w:before="240" w:after="283"/>
        <w:jc w:val="left"/>
        <w:rPr/>
      </w:pPr>
      <w:r>
        <w:rPr>
          <w:rFonts w:ascii="Times New Roman;sans-serif" w:hAnsi="Times New Roman;sans-serif"/>
          <w:b w:val="false"/>
          <w:color w:val="000000"/>
          <w:sz w:val="20"/>
        </w:rPr>
        <w:t xml:space="preserve">Upon the sale of the vessel </w:t>
      </w:r>
      <w:r>
        <w:rPr>
          <w:rFonts w:ascii="Times New Roman;sans-serif" w:hAnsi="Times New Roman;sans-serif"/>
          <w:b w:val="false"/>
          <w:i/>
          <w:color w:val="000000"/>
          <w:sz w:val="20"/>
        </w:rPr>
        <w:t>Mazo</w:t>
      </w:r>
      <w:r>
        <w:rPr>
          <w:color w:val="000000"/>
        </w:rPr>
        <w:t xml:space="preserve"> </w:t>
      </w:r>
      <w:r>
        <w:rPr>
          <w:rFonts w:ascii="Times New Roman;sans-serif" w:hAnsi="Times New Roman;sans-serif"/>
          <w:b w:val="false"/>
          <w:color w:val="000000"/>
          <w:sz w:val="20"/>
        </w:rPr>
        <w:t>(Refer to Note 11), one of the Company's non-wholly owned subsidiaries paid a dividend using proceeds from the sale. The dividend of $8,662</w:t>
      </w:r>
      <w:r>
        <w:rPr>
          <w:color w:val="000000"/>
          <w:shd w:fill="FFFFFF" w:val="clear"/>
        </w:rPr>
        <w:t xml:space="preserve"> </w:t>
      </w:r>
      <w:r>
        <w:rPr>
          <w:rFonts w:ascii="Times New Roman;sans-serif" w:hAnsi="Times New Roman;sans-serif"/>
          <w:b w:val="false"/>
          <w:color w:val="000000"/>
          <w:sz w:val="20"/>
          <w:shd w:fill="FFFFFF" w:val="clear"/>
        </w:rPr>
        <w:t>paid to the other shareholder in this subsidiary was recognized as a reduction to non-controlling interest during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23. Share-based compensation</w:t>
      </w:r>
    </w:p>
    <w:p>
      <w:pPr>
        <w:pStyle w:val="TextBody"/>
        <w:bidi w:val="0"/>
        <w:spacing w:lineRule="auto" w:line="288" w:before="240" w:after="283"/>
        <w:jc w:val="left"/>
        <w:rPr/>
      </w:pPr>
      <w:r>
        <w:rPr>
          <w:rFonts w:ascii="Times New Roman;sans-serif" w:hAnsi="Times New Roman;sans-serif"/>
          <w:b w:val="false"/>
          <w:color w:val="000000"/>
          <w:sz w:val="20"/>
        </w:rPr>
        <w:t>The Company has granted restricted stock units ("RSUs") to select officers, employees and certain non-employees under the New Fortress Energy Inc. 2019 Omnibus Incentive Plan. The fair value of RSUs on the grant date is estimated based on the clo</w:t>
      </w:r>
      <w:r>
        <w:rPr>
          <w:rFonts w:ascii="Times New Roman;sans-serif" w:hAnsi="Times New Roman;sans-serif"/>
          <w:b w:val="false"/>
          <w:color w:val="000000"/>
          <w:sz w:val="20"/>
          <w:shd w:fill="FFFFFF" w:val="clear"/>
        </w:rPr>
        <w:t xml:space="preserve">sing price of the underlying shares on the grant date. The following table summarizes the RSU activity for the six months ended June 30, 2024: </w:t>
      </w:r>
    </w:p>
    <w:tbl>
      <w:tblPr>
        <w:tblW w:w="7091" w:type="dxa"/>
        <w:jc w:val="left"/>
        <w:tblInd w:w="0" w:type="dxa"/>
        <w:tblLayout w:type="fixed"/>
        <w:tblCellMar>
          <w:top w:w="28" w:type="dxa"/>
          <w:left w:w="28" w:type="dxa"/>
          <w:bottom w:w="28" w:type="dxa"/>
          <w:right w:w="28" w:type="dxa"/>
        </w:tblCellMar>
      </w:tblPr>
      <w:tblGrid>
        <w:gridCol w:w="1299"/>
        <w:gridCol w:w="1139"/>
        <w:gridCol w:w="1146"/>
        <w:gridCol w:w="489"/>
        <w:gridCol w:w="489"/>
        <w:gridCol w:w="491"/>
        <w:gridCol w:w="109"/>
        <w:gridCol w:w="109"/>
        <w:gridCol w:w="109"/>
        <w:gridCol w:w="368"/>
        <w:gridCol w:w="1074"/>
        <w:gridCol w:w="269"/>
      </w:tblGrid>
      <w:tr>
        <w:trPr/>
        <w:tc>
          <w:tcPr>
            <w:tcW w:w="129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br/>
              <w:t xml:space="preserve">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w:t>
              <w:br/>
              <w:t>value per share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as of December 31, 2023</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2,786,112 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(41,967)</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as of June 30, 2024</w:t>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2,688,713 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non-vested RSUs vest over periods from </w:t>
      </w:r>
      <w:r>
        <w:rPr>
          <w:rFonts w:ascii="Times New Roman;sans-serif" w:hAnsi="Times New Roman;sans-serif"/>
          <w:b w:val="false"/>
          <w:color w:val="000000"/>
          <w:sz w:val="20"/>
        </w:rPr>
        <w:t>ten months</w:t>
      </w:r>
      <w:r>
        <w:rPr>
          <w:color w:val="000000"/>
          <w:shd w:fill="FFFFFF" w:val="clear"/>
        </w:rPr>
        <w:t xml:space="preserve"> </w:t>
      </w:r>
      <w:r>
        <w:rPr>
          <w:rFonts w:ascii="Times New Roman;sans-serif" w:hAnsi="Times New Roman;sans-serif"/>
          <w:b w:val="false"/>
          <w:color w:val="000000"/>
          <w:sz w:val="20"/>
          <w:shd w:fill="FFFFFF" w:val="clear"/>
        </w:rPr>
        <w:t xml:space="preserve">to approximately </w:t>
      </w:r>
      <w:r>
        <w:rPr>
          <w:rFonts w:ascii="Times New Roman;sans-serif" w:hAnsi="Times New Roman;sans-serif"/>
          <w:b w:val="false"/>
          <w:color w:val="000000"/>
          <w:sz w:val="20"/>
        </w:rPr>
        <w:t>two years</w:t>
      </w:r>
      <w:r>
        <w:rPr>
          <w:color w:val="000000"/>
          <w:shd w:fill="FFFFFF" w:val="clear"/>
        </w:rPr>
        <w:t xml:space="preserve"> </w:t>
      </w:r>
      <w:r>
        <w:rPr>
          <w:rFonts w:ascii="Times New Roman;sans-serif" w:hAnsi="Times New Roman;sans-serif"/>
          <w:b w:val="false"/>
          <w:color w:val="000000"/>
          <w:sz w:val="20"/>
          <w:shd w:fill="FFFFFF" w:val="clear"/>
        </w:rPr>
        <w:t xml:space="preserve">following the grant date. The weighted-average remaining vesting period of non-vested RSUs totaled </w:t>
      </w:r>
      <w:r>
        <w:rPr>
          <w:rFonts w:ascii="Times New Roman;sans-serif" w:hAnsi="Times New Roman;sans-serif"/>
          <w:b w:val="false"/>
          <w:color w:val="000000"/>
          <w:sz w:val="20"/>
        </w:rPr>
        <w:t>1.10</w:t>
      </w:r>
      <w:r>
        <w:rPr>
          <w:color w:val="000000"/>
          <w:shd w:fill="FFFFFF" w:val="clear"/>
        </w:rPr>
        <w:t xml:space="preserve"> </w:t>
      </w:r>
      <w:r>
        <w:rPr>
          <w:rFonts w:ascii="Times New Roman;sans-serif" w:hAnsi="Times New Roman;sans-serif"/>
          <w:b w:val="false"/>
          <w:color w:val="000000"/>
          <w:sz w:val="20"/>
          <w:shd w:fill="FFFFFF" w:val="clear"/>
        </w:rPr>
        <w:t xml:space="preserve">years as of June 30, 2024.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the second quarter of 2024, the Company granted an equity award to certain employees that will settle in shares of a subsidiary owning the Company's Brazilian operations. The grant date fair value of this award was </w:t>
      </w:r>
      <w:r>
        <w:rPr>
          <w:rFonts w:ascii="Times New Roman;sans-serif" w:hAnsi="Times New Roman;sans-serif"/>
          <w:b w:val="false"/>
          <w:color w:val="000000"/>
          <w:sz w:val="20"/>
        </w:rPr>
        <w:t>$53,958</w:t>
      </w:r>
      <w:r>
        <w:rPr>
          <w:rFonts w:ascii="Times New Roman;sans-serif" w:hAnsi="Times New Roman;sans-serif"/>
          <w:b w:val="false"/>
          <w:color w:val="000000"/>
          <w:sz w:val="20"/>
          <w:shd w:fill="FFFFFF" w:val="clear"/>
        </w:rPr>
        <w:t xml:space="preserve">, and the award contains a service condition that will vest in annual increments through </w:t>
      </w:r>
      <w:r>
        <w:rPr>
          <w:rFonts w:ascii="Times New Roman;sans-serif" w:hAnsi="Times New Roman;sans-serif"/>
          <w:b w:val="false"/>
          <w:color w:val="000000"/>
          <w:sz w:val="20"/>
        </w:rPr>
        <w:t>March 31, 2027</w:t>
      </w:r>
      <w:r>
        <w:rPr>
          <w:rFonts w:ascii="Times New Roman;sans-serif" w:hAnsi="Times New Roman;sans-serif"/>
          <w:b w:val="false"/>
          <w:color w:val="000000"/>
          <w:sz w:val="20"/>
          <w:shd w:fill="FFFFFF" w:val="clear"/>
        </w:rPr>
        <w:t xml:space="preserve">. Compensation expense of </w:t>
      </w:r>
      <w:r>
        <w:rPr>
          <w:rFonts w:ascii="Times New Roman;sans-serif" w:hAnsi="Times New Roman;sans-serif"/>
          <w:b w:val="false"/>
          <w:color w:val="000000"/>
          <w:sz w:val="20"/>
        </w:rPr>
        <w:t>$2,018</w:t>
      </w:r>
      <w:r>
        <w:rPr>
          <w:color w:val="000000"/>
          <w:shd w:fill="FFFFFF" w:val="clear"/>
        </w:rPr>
        <w:t xml:space="preserve"> </w:t>
      </w:r>
      <w:r>
        <w:rPr>
          <w:rFonts w:ascii="Times New Roman;sans-serif" w:hAnsi="Times New Roman;sans-serif"/>
          <w:b w:val="false"/>
          <w:color w:val="000000"/>
          <w:sz w:val="20"/>
          <w:shd w:fill="FFFFFF" w:val="clear"/>
        </w:rPr>
        <w:t xml:space="preserve">associated with this award is included in the table below.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For the three months and six months ended June 30, 2024, the Company recognized compensation costs associated with equity awards in the </w:t>
      </w:r>
      <w:r>
        <w:rPr>
          <w:rFonts w:ascii="Times New Roman;sans-serif" w:hAnsi="Times New Roman;sans-serif"/>
          <w:b w:val="false"/>
          <w:color w:val="000000"/>
          <w:sz w:val="20"/>
        </w:rPr>
        <w:t xml:space="preserve">Condensed Consolidated Statements of Operations and Comprehensive Income (Loss) as follows: </w:t>
      </w:r>
    </w:p>
    <w:tbl>
      <w:tblPr>
        <w:tblW w:w="9745" w:type="dxa"/>
        <w:jc w:val="left"/>
        <w:tblInd w:w="0" w:type="dxa"/>
        <w:tblLayout w:type="fixed"/>
        <w:tblCellMar>
          <w:top w:w="28" w:type="dxa"/>
          <w:left w:w="28" w:type="dxa"/>
          <w:bottom w:w="28" w:type="dxa"/>
          <w:right w:w="28" w:type="dxa"/>
        </w:tblCellMar>
      </w:tblPr>
      <w:tblGrid>
        <w:gridCol w:w="1246"/>
        <w:gridCol w:w="1093"/>
        <w:gridCol w:w="1096"/>
        <w:gridCol w:w="626"/>
        <w:gridCol w:w="2140"/>
        <w:gridCol w:w="323"/>
        <w:gridCol w:w="109"/>
        <w:gridCol w:w="109"/>
        <w:gridCol w:w="109"/>
        <w:gridCol w:w="562"/>
        <w:gridCol w:w="1922"/>
        <w:gridCol w:w="410"/>
      </w:tblGrid>
      <w:tr>
        <w:trPr/>
        <w:tc>
          <w:tcPr>
            <w:tcW w:w="1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20,064 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25,312 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During the three and six months ended June 30, 2024, the Company recognized a reversal of cumulative compensation expense of </w:t>
      </w:r>
      <w:r>
        <w:rPr>
          <w:rFonts w:ascii="Times New Roman;sans-serif" w:hAnsi="Times New Roman;sans-serif"/>
          <w:b w:val="false"/>
          <w:color w:val="000000"/>
          <w:sz w:val="20"/>
        </w:rPr>
        <w:t>$161</w:t>
      </w:r>
      <w:r>
        <w:rPr>
          <w:color w:val="000000"/>
          <w:shd w:fill="FFFFFF" w:val="clear"/>
        </w:rPr>
        <w:t xml:space="preserve"> </w:t>
      </w:r>
      <w:r>
        <w:rPr>
          <w:rFonts w:ascii="Times New Roman;sans-serif" w:hAnsi="Times New Roman;sans-serif"/>
          <w:b w:val="false"/>
          <w:color w:val="000000"/>
          <w:sz w:val="20"/>
          <w:shd w:fill="FFFFFF" w:val="clear"/>
        </w:rPr>
        <w:t xml:space="preserve">for forfeited RSU awards. The Company recognizes the income tax benefits resulting from vesting of RSUs in the period of vesting, to the extent the compensation expense has been recognized. As of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unrecognized compensation costs from non-vested RSUs was </w:t>
      </w:r>
      <w:r>
        <w:rPr>
          <w:rFonts w:ascii="Times New Roman;sans-serif" w:hAnsi="Times New Roman;sans-serif"/>
          <w:b w:val="false"/>
          <w:color w:val="000000"/>
          <w:sz w:val="20"/>
        </w:rPr>
        <w:t xml:space="preserve">$65,783, and unrecognized compensation costs for other equity awards </w:t>
      </w:r>
      <w:r>
        <w:rPr>
          <w:rFonts w:ascii="Times New Roman;sans-serif" w:hAnsi="Times New Roman;sans-serif"/>
          <w:b w:val="false"/>
          <w:color w:val="000000"/>
          <w:sz w:val="20"/>
          <w:shd w:fill="FFFFFF" w:val="clear"/>
        </w:rPr>
        <w:t>that will settle in shares of a subsidiary owning the Company's Brazilian operations</w:t>
      </w:r>
      <w:r>
        <w:rPr>
          <w:color w:val="000000"/>
        </w:rPr>
        <w:t xml:space="preserve"> </w:t>
      </w:r>
      <w:r>
        <w:rPr>
          <w:rFonts w:ascii="Times New Roman;sans-serif" w:hAnsi="Times New Roman;sans-serif"/>
          <w:b w:val="false"/>
          <w:color w:val="000000"/>
          <w:sz w:val="20"/>
        </w:rPr>
        <w:t>was $51,940</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24. Related party transactions</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Management services</w:t>
      </w:r>
    </w:p>
    <w:p>
      <w:pPr>
        <w:pStyle w:val="TextBody"/>
        <w:bidi w:val="0"/>
        <w:spacing w:lineRule="auto" w:line="288" w:before="240" w:after="283"/>
        <w:jc w:val="left"/>
        <w:rPr/>
      </w:pPr>
      <w:r>
        <w:rPr>
          <w:rFonts w:ascii="Times New Roman;sans-serif" w:hAnsi="Times New Roman;sans-serif"/>
          <w:b w:val="false"/>
          <w:color w:val="000000"/>
          <w:sz w:val="20"/>
        </w:rPr>
        <w:t>Messrs. Edens, chief e</w:t>
      </w:r>
      <w:r>
        <w:rPr>
          <w:rFonts w:ascii="Times New Roman;sans-serif" w:hAnsi="Times New Roman;sans-serif"/>
          <w:b w:val="false"/>
          <w:color w:val="000000"/>
          <w:sz w:val="20"/>
          <w:shd w:fill="FFFFFF" w:val="clear"/>
        </w:rPr>
        <w:t xml:space="preserv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a credit of $167 and expenses of $1,296 for the three months ended June 30, 2024 and 2023, respectively, and totaled expenses of $1,808 and $2,641 for the six months ended June 30, 2024 and 2023, respectively. Costs associated with the Administrative Agreement are included within Selling, general and administrative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 As of June 30, 2024 and December 31, 2023, $1,741 and $5,691 were due to Fortress, respectively.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administrative services, Mr. Edens owns an aircraft that we charter from a third party operator for business purposes in the ordinary course of operations. The Company incurred, at market rates, charter costs of $514 and $640 for the three months ended June 30, 2024 and 2023, respectively, and $1,084 and $1,411 for the six months ended June 30, 2024 and 2023, respectively. As of June 30, 2024 and December 31, 2023, $661 and $1,095 was due,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Fortress affiliated entities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three months ended June 30, 2024 and 2023, $244 and $331 of rent and office related expenses were incurred by these affiliates, respectively. For the six months ended June 30, 2024 and 2023, $462 and $541 of rent and office related expenses were incurred by these affiliates, respectively. As of June 30, 2024 and December 31, 2023, $2,019 and $1,547 were due from affiliates, respectively.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$217 and $660 for the three months ended June 30, 2024 and 2023, respectively, and $900 and $1,249 for the six months ended June 30, 2024 and 2023, respectively. In May 2024, this affiliate assigned the office lease to the Company, and after this point, the Company no longer incurs rent expense with this affiliate. As of June 30, 2024 and December 31, 2023, $3,602 and $2,702 were d</w:t>
      </w:r>
      <w:r>
        <w:rPr>
          <w:rFonts w:ascii="Times New Roman;sans-serif" w:hAnsi="Times New Roman;sans-serif"/>
          <w:b w:val="false"/>
          <w:color w:val="000000"/>
          <w:sz w:val="20"/>
        </w:rPr>
        <w:t>ue to Fortress affiliated entities,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Land leases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w:t>
      </w:r>
      <w:r>
        <w:rPr>
          <w:rFonts w:ascii="Times New Roman;sans-serif" w:hAnsi="Times New Roman;sans-serif"/>
          <w:b w:val="false"/>
          <w:color w:val="000000"/>
          <w:sz w:val="20"/>
        </w:rPr>
        <w:t>mpany has leased land from Florida East Coast Industries, LLC (“FECI”), which is controlled by funds managed by an affiliate of Fortress. The Company recognized expense related to the land lease of $134 and $126 during the three months ended June 30, 2024 and 2023, respectively, and $237 and $252 during the six months ended June 30, 2024 and 2023, respectively, which was included within Operations and maintenance in the Condensed Consolidated Statements of Operations and Comprehensive Income (Loss). The Company has amounts due to FECI of $0 and $92 as of June 30, 2024 and December 31, 2023, respectively. As of June 30, 2024 and December 31, 2023, the Company has recorded a lease liability of $3,409 and $3,368, respectively, within Non-current lease liabilities on the Condensed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2023, the Company entered into a lease agreement to lease land from Jefferson Terminal South LLC, which is an indirect, majority-owned subsidiary of a public company which is managed by an affiliate of Fortress. As of June 30, 2024, the Company has recorded a right-of-use asset of $3,711 and a lease liability of $4,094 on the Condensed Consolidated Balance Sheets. As of December 31, 2023, the Company recorded a right-of-use asset of $3,885 and a lease liability of $4,098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DevTech investment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condensed consolidated financial statements. The Company recognized $136 and $96 in expense within Selling, general and administrative for the three months ended June 30, 2024 and 2023, respectively, and $264 and $201 in expense within Selling, general and administrative for the six months ended June 30, 2024 and 2023, respectively. As of June 30, 2024 and December 31, 2023, $136 and $106 were due to DevTech,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25. Segments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the Company operates in two reportable segments: Terminals and Infrastructure and Ships: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Terminals and Infrastructure</w:t>
      </w:r>
      <w:r>
        <w:rPr>
          <w:color w:val="000000"/>
          <w:shd w:fill="FFFFFF" w:val="clear"/>
        </w:rPr>
        <w:t xml:space="preserve"> </w:t>
      </w:r>
      <w:r>
        <w:rPr>
          <w:rFonts w:ascii="Times New Roman;sans-serif" w:hAnsi="Times New Roman;sans-serif"/>
          <w:b w:val="false"/>
          <w:color w:val="000000"/>
          <w:sz w:val="20"/>
          <w:shd w:fill="FFFFFF" w:val="clear"/>
        </w:rPr>
        <w:t>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or logistics operations are included in this segment.</w:t>
      </w:r>
    </w:p>
    <w:p>
      <w:pPr>
        <w:pStyle w:val="TextBody"/>
        <w:bidi w:val="0"/>
        <w:spacing w:lineRule="auto" w:line="256"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Terminal and Infrastructure segment includes realized gains and losses from the settlement of derivative transactions entered into as economic hedges to reduce market risks associated with commodity prices.</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color w:val="000000"/>
          <w:sz w:val="20"/>
          <w:shd w:fill="FFFFFF" w:val="clear"/>
        </w:rPr>
        <w:t>Ships</w:t>
      </w:r>
      <w:r>
        <w:rPr>
          <w:color w:val="000000"/>
          <w:shd w:fill="FFFFFF" w:val="clear"/>
        </w:rPr>
        <w:t xml:space="preserve"> </w:t>
      </w:r>
      <w:r>
        <w:rPr>
          <w:rFonts w:ascii="Times New Roman;sans-serif" w:hAnsi="Times New Roman;sans-serif"/>
          <w:b w:val="false"/>
          <w:color w:val="000000"/>
          <w:sz w:val="20"/>
          <w:shd w:fill="FFFFFF" w:val="clear"/>
        </w:rPr>
        <w:t xml:space="preserve">includes vessels that are leased to customers under long-term arrangements, and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four vessels are included in this segment. The Company’s investment in Energos was also included in the Ships segment prior to the disposition of this investment in the first quarter of 2024. Ships Operating Margin also included our effective share of revenue, expenses and operating margin attributable to our ownership of the common units of Hilli LLC prior to the disposition of this investment in first quarter of 2023.</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The CODM includes deferred earnings from contracted sales for which a prepayment was received in the current period in the segment measure.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presents segment information for the three and six months ended June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891"/>
        <w:gridCol w:w="658"/>
        <w:gridCol w:w="661"/>
        <w:gridCol w:w="211"/>
        <w:gridCol w:w="1081"/>
        <w:gridCol w:w="109"/>
        <w:gridCol w:w="109"/>
        <w:gridCol w:w="109"/>
        <w:gridCol w:w="109"/>
        <w:gridCol w:w="211"/>
        <w:gridCol w:w="826"/>
        <w:gridCol w:w="109"/>
        <w:gridCol w:w="109"/>
        <w:gridCol w:w="109"/>
        <w:gridCol w:w="109"/>
        <w:gridCol w:w="211"/>
        <w:gridCol w:w="1081"/>
        <w:gridCol w:w="109"/>
        <w:gridCol w:w="109"/>
        <w:gridCol w:w="109"/>
        <w:gridCol w:w="109"/>
        <w:gridCol w:w="257"/>
        <w:gridCol w:w="899"/>
        <w:gridCol w:w="135"/>
        <w:gridCol w:w="109"/>
        <w:gridCol w:w="109"/>
        <w:gridCol w:w="109"/>
        <w:gridCol w:w="211"/>
        <w:gridCol w:w="1081"/>
        <w:gridCol w:w="156"/>
      </w:tblGrid>
      <w:tr>
        <w:trPr/>
        <w:tc>
          <w:tcPr>
            <w:tcW w:w="89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r>
      <w:tr>
        <w:trPr/>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76"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Deferred earnings from contracted sales</w:t>
            </w:r>
            <w:r>
              <w:rPr>
                <w:rFonts w:ascii="Times New Roman;sans-serif" w:hAnsi="Times New Roman;sans-serif"/>
                <w:b w:val="false"/>
                <w:color w:val="000000"/>
                <w:sz w:val="13"/>
              </w:rPr>
              <w:t>(5)</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214,276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34,075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248,351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(90,000)</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158,351</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1"/>
        <w:gridCol w:w="658"/>
        <w:gridCol w:w="661"/>
        <w:gridCol w:w="211"/>
        <w:gridCol w:w="1081"/>
        <w:gridCol w:w="109"/>
        <w:gridCol w:w="109"/>
        <w:gridCol w:w="109"/>
        <w:gridCol w:w="109"/>
        <w:gridCol w:w="211"/>
        <w:gridCol w:w="826"/>
        <w:gridCol w:w="109"/>
        <w:gridCol w:w="109"/>
        <w:gridCol w:w="109"/>
        <w:gridCol w:w="109"/>
        <w:gridCol w:w="211"/>
        <w:gridCol w:w="1081"/>
        <w:gridCol w:w="109"/>
        <w:gridCol w:w="109"/>
        <w:gridCol w:w="109"/>
        <w:gridCol w:w="109"/>
        <w:gridCol w:w="257"/>
        <w:gridCol w:w="899"/>
        <w:gridCol w:w="135"/>
        <w:gridCol w:w="109"/>
        <w:gridCol w:w="109"/>
        <w:gridCol w:w="109"/>
        <w:gridCol w:w="211"/>
        <w:gridCol w:w="1081"/>
        <w:gridCol w:w="156"/>
      </w:tblGrid>
      <w:tr>
        <w:trPr/>
        <w:tc>
          <w:tcPr>
            <w:tcW w:w="89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5"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2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Segment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76"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Deferred earnings from contracted sales</w:t>
            </w:r>
            <w:r>
              <w:rPr>
                <w:rFonts w:ascii="Times New Roman;sans-serif" w:hAnsi="Times New Roman;sans-serif"/>
                <w:b w:val="false"/>
                <w:color w:val="000000"/>
                <w:sz w:val="13"/>
              </w:rPr>
              <w:t>(5)</w:t>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564,348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68,263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632,611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(90,000)</w:t>
            </w:r>
          </w:p>
        </w:tc>
        <w:tc>
          <w:tcPr>
            <w:tcW w:w="1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542,611</w:t>
            </w:r>
            <w:r>
              <w:rPr>
                <w:color w:val="000000"/>
              </w:rPr>
              <w:t>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923"/>
        <w:gridCol w:w="699"/>
        <w:gridCol w:w="702"/>
        <w:gridCol w:w="215"/>
        <w:gridCol w:w="999"/>
        <w:gridCol w:w="112"/>
        <w:gridCol w:w="109"/>
        <w:gridCol w:w="109"/>
        <w:gridCol w:w="109"/>
        <w:gridCol w:w="211"/>
        <w:gridCol w:w="976"/>
        <w:gridCol w:w="109"/>
        <w:gridCol w:w="109"/>
        <w:gridCol w:w="109"/>
        <w:gridCol w:w="109"/>
        <w:gridCol w:w="214"/>
        <w:gridCol w:w="991"/>
        <w:gridCol w:w="110"/>
        <w:gridCol w:w="109"/>
        <w:gridCol w:w="109"/>
        <w:gridCol w:w="109"/>
        <w:gridCol w:w="286"/>
        <w:gridCol w:w="856"/>
        <w:gridCol w:w="149"/>
        <w:gridCol w:w="109"/>
        <w:gridCol w:w="109"/>
        <w:gridCol w:w="109"/>
        <w:gridCol w:w="211"/>
        <w:gridCol w:w="976"/>
        <w:gridCol w:w="158"/>
      </w:tblGrid>
      <w:tr>
        <w:trPr/>
        <w:tc>
          <w:tcPr>
            <w:tcW w:w="92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2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495,504 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(1) (3)</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21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239,436</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54,398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293,834</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(3,397)</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290,437</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7,924,074 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9,135,239 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(2)</w:t>
            </w:r>
          </w:p>
        </w:tc>
        <w:tc>
          <w:tcPr>
            <w:tcW w:w="21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1,316,805 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1,316,805 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3"/>
        <w:gridCol w:w="699"/>
        <w:gridCol w:w="702"/>
        <w:gridCol w:w="215"/>
        <w:gridCol w:w="999"/>
        <w:gridCol w:w="112"/>
        <w:gridCol w:w="109"/>
        <w:gridCol w:w="109"/>
        <w:gridCol w:w="109"/>
        <w:gridCol w:w="211"/>
        <w:gridCol w:w="976"/>
        <w:gridCol w:w="109"/>
        <w:gridCol w:w="109"/>
        <w:gridCol w:w="109"/>
        <w:gridCol w:w="109"/>
        <w:gridCol w:w="214"/>
        <w:gridCol w:w="991"/>
        <w:gridCol w:w="110"/>
        <w:gridCol w:w="109"/>
        <w:gridCol w:w="109"/>
        <w:gridCol w:w="109"/>
        <w:gridCol w:w="234"/>
        <w:gridCol w:w="935"/>
        <w:gridCol w:w="122"/>
        <w:gridCol w:w="109"/>
        <w:gridCol w:w="109"/>
        <w:gridCol w:w="109"/>
        <w:gridCol w:w="211"/>
        <w:gridCol w:w="976"/>
        <w:gridCol w:w="158"/>
      </w:tblGrid>
      <w:tr>
        <w:trPr/>
        <w:tc>
          <w:tcPr>
            <w:tcW w:w="92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23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998,112 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1,140,476 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(1) (3)</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21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641,575</w:t>
            </w:r>
            <w:r>
              <w:rPr>
                <w:color w:val="000000"/>
              </w:rPr>
              <w:t> </w:t>
            </w:r>
          </w:p>
        </w:tc>
        <w:tc>
          <w:tcPr>
            <w:tcW w:w="1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133,076</w:t>
            </w: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774,651</w:t>
            </w:r>
            <w:r>
              <w:rPr>
                <w:color w:val="000000"/>
              </w:rPr>
              <w:t>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(129,983)</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644,668</w:t>
            </w:r>
            <w:r>
              <w:rPr>
                <w:color w:val="000000"/>
              </w:rPr>
              <w:t>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7,924,074 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9,135,239 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(2)</w:t>
            </w:r>
          </w:p>
        </w:tc>
        <w:tc>
          <w:tcPr>
            <w:tcW w:w="21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2,248,628 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2,248,628 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2,248,628 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Cost of sales in the Compa</w:t>
      </w:r>
      <w:r>
        <w:rPr>
          <w:rFonts w:ascii="Times New Roman;sans-serif" w:hAnsi="Times New Roman;sans-serif"/>
          <w:b w:val="false"/>
          <w:color w:val="000000"/>
          <w:sz w:val="20"/>
          <w:shd w:fill="FFFFFF" w:val="clear"/>
        </w:rPr>
        <w:t>ny’s segment measure only includes realized gains and losses on derivative transactions that are an economic hedge of our commodity purchases and sales, and realized losses of</w:t>
      </w:r>
      <w:r>
        <w:rPr>
          <w:color w:val="000000"/>
        </w:rPr>
        <w:t xml:space="preserve"> </w:t>
      </w:r>
      <w:r>
        <w:rPr>
          <w:rFonts w:ascii="Times New Roman;sans-serif" w:hAnsi="Times New Roman;sans-serif"/>
          <w:b w:val="false"/>
          <w:color w:val="000000"/>
          <w:sz w:val="20"/>
        </w:rPr>
        <w:t xml:space="preserve">$3,911 </w:t>
      </w:r>
      <w:r>
        <w:rPr>
          <w:rFonts w:ascii="Times New Roman;sans-serif" w:hAnsi="Times New Roman;sans-serif"/>
          <w:b w:val="false"/>
          <w:color w:val="000000"/>
          <w:sz w:val="20"/>
          <w:shd w:fill="FFFFFF" w:val="clear"/>
        </w:rPr>
        <w:t xml:space="preserve">and gains of </w:t>
      </w:r>
      <w:r>
        <w:rPr>
          <w:rFonts w:ascii="Times New Roman;sans-serif" w:hAnsi="Times New Roman;sans-serif"/>
          <w:b w:val="false"/>
          <w:color w:val="000000"/>
          <w:sz w:val="20"/>
        </w:rPr>
        <w:t xml:space="preserve">$141,853 </w:t>
      </w:r>
      <w:r>
        <w:rPr>
          <w:rFonts w:ascii="Times New Roman;sans-serif" w:hAnsi="Times New Roman;sans-serif"/>
          <w:b w:val="false"/>
          <w:color w:val="000000"/>
          <w:sz w:val="20"/>
          <w:shd w:fill="FFFFFF" w:val="clear"/>
        </w:rPr>
        <w:t xml:space="preserve">for the three and six months ended June 30, 2023, respectively, were recognized within Cost of sales in the segment measure. There were no commodity swap transactions in 2024. </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The Company recognized unrealized gains of </w:t>
      </w:r>
      <w:r>
        <w:rPr>
          <w:rFonts w:ascii="Times New Roman;sans-serif" w:hAnsi="Times New Roman;sans-serif"/>
          <w:b w:val="false"/>
          <w:color w:val="000000"/>
          <w:sz w:val="20"/>
        </w:rPr>
        <w:t>$2,835</w:t>
      </w:r>
      <w:r>
        <w:rPr>
          <w:color w:val="000000"/>
          <w:shd w:fill="FFFFFF" w:val="clear"/>
        </w:rPr>
        <w:t xml:space="preserve"> </w:t>
      </w:r>
      <w:r>
        <w:rPr>
          <w:rFonts w:ascii="Times New Roman;sans-serif" w:hAnsi="Times New Roman;sans-serif"/>
          <w:b w:val="false"/>
          <w:color w:val="000000"/>
          <w:sz w:val="20"/>
          <w:shd w:fill="FFFFFF" w:val="clear"/>
        </w:rPr>
        <w:t xml:space="preserve">and unrealized losses of </w:t>
      </w:r>
      <w:r>
        <w:rPr>
          <w:rFonts w:ascii="Times New Roman;sans-serif" w:hAnsi="Times New Roman;sans-serif"/>
          <w:b w:val="false"/>
          <w:color w:val="000000"/>
          <w:sz w:val="20"/>
        </w:rPr>
        <w:t>$108,305</w:t>
      </w:r>
      <w:r>
        <w:rPr>
          <w:color w:val="000000"/>
          <w:shd w:fill="FFFFFF" w:val="clear"/>
        </w:rPr>
        <w:t xml:space="preserve"> </w:t>
      </w:r>
      <w:r>
        <w:rPr>
          <w:rFonts w:ascii="Times New Roman;sans-serif" w:hAnsi="Times New Roman;sans-serif"/>
          <w:b w:val="false"/>
          <w:color w:val="000000"/>
          <w:sz w:val="20"/>
          <w:shd w:fill="FFFFFF" w:val="clear"/>
        </w:rPr>
        <w:t xml:space="preserve">on the mark-to-market value of derivative transactions for the three and six months ended June 30, 2023, respectively, and these gains and losses reconcile Cost of sales in the segment measure to Cost of sales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The Company has excluded contract acquisition costs that do not meet the criteria for capitalization from the segment measure. Contract acquisition costs of $6,232 for the three and six months ended June 30, 2023 reconcile Cost of sales in the segment measure to Cost of sales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120" w:after="283"/>
        <w:jc w:val="left"/>
        <w:rPr/>
      </w:pPr>
      <w:r>
        <w:rPr>
          <w:rFonts w:ascii="Times New Roman;sans-serif" w:hAnsi="Times New Roman;sans-serif"/>
          <w:b w:val="false"/>
          <w:color w:val="000000"/>
          <w:sz w:val="13"/>
          <w:shd w:fill="FFFFFF" w:val="clear"/>
        </w:rPr>
        <w:t>(2)</w:t>
      </w:r>
      <w:r>
        <w:rPr>
          <w:color w:val="000000"/>
          <w:shd w:fill="FFFFFF" w:val="clear"/>
        </w:rPr>
        <w:t xml:space="preserve"> </w:t>
      </w:r>
      <w:r>
        <w:rPr>
          <w:rFonts w:ascii="Times New Roman;sans-serif" w:hAnsi="Times New Roman;sans-serif"/>
          <w:b w:val="false"/>
          <w:color w:val="000000"/>
          <w:sz w:val="20"/>
          <w:shd w:fill="FFFFFF" w:val="clear"/>
        </w:rPr>
        <w:t>Capital expenditures includes amounts capitalized to construction in progress and additions to property, plant and equipment during the period.</w:t>
      </w:r>
    </w:p>
    <w:p>
      <w:pPr>
        <w:pStyle w:val="TextBody"/>
        <w:bidi w:val="0"/>
        <w:spacing w:lineRule="auto" w:line="288" w:before="120" w:after="283"/>
        <w:jc w:val="left"/>
        <w:rPr/>
      </w:pPr>
      <w:r>
        <w:rPr>
          <w:rFonts w:ascii="Times New Roman;sans-serif" w:hAnsi="Times New Roman;sans-serif"/>
          <w:b w:val="false"/>
          <w:color w:val="000000"/>
          <w:sz w:val="13"/>
          <w:shd w:fill="FFFFFF" w:val="clear"/>
        </w:rPr>
        <w:t>(3)</w:t>
      </w:r>
      <w:r>
        <w:rPr>
          <w:color w:val="000000"/>
          <w:shd w:fill="FFFFFF" w:val="clear"/>
        </w:rPr>
        <w:t xml:space="preserve"> </w:t>
      </w:r>
      <w:r>
        <w:rPr>
          <w:rFonts w:ascii="Times New Roman;sans-serif" w:hAnsi="Times New Roman;sans-serif"/>
          <w:b w:val="false"/>
          <w:color w:val="000000"/>
          <w:sz w:val="20"/>
          <w:shd w:fill="FFFFFF" w:val="clear"/>
        </w:rPr>
        <w:t xml:space="preserve">Cost of sales is presented exclusive of costs included in Depreciation and amortization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 xml:space="preserve">. </w:t>
      </w:r>
    </w:p>
    <w:p>
      <w:pPr>
        <w:pStyle w:val="TextBody"/>
        <w:bidi w:val="0"/>
        <w:spacing w:lineRule="auto" w:line="288" w:before="120" w:after="283"/>
        <w:jc w:val="left"/>
        <w:rPr/>
      </w:pPr>
      <w:r>
        <w:rPr>
          <w:rFonts w:ascii="Times New Roman;sans-serif" w:hAnsi="Times New Roman;sans-serif"/>
          <w:b w:val="false"/>
          <w:color w:val="000000"/>
          <w:sz w:val="13"/>
          <w:shd w:fill="FFFFFF" w:val="clear"/>
        </w:rPr>
        <w:t xml:space="preserve">(4) </w:t>
      </w:r>
      <w:r>
        <w:rPr>
          <w:rFonts w:ascii="Times New Roman;sans-serif" w:hAnsi="Times New Roman;sans-serif"/>
          <w:b w:val="false"/>
          <w:color w:val="000000"/>
          <w:sz w:val="20"/>
          <w:shd w:fill="FFFFFF" w:val="clear"/>
        </w:rPr>
        <w:t>Consolidation and Other adjusts for the inclusion of deferred earnings from contracted sales of $90,000 (Note 6). In 2023, the effective share of revenues, expenses and operating margin attributable to the Company's ownership of the common units of Hilli LLC in the segment measure prior to the disposition of this investment, as well as unrealized mark-to-market gain or loss on derivative instruments, are also removed.</w:t>
      </w:r>
    </w:p>
    <w:p>
      <w:pPr>
        <w:pStyle w:val="TextBody"/>
        <w:bidi w:val="0"/>
        <w:spacing w:lineRule="auto" w:line="288" w:before="120" w:after="283"/>
        <w:jc w:val="left"/>
        <w:rPr/>
      </w:pPr>
      <w:r>
        <w:rPr>
          <w:rFonts w:ascii="Times New Roman;sans-serif" w:hAnsi="Times New Roman;sans-serif"/>
          <w:b w:val="false"/>
          <w:color w:val="000000"/>
          <w:sz w:val="13"/>
          <w:shd w:fill="FFFFFF" w:val="clear"/>
        </w:rPr>
        <w:t>(5)</w:t>
      </w:r>
      <w:r>
        <w:rPr>
          <w:color w:val="000000"/>
          <w:shd w:fill="FFFFFF" w:val="clear"/>
        </w:rPr>
        <w:t xml:space="preserve"> </w:t>
      </w:r>
      <w:r>
        <w:rPr>
          <w:rFonts w:ascii="Times New Roman;sans-serif" w:hAnsi="Times New Roman;sans-serif"/>
          <w:b w:val="false"/>
          <w:color w:val="000000"/>
          <w:sz w:val="20"/>
          <w:shd w:fill="FFFFFF" w:val="clear"/>
        </w:rPr>
        <w:t xml:space="preserve">Deferred earnings from contracted sales represent forward sales transactions that were contracted in the current period and prepayment for these sales was received. Revenue will be recognized in the </w:t>
      </w:r>
      <w:r>
        <w:rPr>
          <w:rFonts w:ascii="Times New Roman;sans-serif" w:hAnsi="Times New Roman;sans-serif"/>
          <w:b w:val="false"/>
          <w:color w:val="000000"/>
          <w:sz w:val="20"/>
        </w:rPr>
        <w:t>Condensed Consolidated Statements of Operations and Comprehensive Income (Loss) when delivery under these forward sales transactions is completed in the third and fourth quarters of 2024.</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Consolidated Segment Operating Margin is defined as net income, adjusted for selling, general and administrative expenses, transaction and integration costs, depreciation and amortization, asset impairment expense, loss on sale of assets, interest expense, other expense, net, loss on extinguishment of debt, net, tax provision and income from equity method investments.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w:t>
      </w:r>
      <w:r>
        <w:rPr>
          <w:color w:val="000000"/>
          <w:shd w:fill="FFFFFF" w:val="clear"/>
        </w:rPr>
        <w:t xml:space="preserve"> </w:t>
      </w:r>
      <w:r>
        <w:rPr>
          <w:rFonts w:ascii="Times New Roman;sans-serif" w:hAnsi="Times New Roman;sans-serif"/>
          <w:b w:val="false"/>
          <w:color w:val="000000"/>
          <w:sz w:val="20"/>
          <w:shd w:fill="FFFFFF" w:val="clear"/>
        </w:rPr>
        <w:t>following table reconciles Net income (loss), the most comparable financial statement measure, to Consolidated Segment Operating Margin:</w:t>
      </w:r>
    </w:p>
    <w:tbl>
      <w:tblPr>
        <w:tblW w:w="9124" w:type="dxa"/>
        <w:jc w:val="left"/>
        <w:tblInd w:w="0" w:type="dxa"/>
        <w:tblLayout w:type="fixed"/>
        <w:tblCellMar>
          <w:top w:w="28" w:type="dxa"/>
          <w:left w:w="28" w:type="dxa"/>
          <w:bottom w:w="28" w:type="dxa"/>
          <w:right w:w="28" w:type="dxa"/>
        </w:tblCellMar>
      </w:tblPr>
      <w:tblGrid>
        <w:gridCol w:w="1271"/>
        <w:gridCol w:w="1118"/>
        <w:gridCol w:w="1121"/>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Segment Operating Margin</w:t>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158,351 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290,437 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542,611 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644,668 </w:t>
            </w:r>
          </w:p>
        </w:tc>
        <w:tc>
          <w:tcPr>
            <w:tcW w:w="1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26. Subsequent events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FLNG2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19, 2024, the Company entered into a credit agreement (the “FLNG2 Credit Agreement”) for a senior secured, multiple-draw term loan facility in an aggregate principal amount of up to $700,000 (the loans made under the term loan facility, the “FLNG2 Term Loans”). The proceeds from the FLNG2 Term Loans will be used to pay (i) costs of the construction and development of our 1.4 MTPA onshore FLNG project in Altamira (the “Altamira Onshore Project”), including to reimburse the Company for certain equity contributions made in connection with the Altamira Onshore Project and (ii) fees and expenses incurred in connection with the Altamira Onshore Project. The initial and subsequent funding of the FLNG2 Term Loans are subject to certain conditions, including the condition to the initial funding that initial generation of LNG from our offshore FLNG facility at Altamira (the “FLNG1 Project”) had been achieved. Such condition was satisfied, and initial funding occurred. The remaining commitments for subsequent funding expire on the earliest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June 30, 2026, the date of completion of the Onshore Altamira Project (the “Completion Date”) and the date that the commitments are reduced to zero or terminated.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FLNG2 Term Loans will mature on July 19, 2027 and are payable in full on the maturity date. In the event that the Company’s existing 2025 Notes or 2026 Notes are not refinanced or repaid at least 60 days prior to their respective maturities, the Term Loans will become due and payable on such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FLNG2 Credit Agreement are guaranteed, jointly and severally, on a senior secured basis by each subsidiary that is a guarantor under the 2025 Notes, 2026 Notes, 2029 Notes, the Company’s Revolving Facility, the Company’s letter of credit facility (the “Letter of Credit Facility”) and the Company’s Term Loan B, other than the guarantors comprising the FLNG1 Project (who guarantee the Revolving Facility, the Letter of Credit Facility, and the Term Loan B). The obligations under the FLNG 2 Credit Agreement are secured by substantially the same collateral as the collateral securing such facilities, with the exception of the collateral comprising the FLNG1 Project (which secures the Revolving Facility, the Letter of Credit Facility, and the Term Loan B). Additionally, the FLNG2 Term Loans are guaranteed by the entities, and secured by the assets, comprising the Onshore Altamira Project. An equal priority intercreditor agreement governs the treatment of the collateral.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FLNG2 Term Loans will bear interest at a per annum rate equal to Term SOFR (as defined in the FLNG2 Credit Agreement) plus 3.75%, or at a base rate plus 2.75%. Each of the foregoing will increase by 0.25% every 180 days beginning on June 30, 2025. The Company may prepay the FLNG2 Term Loans at its option without premium or penalty at any time subject to customary break funding costs. The Company is required to prepay the FLNG2 Term Loans with the net proceeds of certain asset sales, condemnations, debt and convertible securities issuances, and extraordinary receipts related to the Onshore Altamira Project, in each case, subject to certain exceptions and thresholds. Additionally, commencing with the first fiscal quarter after the Completion Date, the Company will be required to prepay the FLNG2 Term Loans with the Onshore Altamira Project’s Excess Cash Flow (as defined in the FLNG2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FLNG2 Credit Agreement contains usual and customary representations and warranties for financings of this type, including certain representations and warranties related to the Onshore Altamira Project, and usual and customary affirmative and negative covenants for financings of this type, including, but not limited to: limitations on liens, indebtedness and dispositions, loans, advances and investments, sale and leaseback transactions, restricted payments; covenants regarding transactions with affiliates, limitations on dividends and other payment restrictions affecting subsidiaries, limitations on modifications of indebtedness, requirements to comply with the Employee Retirement Income Security Act of 1974, as amended (“ERISA”). The FLNG2 Credit Agreement includes certain other covenants related solely to the Onshore Altamira Project, including limitations on capital expenditures, restrictions on additional accounts, and restrictions on amendments or termination of certain material documents related to the Onshore Altamira Project. The FLNG2 Credit Agreement further requires compliance with certain environmental and social standards in relation to the Onshore Altamira Project, and delivery of periodic reports on the construction and operation of the Onshore Altamira Project as well as compliance with applicable environmental and social standards. </w:t>
      </w:r>
    </w:p>
    <w:p>
      <w:pPr>
        <w:pStyle w:val="TextBody"/>
        <w:bidi w:val="0"/>
        <w:spacing w:lineRule="auto" w:line="288" w:before="240" w:after="283"/>
        <w:jc w:val="left"/>
        <w:rPr/>
      </w:pPr>
      <w:r>
        <w:rPr>
          <w:rFonts w:ascii="Times New Roman;sans-serif" w:hAnsi="Times New Roman;sans-serif"/>
          <w:b w:val="false"/>
          <w:color w:val="000000"/>
          <w:sz w:val="20"/>
        </w:rPr>
        <w:t>The Company must also comply with certain financial covenants. Beginning with the quarter ending December 31, 2024, the Company must not permit, as of the last day of any test period, the Debt to Capitalization Ratio (as defined in the FLNG2 Credit Agreement) to exceed 0.7:1.0. For quarters in which the Revolving Facility is greater than 50% drawn, the Debt to Annualized EBITDA Ratio (as defined in the FLNG2 Credit Agreement) must not exceed 4.0:1.0.</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FLNG2 Credit Agreement also contains usual and customary events of default (subject to certain thresholds and grace periods), including non-payment of principal, interest, fees and other amounts; material breach of a representation or warranty; acceleration on other material debt; bankruptcy or insolvency; defaults related to ERISA; material judgments; and change of control.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Backstop Financing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2024, the Company entered into the Backstop Agreement, which provides backstop committed financing to refinance in full the Company’s outstanding 2025 Notes that mature in September 2025. For more information, see Note 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“Risk Factors” and “Cautionary Statement on Forward-Looking Statements” elsewhere in this Quarterly Report on Form 10-Q (“Quarterly Report”) and under similar headings in the Annual Report on Form 10-K for the year ended December 31, 2023 (our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Unless the context indicates otherwise, references to “Company,” “NFE,” “we,” “our,” “us” or like terms refer to New Fortress Energy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our Annual Report, “Items 1 and 2: Business and Properties” under “Sustainability—Toward a Very-Low Carbon Future.”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makes resource allocation decisions and assesses performance on the basis of two operating segments, Terminals and Infrastructure and Ships.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We expect to begin to source a portion of our LNG from our modular floating liquefaction facilities, which we refer to as "Fast LNG" or "FLNG." Our first FLNG facility began producing LNG in July 2024. Following the anticipated sale of our Miami Facility, we expect to continue sourcing LNG from third parties and for a portion of our supply to be generated by our first FLNG unit.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Ships segment includes all vessels which are leased to customers under long-term arrangements. Over time, we expect to utilize these vessels in our own terminal operations as charter agreements for these vessels expire.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Current Operations – Terminals and Infrastructure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has successfully employed our strategy to secure long-term contracts with significant customers, including Jamaica Public Service Company Limited (“JPS”), the sole public utility in Jamaica, South Jamaica Power Company Limited (“SJPC”), an affiliate of JPS, Jamalco, a bauxite mining and alumina producer in Jamaica,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Montego Bay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60,000 MMBtu of LNG per day and features approximately 7,000 cubic meters of onsite storage. The Montego Bay Facility also consists of an ISO loading facility that can transport LNG to numerous on-island industrial users.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Old Harbour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San Juan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industrial end-user customers in Puerto Rico, and after being awarded a new gas sale agreement in the first quarter of 2024, PREPA's gas-fired power plants throughout the island of Puerto Rico.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first and second quarters of 2023, we entered into agreements for the installation and operation of approximately 350MW of additional power to be generated at the Palo Seco Power Plant and San Juan Power Plant in Puerto Rico as well as the supply of natural gas. Our customer was contracted by the U.S. Army Corps of Engineers to support the island’s grid stabilization project with additional power capacity to enable maintenance and repair work on Puerto Rico’s power system and grid. We commissioned 150MW of duel-fuel power generation using our gas supply in the second quarter of 2023, and the remaining 200MW was commissioned in September 2023. </w:t>
      </w:r>
    </w:p>
    <w:p>
      <w:pPr>
        <w:pStyle w:val="TextBody"/>
        <w:bidi w:val="0"/>
        <w:spacing w:lineRule="auto" w:line="268" w:before="0" w:after="0"/>
        <w:ind w:left="0" w:right="0" w:firstLine="360"/>
        <w:jc w:val="left"/>
        <w:rPr/>
      </w:pPr>
      <w:r>
        <w:rPr>
          <w:rFonts w:ascii="Times New Roman;sans-serif" w:hAnsi="Times New Roman;sans-serif"/>
          <w:b w:val="false"/>
          <w:color w:val="000000"/>
          <w:sz w:val="20"/>
          <w:shd w:fill="FFFFFF" w:val="clear"/>
        </w:rPr>
        <w:t>In March 2024, o</w:t>
      </w:r>
      <w:r>
        <w:rPr>
          <w:rFonts w:ascii="Times New Roman;sans-serif" w:hAnsi="Times New Roman;sans-serif"/>
          <w:b w:val="false"/>
          <w:color w:val="000000"/>
          <w:sz w:val="20"/>
        </w:rPr>
        <w:t>ur contract to provide emergency power services to support the grid stabilization project was terminated. We are pursuing a $659 million request for equitable adjustment related to the early termination of our contract. The actual amount of any such adjustment and the timing of any related payments may be materially different than management’s current estimate. As a result, the Company cannot offer any assurance as to the actual amount that may be recovered pursuant to such request or subsequent claim, if any. As the outcome of this process is uncertain, we have not recognized any revenue associated with the close out of our contract.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completed a series of transactions that included the sale of turbines and related equipment deployed to support the grid stabilization project to PREPA under an Asset Purchase Agreement ("APA"). The purchase price was $306.6 million, and the APA includes an option for PREPA to purchase three additional turbines for additional purchase price of $65.7 million. We recognized a loss of $77.5 million in Loss on sale of assets, net in the Condensed Consolidated Statements of Operations and Comprehensive Income (Loss).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2024, we were also awarded a new gas sale agreement with PREPA to supply up to 80 TBtu annually to PREPA's gas-fired power plants, including to the turbines that were sold pursuant to the APA. The contract initially has a one year term that is renewable annually for three additional annual periods.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first quarter of 2023, our wholly-owned subsidiary, Genera PR LLC ("Genera"), was awarded a 10-Year contract for the operation and maintenance of PREPA’s thermal generation assets with the goal of reducing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improving reliability of power generation in Puerto Rico. We receive an annual management fee and are eligible for performance-based incentive fees. The service period under the contract commenced on July 1, 2023.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La Paz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135MW of power. We placed the La Paz Power Plant into service in the third quarter of 2023.</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2022, we finalized short-form agreements with CFE to expand and extend our supply of natural gas to multiple CFE power generation facilities in Baja California Sur and to sell the La Paz Power Plant to CFE. We executed the final long-form gas sales agreement in the second quarter of 2023, which is subject to certain conditions precedent including the execution of the final agreement to sell the La Paz Power Plant.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Miami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Miami Facility began operations in April 2016. This facility has liquefaction capacity of approximately 8,300 MMBtu of LNG per day and enables us to produce LNG for sales directly to industrial end-users in southern Florida, including Florida East Coast Railway via our train loading facility, and other customers throughout the Caribbean using ISO containers. On June 30, 2024, the Company entered into a definitive agreement to sell its Miami Facility for $62 million. The transaction is expected to close in the third quarter of 2024 subject to customary terms and conditions.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LNG Supply and Cargo Sales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NFE provides reliable, affordable and clean energy supplies to customers around the world that we plan to satisfy through the following sources: 1) our current contractual supply commitments; 2) additional LNG supply contracts expected to commence in 2027; and 3) supply from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which are expected to commence in 2027. Finally,</w:t>
      </w:r>
      <w:r>
        <w:rPr>
          <w:color w:val="000000"/>
          <w:shd w:fill="FFFFFF" w:val="clear"/>
        </w:rPr>
        <w:t xml:space="preserve"> </w:t>
      </w:r>
      <w:r>
        <w:rPr>
          <w:rFonts w:ascii="Times New Roman;sans-serif" w:hAnsi="Times New Roman;sans-serif"/>
          <w:b w:val="false"/>
          <w:color w:val="000000"/>
          <w:sz w:val="20"/>
          <w:shd w:fill="FFFFFF" w:val="clear"/>
        </w:rPr>
        <w:t xml:space="preserve">we plan to commence production </w:t>
      </w:r>
      <w:r>
        <w:rPr>
          <w:rFonts w:ascii="Times New Roman;sans-serif" w:hAnsi="Times New Roman;sans-serif"/>
          <w:b w:val="false"/>
          <w:color w:val="000000"/>
          <w:sz w:val="20"/>
        </w:rPr>
        <w:t>from our own Fast LNG facilities, the first of which began to produce LNG in July</w:t>
      </w:r>
      <w:r>
        <w:rPr>
          <w:color w:val="000000"/>
          <w:shd w:fill="FFFFFF" w:val="clear"/>
        </w:rPr>
        <w:t xml:space="preserve">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xml:space="preserve">. We plan to expand that capacity when additional Fast LNG units come online.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and LNG markets have experienced unprecedented price volatility in recent years.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we plan to further mitigate our exposure to variability in LNG prices. In 2022 and 2023, our revenue and results of operations benefited from selling cargos into the global LNG market. As FLNG facilities commence production, our long-term strategy is to sell substantially all cargos produced to customers on a long-term, take-or-pay basis through our downstream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Current Operations – Ships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Our Ships segment includes Floating Storage and Regasification Units ("FSRUs"), Floating Storage Units ("FSUs") and LNG carriers ("LNGCs"), which are leased to customers under long-term arrangements. </w:t>
      </w:r>
      <w:r>
        <w:rPr>
          <w:rFonts w:ascii="Times New Roman;sans-serif" w:hAnsi="Times New Roman;sans-serif"/>
          <w:b w:val="false"/>
          <w:color w:val="000000"/>
          <w:sz w:val="20"/>
          <w:shd w:fill="FFFFFF" w:val="clear"/>
        </w:rPr>
        <w:t>At the expiration of third party charters of vessels owned by Energos Infrastructure (“Energos”), an entity formed in 2022 and described in more detail below, we plan to charter these vessels for our own operational purposes. The results of operations of vessels utilized in our terminal operations are reflected in the Terminals and Infrastructure segment.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August 2022, we completed a transaction </w:t>
      </w:r>
      <w:r>
        <w:rPr>
          <w:rFonts w:ascii="Times New Roman;sans-serif" w:hAnsi="Times New Roman;sans-serif"/>
          <w:b w:val="false"/>
          <w:color w:val="000000"/>
          <w:sz w:val="20"/>
          <w:shd w:fill="FFFFFF" w:val="clear"/>
        </w:rPr>
        <w:t xml:space="preserve">(the “Energos Formation Transaction”) </w:t>
      </w:r>
      <w:r>
        <w:rPr>
          <w:rFonts w:ascii="Times New Roman;sans-serif" w:hAnsi="Times New Roman;sans-serif"/>
          <w:b w:val="false"/>
          <w:color w:val="000000"/>
          <w:sz w:val="20"/>
        </w:rPr>
        <w:t xml:space="preserve">with an affiliate of Apollo Global Management, Inc., pursuant to which we transferred ownership of eleven vessels to Energos in exchange for approximately </w:t>
      </w:r>
      <w:r>
        <w:rPr>
          <w:rFonts w:ascii="Times New Roman;sans-serif" w:hAnsi="Times New Roman;sans-serif"/>
          <w:b w:val="false"/>
          <w:color w:val="000000"/>
          <w:sz w:val="20"/>
          <w:shd w:fill="FFFFFF" w:val="clear"/>
        </w:rPr>
        <w:t>$1.85 billion</w:t>
      </w:r>
      <w:r>
        <w:rPr>
          <w:color w:val="000000"/>
        </w:rPr>
        <w:t xml:space="preserve"> </w:t>
      </w:r>
      <w:r>
        <w:rPr>
          <w:rFonts w:ascii="Times New Roman;sans-serif" w:hAnsi="Times New Roman;sans-serif"/>
          <w:b w:val="false"/>
          <w:color w:val="000000"/>
          <w:sz w:val="20"/>
        </w:rPr>
        <w:t>in cash and</w:t>
      </w:r>
      <w:r>
        <w:rPr>
          <w:color w:val="000000"/>
          <w:shd w:fill="FFFFFF" w:val="clear"/>
        </w:rPr>
        <w:t xml:space="preserve"> </w:t>
      </w:r>
      <w:r>
        <w:rPr>
          <w:rFonts w:ascii="Times New Roman;sans-serif" w:hAnsi="Times New Roman;sans-serif"/>
          <w:b w:val="false"/>
          <w:color w:val="000000"/>
          <w:sz w:val="20"/>
          <w:shd w:fill="FFFFFF" w:val="clear"/>
        </w:rPr>
        <w:t xml:space="preserve">a 20% equity interest in Energos. Ten of the vessels were subject to current or future charters with NFE and one vessel (the </w:t>
      </w:r>
      <w:r>
        <w:rPr>
          <w:rFonts w:ascii="Times New Roman;sans-serif" w:hAnsi="Times New Roman;sans-serif"/>
          <w:b w:val="false"/>
          <w:i/>
          <w:color w:val="000000"/>
          <w:sz w:val="20"/>
          <w:shd w:fill="FFFFFF" w:val="clear"/>
        </w:rPr>
        <w:t>Nanook</w:t>
      </w:r>
      <w:r>
        <w:rPr>
          <w:rFonts w:ascii="Times New Roman;sans-serif" w:hAnsi="Times New Roman;sans-serif"/>
          <w:b w:val="false"/>
          <w:color w:val="000000"/>
          <w:sz w:val="20"/>
          <w:shd w:fill="FFFFFF" w:val="clear"/>
        </w:rPr>
        <w:t xml:space="preserve">)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Development Projects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projects currently under development include our development of a series of modular liquefaction facilities to provide a source of low-cost supply of LNG to customers around the world through our Fast LNG technologies; our LNG terminal facility and power plant in Puerto Sandino, Nicaragua (“Puerto Sandino Facility”); our LNG terminal (“Barcarena Facility”) and power plants (“Barcarena Power Plant” and "PortoCem Power Plant") located in Pará, Brazil; our LNG terminal located on the southern coast of Brazil ("Santa Catarina Terminal"); our LNG terminal (“Ireland Facility”) and power plant in Ireland, our first green hydrogen project ("ZeroPark I") and Klondike Digital Infrastructure, our newly-launched power and data center infrastructure business ("Klondike").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describe each of our current development projects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Fast LNG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(FSUs) will provide LNG storage alongside the floating liquefaction infrastructure, which can be deployed anywhere there is abundant and stranded natural gas. As noted below, we are also in discussions with CFE to utilize our FLNG design in an onshore application.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initial Fast LNG units were constructed at the Kiewit Offshore Services shipyard near Corpus Christi, Texas. The Kiewit facility specializes in the fabrication and integration of liquefaction projects. In partnership with Kiewit, we believe we have established an efficient and repeatable process to reduce cost and time to build incremental liquefaction capacity. Our first Fast LNG unit has been deployed offshore to Altamira, Mexico, and we expect to deploy additional units over the next two years. We describe our currently planned projects below.</w:t>
      </w:r>
    </w:p>
    <w:p>
      <w:pPr>
        <w:pStyle w:val="TextBody"/>
        <w:bidi w:val="0"/>
        <w:spacing w:lineRule="auto" w:line="288" w:before="240" w:after="283"/>
        <w:jc w:val="left"/>
        <w:rPr/>
      </w:pPr>
      <w:r>
        <w:rPr>
          <w:rFonts w:ascii="Times New Roman;sans-serif" w:hAnsi="Times New Roman;sans-serif"/>
          <w:b w:val="false"/>
          <w:i/>
          <w:color w:val="000000"/>
          <w:sz w:val="20"/>
        </w:rPr>
        <w:t>Altamira</w:t>
      </w:r>
      <w:r>
        <w:rPr>
          <w:color w:val="000000"/>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executed an agreement with CFE to supply natural gas for one FLNG unit located off the coast of Altamira, Tamaulipas, Mexico. The 1.4 million ton per annum (“MTPA”) FLNG unit will utilize CFE’s firm pipeline transportation capacity on the Sur de Texas-Tuxpan Pipeline to receive feedgas volumes. Our first FLNG unit has been installed and connected to the gas pipeline at Altamira, and we are in the process of commissioning the project. While we experienced a delays in commissioning our first FLNG unit, which impacted our results of operations in this period and may impact our results in future periods, in July 2024, we began to produce LNG, and we expect to achieve run-rate production later in 2024.</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2024, we executed an agreement with CFE to supply natural gas to an onshore liquefied natural gas terminal with up to two 1.4 MTPA FLNG units. The terminal is to be located at the existing Altamira LNG import facility and would source feedgas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i/>
          <w:color w:val="000000"/>
          <w:sz w:val="20"/>
        </w:rPr>
        <w:t>Louisiana</w:t>
      </w:r>
      <w:r>
        <w:rPr>
          <w:color w:val="000000"/>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considering a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 </w:t>
      </w:r>
    </w:p>
    <w:p>
      <w:pPr>
        <w:pStyle w:val="TextBody"/>
        <w:bidi w:val="0"/>
        <w:spacing w:lineRule="auto" w:line="288" w:before="240" w:after="283"/>
        <w:jc w:val="left"/>
        <w:rPr/>
      </w:pPr>
      <w:r>
        <w:rPr>
          <w:rFonts w:ascii="Times New Roman;sans-serif" w:hAnsi="Times New Roman;sans-serif"/>
          <w:b w:val="false"/>
          <w:i/>
          <w:color w:val="000000"/>
          <w:sz w:val="20"/>
        </w:rPr>
        <w:t>Lakach</w:t>
      </w:r>
      <w:r>
        <w:rPr>
          <w:color w:val="000000"/>
        </w:rPr>
        <w:t xml:space="preserv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in discussions with Petróleos Mexicanos (“Pemex”) to form a long-term strategic partnership to develop the Lakach deepwater natural gas field for Pemex to supply natural gas to Mexico's onshore domestic market and for NFE to produce LNG for export to global markets. Our initial agreements were terminated in the fourth quarter of 2023, however, NFE continues to be in active discussions with Pemex to develop or monetize an offshore project.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Puerto Sandino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a liquefied natural gas receiving, transloading and regasification facility in Puerto Sandino, Nicaragua, as well as a pipeline connecting the facility with our Puerto Sandino Power Plant. We have entered into a 25-year PPA with Nicaragua’s electricity distribution companies, and we expect to utilize approximately 57,000 MMBtu from LNG per day to provide natural gas to the Puerto Sandino Power Plant in connection with the 25-year power purchase agreement. As part of our long-term strategy, we are evaluating solutions to optimize power generation and delivery to other markets, connected to our power plant through a regional transmission line starting in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Barcarena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Barcarena Facility consists of an FSRU and associated infrastructure, including mooring and offshore and onshore pipelines. The Barcarena Facility is capable of processing over one million MMBtu from LNG per day and storing up to 160,000 cubic meters of LNG. We have entered into a 15-year gas supply agreement with a subsidiary of Norsk Hydro ASA for the supply of natural gas to the Alunorte Alumina Refinery in Pará, Brazil, through our Barcarena Facility. We substantially completed our Barcarena Facility in 2022 and expect to commence operations, including delivery to the Alunorte Alumina Refinery in the second half of 2024.</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Barcarena Facility will also supply our new 630MW combined cycle thermal power plant to be located in Pará, Brazil (the “Barcarena Power Plant”). The power plant is fully contracted under multiple 25-year power purchase agreements to supply electricity to the national electricity grid. We expect to complete the Barcarena Power Plant and begin delivering power to nine committed offtakers for 25 years beginning in 2025.</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March 2024, we closed the acquisition of PortoCem Geração de Energia S.A. ("PortoCem"), a wholly-owned subsidiary of Ceiba Fundo de Investimento em Participações Multiestratégia- Investimento no Exterior ("Ceiba Energy") in exchange for newly issued 4.8% NFE redeemable Series A Convertible Preferred Stock. PortoCem is </w:t>
      </w:r>
      <w:r>
        <w:rPr>
          <w:rFonts w:ascii="Times New Roman;sans-serif" w:hAnsi="Times New Roman;sans-serif"/>
          <w:b w:val="false"/>
          <w:color w:val="000000"/>
          <w:sz w:val="20"/>
          <w:shd w:fill="FFFFFF" w:val="clear"/>
        </w:rPr>
        <w:t xml:space="preserve">the owner of a 15-year 1.6GW capacity reserve contract in Brazil. We have received approval </w:t>
      </w:r>
      <w:r>
        <w:rPr>
          <w:rFonts w:ascii="Times New Roman;sans-serif" w:hAnsi="Times New Roman;sans-serif"/>
          <w:b w:val="false"/>
          <w:color w:val="000000"/>
          <w:sz w:val="20"/>
        </w:rPr>
        <w:t>to transfer the 1.6 GW capacity reserve contract to a site owned by NFE that is adjacent to the Barcarena Facility, where NFE will build the PortoCem Power Plant to supply the capacity reserve contract using gas from the Barcarena Facility. We expect to begin delivering electricity under the acquired capacity reserve contract in July 2026.</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Santa Catarina Facility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Santa Catarina Facility is located on the southern coast of Brazil and consists of an FSRU with a processing capacity of approximately 500,000 MMBtu from LNG per day and LNG storage capacity of up to 138,000 cubic meters. We have developed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commissioning of our Santa Catarina Facility and commence operations in the second half of 2024.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Ireland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 </w:t>
      </w:r>
      <w:r>
        <w:rPr>
          <w:rFonts w:ascii="Times New Roman;sans-serif" w:hAnsi="Times New Roman;sans-serif"/>
          <w:b w:val="false"/>
          <w:color w:val="000000"/>
          <w:sz w:val="20"/>
          <w:shd w:fill="FFFFFF" w:val="clear"/>
        </w:rPr>
        <w:t>In the third quarter of 2023, An Bord Pleanála, Ireland's planning commission, denied our application for the development of an LNG terminal and power plant. We are challenging this decision. The continued development of this project is uncertain and there are multiple risks, including regulatory risks, that could preclude the development of this project, and the results of these risks could have a material effect on our results of operations.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ZeroParks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and expect to commence operations on the first phase in 2025. Additionally, we have secured a binding offtake commitment for the clean hydrogen produced at ZeroPark I. Once completed, we expect ZeroPark I to be the largest green hydrogen plant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recently launched Klondike, a power and data center development business dedicated to working with hyperscale customers to build and operate data centers. This venture comes in response to a significant need for turnkey digital infrastructure to support the next stage of explosive growth in artificial intelligence.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Klondike will employ independent power sources that utilize behind-the-meter on-site power. This innovative approach is designed to address all major constraints of digital infrastructure development, providing grid stability, significant transmission capacity, power reliability, energy cost savings, and scalability. This approach not only reduces the demand for power from the grid but also contributes power back to it.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Klondike is currently developing a geographically diverse portfolio of data center sites to satisfy the requirements of hyperscale users. Klondike has more than 1,000 acres of developable land across sites in Brazil, Ireland, and the United States that it either owns or leases. These locations have large existing power plants or permits in process to build several gigawatts of power, connectivity to fiber networks, access to transmission and water.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Matters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On June 18, 2020, we received an order from the Federal Energy Regulatory Commission ("FERC"), which asked </w:t>
      </w:r>
      <w:r>
        <w:rPr>
          <w:rFonts w:ascii="Times New Roman;sans-serif" w:hAnsi="Times New Roman;sans-serif"/>
          <w:b w:val="false"/>
          <w:color w:val="000000"/>
          <w:sz w:val="20"/>
          <w:shd w:fill="FFFFFF" w:val="clear"/>
        </w:rPr>
        <w:t>us to explain</w:t>
      </w:r>
      <w:r>
        <w:rPr>
          <w:color w:val="000000"/>
        </w:rPr>
        <w:t xml:space="preserve"> </w:t>
      </w:r>
      <w:r>
        <w:rPr>
          <w:rFonts w:ascii="Times New Roman;sans-serif" w:hAnsi="Times New Roman;sans-serif"/>
          <w:b w:val="false"/>
          <w:color w:val="000000"/>
          <w:sz w:val="20"/>
        </w:rPr>
        <w:t xml:space="preserve">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w:t>
      </w:r>
      <w:r>
        <w:rPr>
          <w:rFonts w:ascii="Times New Roman;sans-serif" w:hAnsi="Times New Roman;sans-serif"/>
          <w:b w:val="false"/>
          <w:color w:val="000000"/>
          <w:sz w:val="20"/>
          <w:shd w:fill="FFFFFF" w:val="clear"/>
        </w:rPr>
        <w:t>denied all requests for rehearing in an order issued on July 15, 2021; the</w:t>
      </w:r>
      <w:r>
        <w:rPr>
          <w:color w:val="000000"/>
        </w:rPr>
        <w:t xml:space="preserve"> </w:t>
      </w:r>
      <w:r>
        <w:rPr>
          <w:rFonts w:ascii="Times New Roman;sans-serif" w:hAnsi="Times New Roman;sans-serif"/>
          <w:b w:val="false"/>
          <w:color w:val="000000"/>
          <w:sz w:val="20"/>
        </w:rPr>
        <w:t xml:space="preserve">FERC order was affirmed by the United States Court of Appeals for the District of Columbia Circuit on June 14, 2022.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order to comply with the FERC’s directive, on September 15, 2021, we filed an application for authorization to operate the San Juan Facility, which remains 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 – Three Months Ended June 30, 2024 compared to Three Months Ended March 31, 2024 and Six Months Ended June 30, 2024 compared to Six Months Ended June 30, 2023</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w:t>
      </w:r>
      <w:r>
        <w:rPr>
          <w:color w:val="000000"/>
        </w:rPr>
        <w:t xml:space="preserve"> </w:t>
      </w:r>
      <w:r>
        <w:rPr>
          <w:rFonts w:ascii="Times New Roman;sans-serif" w:hAnsi="Times New Roman;sans-serif"/>
          <w:b w:val="false"/>
          <w:color w:val="000000"/>
          <w:sz w:val="20"/>
        </w:rPr>
        <w:t>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our segment information for the three months ended June 30, 2024 and March 31, 2024, and for the six months ended June 30, 2024 and June 30, 2023:</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023"/>
        <w:gridCol w:w="826"/>
        <w:gridCol w:w="829"/>
        <w:gridCol w:w="242"/>
        <w:gridCol w:w="966"/>
        <w:gridCol w:w="125"/>
        <w:gridCol w:w="109"/>
        <w:gridCol w:w="109"/>
        <w:gridCol w:w="109"/>
        <w:gridCol w:w="211"/>
        <w:gridCol w:w="736"/>
        <w:gridCol w:w="109"/>
        <w:gridCol w:w="109"/>
        <w:gridCol w:w="109"/>
        <w:gridCol w:w="109"/>
        <w:gridCol w:w="231"/>
        <w:gridCol w:w="923"/>
        <w:gridCol w:w="119"/>
        <w:gridCol w:w="109"/>
        <w:gridCol w:w="109"/>
        <w:gridCol w:w="109"/>
        <w:gridCol w:w="257"/>
        <w:gridCol w:w="899"/>
        <w:gridCol w:w="135"/>
        <w:gridCol w:w="109"/>
        <w:gridCol w:w="109"/>
        <w:gridCol w:w="109"/>
        <w:gridCol w:w="220"/>
        <w:gridCol w:w="879"/>
        <w:gridCol w:w="167"/>
      </w:tblGrid>
      <w:tr>
        <w:trPr/>
        <w:tc>
          <w:tcPr>
            <w:tcW w:w="10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7"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r>
      <w:tr>
        <w:trPr/>
        <w:tc>
          <w:tcPr>
            <w:tcW w:w="2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(1)(2)</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(4)</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(4)</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Deferred earnings from contracted sales</w:t>
            </w:r>
            <w:r>
              <w:rPr>
                <w:rFonts w:ascii="Times New Roman;sans-serif" w:hAnsi="Times New Roman;sans-serif"/>
                <w:b w:val="false"/>
                <w:color w:val="000000"/>
                <w:sz w:val="13"/>
              </w:rPr>
              <w:t>(5)</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214,276</w:t>
            </w:r>
            <w:r>
              <w:rPr>
                <w:color w:val="000000"/>
              </w:rPr>
              <w:t>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34,075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248,351</w:t>
            </w:r>
            <w:r>
              <w:rPr>
                <w:color w:val="000000"/>
              </w:rPr>
              <w:t>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(90,000)</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158,351</w:t>
            </w:r>
            <w:r>
              <w:rPr>
                <w:color w:val="000000"/>
              </w:rPr>
              <w:t>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8052" w:type="dxa"/>
        <w:jc w:val="left"/>
        <w:tblInd w:w="0" w:type="dxa"/>
        <w:tblLayout w:type="fixed"/>
        <w:tblCellMar>
          <w:top w:w="28" w:type="dxa"/>
          <w:left w:w="28" w:type="dxa"/>
          <w:bottom w:w="28" w:type="dxa"/>
          <w:right w:w="28" w:type="dxa"/>
        </w:tblCellMar>
      </w:tblPr>
      <w:tblGrid>
        <w:gridCol w:w="1707"/>
        <w:gridCol w:w="1501"/>
        <w:gridCol w:w="1501"/>
        <w:gridCol w:w="603"/>
        <w:gridCol w:w="607"/>
        <w:gridCol w:w="109"/>
        <w:gridCol w:w="109"/>
        <w:gridCol w:w="109"/>
        <w:gridCol w:w="109"/>
        <w:gridCol w:w="109"/>
        <w:gridCol w:w="109"/>
        <w:gridCol w:w="109"/>
        <w:gridCol w:w="109"/>
        <w:gridCol w:w="220"/>
        <w:gridCol w:w="879"/>
        <w:gridCol w:w="162"/>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120,938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158,351</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94" w:type="dxa"/>
        <w:jc w:val="left"/>
        <w:tblInd w:w="0" w:type="dxa"/>
        <w:tblLayout w:type="fixed"/>
        <w:tblCellMar>
          <w:top w:w="28" w:type="dxa"/>
          <w:left w:w="28" w:type="dxa"/>
          <w:bottom w:w="28" w:type="dxa"/>
          <w:right w:w="28" w:type="dxa"/>
        </w:tblCellMar>
      </w:tblPr>
      <w:tblGrid>
        <w:gridCol w:w="939"/>
        <w:gridCol w:w="826"/>
        <w:gridCol w:w="829"/>
        <w:gridCol w:w="245"/>
        <w:gridCol w:w="978"/>
        <w:gridCol w:w="127"/>
        <w:gridCol w:w="109"/>
        <w:gridCol w:w="109"/>
        <w:gridCol w:w="109"/>
        <w:gridCol w:w="211"/>
        <w:gridCol w:w="736"/>
        <w:gridCol w:w="109"/>
        <w:gridCol w:w="109"/>
        <w:gridCol w:w="109"/>
        <w:gridCol w:w="109"/>
        <w:gridCol w:w="242"/>
        <w:gridCol w:w="967"/>
        <w:gridCol w:w="125"/>
        <w:gridCol w:w="109"/>
        <w:gridCol w:w="109"/>
        <w:gridCol w:w="109"/>
        <w:gridCol w:w="375"/>
        <w:gridCol w:w="721"/>
        <w:gridCol w:w="195"/>
        <w:gridCol w:w="109"/>
        <w:gridCol w:w="109"/>
        <w:gridCol w:w="109"/>
        <w:gridCol w:w="220"/>
        <w:gridCol w:w="879"/>
        <w:gridCol w:w="162"/>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690,321 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(2)</w:t>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(4)</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(4)</w:t>
            </w:r>
          </w:p>
        </w:tc>
        <w:tc>
          <w:tcPr>
            <w:tcW w:w="24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350,072</w:t>
            </w: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34,188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384,260</w:t>
            </w:r>
            <w:r>
              <w:rPr>
                <w:color w:val="000000"/>
              </w:rPr>
              <w:t>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384,260</w:t>
            </w: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117" w:type="dxa"/>
        <w:jc w:val="left"/>
        <w:tblInd w:w="0" w:type="dxa"/>
        <w:tblLayout w:type="fixed"/>
        <w:tblCellMar>
          <w:top w:w="28" w:type="dxa"/>
          <w:left w:w="28" w:type="dxa"/>
          <w:bottom w:w="28" w:type="dxa"/>
          <w:right w:w="28" w:type="dxa"/>
        </w:tblCellMar>
      </w:tblPr>
      <w:tblGrid>
        <w:gridCol w:w="1710"/>
        <w:gridCol w:w="1500"/>
        <w:gridCol w:w="1500"/>
        <w:gridCol w:w="635"/>
        <w:gridCol w:w="639"/>
        <w:gridCol w:w="109"/>
        <w:gridCol w:w="109"/>
        <w:gridCol w:w="109"/>
        <w:gridCol w:w="109"/>
        <w:gridCol w:w="109"/>
        <w:gridCol w:w="109"/>
        <w:gridCol w:w="109"/>
        <w:gridCol w:w="109"/>
        <w:gridCol w:w="220"/>
        <w:gridCol w:w="879"/>
        <w:gridCol w:w="162"/>
      </w:tblGrid>
      <w:tr>
        <w:trPr/>
        <w:tc>
          <w:tcPr>
            <w:tcW w:w="171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9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333,769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384,260</w:t>
            </w:r>
            <w:r>
              <w:rPr>
                <w:color w:val="000000"/>
              </w:rPr>
              <w:t> </w:t>
            </w:r>
          </w:p>
        </w:tc>
        <w:tc>
          <w:tcPr>
            <w:tcW w:w="16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87"/>
        <w:gridCol w:w="783"/>
        <w:gridCol w:w="786"/>
        <w:gridCol w:w="216"/>
        <w:gridCol w:w="1002"/>
        <w:gridCol w:w="112"/>
        <w:gridCol w:w="109"/>
        <w:gridCol w:w="109"/>
        <w:gridCol w:w="109"/>
        <w:gridCol w:w="211"/>
        <w:gridCol w:w="736"/>
        <w:gridCol w:w="109"/>
        <w:gridCol w:w="109"/>
        <w:gridCol w:w="109"/>
        <w:gridCol w:w="109"/>
        <w:gridCol w:w="214"/>
        <w:gridCol w:w="993"/>
        <w:gridCol w:w="110"/>
        <w:gridCol w:w="109"/>
        <w:gridCol w:w="109"/>
        <w:gridCol w:w="109"/>
        <w:gridCol w:w="257"/>
        <w:gridCol w:w="899"/>
        <w:gridCol w:w="135"/>
        <w:gridCol w:w="109"/>
        <w:gridCol w:w="109"/>
        <w:gridCol w:w="109"/>
        <w:gridCol w:w="211"/>
        <w:gridCol w:w="976"/>
        <w:gridCol w:w="160"/>
      </w:tblGrid>
      <w:tr>
        <w:trPr/>
        <w:tc>
          <w:tcPr>
            <w:tcW w:w="98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2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1,118,327 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(1)(2)</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(4)</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(4)</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Deferred earnings from contracted sales</w:t>
            </w:r>
            <w:r>
              <w:rPr>
                <w:rFonts w:ascii="Times New Roman;sans-serif" w:hAnsi="Times New Roman;sans-serif"/>
                <w:b w:val="false"/>
                <w:color w:val="000000"/>
                <w:sz w:val="13"/>
              </w:rPr>
              <w:t>(5)</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564,348</w:t>
            </w:r>
            <w:r>
              <w:rPr>
                <w:color w:val="000000"/>
              </w:rPr>
              <w:t> </w:t>
            </w:r>
          </w:p>
        </w:tc>
        <w:tc>
          <w:tcPr>
            <w:tcW w:w="1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68,263</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632,611</w:t>
            </w: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(90,000)</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542,611</w:t>
            </w:r>
            <w:r>
              <w:rPr>
                <w:color w:val="000000"/>
              </w:rPr>
              <w:t>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59" w:type="dxa"/>
        <w:jc w:val="left"/>
        <w:tblInd w:w="0" w:type="dxa"/>
        <w:tblLayout w:type="fixed"/>
        <w:tblCellMar>
          <w:top w:w="28" w:type="dxa"/>
          <w:left w:w="28" w:type="dxa"/>
          <w:bottom w:w="28" w:type="dxa"/>
          <w:right w:w="28" w:type="dxa"/>
        </w:tblCellMar>
      </w:tblPr>
      <w:tblGrid>
        <w:gridCol w:w="1707"/>
        <w:gridCol w:w="1501"/>
        <w:gridCol w:w="1501"/>
        <w:gridCol w:w="557"/>
        <w:gridCol w:w="560"/>
        <w:gridCol w:w="109"/>
        <w:gridCol w:w="109"/>
        <w:gridCol w:w="109"/>
        <w:gridCol w:w="109"/>
        <w:gridCol w:w="109"/>
        <w:gridCol w:w="109"/>
        <w:gridCol w:w="109"/>
        <w:gridCol w:w="109"/>
        <w:gridCol w:w="220"/>
        <w:gridCol w:w="879"/>
        <w:gridCol w:w="162"/>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2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454,707</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542,611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7"/>
        <w:gridCol w:w="764"/>
        <w:gridCol w:w="767"/>
        <w:gridCol w:w="244"/>
        <w:gridCol w:w="974"/>
        <w:gridCol w:w="126"/>
        <w:gridCol w:w="109"/>
        <w:gridCol w:w="109"/>
        <w:gridCol w:w="109"/>
        <w:gridCol w:w="211"/>
        <w:gridCol w:w="841"/>
        <w:gridCol w:w="109"/>
        <w:gridCol w:w="109"/>
        <w:gridCol w:w="109"/>
        <w:gridCol w:w="109"/>
        <w:gridCol w:w="216"/>
        <w:gridCol w:w="1002"/>
        <w:gridCol w:w="111"/>
        <w:gridCol w:w="109"/>
        <w:gridCol w:w="109"/>
        <w:gridCol w:w="109"/>
        <w:gridCol w:w="234"/>
        <w:gridCol w:w="935"/>
        <w:gridCol w:w="122"/>
        <w:gridCol w:w="109"/>
        <w:gridCol w:w="109"/>
        <w:gridCol w:w="109"/>
        <w:gridCol w:w="211"/>
        <w:gridCol w:w="976"/>
        <w:gridCol w:w="157"/>
      </w:tblGrid>
      <w:tr>
        <w:trPr/>
        <w:tc>
          <w:tcPr>
            <w:tcW w:w="89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7"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2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bidi w:val="0"/>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1,140,476 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(1)(2)</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(4)</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(4)</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641,575</w:t>
            </w: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133,076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774,651</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(129,983)</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644,668</w:t>
            </w: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850" w:type="dxa"/>
        <w:jc w:val="left"/>
        <w:tblInd w:w="0" w:type="dxa"/>
        <w:tblLayout w:type="fixed"/>
        <w:tblCellMar>
          <w:top w:w="28" w:type="dxa"/>
          <w:left w:w="28" w:type="dxa"/>
          <w:bottom w:w="28" w:type="dxa"/>
          <w:right w:w="28" w:type="dxa"/>
        </w:tblCellMar>
      </w:tblPr>
      <w:tblGrid>
        <w:gridCol w:w="1707"/>
        <w:gridCol w:w="1501"/>
        <w:gridCol w:w="1501"/>
        <w:gridCol w:w="557"/>
        <w:gridCol w:w="560"/>
        <w:gridCol w:w="109"/>
        <w:gridCol w:w="109"/>
        <w:gridCol w:w="109"/>
        <w:gridCol w:w="109"/>
        <w:gridCol w:w="109"/>
        <w:gridCol w:w="109"/>
        <w:gridCol w:w="109"/>
        <w:gridCol w:w="220"/>
        <w:gridCol w:w="879"/>
        <w:gridCol w:w="162"/>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2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2024" w:type="dxa"/>
            <w:gridSpan w:val="10"/>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568,178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644,668</w:t>
            </w: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Cost of sales in our segment measure only includes realized gains and losses on derivative transactions that are economic hedges of our commodity purchases and sales, and realized gains of $141.9 million for the six months ended June 30, 2023 were recognized as a reduction to Cost of sales in the segment measure. No such transactions were completed in 2024.</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recognized unrealized losses of $108.3 million on the mark-to-market value of derivative transactions for the six months ended June 30, 2023, and these losses reconcile Cost of sales in the segment measure to Cost of sales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has excluded contract acquisition costs that do not meet the criteria for capitalization from the segment measure. Contract acquisition costs of </w:t>
      </w:r>
      <w:r>
        <w:rPr>
          <w:rFonts w:ascii="Times New Roman;sans-serif" w:hAnsi="Times New Roman;sans-serif"/>
          <w:b w:val="false"/>
          <w:color w:val="000000"/>
          <w:sz w:val="20"/>
        </w:rPr>
        <w:t>$6.2 million</w:t>
      </w:r>
      <w:r>
        <w:rPr>
          <w:color w:val="000000"/>
          <w:shd w:fill="FFFFFF" w:val="clear"/>
        </w:rPr>
        <w:t xml:space="preserve"> </w:t>
      </w:r>
      <w:r>
        <w:rPr>
          <w:rFonts w:ascii="Times New Roman;sans-serif" w:hAnsi="Times New Roman;sans-serif"/>
          <w:b w:val="false"/>
          <w:color w:val="000000"/>
          <w:sz w:val="20"/>
          <w:shd w:fill="FFFFFF" w:val="clear"/>
        </w:rPr>
        <w:t xml:space="preserve">for the six months ended June 30, 2023 are shown as a reduction to Cost of sales in the segment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13"/>
          <w:shd w:fill="FFFFFF" w:val="clear"/>
        </w:rPr>
        <w:t>(2)</w:t>
      </w:r>
      <w:r>
        <w:rPr>
          <w:color w:val="000000"/>
          <w:shd w:fill="FFFFFF" w:val="clear"/>
        </w:rPr>
        <w:t xml:space="preserve"> </w:t>
      </w:r>
      <w:r>
        <w:rPr>
          <w:rFonts w:ascii="Times New Roman;sans-serif" w:hAnsi="Times New Roman;sans-serif"/>
          <w:b w:val="false"/>
          <w:color w:val="000000"/>
          <w:sz w:val="20"/>
          <w:shd w:fill="FFFFFF" w:val="clear"/>
        </w:rPr>
        <w:t xml:space="preserve">Cost of sales is presented exclusive of costs included in Depreciation and amortization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pPr>
      <w:r>
        <w:rPr>
          <w:rFonts w:ascii="Times New Roman;sans-serif" w:hAnsi="Times New Roman;sans-serif"/>
          <w:b w:val="false"/>
          <w:color w:val="000000"/>
          <w:sz w:val="13"/>
          <w:shd w:fill="FFFFFF" w:val="clear"/>
        </w:rPr>
        <w:t>(3)</w:t>
      </w:r>
      <w:r>
        <w:rPr>
          <w:color w:val="000000"/>
          <w:shd w:fill="FFFFFF" w:val="clear"/>
        </w:rPr>
        <w:t xml:space="preserve"> </w:t>
      </w:r>
      <w:r>
        <w:rPr>
          <w:rFonts w:ascii="Times New Roman;sans-serif" w:hAnsi="Times New Roman;sans-serif"/>
          <w:b w:val="false"/>
          <w:color w:val="000000"/>
          <w:sz w:val="20"/>
          <w:shd w:fill="FFFFFF" w:val="clear"/>
        </w:rPr>
        <w:t>Consolidation and Other adjusts for the inclusion of deferred earnings on contracted LNG sales of $90,000. The effective share of revenues, expenses and operating margin attributable to the Company's ownership of the common units of Hilli LLC in the segment measure, prior to the disposition to this investment, as well as unrealized mark-to-market gain or loss on derivative instruments, are also removed.</w:t>
      </w:r>
    </w:p>
    <w:p>
      <w:pPr>
        <w:pStyle w:val="TextBody"/>
        <w:bidi w:val="0"/>
        <w:spacing w:lineRule="auto" w:line="288" w:before="240" w:after="283"/>
        <w:jc w:val="left"/>
        <w:rPr/>
      </w:pPr>
      <w:r>
        <w:rPr>
          <w:rFonts w:ascii="Times New Roman;sans-serif" w:hAnsi="Times New Roman;sans-serif"/>
          <w:b w:val="false"/>
          <w:color w:val="000000"/>
          <w:sz w:val="13"/>
          <w:shd w:fill="FFFFFF" w:val="clear"/>
        </w:rPr>
        <w:t>(4)</w:t>
      </w:r>
      <w:r>
        <w:rPr>
          <w:color w:val="000000"/>
          <w:shd w:fill="FFFFFF" w:val="clear"/>
        </w:rPr>
        <w:t xml:space="preserve"> </w:t>
      </w:r>
      <w:r>
        <w:rPr>
          <w:rFonts w:ascii="Times New Roman;sans-serif" w:hAnsi="Times New Roman;sans-serif"/>
          <w:b w:val="false"/>
          <w:color w:val="000000"/>
          <w:sz w:val="20"/>
          <w:shd w:fill="FFFFFF" w:val="clear"/>
        </w:rPr>
        <w:t>Operations and maintenance and Vessel operating expenses are directly attributable to revenue-producing activities of our terminals and vessels and are included in the calculation of Gross margin defined under GAAP.</w:t>
      </w:r>
    </w:p>
    <w:p>
      <w:pPr>
        <w:pStyle w:val="TextBody"/>
        <w:bidi w:val="0"/>
        <w:spacing w:lineRule="auto" w:line="288" w:before="120" w:after="283"/>
        <w:jc w:val="left"/>
        <w:rPr/>
      </w:pPr>
      <w:r>
        <w:rPr>
          <w:rFonts w:ascii="Times New Roman;sans-serif" w:hAnsi="Times New Roman;sans-serif"/>
          <w:b w:val="false"/>
          <w:color w:val="000000"/>
          <w:sz w:val="13"/>
          <w:shd w:fill="FFFFFF" w:val="clear"/>
        </w:rPr>
        <w:t>(5)</w:t>
      </w:r>
      <w:r>
        <w:rPr>
          <w:color w:val="000000"/>
          <w:shd w:fill="FFFFFF" w:val="clear"/>
        </w:rPr>
        <w:t xml:space="preserve"> </w:t>
      </w:r>
      <w:r>
        <w:rPr>
          <w:rFonts w:ascii="Times New Roman;sans-serif" w:hAnsi="Times New Roman;sans-serif"/>
          <w:b w:val="false"/>
          <w:color w:val="000000"/>
          <w:sz w:val="20"/>
          <w:shd w:fill="FFFFFF" w:val="clear"/>
        </w:rPr>
        <w:t xml:space="preserve">Deferred earnings from contracted sales represent forward sales transactions that were contracted in the current period and prepayment for these sales was received. Revenue will be recognized in the </w:t>
      </w:r>
      <w:r>
        <w:rPr>
          <w:rFonts w:ascii="Times New Roman;sans-serif" w:hAnsi="Times New Roman;sans-serif"/>
          <w:b w:val="false"/>
          <w:color w:val="000000"/>
          <w:sz w:val="20"/>
        </w:rPr>
        <w:t>Condensed Consolidated Statements of Operations and Comprehensive Income (Loss) when delivery under these forward sales transactions is completed in the third and fourth quarters of 2024.</w:t>
      </w: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Terminals and Infrastructure Segment</w:t>
      </w:r>
    </w:p>
    <w:tbl>
      <w:tblPr>
        <w:tblW w:w="10205" w:type="dxa"/>
        <w:jc w:val="left"/>
        <w:tblInd w:w="0" w:type="dxa"/>
        <w:tblLayout w:type="fixed"/>
        <w:tblCellMar>
          <w:top w:w="28" w:type="dxa"/>
          <w:left w:w="28" w:type="dxa"/>
          <w:bottom w:w="28" w:type="dxa"/>
          <w:right w:w="28" w:type="dxa"/>
        </w:tblCellMar>
      </w:tblPr>
      <w:tblGrid>
        <w:gridCol w:w="1519"/>
        <w:gridCol w:w="1303"/>
        <w:gridCol w:w="1308"/>
        <w:gridCol w:w="227"/>
        <w:gridCol w:w="908"/>
        <w:gridCol w:w="117"/>
        <w:gridCol w:w="109"/>
        <w:gridCol w:w="109"/>
        <w:gridCol w:w="109"/>
        <w:gridCol w:w="251"/>
        <w:gridCol w:w="1004"/>
        <w:gridCol w:w="130"/>
        <w:gridCol w:w="109"/>
        <w:gridCol w:w="109"/>
        <w:gridCol w:w="109"/>
        <w:gridCol w:w="211"/>
        <w:gridCol w:w="889"/>
        <w:gridCol w:w="109"/>
        <w:gridCol w:w="109"/>
        <w:gridCol w:w="109"/>
        <w:gridCol w:w="109"/>
        <w:gridCol w:w="109"/>
        <w:gridCol w:w="109"/>
        <w:gridCol w:w="109"/>
        <w:gridCol w:w="109"/>
        <w:gridCol w:w="109"/>
        <w:gridCol w:w="109"/>
        <w:gridCol w:w="109"/>
        <w:gridCol w:w="109"/>
        <w:gridCol w:w="109"/>
        <w:gridCol w:w="109"/>
        <w:gridCol w:w="158"/>
      </w:tblGrid>
      <w:tr>
        <w:trPr/>
        <w:tc>
          <w:tcPr>
            <w:tcW w:w="151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4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(exclusive of depreciation and amortization) </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earnings from contracted sales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214,276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350,072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0"/>
        <w:gridCol w:w="1366"/>
        <w:gridCol w:w="1370"/>
        <w:gridCol w:w="211"/>
        <w:gridCol w:w="976"/>
        <w:gridCol w:w="109"/>
        <w:gridCol w:w="109"/>
        <w:gridCol w:w="109"/>
        <w:gridCol w:w="109"/>
        <w:gridCol w:w="228"/>
        <w:gridCol w:w="912"/>
        <w:gridCol w:w="117"/>
        <w:gridCol w:w="109"/>
        <w:gridCol w:w="109"/>
        <w:gridCol w:w="109"/>
        <w:gridCol w:w="211"/>
        <w:gridCol w:w="787"/>
        <w:gridCol w:w="109"/>
        <w:gridCol w:w="109"/>
        <w:gridCol w:w="109"/>
        <w:gridCol w:w="109"/>
        <w:gridCol w:w="109"/>
        <w:gridCol w:w="109"/>
        <w:gridCol w:w="109"/>
        <w:gridCol w:w="109"/>
        <w:gridCol w:w="109"/>
        <w:gridCol w:w="109"/>
        <w:gridCol w:w="109"/>
        <w:gridCol w:w="109"/>
        <w:gridCol w:w="109"/>
        <w:gridCol w:w="109"/>
        <w:gridCol w:w="158"/>
      </w:tblGrid>
      <w:tr>
        <w:trPr/>
        <w:tc>
          <w:tcPr>
            <w:tcW w:w="158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12"/>
            <w:tcBorders/>
          </w:tcPr>
          <w:p>
            <w:pPr>
              <w:pStyle w:val="TableContents"/>
              <w:bidi w:val="0"/>
              <w:spacing w:before="0" w:after="283"/>
              <w:jc w:val="left"/>
              <w:rPr>
                <w:sz w:val="4"/>
                <w:szCs w:val="4"/>
              </w:rPr>
            </w:pPr>
            <w:r>
              <w:rPr>
                <w:sz w:val="4"/>
                <w:szCs w:val="4"/>
              </w:rPr>
            </w:r>
          </w:p>
        </w:tc>
      </w:tr>
      <w:tr>
        <w:trPr/>
        <w:tc>
          <w:tcPr>
            <w:tcW w:w="4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998,112 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(exclusive of depreciation and amortization)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earnings from contracted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564,348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641,575</w:t>
            </w:r>
            <w:r>
              <w:rPr>
                <w:color w:val="000000"/>
              </w:rPr>
              <w:t>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(77,227)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revenue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for the Terminals and Infrastructure Segment decreased by $262.3 million for the three months ended June 30, 2024 as compared to the three months ended March 31, 2024. The decrease was primarily driven by decreases to revenue earned in our Puerto Rican operations after the termination of our contract to support the grid stabilization project late in the first quarter of 2024.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volumes delivered to downstream terminal customers decreased from 22.0 TBtu in the first quarter of 2024 to 20.2 TBtu in the second quarter of 2024, which was primarily due to contract termination and maintenance in our Puerto Rico operations. The average Henry Hub index pricing used to invoice our downstream customers decreased by 15% for the three months ended June 30, 2024 as compared to the three months ended March 31, 2024.</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for the Terminals and Infrastructure Segment increased by $35.1 million for the six months ended June 30, 2024 as compared to the six months ended June 30, 2023, and the increase in revenue was primarily attributable to the following:</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For the six months ended June 30, 2024, volumes delivered to downstream customers were 42.1 TBtu as compared to 26.1 TBtu for the six months ended June 30, 2023. We delivered gas for two and half months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grid stabilization project in Puerto Rico during the first half of 2024, while the project was just ramping up during the second quarter of 2023.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In the third quarter of 2023, we started providing operations and maintenance services to PREPA's thermal generation assets recognizing $109.6 million of revenue during the six months ended June 30, 2024.</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delivered significantly higher volumes in the current year, our revenue was impacted by lower Henry Hub pricing and lower cargo sale revenue.</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The average Henry Hub index pricing used to invoice our downstream customers decreased by 25% for the six months ended June 30, 2024 as compared to the six months ended June 30, 2023.</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Company had $24.5 million in cargo sales for the six months ended June 30, 2024. Revenue from cargos sales was </w:t>
      </w:r>
      <w:r>
        <w:rPr>
          <w:rFonts w:ascii="Times New Roman;sans-serif" w:hAnsi="Times New Roman;sans-serif"/>
          <w:b w:val="false"/>
          <w:color w:val="000000"/>
          <w:sz w:val="20"/>
          <w:shd w:fill="FFFFFF" w:val="clear"/>
        </w:rPr>
        <w:t>$617.1 million</w:t>
      </w:r>
      <w:r>
        <w:rPr>
          <w:color w:val="000000"/>
        </w:rPr>
        <w:t xml:space="preserve"> </w:t>
      </w:r>
      <w:r>
        <w:rPr>
          <w:rFonts w:ascii="Times New Roman;sans-serif" w:hAnsi="Times New Roman;sans-serif"/>
          <w:b w:val="false"/>
          <w:color w:val="000000"/>
          <w:sz w:val="20"/>
        </w:rPr>
        <w:t>for the six months ended June 30, 2023</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 of sales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the procurement of feed gas or LNG, as well as shipping and logistics costs to deliver LNG or natural gas to our facilities. Historically, our LNG and natural gas supply has been purchased from third parties or converted in our Miami Facility. Following the anticipated sale of our Miami Facility, we expect to continue sourcing LNG from third parties and for a portion of our supply to be generated by our first FLNG unit. Costs to convert natural gas to LNG, including labor, depreciation and other direct costs to operate our liquefaction facilities are also included in Cost of sales. Starting in the third quarter of 2023, our subsidiary, Genera, began to provide operations and maintenance services to PREPA's thermal generation assets, and cost to provide these services is included in Cost of sales. Under our contract with PREPA, we pass all of these costs onto PREPA, and such billings are recognized as revenue.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decreased by $7.3 million for the three months ended June 30, 2024 as compared to the three months ended March 31, 2024, which was attributable to lower cost of gas purchased and volumes delivered. We delivered 8% less volumes to our downstream terminal customers during the three months ended June 30, 2024 compared to the three months ended March 31, 2024. Our cost to deliver natural gas volumes decreased to $6.42 per MMBtu for the three months ended June 30, 2024 from $6.96 per MMBtu for the three months ended March 31, 2024. After our FLNG asset is fully commissioned and operational, we expect to be able to produce materially cheaper LNG than the LNG purchased under our supply contracts.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increased by $154.8 million for the six months ended June 30, 2024 as compared to the six months ended June 30, 2023, which was attributable to the following activity:</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In the six months ended June 30, 2023, realized gains of $141.9 million from the settlement of commodity swap transactions, entered into as an economic hedge to reduce the market risks associated with commodity prices, were included as reduction of cost of sales in the segment measure. For segment performance measures, unrealized mark to market gains and losses are excluded until settled. No such transactions occurred in the current period.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incurred increased cost of LNG purchased from third parties for sale to our downstream customers of $71.1 million during the six months ended June 30, 2024 due to increased volumes delivered. We delivered 61% more volume to our downstream terminal customers in the current period. While we delivered significantly more volumes to our downstream customers, our pricing to purchase LNG for delivery to such customers was lower, decreasing to $6.65 per MMBtu for the six months ended June 30, 2024 from $7.66 per MMBtu for the six months ended June 30, 2023. </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Vessel costs increased by $47.3 million, for the six months ended June 30, 2024 as compared to the six months ended June 30, 2023. In 2023, we chartered additional vessels to enable us to rapidly have the infrastructure available to deliver additional LNG to Puerto Rico to support the grid stabilization contract. In future periods, we expect our vessel costs to decrease as we optimize our supply chain to Puerto Rico with fewer and less costly vessels. We were also able to sub-charter certain vessels for a portion of the current period, earning incremental charter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We recognized additional payroll and other operating costs of $47.6 million to provide services under Genera's operations and maintenance contract; these costs are passed onto PREPA. No such costs were incurred during the six months ended June 30, 2023 as our contract commenced on July 1, 2023.</w:t>
      </w:r>
    </w:p>
    <w:p>
      <w:pPr>
        <w:pStyle w:val="TextBody"/>
        <w:bidi w:val="0"/>
        <w:spacing w:lineRule="auto" w:line="288" w:before="240" w:after="283"/>
        <w:ind w:left="0" w:right="0" w:hanging="360"/>
        <w:jc w:val="left"/>
        <w:rPr/>
      </w:pPr>
      <w:r>
        <w:rPr>
          <w:color w:val="000000"/>
          <w:shd w:fill="FFFFFF" w:val="clear"/>
        </w:rPr>
        <w:t>•</w:t>
      </w:r>
      <w:r>
        <w:rPr>
          <w:rFonts w:ascii="Times New Roman;sans-serif" w:hAnsi="Times New Roman;sans-serif"/>
          <w:b w:val="false"/>
          <w:color w:val="000000"/>
          <w:sz w:val="20"/>
        </w:rPr>
        <w:t xml:space="preserve">We incurred decreased cost of LNG purchased from third parties for LNG cargo sales of $162.2 million during the six months ended June 30, 2024 as our LNG cargo sale activity has been significantly lower in the first half of 2024.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weighted-average cost of our LNG inventory balance to be used in our operations as of June 30, 2024 and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was $7.30 per MMBtu and $8.09 per MMBtu, respectively.</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Operations and maintenance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includes costs of operating our facilities, exclusive of costs to convert that are reflected in Cost of sales.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and maintenance decreased $29.3 million for the three months ended June 30, 2024 as compared to the three months ended March 31, 2024. The decrease was primarily attributable to reduced operations, maintenance and lease costs of turbines to generate power as part of the grid stabilization project in Puerto Rico. In conjunction with the sale of certain turbines to PREPA, we have terminated our leases of certain turbines and are no longer incurring costs to operate these turbines.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Operations and maintenance increased $47.5 million for the six months ended June 30, 2024 as compared to the six months ended June 30,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increase was primarily due to additional operations and maintenance cost including lease of turbines as part of the grid stabilization project in Puerto Rico. The project operated for two and a half months during the first half of 2024, while it was just ramping up during the second quarter of 2023.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Deferred earnings from contracted sales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 the second quarter of 2024, we completed forward sales receiving a prepayment from the buyer of $90.0 million. The prepayment was based on the fair market value of these sales as compared to our supply cost, and our CODM includes these results in his evaluation of Terminals and Infrastructure operations for the second quarter of 2024. Revenue for these sales will be recognized in our </w:t>
      </w:r>
      <w:r>
        <w:rPr>
          <w:rFonts w:ascii="Times New Roman;sans-serif" w:hAnsi="Times New Roman;sans-serif"/>
          <w:b w:val="false"/>
          <w:color w:val="000000"/>
          <w:sz w:val="20"/>
        </w:rPr>
        <w:t xml:space="preserve">Condensed Consolidated Statements of Operations and Comprehensive Income (Loss) as </w:t>
      </w:r>
      <w:r>
        <w:rPr>
          <w:rFonts w:ascii="Times New Roman;sans-serif" w:hAnsi="Times New Roman;sans-serif"/>
          <w:b w:val="false"/>
          <w:color w:val="000000"/>
          <w:sz w:val="20"/>
          <w:shd w:fill="FFFFFF" w:val="clear"/>
        </w:rPr>
        <w:t>deliveries under this contract will occur in the third and fourth quarters of 2024. Both the forward contracted sale and our supply contract are based on Henry Hub which mitigates the impact that changes in commodity pricing will have on our results of operations.</w:t>
      </w:r>
    </w:p>
    <w:p>
      <w:pPr>
        <w:pStyle w:val="TextBody"/>
        <w:bidi w:val="0"/>
        <w:spacing w:lineRule="auto" w:line="288" w:before="24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Ships Segment</w:t>
      </w:r>
    </w:p>
    <w:tbl>
      <w:tblPr>
        <w:tblW w:w="8243" w:type="dxa"/>
        <w:jc w:val="left"/>
        <w:tblInd w:w="0" w:type="dxa"/>
        <w:tblLayout w:type="fixed"/>
        <w:tblCellMar>
          <w:top w:w="28" w:type="dxa"/>
          <w:left w:w="28" w:type="dxa"/>
          <w:bottom w:w="28" w:type="dxa"/>
          <w:right w:w="28" w:type="dxa"/>
        </w:tblCellMar>
      </w:tblPr>
      <w:tblGrid>
        <w:gridCol w:w="885"/>
        <w:gridCol w:w="778"/>
        <w:gridCol w:w="781"/>
        <w:gridCol w:w="254"/>
        <w:gridCol w:w="889"/>
        <w:gridCol w:w="131"/>
        <w:gridCol w:w="109"/>
        <w:gridCol w:w="109"/>
        <w:gridCol w:w="109"/>
        <w:gridCol w:w="287"/>
        <w:gridCol w:w="1004"/>
        <w:gridCol w:w="148"/>
        <w:gridCol w:w="109"/>
        <w:gridCol w:w="109"/>
        <w:gridCol w:w="109"/>
        <w:gridCol w:w="211"/>
        <w:gridCol w:w="541"/>
        <w:gridCol w:w="109"/>
        <w:gridCol w:w="109"/>
        <w:gridCol w:w="109"/>
        <w:gridCol w:w="109"/>
        <w:gridCol w:w="109"/>
        <w:gridCol w:w="109"/>
        <w:gridCol w:w="109"/>
        <w:gridCol w:w="109"/>
        <w:gridCol w:w="109"/>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34,075</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34,188</w:t>
            </w:r>
            <w:r>
              <w:rPr>
                <w:color w:val="000000"/>
              </w:rPr>
              <w:t>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33" w:type="dxa"/>
        <w:jc w:val="left"/>
        <w:tblInd w:w="0" w:type="dxa"/>
        <w:tblLayout w:type="fixed"/>
        <w:tblCellMar>
          <w:top w:w="28" w:type="dxa"/>
          <w:left w:w="28" w:type="dxa"/>
          <w:bottom w:w="28" w:type="dxa"/>
          <w:right w:w="28" w:type="dxa"/>
        </w:tblCellMar>
      </w:tblPr>
      <w:tblGrid>
        <w:gridCol w:w="885"/>
        <w:gridCol w:w="778"/>
        <w:gridCol w:w="781"/>
        <w:gridCol w:w="254"/>
        <w:gridCol w:w="889"/>
        <w:gridCol w:w="131"/>
        <w:gridCol w:w="109"/>
        <w:gridCol w:w="109"/>
        <w:gridCol w:w="109"/>
        <w:gridCol w:w="231"/>
        <w:gridCol w:w="924"/>
        <w:gridCol w:w="119"/>
        <w:gridCol w:w="109"/>
        <w:gridCol w:w="109"/>
        <w:gridCol w:w="109"/>
        <w:gridCol w:w="211"/>
        <w:gridCol w:w="796"/>
        <w:gridCol w:w="109"/>
        <w:gridCol w:w="109"/>
        <w:gridCol w:w="109"/>
        <w:gridCol w:w="109"/>
        <w:gridCol w:w="109"/>
        <w:gridCol w:w="109"/>
        <w:gridCol w:w="109"/>
        <w:gridCol w:w="109"/>
        <w:gridCol w:w="109"/>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68,263</w:t>
            </w: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133,076</w:t>
            </w:r>
            <w:r>
              <w:rPr>
                <w:color w:val="000000"/>
              </w:rPr>
              <w:t>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(64,813)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Revenue in the Ships segment is comprised of operating lease revenue under time charters, fees for positioning and repositioning vessels as well as the reimbursement of certain vessel operating costs.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three FSRUs and one LNG carrier were leased to customers under long-term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On March 15, 2023, we completed disposition of our investment in the common units of Hilli LLC, and after this point, the revenue, expenses and operating margin attributable to our 50% ownership of the </w:t>
      </w:r>
      <w:r>
        <w:rPr>
          <w:rFonts w:ascii="Times New Roman;sans-serif" w:hAnsi="Times New Roman;sans-serif"/>
          <w:b w:val="false"/>
          <w:i/>
          <w:color w:val="000000"/>
          <w:sz w:val="20"/>
          <w:shd w:fill="FFFFFF" w:val="clear"/>
        </w:rPr>
        <w:t>Hilli</w:t>
      </w:r>
      <w:r>
        <w:rPr>
          <w:color w:val="000000"/>
          <w:shd w:fill="FFFFFF" w:val="clear"/>
        </w:rPr>
        <w:t xml:space="preserve"> </w:t>
      </w:r>
      <w:r>
        <w:rPr>
          <w:rFonts w:ascii="Times New Roman;sans-serif" w:hAnsi="Times New Roman;sans-serif"/>
          <w:b w:val="false"/>
          <w:color w:val="000000"/>
          <w:sz w:val="20"/>
          <w:shd w:fill="FFFFFF" w:val="clear"/>
        </w:rPr>
        <w:t xml:space="preserve">are no longer included in our segment results. In the first quarter of 2024, we sold the vessel </w:t>
      </w:r>
      <w:r>
        <w:rPr>
          <w:rFonts w:ascii="Times New Roman;sans-serif" w:hAnsi="Times New Roman;sans-serif"/>
          <w:b w:val="false"/>
          <w:i/>
          <w:color w:val="000000"/>
          <w:sz w:val="20"/>
          <w:shd w:fill="FFFFFF" w:val="clear"/>
        </w:rPr>
        <w:t>Mazo</w:t>
      </w:r>
      <w:r>
        <w:rPr>
          <w:rFonts w:ascii="Times New Roman;sans-serif" w:hAnsi="Times New Roman;sans-serif"/>
          <w:b w:val="false"/>
          <w:color w:val="000000"/>
          <w:sz w:val="20"/>
          <w:shd w:fill="FFFFFF" w:val="clear"/>
        </w:rPr>
        <w:t xml:space="preserve">, for a total consideration of $22.4 million resulting in a gain of $0.4 million. The gain on sale is included in </w:t>
      </w:r>
      <w:r>
        <w:rPr>
          <w:rFonts w:ascii="Times New Roman;sans-serif" w:hAnsi="Times New Roman;sans-serif"/>
          <w:b w:val="false"/>
          <w:color w:val="000000"/>
          <w:sz w:val="20"/>
        </w:rPr>
        <w:t>Loss on sale of assets, net</w:t>
      </w:r>
      <w:r>
        <w:rPr>
          <w:rFonts w:ascii="Times New Roman;sans-serif" w:hAnsi="Times New Roman;sans-serif"/>
          <w:b w:val="false"/>
          <w:color w:val="000000"/>
          <w:sz w:val="20"/>
          <w:shd w:fill="FFFFFF" w:val="clear"/>
        </w:rPr>
        <w:t xml:space="preserve">,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revenue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Total revenue for the Ships segment remained consistent for the three months ended June 30, 2024 as compared to the </w:t>
      </w:r>
      <w:r>
        <w:rPr>
          <w:rFonts w:ascii="Times New Roman;sans-serif" w:hAnsi="Times New Roman;sans-serif"/>
          <w:b w:val="false"/>
          <w:color w:val="000000"/>
          <w:sz w:val="20"/>
        </w:rPr>
        <w:t>three months ended March 31,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Subsequent to the Energos Formation Transaction, we continue to be, for accounting purposes, the owner of certain vessels included in the transaction, and as such, we continue to recognize revenue from the charter of these vessels to third parties.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Total revenue for the Ships segment decreased $78.6 million for the six months ended June 30, 2024 as compared to the six months ended June 30, 2023. After the disposition of our investment in the common units of Hilli LLC at the end of the first quarter of 2023, we no longer recognize revenue from the </w:t>
      </w:r>
      <w:r>
        <w:rPr>
          <w:rFonts w:ascii="Times New Roman;sans-serif" w:hAnsi="Times New Roman;sans-serif"/>
          <w:b w:val="false"/>
          <w:i/>
          <w:color w:val="000000"/>
          <w:sz w:val="20"/>
        </w:rPr>
        <w:t>Hilli</w:t>
      </w:r>
      <w:r>
        <w:rPr>
          <w:rFonts w:ascii="Times New Roman;sans-serif" w:hAnsi="Times New Roman;sans-serif"/>
          <w:b w:val="false"/>
          <w:color w:val="000000"/>
          <w:sz w:val="20"/>
        </w:rPr>
        <w:t xml:space="preserve">, decreasing revenue in the Ships segment. Additionally the charters for four vessels concluded in 2023, lowering vessel revenue for the six months ended June 30, 2024. We are now utilizing these vessels in our operations.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Vessel operating expenses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sans-serif" w:hAnsi="Times New Roman;sans-serif"/>
          <w:b w:val="false"/>
          <w:i/>
          <w:color w:val="000000"/>
          <w:sz w:val="20"/>
        </w:rPr>
        <w:t xml:space="preserve">Hilli </w:t>
      </w:r>
      <w:r>
        <w:rPr>
          <w:rFonts w:ascii="Times New Roman;sans-serif" w:hAnsi="Times New Roman;sans-serif"/>
          <w:b w:val="false"/>
          <w:color w:val="000000"/>
          <w:sz w:val="20"/>
        </w:rPr>
        <w:t xml:space="preserve">prior to the Hilli Exchange discussed above.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 </w:t>
      </w:r>
    </w:p>
    <w:p>
      <w:pPr>
        <w:pStyle w:val="TextBody"/>
        <w:bidi w:val="0"/>
        <w:spacing w:lineRule="auto" w:line="288" w:before="240" w:after="283"/>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Vessel operating expenses remained consistent during the three months ended June 30, 2024 as compared to the three months ended March 31, 2024. There were no changes to the vessels that comprise the Ships segment in the second quarter of 2024. </w:t>
      </w:r>
    </w:p>
    <w:p>
      <w:pPr>
        <w:pStyle w:val="TextBody"/>
        <w:bidi w:val="0"/>
        <w:spacing w:lineRule="auto" w:line="288" w:before="240" w:after="283"/>
        <w:ind w:left="0" w:right="0" w:firstLine="396"/>
        <w:jc w:val="left"/>
        <w:rPr/>
      </w:pPr>
      <w:r>
        <w:rPr>
          <w:rFonts w:ascii="Times New Roman;sans-serif" w:hAnsi="Times New Roman;sans-serif"/>
          <w:b w:val="false"/>
          <w:color w:val="000000"/>
          <w:sz w:val="20"/>
          <w:shd w:fill="FFFFFF" w:val="clear"/>
        </w:rPr>
        <w:t xml:space="preserve">Vessel operating expenses decreased </w:t>
      </w:r>
      <w:r>
        <w:rPr>
          <w:rFonts w:ascii="Times New Roman;sans-serif" w:hAnsi="Times New Roman;sans-serif"/>
          <w:b w:val="false"/>
          <w:color w:val="000000"/>
          <w:sz w:val="20"/>
        </w:rPr>
        <w:t>$13.8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as compared to the </w:t>
      </w:r>
      <w:r>
        <w:rPr>
          <w:rFonts w:ascii="Times New Roman;sans-serif" w:hAnsi="Times New Roman;sans-serif"/>
          <w:b w:val="false"/>
          <w:color w:val="000000"/>
          <w:sz w:val="20"/>
        </w:rPr>
        <w:t>six months ended June 30, 2023</w:t>
      </w:r>
      <w:r>
        <w:rPr>
          <w:rFonts w:ascii="Times New Roman;sans-serif" w:hAnsi="Times New Roman;sans-serif"/>
          <w:b w:val="false"/>
          <w:color w:val="000000"/>
          <w:sz w:val="20"/>
          <w:shd w:fill="FFFFFF" w:val="clear"/>
        </w:rPr>
        <w:t xml:space="preserve">. The decrease in vessel operating expenses was primarily due to lower costs related to the </w:t>
      </w:r>
      <w:r>
        <w:rPr>
          <w:rFonts w:ascii="Times New Roman;sans-serif" w:hAnsi="Times New Roman;sans-serif"/>
          <w:b w:val="false"/>
          <w:i/>
          <w:color w:val="000000"/>
          <w:sz w:val="20"/>
          <w:shd w:fill="FFFFFF" w:val="clear"/>
        </w:rPr>
        <w:t xml:space="preserve">Hilli </w:t>
      </w:r>
      <w:r>
        <w:rPr>
          <w:rFonts w:ascii="Times New Roman;sans-serif" w:hAnsi="Times New Roman;sans-serif"/>
          <w:b w:val="false"/>
          <w:color w:val="000000"/>
          <w:sz w:val="20"/>
          <w:shd w:fill="FFFFFF" w:val="clear"/>
        </w:rPr>
        <w:t>after the disposition our investment in the common units of Hilli LLC at the end of the first quarter of 2023. During 2024, we started using four vessels that were in the Ships segment in 2023 in our terminal operations, resulting in lower vessel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both"/>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Other operating results</w:t>
      </w:r>
    </w:p>
    <w:tbl>
      <w:tblPr>
        <w:tblW w:w="10659" w:type="dxa"/>
        <w:jc w:val="left"/>
        <w:tblInd w:w="0" w:type="dxa"/>
        <w:tblLayout w:type="fixed"/>
        <w:tblCellMar>
          <w:top w:w="28" w:type="dxa"/>
          <w:left w:w="28" w:type="dxa"/>
          <w:bottom w:w="28" w:type="dxa"/>
          <w:right w:w="28" w:type="dxa"/>
        </w:tblCellMar>
      </w:tblPr>
      <w:tblGrid>
        <w:gridCol w:w="702"/>
        <w:gridCol w:w="387"/>
        <w:gridCol w:w="307"/>
        <w:gridCol w:w="211"/>
        <w:gridCol w:w="736"/>
        <w:gridCol w:w="109"/>
        <w:gridCol w:w="109"/>
        <w:gridCol w:w="109"/>
        <w:gridCol w:w="109"/>
        <w:gridCol w:w="211"/>
        <w:gridCol w:w="721"/>
        <w:gridCol w:w="109"/>
        <w:gridCol w:w="109"/>
        <w:gridCol w:w="109"/>
        <w:gridCol w:w="109"/>
        <w:gridCol w:w="211"/>
        <w:gridCol w:w="841"/>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109"/>
        <w:gridCol w:w="109"/>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from equity method investments and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(301,856)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includes compensation expenses for our corporate employees, employee travel costs, insurance, professional fees for our advisors, and screening costs for projects that are in initial stages and development is not yet probable.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Selling, general and administrative remained consistent for the three months ended June 30, 2024, compared to the three months ended March 31, 2024. The Company incurred increased share-based compensation expense, that were partially offset by decrease in bad debt expense. We recognized an additional $14.7 million of share-based compensation expense for RSUs and other equity awards during the second quarter of 2024 as we recognized a full quarter of expense for RSUs granted during the first quarter of 2024. During the first quarter of 2024, the Company recorded an additional allowance for uncollectible receivables of </w:t>
      </w:r>
      <w:r>
        <w:rPr>
          <w:rFonts w:ascii="Times New Roman;sans-serif" w:hAnsi="Times New Roman;sans-serif"/>
          <w:b w:val="false"/>
          <w:color w:val="000000"/>
          <w:sz w:val="20"/>
          <w:shd w:fill="FFFFFF" w:val="clear"/>
        </w:rPr>
        <w:t>$11.6</w:t>
      </w:r>
      <w:r>
        <w:rPr>
          <w:color w:val="000000"/>
        </w:rPr>
        <w:t xml:space="preserve"> </w:t>
      </w:r>
      <w:r>
        <w:rPr>
          <w:rFonts w:ascii="Times New Roman;sans-serif" w:hAnsi="Times New Roman;sans-serif"/>
          <w:b w:val="false"/>
          <w:color w:val="000000"/>
          <w:sz w:val="20"/>
        </w:rPr>
        <w:t>million. There was no such allowance recognized during the second quarter of 2024. We also incurred lower payroll and professional fees in the second quarter of 2024.</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Selling, general and administrative increased by $33.4 million for the six months ended June 30, 2024 as compared to the six months ended June 30, 2023. The increases were primarily due to increased share-based compensation expense. We recognized $25.2 million of share-based compensation expense for RSUs and other equity awards during the first half of 2024; no significant cost was recognized in the first half of 2023. In addition, the allowance for bad debt increased by </w:t>
      </w:r>
      <w:r>
        <w:rPr>
          <w:rFonts w:ascii="Times New Roman;sans-serif" w:hAnsi="Times New Roman;sans-serif"/>
          <w:b w:val="false"/>
          <w:color w:val="000000"/>
          <w:sz w:val="20"/>
          <w:shd w:fill="FFFFFF" w:val="clear"/>
        </w:rPr>
        <w:t>$11.6</w:t>
      </w:r>
      <w:r>
        <w:rPr>
          <w:color w:val="000000"/>
        </w:rPr>
        <w:t xml:space="preserve"> </w:t>
      </w:r>
      <w:r>
        <w:rPr>
          <w:rFonts w:ascii="Times New Roman;sans-serif" w:hAnsi="Times New Roman;sans-serif"/>
          <w:b w:val="false"/>
          <w:color w:val="000000"/>
          <w:sz w:val="20"/>
        </w:rPr>
        <w:t xml:space="preserve">million due to an additional allowance recorded during the three months ended March 31, 2024. </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Transaction and integration costs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incur significant transaction and integration costs for the three or six months ended June 30, 2024 or six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Depreciation and amortization</w:t>
      </w:r>
    </w:p>
    <w:p>
      <w:pPr>
        <w:pStyle w:val="TextBody"/>
        <w:bidi w:val="0"/>
        <w:spacing w:lineRule="auto" w:line="26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decreased $13.1 million for the three months ended June 30, 2024 as compared to the three months ended March 31, 2024. We sold certain turbines and equipment to PREPA in the first quarter of 2024, and the decrease in depreciation was primarily a result of no longer owning these assets. </w:t>
      </w:r>
    </w:p>
    <w:p>
      <w:pPr>
        <w:pStyle w:val="TextBody"/>
        <w:bidi w:val="0"/>
        <w:spacing w:lineRule="auto" w:line="26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$11.4 million for the six months ended June 30, 2024 as compared to the six months ended June 30, 2023. In 2023, we began to place assets in service as part of the grid stabilization project in Puerto Rico, including turbines leased for the Palo Seco Power Plant under a finance lease. The increase is primarily resulting from depreciation of the leasehold improvements that were placed into service during the second and third quarters of 2023, prior to the sale of these assets in the first quarter of 2024.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impairment expense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December 2023, the Company recognized an impairment of </w:t>
      </w:r>
      <w:r>
        <w:rPr>
          <w:rFonts w:ascii="Times New Roman;sans-serif" w:hAnsi="Times New Roman;sans-serif"/>
          <w:b w:val="false"/>
          <w:color w:val="000000"/>
          <w:sz w:val="20"/>
          <w:shd w:fill="FFFFFF" w:val="clear"/>
        </w:rPr>
        <w:t>$4.3</w:t>
      </w:r>
      <w:r>
        <w:rPr>
          <w:color w:val="000000"/>
        </w:rPr>
        <w:t xml:space="preserve"> </w:t>
      </w:r>
      <w:r>
        <w:rPr>
          <w:rFonts w:ascii="Times New Roman;sans-serif" w:hAnsi="Times New Roman;sans-serif"/>
          <w:b w:val="false"/>
          <w:color w:val="000000"/>
          <w:sz w:val="20"/>
        </w:rPr>
        <w:t>million in conjunction with the classification as the Miami Facility as held for sale in the second quarter of 2024.</w:t>
      </w:r>
      <w:r>
        <w:rPr>
          <w:color w:val="000000"/>
        </w:rPr>
        <w:t xml:space="preserve"> </w:t>
      </w:r>
      <w:r>
        <w:rPr>
          <w:rFonts w:ascii="Times New Roman;sans-serif" w:hAnsi="Times New Roman;sans-serif"/>
          <w:b w:val="false"/>
          <w:color w:val="000000"/>
          <w:sz w:val="20"/>
        </w:rPr>
        <w:t xml:space="preserve">There was no impairment of assets during three months ended March 31, 2024 or six months ended June 30, 2023.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sale of assets, net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recognized a loss of $77.5 million from the sale of turbines and related equipment to the PREPA. We did not have any losses on sales during the three months ended June 30, 2024 or six months ended June 30, 2023.</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$3.1 million for the three months ended June 30, 2024 as compared to the three months ended March 31, 2024. We have incremental borrowings under the PortoCem Bridge Loan and our new Turbine Financing (each as defined below), and much of this increased interest expense was capitalized.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Interest expense increased by $21.7 million for the </w:t>
      </w:r>
      <w:r>
        <w:rPr>
          <w:rFonts w:ascii="Times New Roman;sans-serif" w:hAnsi="Times New Roman;sans-serif"/>
          <w:b w:val="false"/>
          <w:color w:val="000000"/>
          <w:sz w:val="20"/>
        </w:rPr>
        <w:t>six months ended June 30, 2024</w:t>
      </w:r>
      <w:r>
        <w:rPr>
          <w:rFonts w:ascii="Times New Roman;sans-serif" w:hAnsi="Times New Roman;sans-serif"/>
          <w:b w:val="false"/>
          <w:color w:val="000000"/>
          <w:sz w:val="20"/>
          <w:shd w:fill="FFFFFF" w:val="clear"/>
        </w:rPr>
        <w:t xml:space="preserve">, as compared to the </w:t>
      </w:r>
      <w:r>
        <w:rPr>
          <w:rFonts w:ascii="Times New Roman;sans-serif" w:hAnsi="Times New Roman;sans-serif"/>
          <w:b w:val="false"/>
          <w:color w:val="000000"/>
          <w:sz w:val="20"/>
        </w:rPr>
        <w:t>six months ended June 30, 2023</w:t>
      </w:r>
      <w:r>
        <w:rPr>
          <w:rFonts w:ascii="Times New Roman;sans-serif" w:hAnsi="Times New Roman;sans-serif"/>
          <w:b w:val="false"/>
          <w:color w:val="000000"/>
          <w:sz w:val="20"/>
          <w:shd w:fill="FFFFFF" w:val="clear"/>
        </w:rPr>
        <w:t xml:space="preserve">. The increase was primarily due to </w:t>
      </w:r>
      <w:r>
        <w:rPr>
          <w:rFonts w:ascii="Times New Roman;sans-serif" w:hAnsi="Times New Roman;sans-serif"/>
          <w:b w:val="false"/>
          <w:color w:val="000000"/>
          <w:sz w:val="20"/>
        </w:rPr>
        <w:t xml:space="preserve">an increase in total principal outstanding due to additional borrowings and amortization of related debt issuance costs. The total principal balance on outstanding facilities was $7.8 billion as of June 30, 2024 as compared to total principal outstanding of $5.5 billion as of June 30, 2023. We capitalize a significant portion of our borrowing costs for development projects, and while the principal balances increased, the interest expense did not increase as significantly.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expense (income), net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was $47.4 million and $19.1 million for the three months ended June 30, 2024, and March 31, 2024, respectively. Other expense (income), net was $66.5 million and $18.4 million for the six months ended June 30, 2024 and 2023, respectively.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recognized in the three months ended June 30, 2024 was primarily comprised of foreign currency losses due to remeasurement of USD denominated debt in our Brazil subsidiary.</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Other expense recognized in the</w:t>
      </w:r>
      <w:r>
        <w:rPr>
          <w:color w:val="000000"/>
          <w:shd w:fill="FFFFFF" w:val="clear"/>
        </w:rPr>
        <w:t xml:space="preserve"> </w:t>
      </w:r>
      <w:r>
        <w:rPr>
          <w:rFonts w:ascii="Times New Roman;sans-serif" w:hAnsi="Times New Roman;sans-serif"/>
          <w:b w:val="false"/>
          <w:color w:val="000000"/>
          <w:sz w:val="20"/>
        </w:rPr>
        <w:t xml:space="preserve">six months ended June 30, 2024 was primarily comprised of </w:t>
      </w:r>
      <w:r>
        <w:rPr>
          <w:rFonts w:ascii="Times New Roman;sans-serif" w:hAnsi="Times New Roman;sans-serif"/>
          <w:b w:val="false"/>
          <w:color w:val="000000"/>
          <w:sz w:val="20"/>
          <w:shd w:fill="FFFFFF" w:val="clear"/>
        </w:rPr>
        <w:t>foreign currency remeasurement losses and loss on termination of leases of turbines used in the grid stabilization project in Puerto Rico partially offset by interest income.</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Loss on extinguishment of debt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2024, we</w:t>
      </w:r>
      <w:r>
        <w:rPr>
          <w:color w:val="000000"/>
          <w:shd w:fill="FFFFFF" w:val="clear"/>
        </w:rPr>
        <w:t xml:space="preserve"> </w:t>
      </w:r>
      <w:r>
        <w:rPr>
          <w:rFonts w:ascii="Times New Roman;sans-serif" w:hAnsi="Times New Roman;sans-serif"/>
          <w:b w:val="false"/>
          <w:color w:val="000000"/>
          <w:sz w:val="20"/>
          <w:shd w:fill="FFFFFF" w:val="clear"/>
        </w:rPr>
        <w:t xml:space="preserve">recognized prepayment premium and unamortized financing costs of </w:t>
      </w:r>
      <w:r>
        <w:rPr>
          <w:rFonts w:ascii="Times New Roman;sans-serif" w:hAnsi="Times New Roman;sans-serif"/>
          <w:b w:val="false"/>
          <w:color w:val="000000"/>
          <w:sz w:val="20"/>
        </w:rPr>
        <w:t>$7.9</w:t>
      </w:r>
      <w:r>
        <w:rPr>
          <w:color w:val="000000"/>
          <w:shd w:fill="FFFFFF" w:val="clear"/>
        </w:rPr>
        <w:t xml:space="preserve"> </w:t>
      </w:r>
      <w:r>
        <w:rPr>
          <w:rFonts w:ascii="Times New Roman;sans-serif" w:hAnsi="Times New Roman;sans-serif"/>
          <w:b w:val="false"/>
          <w:color w:val="000000"/>
          <w:sz w:val="20"/>
          <w:shd w:fill="FFFFFF" w:val="clear"/>
        </w:rPr>
        <w:t xml:space="preserve">million in connection with the prepayment of the Equipment Notes. We also recognized a premium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repurchase price of $1.9 million in connection with the cash tender offer to repurchase $375.0 million of the outstanding 2025 Notes. We did not have any extinguishment transactions in the second quarter of 2024 or the first half of 2023.</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Income (loss) from equity method investments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half of 2023, we recognized income of $6.3 million from our equity method investment in Energos and $6.0 million of income from our investment in the common units of Hilli LLC for the period prior to the completion of the disposition of this investment. In the first quarter of 2024, we sold substantially all of our stake in Energos resulting in no income or loss from equity method investments for the three or six months ended June 30, 2024.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Tax provision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a tax provision for the three months ended June 30, 2024 of $3.4 million compared to a tax provision of $21.6 million for the three months ended March 31, 2024. We recognized a tax provision of $25.1 million for the six months ended June 30, 2024 compared to a tax provision of $44.3 million for the six months ended June 30, 2023. The decrease in the tax provision for the three and six months ended June 30, 2024 is mainly due to changes in pre-tax income in the US and foreign jurisdictions which resulted in correlative changes in tax expense in those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Factors Impacting Comparability of Our Financial Results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historical results of operations and cash flows are not indicative of results of operations and cash flows to be expected in the future, principally for the following reasons:</w:t>
      </w:r>
    </w:p>
    <w:p>
      <w:pPr>
        <w:pStyle w:val="TextBody"/>
        <w:bidi w:val="0"/>
        <w:spacing w:lineRule="auto" w:line="288" w:before="240" w:after="283"/>
        <w:ind w:left="0" w:right="0" w:hanging="720"/>
        <w:jc w:val="left"/>
        <w:rPr/>
      </w:pPr>
      <w:r>
        <w:rPr>
          <w:color w:val="000000"/>
          <w:shd w:fill="FFFFFF" w:val="clear"/>
        </w:rPr>
        <w:t>•</w:t>
      </w:r>
      <w:r>
        <w:rPr>
          <w:rFonts w:ascii="Times New Roman;sans-serif" w:hAnsi="Times New Roman;sans-serif"/>
          <w:b/>
          <w:i/>
          <w:color w:val="000000"/>
          <w:sz w:val="20"/>
        </w:rPr>
        <w:t xml:space="preserve">Our historical financial results do not reflect our Fast LNG solution which we expect will lower the cost of our LNG supply. </w:t>
      </w:r>
      <w:r>
        <w:rPr>
          <w:rFonts w:ascii="Times New Roman;sans-serif" w:hAnsi="Times New Roman;sans-serif"/>
          <w:b w:val="false"/>
          <w:color w:val="000000"/>
          <w:sz w:val="20"/>
        </w:rPr>
        <w:t>We currently purchase the majority of our supply of LNG from third parties, sourcing approximately 99% of our LNG volumes from third parties for the</w:t>
      </w:r>
      <w:r>
        <w:rPr>
          <w:color w:val="000000"/>
          <w:shd w:fill="FFFFFF" w:val="clear"/>
        </w:rPr>
        <w:t xml:space="preserve"> </w:t>
      </w:r>
      <w:r>
        <w:rPr>
          <w:rFonts w:ascii="Times New Roman;sans-serif" w:hAnsi="Times New Roman;sans-serif"/>
          <w:b w:val="false"/>
          <w:color w:val="000000"/>
          <w:sz w:val="20"/>
        </w:rPr>
        <w:t>six months ended June 30, 2024. We anticipate that the deployment of Fast LNG liquefaction facilities will significantly lower the cost of our LNG supply and reduce our dependence on third-party suppliers. Though the commissioning of these facilities, particularly our first Fast LNG unit, was delayed from the initially anticipated date, which impacted our results of operations in this period and may impact our results in future periods, we began to produce LNG from our first Fast LNG unit in July 2024. We plan to leverage the development process for the first unit in deploying future Fast LNG liquefaction facilities.</w:t>
      </w:r>
    </w:p>
    <w:p>
      <w:pPr>
        <w:pStyle w:val="TextBody"/>
        <w:bidi w:val="0"/>
        <w:spacing w:lineRule="auto" w:line="288" w:before="240" w:after="283"/>
        <w:ind w:left="0" w:right="0" w:hanging="720"/>
        <w:jc w:val="left"/>
        <w:rPr/>
      </w:pPr>
      <w:r>
        <w:rPr>
          <w:color w:val="000000"/>
          <w:shd w:fill="FFFFFF" w:val="clear"/>
        </w:rPr>
        <w:t>•</w:t>
      </w:r>
      <w:r>
        <w:rPr>
          <w:rFonts w:ascii="Times New Roman;sans-serif" w:hAnsi="Times New Roman;sans-serif"/>
          <w:b/>
          <w:i/>
          <w:color w:val="000000"/>
          <w:sz w:val="20"/>
        </w:rPr>
        <w:t xml:space="preserve">Our historical financial results do not include significant projects that have recently been completed or are near completion. </w:t>
      </w:r>
      <w:r>
        <w:rPr>
          <w:rFonts w:ascii="Times New Roman;sans-serif" w:hAnsi="Times New Roman;sans-serif"/>
          <w:b w:val="false"/>
          <w:color w:val="000000"/>
          <w:sz w:val="20"/>
          <w:shd w:fill="FFFFFF" w:val="clear"/>
        </w:rPr>
        <w:t xml:space="preserve">Our results of operations for the </w:t>
      </w:r>
      <w:r>
        <w:rPr>
          <w:rFonts w:ascii="Times New Roman;sans-serif" w:hAnsi="Times New Roman;sans-serif"/>
          <w:b w:val="false"/>
          <w:color w:val="000000"/>
          <w:sz w:val="20"/>
        </w:rPr>
        <w:t>three and 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 xml:space="preserve">June 30, 2024 </w:t>
      </w:r>
      <w:r>
        <w:rPr>
          <w:rFonts w:ascii="Times New Roman;sans-serif" w:hAnsi="Times New Roman;sans-serif"/>
          <w:b w:val="false"/>
          <w:color w:val="000000"/>
          <w:sz w:val="20"/>
          <w:shd w:fill="FFFFFF" w:val="clear"/>
        </w:rPr>
        <w:t xml:space="preserve">include our Montego Bay Facility, Old Harbour Facility, San Juan Facility, La Paz Power Plant, certain industrial end-users and our Miami Facility. While we anticipate the sale of our Miami Facility in the third quarter of 2024, we have completed construction and commissioning of our Barcarena Facility and Santa Catarina Facility and expect to place these assets into service in 2024. We are also continuing to develop our Puerto Sandino Facility and Ireland Facility, and our current results do not include revenue and operating results from these projects.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we began to deliver power to the Puerto Rican grid as part of the grid stabilization project in the second quarter of 2023. In the first quarter of 2024, our contract was terminated and assets related to the grid stabilization project were sold to PREPA. Under our new island-wide gas sale agreement with PREPA, we continue to supply gas to these power generation assets. </w:t>
      </w:r>
    </w:p>
    <w:p>
      <w:pPr>
        <w:pStyle w:val="TextBody"/>
        <w:bidi w:val="0"/>
        <w:spacing w:lineRule="auto" w:line="288" w:before="240" w:after="283"/>
        <w:ind w:left="0" w:right="0" w:hanging="720"/>
        <w:jc w:val="left"/>
        <w:rPr/>
      </w:pPr>
      <w:r>
        <w:rPr>
          <w:color w:val="000000"/>
          <w:shd w:fill="FFFFFF" w:val="clear"/>
        </w:rPr>
        <w:t>•</w:t>
      </w:r>
      <w:r>
        <w:rPr>
          <w:rFonts w:ascii="Times New Roman;sans-serif" w:hAnsi="Times New Roman;sans-serif"/>
          <w:b/>
          <w:i/>
          <w:color w:val="000000"/>
          <w:sz w:val="20"/>
        </w:rPr>
        <w:t xml:space="preserve">Our historical financial results include the results from our investments in the common units of Hilli LLC and Energos. </w:t>
      </w:r>
      <w:r>
        <w:rPr>
          <w:rFonts w:ascii="Times New Roman;sans-serif" w:hAnsi="Times New Roman;sans-serif"/>
          <w:b w:val="false"/>
          <w:color w:val="000000"/>
          <w:sz w:val="20"/>
          <w:shd w:fill="FFFFFF" w:val="clear"/>
        </w:rPr>
        <w:t xml:space="preserve">On March 15, 2023, we completed a transaction with Golar LNG Limited (“GLNG”) for the sale of our investment in the common units of Hilli LLC (“Hilli Common Units”), disponent owner and operator of the </w:t>
      </w:r>
      <w:r>
        <w:rPr>
          <w:rFonts w:ascii="Times New Roman;sans-serif" w:hAnsi="Times New Roman;sans-serif"/>
          <w:b w:val="false"/>
          <w:i/>
          <w:color w:val="000000"/>
          <w:sz w:val="20"/>
          <w:shd w:fill="FFFFFF" w:val="clear"/>
        </w:rPr>
        <w:t>Hilli Episeyo</w:t>
      </w:r>
      <w:r>
        <w:rPr>
          <w:color w:val="000000"/>
          <w:shd w:fill="FFFFFF" w:val="clear"/>
        </w:rPr>
        <w:t xml:space="preserve"> </w:t>
      </w:r>
      <w:r>
        <w:rPr>
          <w:rFonts w:ascii="Times New Roman;sans-serif" w:hAnsi="Times New Roman;sans-serif"/>
          <w:b w:val="false"/>
          <w:color w:val="000000"/>
          <w:sz w:val="20"/>
          <w:shd w:fill="FFFFFF" w:val="clear"/>
        </w:rPr>
        <w:t>(the “</w:t>
      </w:r>
      <w:r>
        <w:rPr>
          <w:rFonts w:ascii="Times New Roman;sans-serif" w:hAnsi="Times New Roman;sans-serif"/>
          <w:b w:val="false"/>
          <w:i/>
          <w:color w:val="000000"/>
          <w:sz w:val="20"/>
          <w:shd w:fill="FFFFFF" w:val="clear"/>
        </w:rPr>
        <w:t>Hilli</w:t>
      </w:r>
      <w:r>
        <w:rPr>
          <w:color w:val="000000"/>
          <w:shd w:fill="FFFFFF" w:val="clear"/>
        </w:rPr>
        <w:t>”</w:t>
      </w:r>
      <w:r>
        <w:rPr>
          <w:rFonts w:ascii="Times New Roman;sans-serif" w:hAnsi="Times New Roman;sans-serif"/>
          <w:b w:val="false"/>
          <w:color w:val="000000"/>
          <w:sz w:val="20"/>
          <w:shd w:fill="FFFFFF" w:val="clear"/>
        </w:rPr>
        <w:t xml:space="preserve">) through its subsidiary Golar Hilli Corporation, in exchange for approximately 4.1 million NFE shares and $100 million in cash (the "Hilli Exchange"). As a result of this transaction, we no longer have any ownership interest in the </w:t>
      </w:r>
      <w:r>
        <w:rPr>
          <w:rFonts w:ascii="Times New Roman;sans-serif" w:hAnsi="Times New Roman;sans-serif"/>
          <w:b w:val="false"/>
          <w:i/>
          <w:color w:val="000000"/>
          <w:sz w:val="20"/>
          <w:shd w:fill="FFFFFF" w:val="clear"/>
        </w:rPr>
        <w:t>Hilli</w:t>
      </w:r>
      <w:r>
        <w:rPr>
          <w:rFonts w:ascii="Times New Roman;sans-serif" w:hAnsi="Times New Roman;sans-serif"/>
          <w:b w:val="false"/>
          <w:color w:val="000000"/>
          <w:sz w:val="20"/>
          <w:shd w:fill="FFFFFF" w:val="clear"/>
        </w:rPr>
        <w:t xml:space="preserve">, and their results are no longer included in NFE's results of operations. </w:t>
      </w:r>
    </w:p>
    <w:p>
      <w:pPr>
        <w:pStyle w:val="TextBody"/>
        <w:bidi w:val="0"/>
        <w:spacing w:lineRule="auto" w:line="288" w:before="240" w:after="283"/>
        <w:jc w:val="left"/>
        <w:rPr/>
      </w:pPr>
      <w:r>
        <w:rPr>
          <w:rFonts w:ascii="Times New Roman;sans-serif" w:hAnsi="Times New Roman;sans-serif"/>
          <w:b w:val="false"/>
          <w:color w:val="000000"/>
          <w:sz w:val="20"/>
        </w:rPr>
        <w:t xml:space="preserve">In February 2024, the Company completed the sale of substantially all of its stake in Energos for a total consideration of </w:t>
      </w:r>
      <w:r>
        <w:rPr>
          <w:rFonts w:ascii="Times New Roman;sans-serif" w:hAnsi="Times New Roman;sans-serif"/>
          <w:b w:val="false"/>
          <w:color w:val="000000"/>
          <w:sz w:val="20"/>
          <w:shd w:fill="FFFFFF" w:val="clear"/>
        </w:rPr>
        <w:t>$136.4 million</w:t>
      </w:r>
      <w:r>
        <w:rPr>
          <w:color w:val="000000"/>
        </w:rPr>
        <w:t xml:space="preserve"> </w:t>
      </w:r>
      <w:r>
        <w:rPr>
          <w:rFonts w:ascii="Times New Roman;sans-serif" w:hAnsi="Times New Roman;sans-serif"/>
          <w:b w:val="false"/>
          <w:color w:val="000000"/>
          <w:sz w:val="20"/>
        </w:rPr>
        <w:t xml:space="preserve">and retaining an investment in Energos valued at </w:t>
      </w:r>
      <w:r>
        <w:rPr>
          <w:rFonts w:ascii="Times New Roman;sans-serif" w:hAnsi="Times New Roman;sans-serif"/>
          <w:b w:val="false"/>
          <w:color w:val="000000"/>
          <w:sz w:val="20"/>
          <w:shd w:fill="FFFFFF" w:val="clear"/>
        </w:rPr>
        <w:t>$1.0 million</w:t>
      </w:r>
      <w:r>
        <w:rPr>
          <w:rFonts w:ascii="Times New Roman;sans-serif" w:hAnsi="Times New Roman;sans-serif"/>
          <w:b w:val="false"/>
          <w:color w:val="000000"/>
          <w:sz w:val="20"/>
        </w:rPr>
        <w:t xml:space="preserve">. As a result of this transaction, we no longer include the results of Energos in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will have sufficient liquidity from proceeds from recent borrowings, access to additional capital sources and cash flow from operations to fund our capital expenditures and working capital needs for the next 12 months and the reasonably foreseeable future. Our 2025 Notes mature on September 15, 2025. If any of the 2025 Notes remain outstanding 60 days prior to this maturity date (the "Springing Maturity Date"), the outstanding principal under the Revolving Facility, Term Loan B and FLNG2 Term Loans (as defined within Note 26 to the financial statements) will become immediately due. The aggregate principal amount of 2025 Notes outstanding as of June 30, 2024 is $875,000. We have entered into a Backstop Agreement with a lender, pursuant to which we may, at our sole option, issue and sell to this lender (subject to the satisfaction of certain conditions) senior secured notes up to an aggregate principal amount sufficient to generate gross proceeds of $875 million with a term of at least three years from the closing date within a certain window prior to the Springing Maturity Date. Proceeds received would be used to repurchase or redeem all outstanding 2025 Notes.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current working capital position to improve based on the following: (1) expected cash flows generated from new gas sale agreements and volume growth in Puerto Rico, Mexico and Brazil (2) sales of our own LNG generated by our first deployed Fast LNG unit; (3) we have fully funded the construction of our Barcarena Power Plant with new long-term financing in Brazil and we have commitments to fund substantially all of the remaining cost of our onshore FLNG project at Altamira; (4) our credit agreements allow for proceeds from the sale of assets to be reinvested in our business, and we have significant non-core assets that could be used to fund our developments; (5) our relationships with certain significant vendors, including vendors constructing our Fast LNG assets, have allowed us to extend our payment terms to better align with the expected completion of our first Fast LNG project; and (6) the anticipated sale of our Miami Facility in the third quarter of 2024.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exploring capital raising and strategic alternatives for our business in Brazil, which may include a merger transaction, sale of a minority interest and/ or initial public offering. There can be no assurance that the exploration of capital raising and strategic alternatives will result in any agreements or transactions, or that, if completed, any agreements or transactions will be successful or on attractive terms.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We expect to fund our current operations and continued development of additional facilities through cash on hand, borrowings under our debt facilities, </w:t>
      </w:r>
      <w:r>
        <w:rPr>
          <w:rFonts w:ascii="Times New Roman;sans-serif" w:hAnsi="Times New Roman;sans-serif"/>
          <w:b w:val="false"/>
          <w:color w:val="000000"/>
          <w:sz w:val="20"/>
          <w:shd w:fill="FFFFFF" w:val="clear"/>
        </w:rPr>
        <w:t>cash generated from certain sales and financing transactions and cash generated from operations</w:t>
      </w:r>
      <w:r>
        <w:rPr>
          <w:rFonts w:ascii="Times New Roman;sans-serif" w:hAnsi="Times New Roman;sans-serif"/>
          <w:b w:val="false"/>
          <w:color w:val="000000"/>
          <w:sz w:val="20"/>
        </w:rPr>
        <w:t>. We may also opportunistically elect to generate additional liquidity through future debt or equity issuances and asset sales to fund our developments and transactions. From time to time, we may seek to repay, refinance or restructure all or a portion of our debt or to repurchase our outstanding debt through, as applicable, tender offers, redemptions,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expectations of future liquidity needs and sources include numerous assumptions that are subject to various risks and uncertainties. Refer to Note 2 – “Significant Accounting Policies” for further information on liquidity and “Item 1A. Risk Factors” for risks and uncertainties that may cause our results to differ from our expectations, each in our Annual Report on Form 10-K.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remaining committed capital expenditures is approximately $1,446 million and includes remaining expenditures to complete our first Fast LNG project and our onshore liquefaction project at Altamira, as well as committed expenditures necessary to complete the Puerto Sandino Facility, Barcarena Facility, Barcarena and PortoCem Power Plants, and Santa Catarina Facility. This does not include any capital expenditures related to Klondike. We have secured financing commitments to continue to develop our onshore Altamira project and the Barcarena Power Plant, which represents approximately $673 million of our upcoming committed capital expenditures.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fully completed Fast LNG units to cost between $1.0 billion and $1.6 billion per unit on average.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make cash payments in the future pursuant to certain contracts. The following table summarizes certain contractual obligations, including principal and interest, in place as of June 30, 2024. </w:t>
      </w:r>
    </w:p>
    <w:tbl>
      <w:tblPr>
        <w:tblW w:w="10205" w:type="dxa"/>
        <w:jc w:val="left"/>
        <w:tblInd w:w="0" w:type="dxa"/>
        <w:tblLayout w:type="fixed"/>
        <w:tblCellMar>
          <w:top w:w="28" w:type="dxa"/>
          <w:left w:w="28" w:type="dxa"/>
          <w:bottom w:w="28" w:type="dxa"/>
          <w:right w:w="28" w:type="dxa"/>
        </w:tblCellMar>
      </w:tblPr>
      <w:tblGrid>
        <w:gridCol w:w="740"/>
        <w:gridCol w:w="630"/>
        <w:gridCol w:w="632"/>
        <w:gridCol w:w="211"/>
        <w:gridCol w:w="1081"/>
        <w:gridCol w:w="109"/>
        <w:gridCol w:w="109"/>
        <w:gridCol w:w="109"/>
        <w:gridCol w:w="109"/>
        <w:gridCol w:w="236"/>
        <w:gridCol w:w="1096"/>
        <w:gridCol w:w="122"/>
        <w:gridCol w:w="109"/>
        <w:gridCol w:w="109"/>
        <w:gridCol w:w="109"/>
        <w:gridCol w:w="211"/>
        <w:gridCol w:w="976"/>
        <w:gridCol w:w="109"/>
        <w:gridCol w:w="109"/>
        <w:gridCol w:w="109"/>
        <w:gridCol w:w="109"/>
        <w:gridCol w:w="211"/>
        <w:gridCol w:w="976"/>
        <w:gridCol w:w="109"/>
        <w:gridCol w:w="109"/>
        <w:gridCol w:w="109"/>
        <w:gridCol w:w="109"/>
        <w:gridCol w:w="211"/>
        <w:gridCol w:w="1081"/>
        <w:gridCol w:w="156"/>
      </w:tblGrid>
      <w:tr>
        <w:trPr/>
        <w:tc>
          <w:tcPr>
            <w:tcW w:w="7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 of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2 to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4 to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5 years</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11,204,718 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3,748,112 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1,212,560 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1,762,706 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13,644,438 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 obligations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For information on our long-term debt obligations, </w:t>
      </w:r>
      <w:r>
        <w:rPr>
          <w:rFonts w:ascii="Times New Roman;sans-serif" w:hAnsi="Times New Roman;sans-serif"/>
          <w:b w:val="false"/>
          <w:color w:val="000000"/>
          <w:sz w:val="20"/>
          <w:shd w:fill="FFFFFF" w:val="clear"/>
        </w:rPr>
        <w:t xml:space="preserve">see “—Liquidity and Capital Resources—Long-Term Debt” in our Annual Report, and </w:t>
      </w:r>
      <w:r>
        <w:rPr>
          <w:color w:val="000000"/>
        </w:rPr>
        <w:t>“—</w:t>
      </w:r>
      <w:r>
        <w:rPr>
          <w:rFonts w:ascii="Times New Roman;sans-serif" w:hAnsi="Times New Roman;sans-serif"/>
          <w:b w:val="false"/>
          <w:color w:val="000000"/>
          <w:sz w:val="20"/>
        </w:rPr>
        <w:t>Long-Term Debt and Preferred Stock”</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The amounts included in the table above are based on the total debt balance, scheduled maturities, and interest rates in effect as of June 30, 2024.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obligations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w:t>
      </w:r>
      <w:r>
        <w:rPr>
          <w:color w:val="000000"/>
          <w:shd w:fill="FFFFFF" w:val="clear"/>
        </w:rPr>
        <w:t xml:space="preserve"> </w:t>
      </w:r>
      <w:r>
        <w:rPr>
          <w:rFonts w:ascii="Times New Roman;sans-serif" w:hAnsi="Times New Roman;sans-serif"/>
          <w:b w:val="false"/>
          <w:color w:val="000000"/>
          <w:sz w:val="20"/>
          <w:shd w:fill="FFFFFF" w:val="clear"/>
        </w:rPr>
        <w:t>on the spot price of that index as of</w:t>
      </w:r>
      <w:r>
        <w:rPr>
          <w:color w:val="000000"/>
        </w:rPr>
        <w:t xml:space="preserve"> </w:t>
      </w:r>
      <w:r>
        <w:rPr>
          <w:rFonts w:ascii="Times New Roman;sans-serif" w:hAnsi="Times New Roman;sans-serif"/>
          <w:b w:val="false"/>
          <w:color w:val="000000"/>
          <w:sz w:val="20"/>
        </w:rPr>
        <w:t xml:space="preserve">June 30, 2024.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construction purchase commitments in connection with our development projects, including our Fast LNG projects, Puerto Sandino Facility, Barcarena Facility, Santa Catarina Facility and PortoCem Power Plant. Commitments included in the table above include commitments under engineering, procurement and construction contracts where a notice to proceed has been issued.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obligations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and a land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The following table summarizes the changes to our cash flows for the six months ended June 30, 2024 and 2023, respectively</w:t>
      </w:r>
      <w:r>
        <w:rPr>
          <w:rFonts w:ascii="Times New Roman;sans-serif" w:hAnsi="Times New Roman;sans-serif"/>
          <w:b w:val="false"/>
          <w:color w:val="000000"/>
          <w:sz w:val="20"/>
          <w:shd w:fill="FFFFFF" w:val="clear"/>
        </w:rPr>
        <w:t>:</w:t>
      </w:r>
    </w:p>
    <w:tbl>
      <w:tblPr>
        <w:tblW w:w="9071" w:type="dxa"/>
        <w:jc w:val="left"/>
        <w:tblInd w:w="0" w:type="dxa"/>
        <w:tblLayout w:type="fixed"/>
        <w:tblCellMar>
          <w:top w:w="28" w:type="dxa"/>
          <w:left w:w="28" w:type="dxa"/>
          <w:bottom w:w="28" w:type="dxa"/>
          <w:right w:w="28" w:type="dxa"/>
        </w:tblCellMar>
      </w:tblPr>
      <w:tblGrid>
        <w:gridCol w:w="1732"/>
        <w:gridCol w:w="1523"/>
        <w:gridCol w:w="1529"/>
        <w:gridCol w:w="211"/>
        <w:gridCol w:w="826"/>
        <w:gridCol w:w="109"/>
        <w:gridCol w:w="109"/>
        <w:gridCol w:w="109"/>
        <w:gridCol w:w="109"/>
        <w:gridCol w:w="211"/>
        <w:gridCol w:w="901"/>
        <w:gridCol w:w="109"/>
        <w:gridCol w:w="109"/>
        <w:gridCol w:w="109"/>
        <w:gridCol w:w="109"/>
        <w:gridCol w:w="211"/>
        <w:gridCol w:w="901"/>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June 30, </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 of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656,564 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provided by operating activities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provided by operating activities was $163.0 million for the six months ended June 30, 2024, which decreased by $340.9 million from cash provided by operating activities of $503.9 million for the six months ended June 30, 2023. Our net income for the six months ended June 30, 2024, when adjusted for non-cash items, decreased by $175.2 million from the six months ended June 30, 2024. The remaining decrease in cash provided by operating activities for the six months ended June 30, 2024 was primarily driven by increases to receivables. We also settled a significant commodity swap during the first quarter of 2023, resulting in a significant cash inflow that did not recur during 2024. </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used in investing activities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Our cash flow used in investing activities was $882.7 million for the six months ended June 30, 2024, which decreased by $484.4 million from cash used in investing activities of $1,367.1 million for the six months ended June 30, 2023. Cash outflows for investing activities during the six months ended June 30, 2024 were used primarily for continued development of our Fast LNG and the construction of the PortoCem Power Plant and Barcarena Power Plant. Cash outflows were offset by proceeds of $306.6 million from the sale of turbines and related equipment to PREPA, $136.4 million from the sale of our equity method investment in Energos and $22.4 million from the sale of the </w:t>
      </w:r>
      <w:r>
        <w:rPr>
          <w:rFonts w:ascii="Times New Roman;sans-serif" w:hAnsi="Times New Roman;sans-serif"/>
          <w:b w:val="false"/>
          <w:i/>
          <w:color w:val="000000"/>
          <w:sz w:val="20"/>
        </w:rPr>
        <w:t>Mazo</w:t>
      </w:r>
      <w:r>
        <w:rPr>
          <w:rFonts w:ascii="Times New Roman;sans-serif" w:hAnsi="Times New Roman;sans-serif"/>
          <w:b w:val="false"/>
          <w:color w:val="000000"/>
          <w:sz w:val="20"/>
        </w:rPr>
        <w:t>.</w:t>
      </w:r>
    </w:p>
    <w:p>
      <w:pPr>
        <w:pStyle w:val="TextBody"/>
        <w:bidi w:val="0"/>
        <w:spacing w:lineRule="auto" w:line="288" w:before="240" w:after="283"/>
        <w:ind w:left="0" w:right="0" w:firstLine="396"/>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for investing activities during the six months ended June 30, 2023 were used primarily for continued development of our Fast LNG project and assets to service the grid stabilization project in Puerto Rico. Cash outflows were offset by proceeds of $100.0 million from the sale of our equity method investment in Hilli LLC in the Hilli Exchange.</w:t>
      </w:r>
    </w:p>
    <w:p>
      <w:pPr>
        <w:pStyle w:val="TextBody"/>
        <w:bidi w:val="0"/>
        <w:spacing w:lineRule="auto" w:line="288" w:before="240" w:after="283"/>
        <w:ind w:left="0" w:right="0" w:firstLine="396"/>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provided by financing activities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Our cash flow provided by financing activities was $735.7 million for the six months ended June 30, 2024, which increased by $513.1 million from cash provided by financing activities of $222.6 million for the six months ended June 30, 2023.</w:t>
      </w:r>
      <w:r>
        <w:rPr>
          <w:color w:val="000000"/>
          <w:shd w:fill="FFFFFF" w:val="clear"/>
        </w:rPr>
        <w:t xml:space="preserve"> </w:t>
      </w:r>
      <w:r>
        <w:rPr>
          <w:rFonts w:ascii="Times New Roman;sans-serif" w:hAnsi="Times New Roman;sans-serif"/>
          <w:b w:val="false"/>
          <w:color w:val="000000"/>
          <w:sz w:val="20"/>
        </w:rPr>
        <w:t xml:space="preserve">In the first quarter of 2024 we issued $750.0 million of 2029 Notes with such borrowings primarily used to repay $375.0 million of the 2025 Notes and repay a portion of our outstanding balance on the Revolving Facility. In advance of the sale of turbines to PREPA, we also repaid the Equipment Notes in full. Subsequently, we utilized our Revolving Facility to fund continued development of the Fast LNG project. We also received $284.4 million under the </w:t>
      </w:r>
      <w:r>
        <w:rPr>
          <w:rFonts w:ascii="Times New Roman;sans-serif" w:hAnsi="Times New Roman;sans-serif"/>
          <w:b w:val="false"/>
          <w:color w:val="000000"/>
          <w:sz w:val="20"/>
          <w:shd w:fill="FFFFFF" w:val="clear"/>
        </w:rPr>
        <w:t xml:space="preserve">BNDES Credit Agreement, with such borrowings primarily used to repay the Barcarena Term Loan and fund development of the Barcarena Power Plant. In the second quarter of 2024, we borrowed $269.9 million to repay the PortoCem BTG Loan and </w:t>
      </w:r>
      <w:r>
        <w:rPr>
          <w:rFonts w:ascii="Times New Roman;sans-serif" w:hAnsi="Times New Roman;sans-serif"/>
          <w:b w:val="false"/>
          <w:color w:val="000000"/>
          <w:sz w:val="20"/>
        </w:rPr>
        <w:t xml:space="preserve">begin the development and construction of a power plant to deliver under the capacity reserve contracts acquired in the PortoCem Acquisition. Additionally, we borrowed $148.5 million </w:t>
      </w:r>
      <w:r>
        <w:rPr>
          <w:rFonts w:ascii="Times New Roman;sans-serif" w:hAnsi="Times New Roman;sans-serif"/>
          <w:b w:val="false"/>
          <w:color w:val="000000"/>
          <w:sz w:val="20"/>
          <w:shd w:fill="FFFFFF" w:val="clear"/>
        </w:rPr>
        <w:t>under a promissory note secured by certain turbines owned by the Company</w:t>
      </w:r>
      <w:r>
        <w:rPr>
          <w:rFonts w:ascii="Times New Roman;sans-serif" w:hAnsi="Times New Roman;sans-serif"/>
          <w:b w:val="false"/>
          <w:color w:val="000000"/>
          <w:sz w:val="20"/>
        </w:rPr>
        <w:t>.</w:t>
      </w:r>
      <w:r>
        <w:rPr>
          <w:color w:val="000000"/>
          <w:shd w:fill="FFFFFF" w:val="clear"/>
        </w:rPr>
        <w:t xml:space="preserve"> </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Our cash flow provided by financing activities for the six months ended June 30, 2023 included a dividend payment of $626.3 million that was made in January 2023. Throughout the first six months of 2023, we also borrowed under our expanded Revolving Facility for total additional borrowings of $741.6 million, with such borrowings primarily used to fund the ongoing development of our Fast LNG project. We also </w:t>
      </w:r>
      <w:r>
        <w:rPr>
          <w:rFonts w:ascii="Times New Roman;sans-serif" w:hAnsi="Times New Roman;sans-serif"/>
          <w:b w:val="false"/>
          <w:color w:val="000000"/>
          <w:sz w:val="20"/>
          <w:shd w:fill="FFFFFF" w:val="clear"/>
        </w:rPr>
        <w:t>borrowed $100.0 million under the Equipment Notes to support our grid stabilization project in Puerto Rico and $78.0 million of short-term borrowings under repurchase arrangements. These Equipment Notes were refinanced by the Turbine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Long-Term Debt and Preferred Stock</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terms of our debt instruments and associated obligations have been described in our Annual Report. There have been no significant changes to the terms of our outstanding debt, covenant requirements or payment obligations, other than described below.</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2029 Senior Secured Notes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2024, we issued $750.0 million of 8.75% senior secured notes in a private offering pursuant to Rule 144A under the Securities Act (the “2029 Notes”). Interest is payable semi-annually in arrears on March 15 and September 15 of each year; no principal payments are due until maturity on March 15, 2029. We may redeem the 2029 Notes, in whole or in part, at any time prior to maturity, subject to certain make-whole premiums.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2029 Notes are guaranteed on a senior secured basis by each domestic subsidiary and foreign subsidiary that is a guarantor under the 2025 Notes and 2026 Notes, and the 2029 Notes are secured by substantially the same collateral as the first lien obligations under the 2025 Notes and 2026 Notes. The 2029 Notes may limit the Company’s ability to incur additional indebtedness or issue certain preferred shares, make certain payments, and sell or transfer certain assets subject to certain conditions and qualifications. The 2029 Notes also provide for customary events of default and prepayment provisions.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 connection with the offering of the 2029 Notes, we completed a cash tender offer to repurchase $375.0 million of the outstanding 2025 Notes, for an aggregate repurchase price of $376.9 million. The tender offer was closed and the partial repurchase of the 2025 Notes was completed in the first quarter of 2024. The premium over the repurchase price of $1.9 million was recognized as Loss on extinguishment of debt, net in the </w:t>
      </w:r>
      <w:r>
        <w:rPr>
          <w:rFonts w:ascii="Times New Roman;sans-serif" w:hAnsi="Times New Roman;sans-serif"/>
          <w:b w:val="false"/>
          <w:color w:val="000000"/>
          <w:sz w:val="20"/>
        </w:rPr>
        <w:t>Condensed Consolidated Statements of Operations and Comprehensive Income (Loss).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BNDES Term Loan</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The owner of our power plant under construction </w:t>
      </w:r>
      <w:r>
        <w:rPr>
          <w:rFonts w:ascii="Times New Roman;sans-serif" w:hAnsi="Times New Roman;sans-serif"/>
          <w:b w:val="false"/>
          <w:color w:val="000000"/>
          <w:sz w:val="20"/>
        </w:rPr>
        <w:t>in Pará, Brazil (the "Barcarena Power Plant")</w:t>
      </w:r>
      <w:r>
        <w:rPr>
          <w:color w:val="000000"/>
          <w:shd w:fill="FFFFFF" w:val="clear"/>
        </w:rPr>
        <w:t xml:space="preserve"> </w:t>
      </w:r>
      <w:r>
        <w:rPr>
          <w:rFonts w:ascii="Times New Roman;sans-serif" w:hAnsi="Times New Roman;sans-serif"/>
          <w:b w:val="false"/>
          <w:color w:val="000000"/>
          <w:sz w:val="20"/>
          <w:shd w:fill="FFFFFF" w:val="clear"/>
        </w:rPr>
        <w:t xml:space="preserve">entered into a credit agreement with BNDES, the Brazilian Development Bank (the "BNDES Credit Agreement"). We are able to borrow up to $355.6 million under the BNDES Credit Agreement, segregated into three tranches based on the use of proceeds ("BNDES Term Loan"). In the first quarter of 2024, we borrowed $284.4 million under the BNDES Credit Agreement. Each tranche bears a different rate of interest ranging from 2.61% to 4.41% plus the fixed rate announced by BNDES. No principal payments are required until April 2026 and are due quarterly thereafter until maturity in 2045.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obligations under the BNDES Credit Agreement are guaranteed by certain indirect Brazilian subsidiaries that are constructing the Barcarena Power Plant, and are secured by the Barcarena Power Plant and receivables under the Barcarena Power Plant's capacity reserve contracts. These Brazilian subsidiaries are required to comply with customary affirmative and negative covenants, and the BNDES Credit Agreement also provides for customary events of default, prepayment and cure provisions.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Proceeds received are to be used to repay the existing Barcarena Term Loan (defined in the Annual Report) and to pay for all remaining expected construction costs through the planned completion of the Barcarena Power Plant in 2025. In February 2024, we repaid the full outstanding principal balance of the Barcarena Term Loan, fully extinguishing the obligation. No significant loss on extinguishment was recognized in conjunction with this repayment.</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EB-5 Loan Agreement</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July 21, 2023, we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 million, and outstanding borrowings bear interest at a fixed rate of 4.75%. The loan matures in 5 years from the initial advance with an option to extend the maturity by two one-year periods. It is expected that the loan will be secured by our green hydrogen facility,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provided a guarantee of the obligations under the EB-5 Loan Agreement. In the six months ended June 30, 2024, an additional $37.1 million was funded under the EB-5 Loan Agreement.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PortoCem Financings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part of the PortoCem Acquisition, we assumed a term loan in the aggregate principal amount of R$141.4 million ($28.1 million based on rates in effect on the acquisition date) due December 2024, bearing interest at a rate equal to the one-day interbank deposit rate in Brazil plus 5.0% (the “PortoCem BTG Loan”). Lenders under the PortoCem BTG Loan waived acceleration requirements in the event of a change in control in conjunction with the PortoCem Acquisition, and repayment of the PortoCem BTG Loan was required upon the earlier of PortoCem obtaining additional financing or the original maturity date of December 2024.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2024, PortoCem and a syndicate of banks in Brazil entered into a commitment letter for R$2.9 billion of financing. PortoCem received funding under a short term credit note of R$600.0 million ("PortoCem Credit Note") from this syndicate that was due in July 2024, and a portion of the proceeds was used to repay the PortoCem BTG Loan.</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In</w:t>
      </w:r>
      <w:r>
        <w:rPr>
          <w:color w:val="000000"/>
        </w:rPr>
        <w:t xml:space="preserve"> </w:t>
      </w:r>
      <w:r>
        <w:rPr>
          <w:rFonts w:ascii="Times New Roman;sans-serif" w:hAnsi="Times New Roman;sans-serif"/>
          <w:b w:val="false"/>
          <w:color w:val="000000"/>
          <w:sz w:val="20"/>
        </w:rPr>
        <w:t>May 2024, the PortoCem Credit Note was replaced by a bridge financing agreement that allows PortoCem to borrow up to R$2.9 billion due in October 2025 ("PortoCem Bridge Loan"). PortoCem initially borrowed R$1.5 billion (</w:t>
      </w:r>
      <w:r>
        <w:rPr>
          <w:rFonts w:ascii="Times New Roman;sans-serif" w:hAnsi="Times New Roman;sans-serif"/>
          <w:b w:val="false"/>
          <w:color w:val="000000"/>
          <w:sz w:val="20"/>
          <w:shd w:fill="FFFFFF" w:val="clear"/>
        </w:rPr>
        <w:t>$269.9</w:t>
      </w:r>
      <w:r>
        <w:rPr>
          <w:color w:val="000000"/>
        </w:rPr>
        <w:t xml:space="preserve"> </w:t>
      </w:r>
      <w:r>
        <w:rPr>
          <w:rFonts w:ascii="Times New Roman;sans-serif" w:hAnsi="Times New Roman;sans-serif"/>
          <w:b w:val="false"/>
          <w:color w:val="000000"/>
          <w:sz w:val="20"/>
        </w:rPr>
        <w:t xml:space="preserve">million based on rates in effect at June 30, 2024), and this initial funding was used to repay the PortoCem Credit Note and to begin the development and construction of a power plant to deliver under the capacity reserve contracts acquired in the PortoCem Acquisition. </w:t>
      </w:r>
      <w:r>
        <w:rPr>
          <w:rFonts w:ascii="Times New Roman;sans-serif" w:hAnsi="Times New Roman;sans-serif"/>
          <w:b w:val="false"/>
          <w:color w:val="000000"/>
          <w:sz w:val="20"/>
          <w:shd w:fill="FFFFFF" w:val="clear"/>
        </w:rPr>
        <w:t>The PortoCem Bridge Loan bears interest at the one-day interbank deposit futures rate in Brazil plus 4.25%, and no principal payments are required until maturity in October 2025.</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PortoCem Bridge Loan contains usual and customary representations and warranties, and usual and customary affirmative and negative covenants. The PortoCem Bridge Loan does not contain any restrictive financial covenants.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Turbine Financing</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 May 2024, we executed a loan agreement with a lender to borrow $148.5 million under a promissory note secured by certain of our turbines (the “Turbine Financing”). The Turbine Financing bears interest at </w:t>
      </w:r>
      <w:r>
        <w:rPr>
          <w:rFonts w:ascii="Times New Roman;sans-serif" w:hAnsi="Times New Roman;sans-serif"/>
          <w:b w:val="false"/>
          <w:color w:val="000000"/>
          <w:sz w:val="20"/>
        </w:rPr>
        <w:t>10.30%</w:t>
      </w:r>
      <w:r>
        <w:rPr>
          <w:rFonts w:ascii="Times New Roman;sans-serif" w:hAnsi="Times New Roman;sans-serif"/>
          <w:b w:val="false"/>
          <w:color w:val="000000"/>
          <w:sz w:val="20"/>
          <w:shd w:fill="FFFFFF" w:val="clear"/>
        </w:rPr>
        <w:t>, and the principal is partially repayable in monthly installments over the 36-month term of the loan with the balance due upon maturity in June 2027.</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Turbine Financing contains usual and customary representations and warranties, and usual and customary affirmative and negative covenants. The Turbine Financing does not contain any restrictive financial covenants. We were required to pay a deposit of approximately $6.0 million that will be held by the lender throughout the term of the borrowing.</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Equipment Notes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In conjunction with the execution of the APA to sell certain turbines to PREPA in March 2024, we repaid the Equipment Notes in full, releasing any liens held on the turbines prior to their sale. Principal outstanding as of the repayment date was $188.4 million, and we incurred a prepayment premium of 3%. The prepayment premium and any unamortized financing costs of $7.9 million were recognized as Loss on extinguishment of debt, net in the </w:t>
      </w:r>
      <w:r>
        <w:rPr>
          <w:rFonts w:ascii="Times New Roman;sans-serif" w:hAnsi="Times New Roman;sans-serif"/>
          <w:b w:val="false"/>
          <w:color w:val="000000"/>
          <w:sz w:val="20"/>
        </w:rPr>
        <w:t>Condensed Consolidated Statements of Operations and Comprehensive Income (Loss)</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Debt and lease restrictions </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4.0:1.0. We were in compliance with all covenants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A complete discussion of our critical accounting policies and estimates is included in our Annual Report. As of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there have been no significant changes to our critical accounting estimates since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Standards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descriptions of recently issued accounting standards, see Note 3 to our notes to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normal course of business, we encounter several significant types of market risks including commodity and interest rate risks.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Commodity Price Risk</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Commodity price risk is the risk of loss arising from adverse changes in market rates and prices. Our exposure to market risk associated with LNG price changes may adversely impact our business. </w:t>
      </w:r>
      <w:r>
        <w:rPr>
          <w:rFonts w:ascii="Times New Roman;sans-serif" w:hAnsi="Times New Roman;sans-serif"/>
          <w:b w:val="false"/>
          <w:color w:val="000000"/>
          <w:sz w:val="20"/>
          <w:shd w:fill="FFFFFF" w:val="clear"/>
        </w:rPr>
        <w:t>We are able to limit our exposure to fluctuations in natural gas prices as our pricing in contracts with downstream customers is largely based on the Henry Hub index price plus a contractual spread</w:t>
      </w:r>
      <w:r>
        <w:rPr>
          <w:rFonts w:ascii="Times New Roman;sans-serif" w:hAnsi="Times New Roman;sans-serif"/>
          <w:b w:val="false"/>
          <w:color w:val="000000"/>
          <w:sz w:val="20"/>
        </w:rPr>
        <w:t>. We currently do not have any derivative instruments to mitigate the effect of fluctuations in LNG prices on our operations; however, in the future we may enter into derivative instruments.</w:t>
      </w:r>
      <w:r>
        <w:rPr>
          <w:color w:val="000000"/>
          <w:shd w:fill="FFFFFF" w:val="clear"/>
        </w:rPr>
        <w:t xml:space="preserve">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Rate Risk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2026 Notes, 2029 Notes, South Power 2029 Bonds, Barcarena Debentures, EB-5 Loan and Turbine Financing (each defined above or in the Annual Report)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$79.6 million. The sensitivity analysis presented is based on certain simplifying assumptions, including instantaneous change in interest rate and parallel shifts in the yield curve.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under the Term Loan B, PortoCem Bridge Loan, and BNDES Term Loan have components based on the Secured Overnight Financing Rate ("SOFR"), one-day interbank deposit rate in Brazil, and BNDES fixed rate, respectively. A 100-basis point increase or decrease in the market interest rates would decrease or increase our annual interest expense by approximately $15.0 million.</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Foreign Currency Exchange Risk</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 During the first and second quarters of 2024</w:t>
      </w:r>
      <w:r>
        <w:rPr>
          <w:rFonts w:ascii="Times New Roman;sans-serif" w:hAnsi="Times New Roman;sans-serif"/>
          <w:b w:val="false"/>
          <w:color w:val="000000"/>
          <w:sz w:val="20"/>
        </w:rPr>
        <w:t xml:space="preserve">, we entered into a series of foreign exchange forward contracts and zero-cost collar options to reduce exchange rate risk associated with U.S. dollar borrowings and expected capital expenditures. As of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the notional amount of outstanding foreign exchange contracts was approximately $359,135.</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w:t>
      </w:r>
      <w:r>
        <w:rPr>
          <w:rFonts w:ascii="Times New Roman;sans-serif" w:hAnsi="Times New Roman;sans-serif"/>
          <w:b w:val="false"/>
          <w:color w:val="000000"/>
          <w:sz w:val="20"/>
          <w:shd w:fill="FFFFFF" w:val="clear"/>
        </w:rPr>
        <w:t xml:space="preserve">e may enter into derivative or hedging transactions with third parties to manage our exposure to changes in foreign currency exchange risks as we expand our international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Evaluation of Disclosure Controls and Procedures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Our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at the reasonable assurance level.</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Internal Control over Financial Reporting</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There has been no change in our internal control over financial reporting (as defined in Rule 13a-15(f) and Rule 15d-15(f) under the Exchange Act) that occurred during the quarter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that has materially affected, or is reasonably likely to materially affect, our internal control over financial reporting</w:t>
      </w:r>
      <w:r>
        <w:rPr>
          <w:rFonts w:ascii="Times New Roman;sans-serif" w:hAnsi="Times New Roman;sans-serif"/>
          <w:b w:val="false"/>
          <w:color w:val="000000"/>
          <w:sz w:val="20"/>
          <w:shd w:fill="FFFFFF" w:val="clear"/>
        </w:rPr>
        <w:t>.</w:t>
      </w:r>
    </w:p>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pStyle w:val="TextBody"/>
        <w:bidi w:val="0"/>
        <w:spacing w:lineRule="auto" w:line="288" w:before="240" w:after="283"/>
        <w:ind w:left="0" w:right="0" w:firstLine="36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Summary Risk Factors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Some of the factors that could materially and adversely affect our business, financial condition, results of operations or prospects include the following</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ability to implement our business strategy may be materially and adversely affected by many known and unknown factors;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subject to various construction risks;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Operation of our infrastructure, facilities and vessels involves significant risks;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depend on third-party contractors, operators and suppliers;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Failure of LNG to be a competitive source of energy in the markets in which we operate, and seek to operate, could adversely affect our expansion strategy;</w:t>
      </w:r>
    </w:p>
    <w:p>
      <w:pPr>
        <w:pStyle w:val="TextBody"/>
        <w:bidi w:val="0"/>
        <w:spacing w:lineRule="auto" w:line="288" w:before="20" w:after="283"/>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We operate in a highly regulated environment and our operations could be adversely affected by actions by governmental entities or changes to regulations and legislation;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0" w:after="0"/>
        <w:ind w:left="0" w:right="0" w:hanging="360"/>
        <w:jc w:val="left"/>
        <w:rPr/>
      </w:pPr>
      <w:r>
        <w:rPr>
          <w:color w:val="000000"/>
          <w:shd w:fill="FFFFFF" w:val="clear"/>
        </w:rPr>
        <w:t xml:space="preserve">• </w:t>
      </w:r>
      <w:r>
        <w:rPr>
          <w:rFonts w:ascii="Times New Roman;sans-serif" w:hAnsi="Times New Roman;sans-serif"/>
          <w:b w:val="false"/>
          <w:color w:val="000000"/>
          <w:sz w:val="20"/>
          <w:shd w:fill="FFFFFF" w:val="clear"/>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Failure to maintain sufficient working capital could limit our growth and harm our business, financial condition and results of operations;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ability to generate revenues is substantially dependent on our current and future long-term agreements and the performance by customers under such agreements;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Because we are currently dependent upon a limited number of customers, the loss of a significant customer could adversely affect our operating results;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contracts with our customers are subject to termination under certain circumstances;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Competition in the LNG industry is intense, and some of our competitors have greater financial, technological and other resources than we currently possess;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Cyclical or other changes in the demand for and price of LNG and natural gas may adversely affect our business and the performance of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use of hedging arrangements may adversely affect our future operating results or liquidity;</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are dependent on third-party LNG suppliers and the development of our own portfolio is subject to various risks and assumptions;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LNG that is processed, transported and/or stored on FSRUs and transported via pipeline is subject to risk of loss or damage;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rely on tankers and other vessels outside of our fleet for our LNG transportation and transfer;</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Hire rates for FSRUs and LNG carriers may fluctuate substantially. If rates are lower when we are seeking a new charter, our earnings may decline;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operation of our vessels is dependent on our ability to deploy our vessels to an NFE terminal or to long-term charters;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Vessel values may fluctuate substantially and, if these values are lower at a time when we are attempting to dispose of vessels, we may incur a loss;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Maritime claimants could arrest our vessels, which could interrupt our cash flow;</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 seek to develop innovative and new technologies as part of our strategy that are not yet proven and may not realize the time and cost savings we expect to achieve;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Technological innovation may impair the economic attractiveness of our projects;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Fast LNG technology is not yet proven and we may not be able to implement it as planned or at all;</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data center infrastructure business has no operating history, and it may not be profitable;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data center business strategy depends on the successful development of our projects and any delays or unexpected costs associated with such projects may harm our growth prospects, future operating results and financial condition;</w:t>
      </w:r>
    </w:p>
    <w:p>
      <w:pPr>
        <w:pStyle w:val="TextBody"/>
        <w:bidi w:val="0"/>
        <w:spacing w:lineRule="auto" w:line="288" w:before="0" w:after="0"/>
        <w:ind w:left="0" w:right="0" w:firstLine="360"/>
        <w:jc w:val="left"/>
        <w:rPr/>
      </w:pPr>
      <w:r>
        <w:rPr>
          <w:color w:val="000000"/>
          <w:shd w:fill="FFFFFF" w:val="clear"/>
        </w:rPr>
        <w:t xml:space="preserve">• </w:t>
      </w:r>
      <w:r>
        <w:rPr>
          <w:rFonts w:ascii="Times New Roman;sans-serif" w:hAnsi="Times New Roman;sans-serif"/>
          <w:b w:val="false"/>
          <w:color w:val="000000"/>
          <w:sz w:val="20"/>
          <w:shd w:fill="FFFFFF" w:val="clear"/>
        </w:rPr>
        <w:t>Our data center business model depends upon the demand for data centers;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have incurred, and may in the future incur, a significant amount of debt;</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Our business is dependent upon obtaining substantial additional funding from various sources, which may not be available or may only be available on unfavorable terms;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have entered into, and may in the future enter into or modify existing, joint ventures that might restrict our operational and corporate flexibility or require credit support;</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subject to numerous governmental export laws, and trade and economic sanctions laws and regulations, and anti-corruption laws and regulation;The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may incur impairments to long-lived assets;</w:t>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charterers may inadvertently violate applicable sanctions and/or call on ports located in, or engage in transactions with, countries that are subject to restrictions imposed by the U.S. or other governments, which could adversely affect its business;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Increasing transportation regulations may increase our costs and negatively impact our results of operations;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may not own the land on which our projects are located and are subject to leases, rights-of-ways, easements and other property rights for our operations;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could be negatively impacted by environmental, social, and governance (“ESG”) and sustainability-related matters;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Information technology failures and cyberattacks could affect us significantly;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insurance may be insufficient to cover losses that may occur to our property or result from our operations.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success depends on key members of our management, the loss of any of whom could disrupt our business operations;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business could be affected adversely by labor disputes, strikes or work stoppages;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the Jurisdictions in Which We Operate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shd w:fill="FFFFFF" w:val="clear"/>
        </w:rPr>
      </w:pPr>
      <w:r>
        <w:rPr>
          <w:color w:val="000000"/>
          <w:shd w:fill="FFFFFF" w:val="clear"/>
        </w:rPr>
        <w:t>•     </w:t>
      </w:r>
      <w:r>
        <w:rPr>
          <w:rFonts w:ascii="Times New Roman;sans-serif" w:hAnsi="Times New Roman;sans-serif"/>
          <w:b w:val="false"/>
          <w:color w:val="000000"/>
          <w:sz w:val="20"/>
          <w:shd w:fill="FFFFFF" w:val="clear"/>
        </w:rPr>
        <w:t>We are subject to the economic, political, social and other conditions in the jurisdictions in which we operate;</w:t>
      </w:r>
    </w:p>
    <w:p>
      <w:pPr>
        <w:pStyle w:val="TextBody"/>
        <w:bidi w:val="0"/>
        <w:spacing w:lineRule="auto" w:line="288" w:before="0" w:after="0"/>
        <w:ind w:left="0" w:right="0" w:hanging="360"/>
        <w:jc w:val="left"/>
        <w:rPr>
          <w:color w:val="000000"/>
          <w:shd w:fill="FFFFFF" w:val="clear"/>
        </w:rPr>
      </w:pPr>
      <w:r>
        <w:rPr>
          <w:color w:val="000000"/>
          <w:shd w:fill="FFFFFF" w:val="clear"/>
        </w:rPr>
        <w:t>•     </w:t>
      </w:r>
      <w:r>
        <w:rPr>
          <w:rFonts w:ascii="Times New Roman;sans-serif" w:hAnsi="Times New Roman;sans-serif"/>
          <w:b w:val="false"/>
          <w:color w:val="000000"/>
          <w:sz w:val="20"/>
          <w:shd w:fill="FFFFFF" w:val="clear"/>
        </w:rPr>
        <w:t>Our financial condition and operating results may be adversely affected by foreign exchange fluctuations;    </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Risks Related to Ownership of Our Class A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The market price and trading volume of our Class A common stock may be volatile, which could result in rapid and substantial losses for our stockholders;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are a “controlled company” within the meaning of Nasdaq rules and, as a result, qualify for and intend to rely on exemptions from certain corporate governance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A small number of our original investors have the ability to direct the voting of a majority of our stock, and their interests may conflict with those of our other stockholders;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may issue additional preferred stock, the terms of which could adversely affect the voting power or value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Sales or issuances of our Class A common stock could adversely affect the market price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An active, liquid and orderly trading market for our Class A common stock may not be maintained and the price of our Class A common stock may fluctuate significantly;</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General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a holding company and our operational and consolidated financial results are dependent on the results of our subsidiaries, affiliates, joint ventures and special purpose entities in which we invest</w:t>
      </w:r>
      <w:r>
        <w:rPr>
          <w:rFonts w:ascii="Times New Roman;sans-serif" w:hAnsi="Times New Roman;sans-serif"/>
          <w:b w:val="false"/>
          <w:color w:val="000000"/>
          <w:sz w:val="24"/>
          <w:shd w:fill="FFFFFF" w:val="clear"/>
        </w:rPr>
        <w: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We may engage in mergers, sales and acquisitions, reorganizations or similar transactions related to our businesses or assets in the future and we may fail to successfully complete such transaction or to realize the expected value;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 change in tax laws in any country in which we operate could adversely affect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We have been and may be involved in legal proceedings and may experience unfavorable outcomes;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If securities or industry analysts do not publish research or reports about our business, if they adversely change their recommendations regarding our Class A common stock or if our operating results do not meet their expectations, our share price could decline; and</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implement our business strategy may be materially and adversely affected by many known and unknown factors.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inability to achieve our target costs for the purchase, liquefaction and export of natural gas and/or LNG and our target pricing for long-term contracts;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failure to develop strategic relationships;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failure to obtain required governmental and regulatory approvals for the construction and operation of these projects and other relevant approvals;</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unfavorable laws and regulations, changes in laws or unfavorable interpretation or application of laws and regulations; and</w:t>
      </w:r>
    </w:p>
    <w:p>
      <w:pPr>
        <w:pStyle w:val="TextBody"/>
        <w:bidi w:val="0"/>
        <w:spacing w:lineRule="auto" w:line="288" w:before="240" w:after="283"/>
        <w:ind w:left="0" w:right="0" w:hanging="360"/>
        <w:jc w:val="left"/>
        <w:rPr>
          <w:color w:val="000000"/>
        </w:rPr>
      </w:pPr>
      <w:r>
        <w:rPr>
          <w:color w:val="000000"/>
        </w:rPr>
        <w:t>•     </w:t>
      </w:r>
      <w:r>
        <w:rPr>
          <w:rFonts w:ascii="Times New Roman;sans-serif" w:hAnsi="Times New Roman;sans-serif"/>
          <w:b w:val="false"/>
          <w:color w:val="000000"/>
          <w:sz w:val="20"/>
        </w:rPr>
        <w:t>uncertainty regarding the timing, pace and extent of economic growth in the United States, the other jurisdictions in which we operate and elsewhere, which in turn will likely affect demand for crude oil and natural gas.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various construction risks.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engineering, environmental or geological problems;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shortages or delays in the delivery of equipment and supplies;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meet technical specifications or adjustments being required based on testing or commissioning;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construction, commissioning or operating accidents that could result in personal injury or loss of life;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and qualified personnel to execute the project;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 interference;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most recently with our First LNG project in Altamira, Mexico, and no assurance can be given that we will not continue to experience in the future similar events, any of which could have a material adverse effect on our business, operating results, cash flows and liquidity.</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Operation of our infrastructure, facilities and vessels involves significant risks.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existing infrastructure, facilities and vessels and expected future operations and businesses face operational risks, including, but not limited to,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performing below expected levels of efficiency or capacity or required changes to specifications for continued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breakdowns or failures of equipment or shortages or delays in the delivery of supplies;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operational errors by trucks, including trucking accidents while transporting natural gas, LNG or any other chemical or hazardous substance;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related to operators and service providers of tankers or tugs used in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operational errors by us or any contracted facility, port or other operator of related third-party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maintain the required 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accidents, fires, explosions or other events or catastrophes;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and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weather-related or natural disaster interruptions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pollution, release of or exposure to toxic substances or environmental contamination affecting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inability, or failure, of any counterparty to any facility-related agreements to perform their contractual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demand by our customers;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planned and unplanned power outages or failures to supply due to scheduled or unscheduled maintenance.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depend on third-party contractors, operators and suppliers.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Failure of LNG to be a competitive source of energy in the markets in which we operate, and seek to operate, could adversely affect our expansion strategy.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Russia’s invasion of Ukraine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operate in a highly regulated environment and our operations could be adversely affected by actions by governmental entities or changes to regulations and legislation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rules and regulations are assessed, managed, administered and enforced by various governmental agencies and bodies, whose actions and decisions could adversely affect our business or operations. In the United States and Puerto Rico, approvals of the Department of Energy (“DOE”) under Section 3 of the NGA, as well as several other material governmental and regulatory permits, approvals and authorizations, including under the CAA and the CWA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w:t>
      </w:r>
      <w:r>
        <w:rPr>
          <w:rFonts w:ascii="Times New Roman;sans-serif" w:hAnsi="Times New Roman;sans-serif"/>
          <w:b w:val="false"/>
          <w:color w:val="000000"/>
          <w:sz w:val="20"/>
          <w:shd w:fill="FFFFFF" w:val="clear"/>
        </w:rPr>
        <w:t xml:space="preserve">For example, in February 2024, the Biden Administration announced a temporary pause on pending approvals of LNG exports to non-FTA countries. While the duration of the pause remains unclear, any restrictions on or delays in approving natural gas exports could negatively impact our business in the future. </w:t>
      </w:r>
      <w:r>
        <w:rPr>
          <w:rFonts w:ascii="Times New Roman;sans-serif" w:hAnsi="Times New Roman;sans-serif"/>
          <w:b w:val="false"/>
          <w:color w:val="000000"/>
          <w:sz w:val="20"/>
        </w:rPr>
        <w:t>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order to comply with the FERC’s directive, on September 15, 2021, we filed an application for authorization to operate the San Juan Facility, which remains pending.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t>
      </w:r>
      <w:r>
        <w:rPr>
          <w:rFonts w:ascii="Times New Roman;sans-serif" w:hAnsi="Times New Roman;sans-serif"/>
          <w:b w:val="false"/>
          <w:color w:val="000000"/>
          <w:sz w:val="20"/>
          <w:shd w:fill="FFFFFF" w:val="clear"/>
        </w:rPr>
        <w:t xml:space="preserve">Jurisdiction-specific employment, labor, and subcontracting laws may also affect contracting strategies and impact construction and operations. </w:t>
      </w:r>
      <w:r>
        <w:rPr>
          <w:rFonts w:ascii="Times New Roman;sans-serif" w:hAnsi="Times New Roman;sans-serif"/>
          <w:b w:val="false"/>
          <w:color w:val="000000"/>
          <w:sz w:val="20"/>
        </w:rPr>
        <w:t>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w:t>
      </w:r>
      <w:r>
        <w:rPr>
          <w:rFonts w:ascii="Times New Roman;sans-serif" w:hAnsi="Times New Roman;sans-serif"/>
          <w:b w:val="false"/>
          <w:color w:val="000000"/>
          <w:sz w:val="20"/>
          <w:shd w:fill="FFFFFF" w:val="clear"/>
        </w:rPr>
        <w:t xml:space="preserve">urisdiction-specific employment, labor, and subcontracting laws may also affect contracting strategies and impact construction and operations. </w:t>
      </w:r>
      <w:r>
        <w:rPr>
          <w:rFonts w:ascii="Times New Roman;sans-serif" w:hAnsi="Times New Roman;sans-serif"/>
          <w:b w:val="false"/>
          <w:color w:val="000000"/>
          <w:sz w:val="20"/>
        </w:rPr>
        <w:t xml:space="preserve">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the commencement of construction activities. We cannot make any assurance as to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key part of our business strategy is to attract new customers by agreeing to finance and develop new facilities, power plants, liquefaction facilities and related infrastructure in order to win new customer contracts for the supply of natural gas, LNG, steam or power. We intend to employ a similar strategy for our Klondike business.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maintain sufficient working capital could limit our growth and harm our business, financial condition and results of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generate revenues is substantially dependent on our current and future long-term agreements and the performance by customers under such agreements.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is depressed or insufficient funds are available to cover our financing costs for related vessels.</w:t>
      </w:r>
      <w:r>
        <w:rPr>
          <w:color w:val="000000"/>
        </w:rPr>
        <w:t xml:space="preserve"> </w:t>
      </w:r>
      <w:r>
        <w:rPr>
          <w:rFonts w:ascii="Times New Roman;sans-serif" w:hAnsi="Times New Roman;sans-serif"/>
          <w:b w:val="false"/>
          <w:color w:val="000000"/>
          <w:sz w:val="20"/>
        </w:rPr>
        <w:t>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For example,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Our results of operations for the </w:t>
      </w:r>
      <w:r>
        <w:rPr>
          <w:rFonts w:ascii="Times New Roman;sans-serif" w:hAnsi="Times New Roman;sans-serif"/>
          <w:b w:val="false"/>
          <w:color w:val="000000"/>
          <w:sz w:val="20"/>
        </w:rPr>
        <w:t>six months ended June 30, 2024</w:t>
      </w:r>
      <w:r>
        <w:rPr>
          <w:color w:val="000000"/>
          <w:shd w:fill="FFFFFF" w:val="clear"/>
        </w:rPr>
        <w:t xml:space="preserve"> </w:t>
      </w:r>
      <w:r>
        <w:rPr>
          <w:rFonts w:ascii="Times New Roman;sans-serif" w:hAnsi="Times New Roman;sans-serif"/>
          <w:b w:val="false"/>
          <w:color w:val="000000"/>
          <w:sz w:val="20"/>
          <w:shd w:fill="FFFFFF" w:val="clear"/>
        </w:rPr>
        <w:t>include our Montego Bay Facility, Old Harbour Facility, San Juan Facility, certain industrial end-users and our Miami Facility. In addition, we placed a portion of our La Paz Facility into service in the fourth quarter of 2021, and our revenue and results of operations have begun to be impacted by operations in Mexico, including agreements with certain power generation facilities in Baja California Sur. Our results for the first half of 2024 exclude 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sans-serif" w:hAnsi="Times New Roman;sans-serif"/>
          <w:b w:val="false"/>
          <w:i/>
          <w:color w:val="000000"/>
          <w:sz w:val="20"/>
          <w:shd w:fill="FFFFFF" w:val="clear"/>
        </w:rPr>
        <w:t>Risks Related to the Jurisdictions in Which We Operate—We are subject to the economic, political, social and other conditions in the jurisdictions in which we operate.</w:t>
      </w:r>
      <w:r>
        <w:rPr>
          <w:color w:val="000000"/>
          <w:shd w:fill="FFFFFF" w:val="clear"/>
        </w:rPr>
        <w:t xml:space="preserve">” </w:t>
      </w:r>
      <w:r>
        <w:rPr>
          <w:rFonts w:ascii="Times New Roman;sans-serif" w:hAnsi="Times New Roman;sans-serif"/>
          <w:b w:val="false"/>
          <w:color w:val="000000"/>
          <w:sz w:val="20"/>
          <w:shd w:fill="FFFFFF" w:val="clear"/>
        </w:rPr>
        <w:t>We may also be affected by trade restrictions, such as tariffs or other trade controls. 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we are currently dependent upon a limited number of customers, the loss of a significant customer could adversely affect our operating results.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results of operations and liquidity are, and will continue to be in the near future, substantially dependent upon a limited number of customers, including JPS, SJPC, CFE and PREPA, which have each entered into long-term GSAs and, in the case of JPS, a PPA in relation to the power produced at the CHP Plant, with us, and Jamalco, which has entered into a long-term SSA with us, and which represent a substantial majority of our income. Our operating results are currently contingent on our ability to maintain LNG, natural gas, steam and power sales to these customers. Our near-term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ability to generate cash is dependent on these customers’ continued willingness and ability to continue purchasing our products and services and to perform their obligations under their respective contracts. The loss of 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contracts with our customers are subject to termination under certain circumstances.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upon the occurrence of certain events of force majeure;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fail to make available specified scheduled cargo quantities;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certain uncured payment defaults;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an insolvency event;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occurrence of certain uncured, material breaches; and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Competition in the LNG industry is intense, and some of our competitors have greater financial, technological and other resources than we currently possess.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worldwide LNG production capacity and availability of LNG for market supply;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demand for natural gas but at levels below those required to maintain current price equilibrium with respect to supply;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cost to supply natural gas feedstock to our liquefaction projects;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cost to supply LNG feedstock to our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decreases in the cost of competing sources of natural gas, LNG or alternate fuels such as coal, HFO and ADO;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decreases in the price of LNG;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Cyclical or other changes in the demand for and price of LNG and natural gas may adversely affect our business and the performance of our customers.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additions to competitive regasification capacity in North America, Brazil, Europe, Asia and other markets, which could divert LNG or natural gas from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imposition of tariffs by China or any other jurisdiction on imports of LNG from the United States;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insufficient or oversupply of natural gas liquefaction or export capacity worldwide;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insufficient LNG tanker capacity;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weather conditions and natural disasters;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demand and lower prices for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increased natural gas production deliverable by pipelines, which could suppress demand for LNG;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decreased oil and natural gas exploration activities, including shut-ins and possible proration, which may decrease the production of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 improvements that allow competitors to offer LNG regasification services at reduced prices;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supplies of, and prices for, alternative energy sources, such as coal, oil, nuclear, hydroelectric, wind and solar energy, which may reduce the demand for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tax or other governmental policies regarding imported or exported LNG, natural gas or alternative energy sources, which may reduce the demand for imported or exported LNG and/or natural gas;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conditions in natural gas producing regions;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relative demand for LNG compared to other markets, which may decrease LNG imports into or exports from North America;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cyclical trends in general business and economic conditions that cause changes in the demand for natural gas.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w:t>
      </w:r>
      <w:r>
        <w:rPr>
          <w:color w:val="000000"/>
        </w:rPr>
        <w:t xml:space="preserve"> </w:t>
      </w:r>
      <w:r>
        <w:rPr>
          <w:rFonts w:ascii="Times New Roman;sans-serif" w:hAnsi="Times New Roman;sans-serif"/>
          <w:b w:val="false"/>
          <w:color w:val="000000"/>
          <w:sz w:val="20"/>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use of hedging arrangements may adversely affect our future operating results or liquidity.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third-party LNG suppliers and the development of our own portfolio is subject to various risks and assumptions.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2024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LNG that is processed, transported and/or stored on FSRUs and transported via pipeline is subject to risk of loss or damage.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LNG processed, transported and stored on FSRUs may be subject to loss or damage resulting from equipment malfunction, faulty handling, cargo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tankers and other vessels outside of our fleet for our LNG transportation and transfer.</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Hire rates for FSRUs and LNG carriers may fluctuate substantially. If rates are lower when we are seeking a new charter, our earnings may decline.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fully utilize the capacity of our FSRUs and other facilities.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 up of new third 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operation of our vessels is dependent on our ability to deploy our vessels to an NFE terminal or to long-term charters.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Vessel values may fluctuate substantially and, if these values are lower at a time when we are attempting to dispose of vessels, we may incur a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values can fluctuate substantially over time due to a number of different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prevailing economic conditions in the natural gas and energy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substantial or extended decline in demand for LNG;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the supply of vessel capacity without a commensurate increase in demand;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and age of a vessel;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retrofitting, steel prices or modifying existing vessels, as a result of technological advances in vessel design or equipment, changes in applicable environmental or other regulations or standards, customer requirements or otherwise.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our owned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 and subject to market pricing.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vessels may not represent their fair market value at any point in time because the market prices of secondhand vessels tend to fluctuate with changes in charter rates, vessel availability and the cost of new build vessels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Maritime claimants could arrest our vessels, which could interrupt our cash flow.</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seek to develop innovative and new technologies as part of our strategy that are not yet proven and may not realize the time and cost savings we expect to achieve.</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w:t>
      </w:r>
      <w:r>
        <w:rPr>
          <w:color w:val="000000"/>
        </w:rPr>
        <w:t xml:space="preserve"> </w:t>
      </w: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Technological innovation may impair the economic attractiveness of our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Fast LNG technology is not yet proven and we may not be able to implement it as planned or at all.</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have commenced operations at our first Fast LNG solution, but we have not yet supplied any LNG from that facility to customers, and are therefore subject to risks related to full commercial development of the facility. We are also developing our first onshore 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data center infrastructure business has no operating history, and we may not recognize revenue or operating income in the future.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On July 2, 2024, we announced the launch of Klondike Digital Infrastructure, </w:t>
      </w:r>
      <w:r>
        <w:rPr>
          <w:rFonts w:ascii="Times New Roman;sans-serif" w:hAnsi="Times New Roman;sans-serif"/>
          <w:b w:val="false"/>
          <w:color w:val="000000"/>
          <w:sz w:val="20"/>
          <w:shd w:fill="FFFFFF" w:val="clear"/>
        </w:rPr>
        <w:t>a power and data center infrastructure business. W</w:t>
      </w:r>
      <w:r>
        <w:rPr>
          <w:rFonts w:ascii="Times New Roman;sans-serif" w:hAnsi="Times New Roman;sans-serif"/>
          <w:b w:val="false"/>
          <w:color w:val="000000"/>
          <w:sz w:val="20"/>
        </w:rPr>
        <w:t xml:space="preserve">e are subject to a multitude of risks inherent in a recently established business venture in a rapidly developing and changing industry. We have no operating history in the data center </w:t>
      </w:r>
      <w:r>
        <w:rPr>
          <w:rFonts w:ascii="Times New Roman;sans-serif" w:hAnsi="Times New Roman;sans-serif"/>
          <w:b w:val="false"/>
          <w:color w:val="000000"/>
          <w:sz w:val="20"/>
          <w:shd w:fill="FFFFFF" w:val="clear"/>
        </w:rPr>
        <w:t xml:space="preserve">infrastructure </w:t>
      </w:r>
      <w:r>
        <w:rPr>
          <w:rFonts w:ascii="Times New Roman;sans-serif" w:hAnsi="Times New Roman;sans-serif"/>
          <w:b w:val="false"/>
          <w:color w:val="000000"/>
          <w:sz w:val="20"/>
        </w:rPr>
        <w:t xml:space="preserve">business and may not be able to achieve our business objectives. We cannot assure you that our past experience will be sufficient to allow us to successfully achieve our business objectives, and our past performance should not be used as an indicator of our likely performance. Our lack of operating history in the data center </w:t>
      </w:r>
      <w:r>
        <w:rPr>
          <w:rFonts w:ascii="Times New Roman;sans-serif" w:hAnsi="Times New Roman;sans-serif"/>
          <w:b w:val="false"/>
          <w:color w:val="000000"/>
          <w:sz w:val="20"/>
          <w:shd w:fill="FFFFFF" w:val="clear"/>
        </w:rPr>
        <w:t xml:space="preserve">infrastructure </w:t>
      </w:r>
      <w:r>
        <w:rPr>
          <w:rFonts w:ascii="Times New Roman;sans-serif" w:hAnsi="Times New Roman;sans-serif"/>
          <w:b w:val="false"/>
          <w:color w:val="000000"/>
          <w:sz w:val="20"/>
        </w:rPr>
        <w:t xml:space="preserve">business, particularly in the development and operation of data center infrastructure, also makes it difficult to evaluate the prospects of this business. We have not yet been able to confirm that our business model can or will be successful, and we may not ever recognize revenue or operating income from this business. Our expectations regarding the data center business may not prove to be accurate. Our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 likely fluctuate moving forward as we we develop this business. In addition, we expect additional growth in this business, which could place significant demands on our management team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generate cash from operations from this new business line, so we will need additional funding from other sources to develop this business. There can be no assurance that we will be able to obtain financing on favorable terms or at all, or that we will have sufficient capital to fully implement our business plan, which could have a material adverse effect on this business, results of operations, financial condition and prospects. You should consider our data center business and prospects in light of these risks and the risks and difficulties that we will encounter as we continue to develop our business model. We may not be able to address these risks and difficulties successfully, which would materially harm our business and operating results.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data center business strategy depends on the successful development of our projects and any delays or unexpected costs associated with such projects may harm our growth prospects, future operating results and financial condition.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develop a geographically diverse portfolio of power and data center infrastructure and we have more than 1,000 acres of developable land across sites in Brazil, Ireland, and the United States that we are analyzing for potential use in the business. Our business strategy depends upon the successful acquisition, permitting, gas supply, transmission work and completion of the development of these sites and similar projects in the future. Current and future development projects and expansion into new markets will involve substantial planning, allocation of significant company resources and certain risks, including risks related to the acquisition of real property, financing, zoning, permits and other regulatory approvals, construction costs and delays.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development projects will also require us to carefully select and rely on the experience of one or more general contractors and associated subcontractors during the construction process. Should a general contractor or significant subcontractor experience financial or other problems during the construction process, we could experience significant delays, increased costs to complete the project and other negative impacts to our expected financial returns. Site selection in current and expansion markets is also a critical factor in our expansion plans, and there may not be suitable properties available in our markets at a location that is attractive to our customers and has the necessary combination of other characteristics. Furthermore, while we may prefer to locate new data centers adjacent to or in close proximity to our existing data centers, we may be limited by the size and location of suitable properties. If we are unable to successfully develop and operate data center properties, our business, financial condition and results of operations will be significantly impaired.</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data center business model depends upon the demand for data centers.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be in the business of developing infrastructure to serve data centers. A reduction in the demand for data center power or connectivity would have an adverse effect on our ability to develop our data center infrastructure business. We are susceptible to general economic slowdowns as well as adverse developments in the data center, internet and data communications and broader technology industries. Any such slowdown or adverse development could lead to reduced corporate information technology (“IT”) spending or reduced demand for data center space. Reduced demand could also result from business relocations, including to markets that we do not currently serve. Changes in industry practice or in technology could also reduce demand for the physical data center space we will provide. Our results of operations and financial condition could be materially adversely affected as a result of any or all of these factors.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incurred, and may in the future incur, a significant amount of debt.</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On an ongoing basis, we engage with lenders and other financial institutions in an effort to improve our liquidity and capital resources. As of June 30, 2024, we had approximately $7.8 billion aggregate principal amount of indebtedness outstanding on a consolidated basis (which does not include any unconsolidated debt).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w:t>
      </w:r>
      <w:r>
        <w:rPr>
          <w:color w:val="000000"/>
        </w:rPr>
        <w:t xml:space="preserve"> </w:t>
      </w:r>
      <w:r>
        <w:rPr>
          <w:rFonts w:ascii="Times New Roman;sans-serif" w:hAnsi="Times New Roman;sans-serif"/>
          <w:b w:val="false"/>
          <w:color w:val="000000"/>
          <w:sz w:val="20"/>
        </w:rPr>
        <w:t xml:space="preserve">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In addition, as our existing indebtedness matures, we may need to refinance that indebtedness with new indebtedness that may have a higher interest rate, which will increase our fixed costs. We may incur additional debt to fund our business and strategic initiatives.</w:t>
      </w:r>
      <w:r>
        <w:rPr>
          <w:color w:val="000000"/>
        </w:rPr>
        <w:t xml:space="preserve"> </w:t>
      </w:r>
      <w:r>
        <w:rPr>
          <w:rFonts w:ascii="Times New Roman;sans-serif" w:hAnsi="Times New Roman;sans-serif"/>
          <w:b w:val="false"/>
          <w:color w:val="000000"/>
          <w:sz w:val="20"/>
        </w:rPr>
        <w:t>If we incur additional debt and other obligations, the risks associated with our substantial leverage and the ability to service such debt would increase, which could have a material adverse effect on our business, results of operation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dependent upon obtaining substantial additional funding from various sources, which may not be available or may only be available on unfavorable terms.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Brazil and other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w:t>
      </w:r>
      <w:r>
        <w:rPr>
          <w:color w:val="000000"/>
        </w:rPr>
        <w:t xml:space="preserve"> </w:t>
      </w:r>
      <w:r>
        <w:rPr>
          <w:rFonts w:ascii="Times New Roman;sans-serif" w:hAnsi="Times New Roman;sans-serif"/>
          <w:b w:val="false"/>
          <w:color w:val="000000"/>
          <w:sz w:val="20"/>
        </w:rPr>
        <w:t>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w:t>
      </w:r>
      <w:r>
        <w:rPr>
          <w:color w:val="000000"/>
        </w:rPr>
        <w:t xml:space="preserve"> </w:t>
      </w:r>
      <w:r>
        <w:rPr>
          <w:rFonts w:ascii="Times New Roman;sans-serif" w:hAnsi="Times New Roman;sans-serif"/>
          <w:b w:val="false"/>
          <w:color w:val="000000"/>
          <w:sz w:val="20"/>
        </w:rPr>
        <w:t>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entered into, and may in the future enter into or modify existing, joint ventures that might restrict our operational and corporate flexibility or require credit support.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our business. Further, by virtue of our guarantees with respect to our joint ventures and/or affiliates, this may reduce our ability to gain future credit from certain lenders.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incur impairments to long-lived assets.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to risks posed by hurricanes and similar severe weather conditions or natural disasters or other adverse events or conditions that could severely affect our infrastructure, resulting in damage or loss, contamination to the areas, and suspension of our operations.</w:t>
      </w:r>
      <w:r>
        <w:rPr>
          <w:color w:val="000000"/>
        </w:rPr>
        <w:t xml:space="preserve"> </w:t>
      </w:r>
      <w:r>
        <w:rPr>
          <w:rFonts w:ascii="Times New Roman;sans-serif" w:hAnsi="Times New Roman;sans-serif"/>
          <w:b w:val="false"/>
          <w:color w:val="000000"/>
          <w:sz w:val="20"/>
        </w:rPr>
        <w:t>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w:t>
      </w:r>
      <w:r>
        <w:rPr>
          <w:color w:val="000000"/>
        </w:rPr>
        <w:t xml:space="preserve"> </w:t>
      </w:r>
      <w:r>
        <w:rPr>
          <w:rFonts w:ascii="Times New Roman;sans-serif" w:hAnsi="Times New Roman;sans-serif"/>
          <w:b w:val="false"/>
          <w:color w:val="000000"/>
          <w:sz w:val="20"/>
        </w:rPr>
        <w:t xml:space="preserve">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Greenhouse Gases/Climate Change</w:t>
      </w:r>
      <w:r>
        <w:rPr>
          <w:rFonts w:ascii="Times New Roman;sans-serif" w:hAnsi="Times New Roman;sans-serif"/>
          <w:b w:val="false"/>
          <w:color w:val="000000"/>
          <w:sz w:val="20"/>
        </w:rPr>
        <w:t>. The threat of climate change continues to attract considerable attention in the 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in February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Fossil Fuels.</w:t>
      </w:r>
      <w:r>
        <w:rPr>
          <w:color w:val="000000"/>
        </w:rPr>
        <w:t xml:space="preserve"> </w:t>
      </w:r>
      <w:r>
        <w:rPr>
          <w:rFonts w:ascii="Times New Roman;sans-serif" w:hAnsi="Times New Roman;sans-serif"/>
          <w:b w:val="false"/>
          <w:color w:val="000000"/>
          <w:sz w:val="20"/>
        </w:rPr>
        <w:t xml:space="preserve">Our business activities depend upon a sufficient and reliable supply of natural gas feedstock, and are 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Hydraulic Fracturing.</w:t>
      </w:r>
      <w:r>
        <w:rPr>
          <w:color w:val="000000"/>
        </w:rPr>
        <w:t xml:space="preserve"> </w:t>
      </w:r>
      <w:r>
        <w:rPr>
          <w:rFonts w:ascii="Times New Roman;sans-serif" w:hAnsi="Times New Roman;sans-serif"/>
          <w:b w:val="false"/>
          <w:color w:val="000000"/>
          <w:sz w:val="20"/>
        </w:rPr>
        <w:t>Certain of our suppliers of natural gas and LNG employ hydraulic fracturing techniques to 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Indigenous Communities</w:t>
      </w:r>
      <w:r>
        <w:rPr>
          <w:rFonts w:ascii="Times New Roman;sans-serif" w:hAnsi="Times New Roman;sans-serif"/>
          <w:b w:val="false"/>
          <w:color w:val="000000"/>
          <w:sz w:val="20"/>
        </w:rPr>
        <w:t>. Indigenous communities—including, in Brazil, Afro-indigenous (“Quilombola”) 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Times New Roman;sans-serif" w:hAnsi="Times New Roman;sans-serif"/>
          <w:b w:val="false"/>
          <w:i/>
          <w:color w:val="000000"/>
          <w:sz w:val="20"/>
        </w:rPr>
        <w:t>Fundação Nacional do Índio</w:t>
      </w:r>
      <w:r>
        <w:rPr>
          <w:color w:val="000000"/>
        </w:rPr>
        <w:t xml:space="preserve"> </w:t>
      </w:r>
      <w:r>
        <w:rPr>
          <w:rFonts w:ascii="Times New Roman;sans-serif" w:hAnsi="Times New Roman;sans-serif"/>
          <w:b w:val="false"/>
          <w:color w:val="000000"/>
          <w:sz w:val="20"/>
        </w:rPr>
        <w:t>or “FUNAI”) (for indigenous people) or Palmares Cultural Foundation (</w:t>
      </w:r>
      <w:r>
        <w:rPr>
          <w:rFonts w:ascii="Times New Roman;sans-serif" w:hAnsi="Times New Roman;sans-serif"/>
          <w:b w:val="false"/>
          <w:i/>
          <w:color w:val="000000"/>
          <w:sz w:val="20"/>
        </w:rPr>
        <w:t>Fundação Cultural Palmares</w:t>
      </w:r>
      <w:r>
        <w:rPr>
          <w:rFonts w:ascii="Times New Roman;sans-serif" w:hAnsi="Times New Roman;sans-serif"/>
          <w:b w:val="false"/>
          <w:color w:val="000000"/>
          <w:sz w:val="20"/>
        </w:rPr>
        <w:t>) (for Quilombola communities).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pStyle w:val="TextBody"/>
        <w:bidi w:val="0"/>
        <w:spacing w:lineRule="auto" w:line="288" w:before="240" w:after="283"/>
        <w:ind w:left="0" w:right="0" w:firstLine="360"/>
        <w:jc w:val="left"/>
        <w:rPr/>
      </w:pPr>
      <w:r>
        <w:rPr>
          <w:rFonts w:ascii="Times New Roman;sans-serif" w:hAnsi="Times New Roman;sans-serif"/>
          <w:b w:val="false"/>
          <w:i/>
          <w:color w:val="000000"/>
          <w:sz w:val="20"/>
        </w:rPr>
        <w:t>Offshore operations.</w:t>
      </w:r>
      <w:r>
        <w:rPr>
          <w:color w:val="000000"/>
        </w:rPr>
        <w:t xml:space="preserve"> </w:t>
      </w:r>
      <w:r>
        <w:rPr>
          <w:rFonts w:ascii="Times New Roman;sans-serif" w:hAnsi="Times New Roman;sans-serif"/>
          <w:b w:val="false"/>
          <w:color w:val="000000"/>
          <w:sz w:val="20"/>
        </w:rPr>
        <w:t>Our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particular, development of offshore operations of natural gas and LNG are subject to extensive environmental, industry, maritime and social regulations. For example, the development and operation of our new FLNG facility off the coast of Altamira, State of Tamaulipas, is subject to regulation by Mexico’s Ministry of Energy (</w:t>
      </w:r>
      <w:r>
        <w:rPr>
          <w:rFonts w:ascii="Times New Roman;sans-serif" w:hAnsi="Times New Roman;sans-serif"/>
          <w:b w:val="false"/>
          <w:i/>
          <w:color w:val="000000"/>
          <w:sz w:val="20"/>
        </w:rPr>
        <w:t>Secretaría de Energía</w:t>
      </w:r>
      <w:r>
        <w:rPr>
          <w:rFonts w:ascii="Times New Roman;sans-serif" w:hAnsi="Times New Roman;sans-serif"/>
          <w:b w:val="false"/>
          <w:color w:val="000000"/>
          <w:sz w:val="20"/>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overall trends are towards more regulations and more stringent requirements which are likely to add to our costs of doing business. For example, IMO regulations limit the sulfur content of fuel oil for ships to 0.5 weight percent starting ,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numerous governmental export laws, and trade and economic sanctions laws and regulations, and anti-corruption laws and regulation.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w:t>
      </w:r>
      <w:r>
        <w:rPr>
          <w:color w:val="000000"/>
        </w:rPr>
        <w:t xml:space="preserve"> </w:t>
      </w:r>
      <w:r>
        <w:rPr>
          <w:rFonts w:ascii="Times New Roman;sans-serif" w:hAnsi="Times New Roman;sans-serif"/>
          <w:b w:val="false"/>
          <w:color w:val="000000"/>
          <w:sz w:val="20"/>
        </w:rPr>
        <w:t>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w:t>
      </w:r>
      <w:r>
        <w:rPr>
          <w:color w:val="000000"/>
        </w:rPr>
        <w:t xml:space="preserve"> </w:t>
      </w:r>
      <w:r>
        <w:rPr>
          <w:rFonts w:ascii="Times New Roman;sans-serif" w:hAnsi="Times New Roman;sans-serif"/>
          <w:b w:val="false"/>
          <w:color w:val="000000"/>
          <w:sz w:val="20"/>
        </w:rPr>
        <w:t>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charterers may inadvertently violate applicable sanctions and/or call on ports located in, or engage in transactions with, countries that are subject to restrictions imposed by the U.S. or other governments, which could adversely affect its business.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None of our vessels have called on ports located in countries subject to comprehensive sanctions and embargoes imposed by the U.S. government or countries identified by the U.S. government as state sponsors of terrorism.</w:t>
      </w:r>
      <w:r>
        <w:rPr>
          <w:color w:val="000000"/>
        </w:rPr>
        <w:t xml:space="preserve"> </w:t>
      </w:r>
      <w:r>
        <w:rPr>
          <w:rFonts w:ascii="Times New Roman;sans-serif" w:hAnsi="Times New Roman;sans-serif"/>
          <w:b w:val="false"/>
          <w:color w:val="000000"/>
          <w:sz w:val="20"/>
        </w:rPr>
        <w:t>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w:t>
      </w:r>
      <w:r>
        <w:rPr>
          <w:color w:val="000000"/>
        </w:rPr>
        <w:t xml:space="preserve"> </w:t>
      </w:r>
      <w:r>
        <w:rPr>
          <w:rFonts w:ascii="Times New Roman;sans-serif" w:hAnsi="Times New Roman;sans-serif"/>
          <w:b w:val="false"/>
          <w:color w:val="000000"/>
          <w:sz w:val="20"/>
        </w:rPr>
        <w:t>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transportation regulations may increase our costs and negatively impact our results of operations.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w:t>
      </w:r>
      <w:r>
        <w:rPr>
          <w:color w:val="000000"/>
        </w:rPr>
        <w:t xml:space="preserve"> </w:t>
      </w:r>
      <w:r>
        <w:rPr>
          <w:rFonts w:ascii="Times New Roman;sans-serif" w:hAnsi="Times New Roman;sans-serif"/>
          <w:b w:val="false"/>
          <w:color w:val="000000"/>
          <w:sz w:val="20"/>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activities related to our logistics and shipping operations may constitute “coastwise trade” within the meaning of laws and regulations of the U.S. and other jurisdictions in which we operate. Under these laws and regulations,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own the land on which our projects are located and are subject to leases, rights-of-ways, easements and other property rights for our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could be negatively impacted by environmental, social, and governance (“ESG”) and sustainability-related matters.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Information technology failures and cyberattacks could affect us significantly.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information or to render data or systems unusable, threats to the security of our facilities, liquefaction facilities, and infrastructure or third-party facilities and infrastructure, such as processing plants and pipelines, and threats from terrorist acts. </w:t>
      </w:r>
      <w:r>
        <w:rPr>
          <w:rFonts w:ascii="Times New Roman;sans-serif" w:hAnsi="Times New Roman;sans-serif"/>
          <w:b w:val="false"/>
          <w:color w:val="000000"/>
          <w:sz w:val="20"/>
          <w:shd w:fill="FFFFFF" w:val="clear"/>
        </w:rPr>
        <w:t>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insurance may be insufficient to cover losses that may occur to our property or result from our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success depends on key members of our management, the loss of any of whom could disrupt our business operations.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local crew members could adversely affect our operations, business, results of operations and financial condition.</w:t>
      </w:r>
      <w:r>
        <w:rPr>
          <w:color w:val="000000"/>
        </w:rPr>
        <w:t xml:space="preserve"> </w:t>
      </w:r>
      <w:r>
        <w:rPr>
          <w:rFonts w:ascii="Times New Roman;sans-serif" w:hAnsi="Times New Roman;sans-serif"/>
          <w:b w:val="false"/>
          <w:color w:val="000000"/>
          <w:sz w:val="20"/>
        </w:rPr>
        <w:t>In addition, j</w:t>
      </w:r>
      <w:r>
        <w:rPr>
          <w:rFonts w:ascii="Times New Roman;sans-serif" w:hAnsi="Times New Roman;sans-serif"/>
          <w:b w:val="false"/>
          <w:color w:val="000000"/>
          <w:sz w:val="20"/>
          <w:shd w:fill="FFFFFF" w:val="clear"/>
        </w:rPr>
        <w:t xml:space="preserve">urisdiction-specific employment, labor, and subcontracting laws may affect contracting strategies and impact construction and operations. </w:t>
      </w:r>
      <w:r>
        <w:rPr>
          <w:rFonts w:ascii="Times New Roman;sans-serif" w:hAnsi="Times New Roman;sans-serif"/>
          <w:b w:val="false"/>
          <w:color w:val="000000"/>
          <w:sz w:val="20"/>
        </w:rPr>
        <w:t>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could be affected adversely by labor disputes, strikes or work stoppages.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Jurisdictions in Which We Operate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financial condition and operating results may be adversely affected by foreign exchange fluctuations.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our Class A common stock may be volatile, which could result in rapid and substantial losses for our stockholders.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shift in our investor base;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quarterly or annual earnings, or those of other comparable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investments, acquisitions or dispositions;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failure of securities analysts to cover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earnings estimates by securities analysts or our ability to meet those estimates;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operating and share price performance of other comparable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overall market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in the markets and market sectors in which we participate.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Nasdaq rules and, as a result, qualify for and intend to rely on exemptions from certain corporate governance requirements.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Affiliates of certain entities controlled by Wesley R. Edens, Randal A. Nardone and affiliates of Fortress Investment Group LLC (“Founder Entities”), together with affiliates of Energy Transition Holdings LLC,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June 30, 2024, hold approximately 12.3%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majority of the board of directors consist of independent directors as defined under the rules of Nasdaq;</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nominating and governance committee be composed entirely of independent directors with a written charter addressing the committee’s purpose and responsibilities;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compensation committee be composed entirely of independent directors with a written charter addressing the committee’s purpose and responsibilities.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 small number of our original investors have the ability to direct the voting of a majority of our stock, and their interests may conflict with those of our other stockholders.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affiliates of the Founder Entities own an aggregate of approximately 87,136,768 shares of Class A common stock, representing approximately 42.1% of our voting power, and affiliates of Energy Transition Holdings LLC, party to the Shareholders' Agreement, own an aggregate of approximately 25,559,846 shares of our Class A common stock, representing approximately 12.3%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acquisitions, financings and other corporate opportunities and attempts to acquire us, may conflict with the interests of our other stockholders, including holders of the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our board of directors to issue preferred stock (including the Series A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dividing our board of directors into three classes of directors, with each class serving staggered three-year terms;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prohibiting cumulative voting in the election of directors;</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establishing advance notice provisions for stockholder proposals and nominations for elections to the board of directors to be acted upon at meetings of the stockholders; and</w:t>
      </w:r>
    </w:p>
    <w:p>
      <w:pPr>
        <w:pStyle w:val="TextBody"/>
        <w:bidi w:val="0"/>
        <w:spacing w:lineRule="auto" w:line="288" w:before="240" w:after="283"/>
        <w:ind w:left="0" w:right="0" w:hanging="356"/>
        <w:jc w:val="left"/>
        <w:rPr/>
      </w:pPr>
      <w:r>
        <w:rPr>
          <w:color w:val="000000"/>
        </w:rPr>
        <w:t>•</w:t>
      </w:r>
      <w:r>
        <w:rPr>
          <w:rFonts w:ascii="Times New Roman;sans-serif" w:hAnsi="Times New Roman;sans-serif"/>
          <w:b w:val="false"/>
          <w:color w:val="000000"/>
          <w:sz w:val="20"/>
        </w:rPr>
        <w:t>providing that the board of directors is expressly authorized to adopt, or to alter or repeal certain provisions of our organizational documents to the extent permitted by law.</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that was issued upon closing of the PortoCem acquisition,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A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A Convertible Preferred Stock has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A Convertible Preferred Stock) in the future will depend on market conditions and other factors beyond our control, we cannot predict or estimate the amount, timing, nature or success of our future capital raising efforts. Thus,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stockholders bear the risk that our future incurrence or issuance of debt or issuance of equity or equity-related securities will adversely affect the market price of our Class A common stock.</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may issue additional preferred stock, the terms of which could adversely affect the voting power or value of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PortoCem Acquisition, we issued 96,746 shares of the Series A Convertible Preferred Stock. The terms of the Series A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For example, each share of the Series A Convertible Preferred Stock has a liquidation preference of $1,000.</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Sales or issuances of our Class A common stock could adversely affect the market price of our Class A common stock.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An active, liquid and orderly trading market for our Class A common stock may not be maintained and the price of our Class A common stock may fluctuate significantly.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pStyle w:val="TextBody"/>
        <w:bidi w:val="0"/>
        <w:spacing w:lineRule="auto" w:line="288" w:before="240" w:after="283"/>
        <w:ind w:left="0" w:right="0" w:firstLine="2"/>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are a holding company and our operational and consolidated financial results are dependent on the results of our subsidiaries, affiliates, joint ventures and special purpose entities in which we invest.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may engage in mergers, sales and acquisitions, divestments, reorganizations or similar transactions related to our businesses or assets in the future and we may fail to successfully complete such transaction or to realize the expected value.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w:t>
      </w:r>
      <w:r>
        <w:rPr>
          <w:color w:val="000000"/>
        </w:rPr>
        <w:t xml:space="preserve"> </w:t>
      </w:r>
      <w:r>
        <w:rPr>
          <w:rFonts w:ascii="Times New Roman;sans-serif" w:hAnsi="Times New Roman;sans-serif"/>
          <w:b w:val="false"/>
          <w:color w:val="000000"/>
          <w:sz w:val="20"/>
        </w:rPr>
        <w:t>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A change in tax laws in any country in which we operate could adversely affect us.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 xml:space="preserve">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w:t>
      </w:r>
      <w:r>
        <w:rPr>
          <w:rFonts w:ascii="Times New Roman;sans-serif" w:hAnsi="Times New Roman;sans-serif"/>
          <w:b w:val="false"/>
          <w:color w:val="000000"/>
          <w:sz w:val="20"/>
          <w:shd w:fill="FFFFFF" w:val="clear"/>
        </w:rPr>
        <w:t>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We have been and may be involved in legal proceedings and may experience unfavorable outcomes.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pStyle w:val="TextBody"/>
        <w:bidi w:val="0"/>
        <w:spacing w:lineRule="auto" w:line="288" w:before="24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pStyle w:val="TextBody"/>
        <w:bidi w:val="0"/>
        <w:spacing w:lineRule="auto" w:line="288" w:before="240" w:after="283"/>
        <w:ind w:left="0" w:right="0" w:firstLine="2"/>
        <w:jc w:val="left"/>
        <w:rPr>
          <w:rFonts w:ascii="Times New Roman;sans-serif" w:hAnsi="Times New Roman;sans-serif"/>
          <w:b/>
          <w:i/>
          <w:color w:val="000000"/>
          <w:sz w:val="20"/>
        </w:rPr>
      </w:pPr>
      <w:r>
        <w:rPr>
          <w:rFonts w:ascii="Times New Roman;sans-serif" w:hAnsi="Times New Roman;sans-serif"/>
          <w:b/>
          <w:i/>
          <w:color w:val="000000"/>
          <w:sz w:val="20"/>
        </w:rPr>
        <w:t xml:space="preserve">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 </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caused economic disruptions in various regions, disruptions in global supply chains, significant volatility and disruption of financial markets and in the price of oil and other commodities.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may be taken in response to the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pStyle w:val="TextBody"/>
        <w:bidi w:val="0"/>
        <w:spacing w:before="0" w:after="0"/>
        <w:ind w:left="0" w:right="0" w:firstLine="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None.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 and Preferred Stock —Debt and lease restrictions.”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41"/>
        <w:gridCol w:w="2703"/>
        <w:gridCol w:w="385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Conversion of New Fortress Energy Inc. (incorporated by reference to Exhibit 99.2 to the Registrant’s Quarterly Report on Form 10-Q filed with the SEC on August 4, 2020).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Incorporation of New Fortress Energy Inc. (incorporated by reference to Exhibit 99.3 to the Registrant’s Quarterly Report on Form 10-Q filed with the SEC on August 4, 2020).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3.3</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Designations of New Fortress Energy Inc., designating the Company’s 4.8% Series A Convertible Preferred Stock, par value $0.01 per share (incorporated by reference to Exhibit 3.1 to the Registrant’s Current Report on Form 8-K, filed with the SEC on March 26, 2024).</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3.4</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New Fortress Energy Inc. (incorporated by reference to Exhibit 99.4 to the Registrant’s Quarterly Report on Form 10-Q filed with the SEC on August 4, 2020).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10.2†</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Restricted Share Unit Award Agreement (incorporated by reference to Exhibit 10.4 to the Registrant’s Registration Statement on Form S-1/A, filed with the SEC on December 24, 2018).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10.3†</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 Award Agreement under the Amended and Restated New Fortress Energy Inc. 2019 Omnibus Incentive Plan (incorporated by reference to Exhibit 10.5 to the Registrant’s Quarterly Report on Form 10-Q, filed with the Commission on November 8, 2022).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10.4</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Agreement, dated February 4, 2019, by and among New Fortress Energy LLC, New Fortress Energy Holdings LLC, Wesley R. Edens and Randal A. Nardone (incorporated by reference to Exhibit 4.1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10.5</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Services Agreement, dated February 4, 2019, by and between New Fortress Intermediate LLC and FIG LLC (incorporated by reference to Exhibit 10.3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10.6†</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(Edens) (incorporated by reference to Exhibit 10.4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10.7†</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(Guinta) (incorporated by reference to Exhibit 10.5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10.8†</w:t>
              </w:r>
            </w:hyperlink>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(Catterall) (incorporated by reference to Exhibit 10.7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76" w:before="0" w:after="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4"/>
        <w:gridCol w:w="197"/>
        <w:gridCol w:w="2806"/>
        <w:gridCol w:w="2806"/>
        <w:gridCol w:w="3982"/>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10.9†</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(Grain) (incorporated by reference to Exhibit 10.8 to the Registrant’s Current Report on Form 8-K, filed with the SEC on February 5, 2019).</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10.10†</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(Griffin) (incorporated by reference to Exhibit 10.9 to the Registrant’s Current Report on Form 8-K, filed with the SEC on February 5, 2019).</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10.11†</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(Mack) (incorporated by reference to Exhibit 10.10 to the Registrant’s Current Report on Form 8-K, filed with the SEC on February 5, 2019).</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10.12†</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(Nardone) (incorporated by reference to Exhibit 10.11 to the Registrant’s Current Report on Form 8-K, filed with the SEC on February 5, 2019).</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10.13†</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(Wanner) (incorporated by reference to Exhibit 10.12 to the Registrant’s Current Report on Form 8-K, filed with the SEC on February 5, 2019).</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10.14†</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(Jay) (incorporated by reference to Exhibit 10.15 to the Registrant's Quarterly Report on Form 10-Q, filed with the SEC on May 4, 2023).</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10.15†</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dated as of March 17, 2019, by and between New Fortress Energy LLC and Yunyoung Shin (incorporated by reference to Exhibit 10.29 to the Registrant’s Annual Report on Form 10-K, filed with the SEC on March 26, 2019).</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10.16</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December 3, 2019, by and between NFE Management LLC and Yunyoung Shin (incorporated by reference to Exhibit 10.3 to the Registrant’s Quarterly Report on Form 10-Q, filed with the SEC on May 6, 2020).</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10.17</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March 14, 2017, by and between NFE Management LLC and Christopher S. Guinta (incorporated by reference to Exhibit 10.17 to the Registrant’s Annual Report on Form 10-K, filed with the SEC on March 1, 2023).</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10.18</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September 2, 2020, by and among the Company, the subsidiary guarantors from time to time party thereto, and U.S. Bank National Association, as trustee and as notes collateral agent (incorporated by reference to Exhibit 4.1 to the Registrant’s Current Report on Form 8-K, filed with the SEC on September 2, 2020).</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10.19</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September 2, 2020, by and among the Company, the subsidiary guarantors from time to time party thereto, and U.S. Bank National Association, as notes collateral agent (incorporated by reference to Exhibit 4.2 to the Registrant’s Current Report on Form 8-K, filed with the SEC on September 2, 2020).</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10.20</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December 17, 2020, by and among the Company, the subsidiary guarantors from time to time party thereto and U.S. Bank National Association, as trustee and as notes collateral agent (incorporated by reference to Exhibit 4.1 to the Registrant’s Current Report on Form 8-K, filed with the SEC on December 18, 2020).</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10.21</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March 1, 2021, between NFE US Holdings LLC, as Guaranteeing Subsidiary, and U.S. Bank Trust Company, National Association (as successor in interest to U.S. Bank National Association), as trustee (incorporated by reference to Exhibit 10.21 to the Registrant’s Annual Report on Form 10-K, filed with the SEC on March 1, 2023).</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10.22</w:t>
              </w:r>
            </w:hyperlink>
          </w:p>
        </w:tc>
        <w:tc>
          <w:tcPr>
            <w:tcW w:w="9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June 11, 2021, between Golar GP LLC (now known as NFE GP LLC), as Guaranteeing Subsidiary, and U.S. Bank Trust Company, National Association (as successor in interest to U.S. Bank National Association), as trustee (incorporated by reference to Exhibit 10.22 to the Registrant’s Annual Report on Form 10-K, filed with the SEC on March 1, 2023).</w:t>
            </w:r>
          </w:p>
        </w:tc>
      </w:tr>
      <w:tr>
        <w:trPr/>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76" w:before="0" w:after="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2811"/>
        <w:gridCol w:w="2811"/>
        <w:gridCol w:w="3997"/>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399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10.23</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10.23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10.24</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10.24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10.25</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10.25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10.26</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as of December 22, 2022, between NFE Andromeda Chartering LLC, as Guaranteeing Subsidiary, and U.S. Bank Trust Company, National Association (as successor in interest to U.S. Bank National Association), as trustee (as successor in interest to U.S. Bank National Association), as trustee (incorporated by reference to Exhibit 10.26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10.27</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April 12, 2021, by and among the Company, the subsidiary guarantors from time to time party thereto, and U.S. Bank National Association, as trustee and as notes collateral agent (incorporated by reference to Exhibit 4.1 to the Registrant’s Current Report on Form 8-K, filed with the SEC on April 12,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10.28</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April 12, 2021, by and among the Company, the subsidiary guarantors, from time to time party thereto, and U.S. Bank National Association, as notes collateral agent (incorporated by reference to Exhibit 4.2 to the Registrant’s Current Report on Form 8-K, filed with the SEC on April 12, 2021).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10.29</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as of June 11, 2021, between Golar GP LLC (now known as NFE GP LLC), as Guaranteeing Subsidiary, and U.S. Bank Trust Company, National Association (as successor in interest to U.S. Bank National Association), as trustee (incorporated by reference to Exhibit 10.29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10.30</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10.30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10.31</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10.31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10.32</w:t>
              </w:r>
            </w:hyperlink>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10.32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76" w:before="0" w:after="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2"/>
        <w:gridCol w:w="194"/>
        <w:gridCol w:w="2831"/>
        <w:gridCol w:w="2795"/>
        <w:gridCol w:w="3974"/>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74"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10.33</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December 22, 2022, between NFE Andromeda Chartering LLC, as Guaranteeing Subsidiary, and U.S. Bank Trust Company, National Association (as successor in interest to U.S. Bank National Association), as trustee (incorporated by reference to Exhibit 10.33 to the Registrant’s Annual Report on Form 10-K, filed with the SEC on March 1,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10.34</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 2021).</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10.35</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10.36</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as of February 28,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 Report on Form 10-K, filed with the SEC on March 1, 2022).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10.37</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as of May 4,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Quarterly Report on Form 10-Q, filed with the SEC on May 6, 2022).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10.38</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Credit Agreement, dated as of February 7,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 with the SEC on March 1,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10.39</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Credit Agreement, dated as of September 15,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Annual Report on Form 10-Q, filed with the SEC on November 9,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10.40</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Credit Agreement, dated as of December 18,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10.40 to the Registrant's Annual Report on Form 10-K, filed with the SEC on February 29, 2024).</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rcfx7thamendment.htm">
              <w:r>
                <w:rPr>
                  <w:rStyle w:val="InternetLink"/>
                  <w:rFonts w:ascii="Times New Roman;sans-serif" w:hAnsi="Times New Roman;sans-serif"/>
                  <w:b w:val="false"/>
                  <w:color w:val="0000FF"/>
                  <w:sz w:val="20"/>
                  <w:u w:val="single"/>
                </w:rPr>
                <w:t>10.41*</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Amendment to Credit Agreement, dated as of May 3, 2023 to the Credit Agreement, dated as of April 15, 2021, by and among the Company, as the borrower, the guarantors from time to time party thereto, the several lenders and issuing banks from time to time party thereto, and MUFG Bank Ltd., as administrative agent and collateral agent.</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10.42</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Purchase and Contribution Agreement, dated as of July 2, 2022, by and among Golar LNG Partners LP and Hygo Energy Transition Ltd., as Sellers, AP Neptune Holdings Ltd, as Purchaser, Floating Infrastructure Holdings LLC, as the Company, and Floating Infrastructure Intermediate LLC, as Holdco Pledgor, and Floating Infrastructure Holdings finance LLC, as Borrower, and New Fortress Energy Inc.(incorporated by reference to Exhibit 10.39 to Registrant’s Quarterly Report on Form 10-Q, filed with the SEC on August 5, 2022). </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76" w:before="0" w:after="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2"/>
        <w:gridCol w:w="194"/>
        <w:gridCol w:w="2806"/>
        <w:gridCol w:w="2806"/>
        <w:gridCol w:w="3988"/>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10.43</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Amendment to Uncommitted Letter of Credit and Reimbursement Agreement, dated July 27, 2022, by and among New Fortress Energy Inc., the guarantors party thereto, Natixis, New York Branch, as Administrative Agent, Natixis, New York Branch, as ULCA Collateral Agent, Natixis, New York Branch, and each of the other financial institutions party thereto, as Lenders and Issuing Banks (incorporated by reference to Exhibit 10.40 to Registrant’s Quarterly Report on Form 10-Q, filed with the SEC on August 5, 2022). </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10.44</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Regarding to Uncommitted Letter of Credit and Reimbursement Agreement, dated February 6, 2023, by and among New Fortress Energy Inc., the guarantors party thereto, Natixis, New York Branch, as Administrative Agent and as Issuing Bank, Credit Agricole Corporate and Investment Bank, as Issuing Bank, and Sumitomo Mitsui Banking Corporation, as Issuing Bank (incorporated by reference to Exhibit 10.45 to the Registrant’s Annual Report on Form 10-K, filed with the SEC on March 1, 2023).</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10.45</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Regarding to Uncommitted Letter of Credit and Reimbursement Agreement, dated November 2, 2023, by and among New Fortress Energy Inc., the guarantors party thereto, Natixis, New York Branch, as Administrative Agent and as an Issuing Bank and Banco Santander, S.A., New York Branch as an Incremental Lender (incorporated by reference to Exhibit 10.44 to the Registrant's Annual Report on Form 10-K, filed with the SEC on February 29, 2024).</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natixisamendment3-exe.htm">
              <w:r>
                <w:rPr>
                  <w:rStyle w:val="InternetLink"/>
                  <w:rFonts w:ascii="Times New Roman;sans-serif" w:hAnsi="Times New Roman;sans-serif"/>
                  <w:b w:val="false"/>
                  <w:color w:val="0000FF"/>
                  <w:sz w:val="20"/>
                  <w:u w:val="single"/>
                </w:rPr>
                <w:t>10.46*</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Uncommitted Letter of Credit and Reimbursement Agreement, dated May 17, 2024, by and among New Fortress Energy Inc., the guarantors party thereto, Natixis, New York Branch, as Administrative Agent, Natixis, New York Branch, as ULCA Collateral Agent, Natixis, New York Branch, and each of the other financial institutions party thereto, as Lenders and Issuing Banks.</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10.47</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October 30, 2023, by and among the Company, as the borrower, the guarantors from time to time party thereto, the several lenders from time to time party thereto, and Morgan Stanley Senior Funding Inc., as administrative agent and collateral agent (incorporated by reference to Exhibit 10.45 to the Registrant's Annual Report on Form 10-K, filed with the SEC on February 29, 2024).</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10.48</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March 8, 2024, by and among New Fortress Energy Inc., the subsidiary guarantors from time to time party thereto, and U.S. Bank Trust Company, National Association, as trustee and as notes collateral agent (incorporated by reference to Exhibit 4.1 to the Registrant’s Current Report on Form 8-K, filed with the SEC on March 8, 2024).</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10.49</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March 8, 2024, by and among New Fortress Energy Inc., the subsidiary guarantors, from time to time party thereto, and U.S. Bank Trust Company, National Association, as notes collateral agent (incorporated by reference to Exhibit 4.2 to the Registrant’s Current Report on Form 8-K, filed with the SEC on March 8, 2024).</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001-nfexflng2creditagre.htm">
              <w:r>
                <w:rPr>
                  <w:rStyle w:val="InternetLink"/>
                  <w:rFonts w:ascii="Times New Roman;sans-serif" w:hAnsi="Times New Roman;sans-serif"/>
                  <w:b w:val="false"/>
                  <w:color w:val="0000FF"/>
                  <w:sz w:val="20"/>
                  <w:u w:val="single"/>
                </w:rPr>
                <w:t>10.50*</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July 19, 2024, by and among the Company, as the borrower, the guarantors from time to time party thereto, the several lenders from time to time party thereto, and Morgan Stanley Senior Funding Inc., as administrative agent and collateral agent.</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0630xex311.htm">
              <w:r>
                <w:rPr>
                  <w:rStyle w:val="InternetLink"/>
                  <w:rFonts w:ascii="Times New Roman;sans-serif" w:hAnsi="Times New Roman;sans-serif"/>
                  <w:b w:val="false"/>
                  <w:color w:val="0000FF"/>
                  <w:sz w:val="20"/>
                  <w:u w:val="single"/>
                </w:rPr>
                <w:t>31.1*</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Executive Officer pursuant to Rules 13a-14(a) and 15d-14(a) of the Exchange Act, as adopted pursuant to Section 302 of the Sarbanes-Oxley Act of 2002.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0630xex312.htm">
              <w:r>
                <w:rPr>
                  <w:rStyle w:val="InternetLink"/>
                  <w:rFonts w:ascii="Times New Roman;sans-serif" w:hAnsi="Times New Roman;sans-serif"/>
                  <w:b w:val="false"/>
                  <w:color w:val="0000FF"/>
                  <w:sz w:val="20"/>
                  <w:u w:val="single"/>
                </w:rPr>
                <w:t>31.2*</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Financial Officer pursuant to Rules 13a-14(a) and 15d-14(a) of the Exchange Act, as adopted pursuant to Section 302 of the Sarbanes-Oxley Act of 2002.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0630xex321.htm">
              <w:r>
                <w:rPr>
                  <w:rStyle w:val="InternetLink"/>
                  <w:rFonts w:ascii="Times New Roman;sans-serif" w:hAnsi="Times New Roman;sans-serif"/>
                  <w:b w:val="false"/>
                  <w:color w:val="0000FF"/>
                  <w:sz w:val="20"/>
                  <w:u w:val="single"/>
                </w:rPr>
                <w:t>32.1**</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Executive Officer pursuant to Title 18 U.S.C. Section 1350, as adopted pursuant to Section 906 of the Sarbanes-Oxley Act of 2002.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20240630xex322.htm">
              <w:r>
                <w:rPr>
                  <w:rStyle w:val="InternetLink"/>
                  <w:rFonts w:ascii="Times New Roman;sans-serif" w:hAnsi="Times New Roman;sans-serif"/>
                  <w:b w:val="false"/>
                  <w:color w:val="0000FF"/>
                  <w:sz w:val="20"/>
                  <w:u w:val="single"/>
                </w:rPr>
                <w:t>32.2**</w:t>
              </w:r>
            </w:hyperlink>
          </w:p>
        </w:tc>
        <w:tc>
          <w:tcPr>
            <w:tcW w:w="9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Financial Officer pursuant to Title 18 U.S.C. Section 1350, as adopted pursuant to Section 906 of the Sarbanes-Oxley Act of 2002.</w:t>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76" w:before="0" w:after="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tbl>
      <w:tblPr>
        <w:tblW w:w="8354" w:type="dxa"/>
        <w:jc w:val="left"/>
        <w:tblInd w:w="0" w:type="dxa"/>
        <w:tblLayout w:type="fixed"/>
        <w:tblCellMar>
          <w:top w:w="28" w:type="dxa"/>
          <w:left w:w="28" w:type="dxa"/>
          <w:bottom w:w="28" w:type="dxa"/>
          <w:right w:w="28" w:type="dxa"/>
        </w:tblCellMar>
      </w:tblPr>
      <w:tblGrid>
        <w:gridCol w:w="353"/>
        <w:gridCol w:w="309"/>
        <w:gridCol w:w="313"/>
        <w:gridCol w:w="2159"/>
        <w:gridCol w:w="2159"/>
        <w:gridCol w:w="3061"/>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240" w:after="283"/>
        <w:ind w:left="0" w:right="0" w:hanging="10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Filed as an exhibit to this Quarterly Report.</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Furnished as an exhibit to this Quarterly Report.</w:t>
      </w:r>
    </w:p>
    <w:p>
      <w:pPr>
        <w:pStyle w:val="TextBody"/>
        <w:bidi w:val="0"/>
        <w:spacing w:lineRule="auto" w:line="288" w:before="0" w:after="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Compensatory plan or arrangement.</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Portions of the exhibit (indicated by asterisks) have been omitted pursuant to Item 601 (b)(10)(iv)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76" w:before="200" w:after="200"/>
        <w:jc w:val="left"/>
        <w:rPr/>
      </w:pPr>
      <w:hyperlink w:anchor="if3a313101e7b4ae3afd8007fa659ade4_7">
        <w:r>
          <w:rPr>
            <w:rStyle w:val="InternetLink"/>
            <w:rFonts w:ascii="Times New Roman;sans-serif" w:hAnsi="Times New Roman;sans-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6491" w:type="dxa"/>
        <w:jc w:val="left"/>
        <w:tblInd w:w="0" w:type="dxa"/>
        <w:tblLayout w:type="fixed"/>
        <w:tblCellMar>
          <w:top w:w="28" w:type="dxa"/>
          <w:left w:w="28" w:type="dxa"/>
          <w:bottom w:w="28" w:type="dxa"/>
          <w:right w:w="28" w:type="dxa"/>
        </w:tblCellMar>
      </w:tblPr>
      <w:tblGrid>
        <w:gridCol w:w="667"/>
        <w:gridCol w:w="587"/>
        <w:gridCol w:w="590"/>
        <w:gridCol w:w="464"/>
        <w:gridCol w:w="464"/>
        <w:gridCol w:w="464"/>
        <w:gridCol w:w="948"/>
        <w:gridCol w:w="948"/>
        <w:gridCol w:w="135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Wesley R. Edens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Yunyoung Shin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Yunyoung Shin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0"/>
        <w:jc w:val="center"/>
        <w:rPr/>
      </w:pPr>
      <w:bookmarkStart w:id="0" w:name="nfe-rcfx7thamendment.htm"/>
      <w:bookmarkStart w:id="1" w:name="ksnfercfx7thamendment"/>
      <w:bookmarkEnd w:id="0"/>
      <w:bookmarkEnd w:id="1"/>
      <w:r>
        <w:rPr/>
        <w:drawing>
          <wp:inline distT="0" distB="0" distL="0" distR="0">
            <wp:extent cx="10048875" cy="13001625"/>
            <wp:effectExtent l="0" t="0" r="0" b="0"/>
            <wp:docPr id="10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jc w:val="center"/>
        <w:rPr>
          <w:color w:val="FFFFFF"/>
          <w:sz w:val="2"/>
        </w:rPr>
      </w:pPr>
      <w:r>
        <w:rPr>
          <w:color w:val="FFFFFF"/>
          <w:sz w:val="2"/>
        </w:rPr>
        <w:t xml:space="preserve">1142552.02B-CHISR01A - MSW EXECUTION VERSION SEVENTH AMENDMENT TO CREDIT AGREEMENT This SEVENTH AMENDMENT TO CREDIT AGREEMENT (this “Amendment”), dated as of May 3, 2024, is among NEW FORTRESS ENERGY INC., a Delaware corporation (the “Borrower”), each of the undersigned guarantors (the “Guarantors”), the Lenders and Issuing Banks party hereto and MUFG BANK, LTD., as administrative agent for the Lenders (in such capacity, together with its successors and assigns in such capacity, the “Administrative Agent”) and as collateral agent for the Secured Parties (in such capacity, together with its successors and assigns in such capacity, the “Collateral Agent”). R E C I T A L S A. The Borrower, the Guarantors, the Administrative Agent, the Collateral Agent, the Lenders and the Issuing Banks are parties to that certain Credit Agreement, dated as of April 15, 2021 (as amended, restated, amended and restated, supplemented or otherwise modified from time to time prior to the date hereof pursuant to the terms thereof, the “Existing Credit Agreement,” and the Existing Credit Agreement, as amended by this Amendment, the “Credit Agreement”), pursuant to which the Lenders have made certain credit available to and on behalf of the Borrower. B. The Borrower, the Guarantors, the Administrative Agent, the Collateral Agent, the Issuing Banks and the Lenders constituting the Required Lenders have agreed to amend certain provisions of the Existing Credit Agreement as more fully set forth herein. C. On the terms and subject to the conditions set forth in the Existing Credit Agreement, the Lenders under the Existing Credit Agreement (collectively, the “Existing Lenders”) previously agreed to extend credit in the form of Loans and the Issuing Banks to issue Letters of Credit, in each case, at any time during the Revolving Availability Period such that the Aggregate Revolving Exposure will not exceed the respective Commitments of such Lenders. D. The Seventh Amendment Lenders (as defined below) have agreed to provide additional Commitments in an amount set forth next to such Lender’s name on Schedule 1.1A hereto under the heading “New Seventh Amendment Commitments,” which New Seventh Amendment Commitments total $50,000,000.00 in the aggregate. E. NOW, THEREFORE, in consideration of the premises and the mutual covenants herein contained, for good and valuable consideration, the receipt and sufficiency of which are hereby acknowledged, the parties hereto agree as follows: Section 1. Defined Terms. Each capitalized term which is defined in the Credit Agreement, but which is not defined in this Amendment, shall have the meaning ascribed to such term in the Credit Agreement. Unless otherwise indicated, all section, exhibit and schedule references in this Amendment refer to sections, exhibits or schedules of the Credit Agreement. Section 2. Amendments to Existing Credit Agreement. 2.1 Amended Credit Agreement. Subject to the satisfaction of the conditions precedent set forth in Section 4, as of the Seventh Amendment Effective Date, the Existing Credit Agreement is hereby amended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1142552.02B-CHISR01A - MSW (a) The second recital to the Existing Credit Agreement is amended by replacing the reference to “$950,000,000.00” with “$1,000,000,000.00”. (b) The definition of “Agreement” appearing in Section 1.1 of the Existing Credit Agreement is amended by replacing the reference to “and the Sixth Amendment” with “, the Sixth Amendment and the Seventh Amendment”. (c) The definition of “Commitment” appearing in Section 1.1 of the Existing Credit Agreement is amended by replacing the final sentence of such definition with the following: “The aggregate amount of the Commitments as of the Seventh Amendment Effective Date is $1,000,000,000.00.” (d) Section 1.1 of the Existing Credit Agreement is amended to add the following defined terms in alphabetical order therein: “Seventh Amendment”: that certain Seventh Amendment to Credit Agreement, dated as of the Seventh Amendment Effective Date, among the Borrower, the Guarantors party thereto, the Lenders party thereto, the Issuing Banks party thereto, the Administrative Agent and the Collateral Agent. “Seventh Amendment Effective Date”: has the meaning specified in the Seventh Amendment. 2.2 Seventh Amendment Commitments. Subject to the satisfaction of the conditions precedent set forth in Section 4, as of the Seventh Amendment Effective Date: (a) Schedule 1.1A to the Existing Credit Agreement is hereby amended and restated to read in its entirety as set forth on Schedule 1.1A to this Amendment and (i) each Lender with a Commitment next to its name on Schedule 1.1A hereto under the column “New Seventh Amendment Commitment” (each a “Seventh Amendment Lender”) agrees, severally and not jointly, to establish its Commitments in an amount equal to the amount next to its name on Schedule 1.1A hereto under the heading “New Seventh Amendment Commitment” (each a “New Seventh Amendment Commitment” and, collectively, the “New Seventh Amendment Commitments”) and (ii) the parties hereto agree that (1) the New Seventh Amendment Commitments shall be deemed to be “Commitments” as defined in the Credit Agreement, and any loan made thereunder shall be deemed a “Loan” as defined in the Credit Agreement, in each case, for all purposes of the Loan Documents; and (2) the Seventh Amendment Lenders shall be deemed to be “Lenders” as defined in the Credit Agreement for all purposes of the Loan Documents; (b) (i) each of the Borrower and the Seventh Amendment Lenders hereby agree that the New Seventh Amendment Commitments shall have terms and provisions identical to those applicable to the Commitments outstanding immediately prior to the Seventh Amendment Effective Date (the “Existing Commitments”) and (ii) notwithstanding anything to the contrary contained herein or in the Credit Agreement, from and after the Seventh Amendment Effective Date, (1) the Existing Commitments and the New Seventh Amendment Commitments, and any Loans made thereunder, as applicable, shall constitute a single Class of Commitments or Loans, as applicable, for all purposes under the Credit Agreement and (2) any Loans made under the Existing Commitments and the New Seventh Amendment Commitments shall be treated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1142552.02B-CHISR01A - MSW fungible Loans for all purposes under the Credit Agreement, including with respect to any and all tax filings, returns or statements; (c) each Seventh Amendment Lender that did not have Existing Commitments (the “New Seventh Amendment Lenders” and each, a “New Seventh Amendment Lender”) (i) confirms that a copy of the Existing Credit Agreement and the other applicable Loan Documents, together with copies of such other documents and information as it has deemed appropriate to make its own credit analysis and decision to enter into this Amendment and make its New Seventh Amendment Commitment, have been made available to such New Seventh Amendment Lender; (ii) agrees that it will, independently and without reliance upon the Administrative Agent, the Collateral Agent or any other Lender or agent and based on such documents and information as it shall deem appropriate at the time, continue to make its own credit decisions in taking or not taking action under the Credit Agreement or the other applicable Loan Documents, including this Amendment;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(iv) appoints and authorizes the Collateral Agent to take such action as agent on its behalf and to exercise such powers under the Credit Agreement and the other Loan Documents as are delegated to the Collateral Agent by the terms thereof, together with such powers as are reasonably incidental thereto; and (v) acknowledges and agrees that upon the Seventh Amendment Effective Date, such New Seventh Amendment Lender shall be a “Lender” under, and for all purposes of, the Credit Agreement and the other Loan Documents, and shall be subject to and bound by the terms thereof, and shall perform all the obligations of and shall have all rights of a thereunder; and (d) substantially concurrently with giving effect to this Amendment and any Borrowings made on the Seventh Amendment Effective Date, (i) the outstanding amount of the Loans (the “Outstanding Loans”), if any, shall be reallocated in accordance with the Pro Rata Share of each Lender (including each Seventh Amendment Lender), (ii) each Lender’s (including each Seventh Amendment Lender’s) participation in each Letter of Credit, if any, shall be automatically adjusted to equal its Pro Rata Share and (iii) such other adjustments shall be made as the Administrative Agent shall specify so that the Revolving Exposure applicable to each Lender (including each Seventh Amendment Lender) equals its Pro Rata Share of the Aggregate Revolving Exposure of all Lenders. The requisite reallocations shall be deemed to be made in such amounts among the Lenders and from each Lender to each other Lender, with the same force and effect as if such assignments were evidenced by applicable Assignment and Acceptance Agreements, but without the payment of any related assignment fee or the execution of any Assignment and Acceptance Agreement. On the Seventh Amendment Effective Date, the Lenders shall make full cash settlement with one another with respect to the Outstanding Loans and outstanding Existing Commitments, either directly or through the Administrative Agent, as the Administrative Agent may direct or approve, with respect to all assignments, reallocations and other changes in Commitments, such that after giving effect to such settlements, the Commitment of each Lender as of the Seventh Amendment Effective Date shall be as set forth on Schedule 1.1A under the heading “Total Commitments as of the Seventh Amendment Effective Date.” For the avoidance of doubt, “Pro Rata Share” as used in the first sentence of this paragraph (d) shall be determined by reference, with respect to any Lender, to such Lender’s Commitment as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1142552.02B-CHISR01A - MSW Seventh Amendment Effective Date as set forth on Schedule 1.1A under the heading “Total Commitments as of the Seventh Amendment Effective Date.” Section 3. Consent. Subject to the satisfaction of the conditions precedent set forth in Section 4, as of the Seventh Amendment Effective Date, the Issuing Banks and the Lenders holding Existing Commitments signatory hereto constituting the Required Lenders (as defined in the Existing Credit Agreement) hereby consent to this Amendment and the transactions contemplated herein. Section 4. Conditions Precedent to Seventh Amendment Effective Date. This Amendment shall become effective without any further action or consent by any party, on the date (the “Seventh Amendment Effective Date”), when each of the following conditions shall have been satisfied: 4.1 Loan Documents. The Administrative Agent shall have received: (a) this Amendment, executed and delivered by a duly authorized officer or signatory of each Loan Party, Existing Lenders comprising at least the Required Lenders, each Seventh Amendment Lender and each Issuing Bank; and (b) subject to the provisions of the final paragraph of this Section 4, such amendments to, amendments and restatements of, assignments of, or confirmations or reaffirmations of, or supplements to, existing Security Documents or other Loan Documents, and such additional Security Documents, Loan Documents or other filings or actions, in each case as the Administrative Agent or the Collateral Agent may require in connection with the transactions contemplated hereby. 4.2 Expenses. All reasonable and documented out-of-pocket expenses incurred by the Administrative Agent or its legal counsel (to the extent provided for in the Existing Credit Agreement) in connection with the preparation and negotiation of this Amendment that have been invoiced at least three (3) Business Days prior to the Seventh Amendment Effective Date shall have been paid. 4.3 Closing Certificate. The Administrative Agent shall have received a certificate signed by a Responsible Officer of the Borrower, certifying that the condition set forth in Section 4.6 is satisfied. 4.4 Legal Opinions. The Administrative Agent shall have received, in form and substance reasonably acceptable to the Administrative Agent, (i) a legal opinion of Skadden, Arps, Slate Meagher &amp; Flom LLP, New York counsel to the Borrower and its Subsidiaries (which opinion shall include a non-contravention opinion with respect to material debt) dated the date hereof and addressed to the Administrative Agent and the Lenders and (ii) legal opinions of applicable local counsel to the Borrower or to the Administrative Agent (which opinions shall include existence, good standing, execution and delivery, authorization and authority with respect to each Foreign Subsidiary that is a Loan Party as of the Seventh Amendment Effective Date) dated the date hereof and addressed to the Administrative Agent and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1142552.02B-CHISR01A - MSW 4.5 Organizational Documents. The Administrative Agent shall have received a certificate signed by a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Amendment and the other Loan Documents) to which such Loan Party is or will be a party and the other documents to be executed and delivered by such Loan Party in connection herewith and therewith, together with evidence of the incumbency of such authorized officers. 4.6 No Default; Representations and Warranties. As of the Seventh Amendment Effective Date, both before and after giving effect to the effectiveness of the Amendment: (i) no event shall have occurred and be continuing that would constitute an Event of Default or a Default and (ii) the representations and warranties contained in this Amendment, the Credit Agreement and in the other Loan Documents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4.7 Solvency Certificate. The Lenders shall have received a solvency certificate, consistent with the form of Exhibit D to the Existing Credit Agreement, executed by a Responsible Officer (which shall be the chief financial officer, chief accounting officer or other officer with equivalent duties) of the Borrower. 4.8 PATRIOT Act; Beneficial Ownership. The Administrative Agent shall have received at least three (3) Business Days prior to the Seventh Amendment Effective Date (or such later date that the Administrative Agent may reasonably agree)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Seventh Amendment Effective Date (or such later date that the Borrower may reasonably agree). At least five (5) Business Days prior to the Seventh Amendment Effective Date (or such later date that the Administrative Agent may reasonably agree), the Borrower shall have delivered a Beneficial Ownership Certification to any Lender that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1142552.02B-CHISR01A - MSW 4.9 Commitments. Substantially concurrently with giving effect to this Amendment and any Borrowings made on the Seventh Amendment Effective Date, the transactions set forth in Section 2.2(d) will have been consummated. The Administrative Agent is hereby authorized and directed to declare this Amendment to be effective when it has received documents confirming or certifying, to the satisfaction of the Administrative Agent, compliance with the conditions set forth in this Section 4 or the waiver of such conditions as permitted in Section 9.1 of the Credit Agreement. Such declaration shall be final, conclusive and binding upon all parties to the Credit Agreement for all purposes. It is understood and agreed among all parties hereto that the Borrower and its Subsidiaries shall not be required to enter into any additional Loan Documents governed by the laws of a jurisdiction outside of the United States until the date that is 90 days after the Seventh Amendment Effective Date (subject to extensions, and exceptions as to scope of foreign security and perfection requirements, as are agreed by the Administrative Agent in its sole discretion, in each case as applicable). Notwithstanding the immediately preceding sentence or any provision to the contrary contained in the Loan Documents, the Borrower shall, and shall cause each of the other Loan Parties to, deliver each of the documents, instruments and agreements, and take each of the actions, set forth on Schedule 4 to this Amendment within the time periods set forth therein (or such longer time periods as determined by the Administrative Agent in its sole discretion). The failure to make any such delivery pursuant to the immediately preceding sentence within the applicable time periods (after giving effect to any applicable extensions provided by the Administrative Agent in its sole discretion) shall constitute an immediate Event of Default. Section 5. Miscellaneous. 5.1 Confirmation . The provisions of the Credit Agreement (as amended by this Amendment) shall remain in full force and effect in accordance with its terms following the effectiveness of this Amendment. 5.2 Ratification and Affirmation; Representations and Warranties. (a) The Borrower and each Guarantor hereby: (x) acknowledges and consents to the terms of this Amendment and (y) ratifies and affirms its obligations, and acknowledges, renews and extends its continued liability,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giving effect to the establishment of the New Seventh Amendment Commitments and the incurrence of any Loans thereunder) and agrees that each Loan Document to which it is a party remains in full force and effect, as expressly amended hereby and that none of its obligations thereunder shall be impaired or limited by the execution or effectiveness of this Amendment (subject to applicable bankruptcy, insolvency, reorganization, moratorium or similar laws affecting the enforcement of creditors’ rights generally and by general equitable principles (whether enforcement is sought by proceedings in equity or at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1142552.02B-CHISR01A - MSW (b) The Borrower and each Guarantor hereby: (x) agrees that from and after the Seventh Amendment Effective Date, each reference to the Credit Agreement in the Loan Documents shall be deemed to be a reference to the Existing Credit Agreement, as amended by this Amendment; (y) acknowledges and agrees that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 and (z) represents and warrants to the Agents, the Issuing Banks and the Lenders that as of the date hereof, after giving effect to the terms of this Amendment: (i) all representations and warranties contained in this Amendment, the Credit Agreement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or thereof and (ii) no event has occurred and is continuing that would constitute an Event of Default or a Default. Without limiting the generality of the foregoing, (i) nothing contained in this Amendment, nor any past indulgence by the Administrative Agent, the Collateral Agent, any Lender or any Issuing Bank nor any other action or inaction on behalf of the Administrative Agent, the Collateral Agent, any Lender or any Issuing Bank, shall constitute or be deemed to constitute a consent to, or waiver of, any other action or inaction of the Borrower or any of the other Loan Parties which results (or would result) in a Default or Event of Default under the Credit Agreement or any other Loan Document, nor shall anything contained herein constitute a course of conduct or dealing among the parties; (ii) the Administrative Agent, the Collateral Agent, the Lenders and the Issuing Banks shall have no obligation to grant any future waivers, consents or amendments with respect to the Credit Agreement or any other Loan Document; and (iii) the parties hereto agree that nothing contained herein shall waive, affect or diminish any right of the Administrative Agent, the Collateral Agent, the Lenders and the Issuing Banks to hereafter demand strict compliance with the Credit Agreement and the other Loan Documents. 5.3 Counterparts. (a) This Amendment may be executed by one or more of the parties to this Amendment on any number of separate counterparts, and all of said counterparts taken together shall be deemed to constitute one and the same instrument. Delivery of an executed signature page of this Amendment by facsimile or other electronic transmission shall be effective as delivery of a manually executed counterpart hereof. A set of the copies of this Amendment signed by all the parties shall be lodged with the Borrower and the Administrative Agent. (b)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1142552.02B-CHISR01A - MSW Uniform Electronic Transactions Act; provided that nothing herein shall require the Administrative Agent to accept electronic signatures in any form or format without its prior written consent. 5.4 Integration. This Amendment, the Credit Agreement and the other Loan Documents represent the entire agreement of the Borrower, the Administrative Agent, the Collateral Agent, the Issuing Banks and the Lenders with respect to the subject matter hereof and thereof, and there are no promises, undertakings, representations or warranties by the Administrative Agent, the Collateral Agent, any Issuing Bank or any Lender relative to the subject matter hereof not expressly set forth or referred to herein or in the other Loan Documents. 5.5 GOVERNING LAW. THIS AMENDMENT AND THE RIGHTS AND OBLIGATIONS OF THE PARTIES UNDER THIS AMENDMENT SHALL BE GOVERNED BY, AND CONSTRUED AND INTERPRETED IN ACCORDANCE WITH, THE LAW OF THE STATE OF NEW YORK. SECTIONS 9.12, 9.13 AND 9.16 OF THE CREDIT AGREEMENT ARE HEREBY INCORPORATED BY REFERENCE. 5.6 Payment of Expenses. In accordance with Section 9.5 of the Credit Agreement, the Borrower agrees to pay or reimburse the Agents for all their reasonable and documented out-of-pocket costs and expenses incurred in connection with the development, preparation and execution of, this Amendment and any other documents prepared in connection 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 5.7 Severability.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5.8 Successors and Assigns. This Amendment shall be binding upon and inure to the benefit of the parties to the Credit Agreement and their respective successors and assigns permitted thereby. 5.9 Loan Document. This Amendment is a “Loan Document” as defined and described in the Credit Agreement and all of the terms and provisions of the Credit Agreement relating to Loan Documents shall apply hereto. 5.10 Instruction to the Administrative Agent and the Collateral Agent. By its execution hereof, each undersigned Lender hereby authorizes and directs the Administrative Agent and the Collateral Agent to execute this Amendment. [Signatures begin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IN WITNESS WHEREOF, the parties hereto have caused this Amendment to be duly executed and delivered by their proper and duly authorized officers as of the day and year first above written. NEW FORTRESS ENERGY INC., as the Borrower By: /s/Christopher Guinta________________ Name: Christopher S. Guinta Title: Chief Financial Officer NEW FORTRESS INTERMEDIATE LLC By:/s/Christopher Guinta________________ Name: Christopher S. Guinta Title: Chief Financial Officer NFE ATLANTIC HOLDINGS LLC By: /s/Christopher Guinta________________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AMERICAN ENERGY LOGISTICS SOLUTIONS LLC ATLANTIC ENERGY HOLDINGS LLC BRADFORD COUNTY DEVELOPMENT HOLDINGS LLC BRADFORD COUNTY GPF HOLDINGS LLC BRADFORD COUNTY GPF PARTNERS LLC BRADFORD COUNTY POWER HOLDINGS LLC BRADFORD COUNTY POWER PARTNERS LLC BRADFORD COUNTY TRANSPORT HOLDINGS LLC BRADFORD COUNTY TRANSPORT PARTNERS LLC ISLAND LNG LLC LA DEVELOPMENT HOLDINGS LLC LA REAL ESTATE HOLDINGS LLC LA REAL ESTATE PARTNERS LLC LNG HOLDINGS LLC NEW FORTRESS ENERGY MARKETING LLC NEW FORTRESS ENERGY HOLDINGS LLC NFE ANDROMEDA CHARTERING LLC NFE ANGOLA HOLDINGS LLC NFE BCS HOLDINGS (A) LLC NFE BCS HOLDINGS (B) LLC NFE EQUIPMENT HOLDINGS LLC NFE EQUIPMENT PARTNERS LLC NFE GHANA HOLDINGS LLC NFE GHANA PARTNERS LLC NFE GLOBAL SHIPPING LLC NFE GRAND SHIPPING LLC NFE HONDURAS HOLDINGS LLC NFE INTERNATIONAL LLC NFE INTERNATIONAL SHIPPING LLC NFE ISO HOLDINGS LLC NFE ISO PARTNERS LLC NFE JAMAICA GP LLC NFE LOGISTICS HOLDINGS LLC NFE MANAGEMENT LLC NFE NICARAGUA DEVELOPMENT PARTNERS LLC NFE NICARAGUA HOLDINGS LLC By: /s/Christopher Guinta________________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NFE NORTH TRADING LLC NFE PIONEER 1 LLC NFE PIONEER 2 LLC NFE PIONEER 3 LLC NFE PLANT DEVELOPMENT HOLDINGS LLC NFE RIG HOLDINGS LLC NFE SOUTH POWER HOLDINGS LLC NFESUBLLC NFE TRANSPORT HOLDINGS LLC NFE TRANSPORT PARTNERS LLC NFE US HOLDINGS LLC PA DEVELOPMENT HOLDINGS LLC PA REAL ESTATE HOLDINGS LLC PA REAL ESTATE PARTNERS LLC TICO DEVELOPMENT PARTNERS HOLDINGS LLC TICO DEVELOPMENT PARTNERS LLC By: /s/Christopher Guinta________________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AMERICAN LNG MARKETING LLC LNG HOLDINGS (FLORIDA) LLC By: /s/Christopher Guinta________________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ATLANTIC DISTRIBUTION HOLDINGS SRL ATLANTIC POWER HOLDINGS SRL ATLANTIC ENERGY INFRASTRUCTURE HOLDINGS SRL ATLANTIC PIPELINE HOLDINGS SRL ATLANTIC TERMINAL INFRASTRUCTURE HOLDINGS SRL By: /s/Christopher Guinta________________ Name: Title: Christopher S. Guinta Manager ATLANTIC POWER HOLDINGS LIMITED NFE BERMUDA HOLDINGS LIMITED NFE INTERNATIONAL HOLDINGS LIMITED* NFE NORTH HOLDINGS LIMITED NFE SOUTH HOLDINGS LIMITED By: /s/Christopher Guinta________________ Name: Christopher S. Guinta Title: Director *incorporated under Bermuda law NFE SHANNON HOLDINGS LIMITED By: /s/Christopher Guinta________________ Name: Christopher S. Guinta Title: Director NFE NORTH DISTRIBUTION LIMITED NFE NORTH HOLDINGS LIMITED NFE NORTH TRANSPORT LIMITED NFE SOUTH HOLDINGS LIMITED NFE SOUTH POWER TRADING LIMITED By: /s/Christopher Guinta________________ Name: Title: Christopher S. Guinta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AMAUNET, S. DE R.L. DE C.V. NFENERGIA MEXICO, S. DE R.L. DE C.V. NFENERGIA GN DE BCS, S. DE R.L. DE C.V. NFE PACIFICO LAP, S. DE R.L. DE C.V. NFE BCS MEXICO HOLDINGS, S. DE R.L. DE C.V. By: /s/Christopher Guinta________________ Name: Christopher S. Guinta Title: Legal Representative NFENERGIA LLC SOLUCIONES DE ENERGIA LIMPIA PR LLC NFE POWER PR LLC ENCANTO EAST LLC ENCANTO WEST LLC ENCANTO POWER WEST LLC By: /s/Christopher Guinta________________ Name: Christopher S. Guinta Title: Authorized Signatory NFE MEXICO HOLDINGS S.A.R.L. NFE MEXICO HOLDINGS PARENT S.A.R.L. By: /s/Christopher Guinta________________ Name: Title: Christopher S. Guinta Authorized Signatory NFE NICARAGUA DEVELOPMENT PARTNERS LLC, SUCURSAL NICARAGUA By: /s/Christopher Guinta________________ Name: Title: Christopher S. Guinta Chief Financial Officer NFE GLOBAL HOLDINGS LIMITED By: /s/Christopher Guinta________________ Name: Title: Christopher S. Guinta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NFE INTERNATIONAL HOLDINGS LIMITED* By: /s/Christopher Guinta________________ Name: Christopher S. Guinta Title: Director *incorporated under the laws of England and Wales NFE MEXICO POWER HOLDINGS LIMITED By: /s/Christopher Guinta________________ Name: Christopher S. Guinta Title: Director NFE MEXICO TERMINAL HOLDINGS LIMITED By: /s/Christopher Guinta________________ Name: Title: Christopher S. Guinta Director NFE UK HOLDINGS LIMITED By: /s/Christopher Guinta________________ Name: Title: Christopher S. Guinta Director NFE GP LLC By: /s/Christopher Guinta________________ Name: Title: Christopher S. Guinta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MUFG BANK, LTD., as Administrative Agent and Collateral Agent By: Name: Title: /s/Kevin Sparks Kevin Sparks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MUFG BANK, LTD., as a Lender and Issuing Bank By: /s/Kevin Sparks________________ Name: Kevin Sparks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MORGAN STANLEY SENIOR FUNDING, INC., as a Lender and Issuing Bank By: /s/Karina Rodriguez Name: Karina Rodriguez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MSW GOLDMAN SACHS BANK USA, as a Lender and Issuing Bank By: /s/Priyankush Goswami Name: Priyankush Goswami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 05-CHISR02A - MSW CREDIT AGRICOLE CORPORATE AND INVESTMENT BANK, as a Lender By: /s/Michael Willis Name: Michael Willis Title: Managing Director By: /s/Nathalie Huet Rousset Name: Nathalie Huet Rousset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DEUTSCHE BANK AG NEW YORK BRANCH, as a Lender By: /s/Philip Tancorra Name: Philip Tancorra Title: Director By: /s/Lauren Danbury Name: Lauren Danbury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1238647.05-CHISR02A - MSW JPMORGAN CHASE BANK, N.A., as a Lender By: /s/Arina Mavilian Name: Arina Mavilian Title: Managing Director [Signature Page to Seventh Amendment to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HSBC BANK USA, NATIONAL ASSOCIATION as a Lender By: /s/Jessica Smith Name: Jessica Smith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CITIBANK, N.A., as a Lender By: /s/Gabriel Juarez Name: Gabriel Juarez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/s/Edward Sacks Name: Edward Sacks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NATIXIS, NEW YORK BRANCH, as a Lender By: /s/Anthony Perna_ Name: Anthony Perna Title: Director By: /s/Scott Dunlop_ Name: Scott Dunlop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WELLS FARGO BANK, NATIONAL ASSOCIATION, as a Lender By: /s/Justyn Thomas_ Name: Justyn Thomas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BARCLAYS BANK PLC, as a Lender By: /s/Joseph Tauro Name: Joseph Tauro Title: Assistant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Seventh Amendment to Credit Agreement] 1238647.05-CHISR02A - MSW TEXAS CAPITAL BANK, as a Lender By: /s/Matthew L. Davis Name: Matthew L. Davis Title: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nfenatixisamendment3-exe.htm"/>
      <w:bookmarkStart w:id="3" w:name="ksnfenatixisamendment3exe"/>
      <w:bookmarkEnd w:id="2"/>
      <w:bookmarkEnd w:id="3"/>
      <w:r>
        <w:rPr/>
        <w:drawing>
          <wp:inline distT="0" distB="0" distL="0" distR="0">
            <wp:extent cx="10048875" cy="13001625"/>
            <wp:effectExtent l="0" t="0" r="0" b="0"/>
            <wp:docPr id="1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NFE ULCA – Third Amendment Agreement 1142819.02-CHISR01A - MSW Execution Version THIRD AMENDMENT AGREEMENT This AMENDMENT AGREEMENT, dated as of May 17, 2024 (this “Amendment”) is entered into by NEW FORTRESS ENERGY INC., a Delaware corporation (the “Borrower”), the Guarantors party to the ULCA and NATIXIS, NEW YORK BRANCH and each of the other Lenders (as defined in the ULCA) party hereto. PRELIMINARY STATEMENT A. Reference is made to that certain Uncommitted Letter of Credit and Reimbursement Agreement, dated as of July 16, 2021 (as amended, supplemented or otherwise modified prior to the date hereof, the “ULCA”), by and among Borrower, the Guarantors party thereto from time to time, Natixis, New York Branch, as administrative agent (the “Administrative Agent”), Natixis, New York Branch, as ULCA Collateral Agent (as defined in the ULCA), the Lenders party thereto from time to time and the Issuing Banks party thereto from time to time. B. The Borrower, the Guarantors and the Lenders party hereto, constituting Required Lenders, desire to amend the ULCA on the terms and subject to the conditions set forth in this Amendment. C. Section 9.1 of the ULCA provides that the Required Lenders, the Borrower and each other Loan Party who is a party to the ULCA may amend the ULCA in the manner set forth in this Amendment. NOW THEREFORE, in consideration of the premises and mutual covenants set forth in this Amendment, the parties hereto agree as follows: Section 1. Defined Terms; Interpretation; Etc. Capitalized terms used and not defined herein shall have the meanings assigned to such terms in the ULCA. Section 1.2 (Other Definitional Provisions; Rules of Construction) of the ULCA apply to this Amendment, mutatis mutandis. Section 2. Amendments to the ULCA. Effective from and after the date hereof, upon the satisfaction of the conditions set forth in Section 4 hereof and the occurrence of the Amendment Effective Date (as defined below): 2.1 Section 1.1 of the ULCA is hereby amended by adding the following term in alphabetical order: “Third Amendment Effective Date”: May 17, 2024. 2.2 Section 2.4(a) of the ULCA is hereby amended to add the double-underlined text (indicated textually in the same manner as the following example: double-underlined text) as follows: “(a) Requests for Extension. The Borrower may, by notice to the Administrative Agent (who shall promptly notify the Lenders) not later than (i) June 3, 2024 and (ii) during any calendar year thereafter, 60 days prior to the subsequent anniversary of the date of this Agreement occurring during such calendar year (each such date, an “Extension Date”), request that each Lender extend the then-current Maturity Date (the “Applicable Maturity Date”) to the date falling 364 days after the Applicable Maturity Date (such date that is 364 days after such Applicable Maturity Date, the “Extended Maturity Date”); provided that, notwithstanding the foregoing, no more than three (3) extensions of the Maturity Date shall be permitted hereunder after the Third Amendment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NFE ULCA – Third Amendment Agreement 1142819.02-CHISR01A - MSW 2.3 The lead-in to Section 2.4(e) of the ULCA is hereby amended to delete the stricken text (indicated textually in the same manner as the following example: stricken text) set forth below as follows: “(e) Notwithstanding the foregoing, no more than one (1) extension of the Maturity Date shall be permitted hereunder and (y) any extension of any Maturity Date pursuant to Section 2.4(a) shall not be effective with respect to any Lender unless:”. 2.4 Section 2.8(a) of the ULCA is hereby amended: (i) to delete the stricken text (indicated textually in the same manner as the following example: stricken text) and (ii) to add the double-underlined text (indicated textually in the same manner as the following example: double-underlined text) as follows: “(a) Request for Total LC Limit Increase. The Borrower may, by notice to the Administrative Agent (who shall promptly notify the Lenders), request an increase in the Total LC Limit (each such increase, a “Total LC Limit Increase”) for an aggregate amount (for all such requests) not exceeding $200100,000,000; provided that (i) any such request for a Total LC Limit Increase shall be in a minimum amount of the lesser of (x) $25,000,000 (or such lesser amount as may be approved by the Administrative Agent) and (y) the entire remaining amount available under this Section, (ii) Borrower acknowledges that it previously requested two Total LC Limit Increases of (x) $75,000,000 (which became effective in February 2023) and (y) $25,000,000 (which became effective in November 2023) and (iii) the Borrower shall make no more than a total of three (3) two (2) additional requests in the aggregate for an LC Limit Increase under this Section.”. 2.5 All other terms of the ULCA shall not be amended, modified or otherwise affected by this Amendment. Section 3. Representations and Warranties. Borrower and each Guarantor hereby represent and warrant to the Lenders that, as of the Amendment Effective Date (both immediately before and immediately after the execution and delivery of this Amendment) (A) this Amendment has been duly authorized, executed and delivered by it and constitutes its legal, valid and binding obligation, enforceable against it in accordance with its terms, subject to the effects of bankruptcy, insolvency, fraudulent conveyance, reorganization and other similar laws relating to or affecting creditors' rights generally and general principles of equity (whether considered in a proceeding in equity or law), (B) no Reimbursement Obligations are outstanding, (C) no Default or Event of Default has occurred and is continuing or will result from the transactions contemplated by this Amendment, and (D)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NFE ULCA – Third Amendment Agreement 1142819.02-CHISR01A - MSW Section 4. Effectiveness. This Amendment, shall become effective upon the date (such date, the “Amendment Effective Date”): (i) the Administrative Agent shall have received from the Borrower, each other Loan Party and Lenders constituting the Required Lenders a duly executed counterpart of this Amendment; and (ii) the representations and warranties contained herein shall be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Section 5. Effect of Amendment. (a) Upon the Amendment Effective Date, from and after the date hereof (i) each reference in the ULCA to “this Agreement”, “hereunder”, “hereof” or words of like import, referring to the ULCA, and each reference in each other Loan Document to “the ULC Agreement”, “the ULCA”, “thereunder”, “thereof” or words of like import referring to the ULCA, shall mean and be a reference to the ULCA as amended by this Amendment and (ii) this Amendment shall be deemed to be a Loan Document for all purposes of the ULCA (as amended by this Amendment) and the other Loan Documents. (b) Except as specifically set forth in this Amendment, the ULCA and other Loan Documents are and shall continue to be in full force and effect and are hereby in all respects ratified and confirmed and shall constitute the legally valid and binding obligation of each Loan Party party thereto, enforceable against such Loan Party in accordance with its respective terms subject to the effects of bankruptcy, insolvency, fraudulent conveyance, reorganization and other similar laws relating to or affecting creditors' rights generally and general principles of equity (whether considered in a proceeding in equity or law). The execution, delivery and effectiveness of this Amendment shall not operate as a waiver of any Default or Event Default, or of any right, power or remedy of the Issuing Bank under any of the Loan Documents, nor constitute a waiver of any provision of any of the Loan Documents. Section 6. General. (a) GOVERNING LAW. THIS AMENDMENT AND THE RIGHTS AND OBLIGATIONS OF THE PARTIES UNDER THIS AMENDMENT SHALL BE GOVERNED BY, AND CONSTRUED AND INTERPRETED IN ACCORDANCE WITH, THE LAW OF THE STATE OF NEW YORK. (b) This Amendment may be executed by one or more of the parties hereto on any number of separate counterparts, and all of said counterparts taken together shall be deemed to constitute one and the same instrument. Delivery of an executed signature page of this Amendment by email or facsimile transmission shall be effective as delivery of a manually executed counterpart hereof. (c) The provisions of Sections 9.12 and 9.16 of the ULCA are hereby incorporated by reference, mutatis mutandis, as if set forth in full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NFE ULCA – Third Amendment Agreement 1142819.02-CHISR01A - MSW (d) The headings of this Amendment are used for convenience of reference only, are not part of this Amendment and shall not affect the construction of, or be taken into consideration in interpreting, this Amendment.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Third Amendment Agreement IN WITNESS WHEREOF, the parties hereto have caused this Amendment to be duly executed and delivered by their respective duly authorized officers as of the day and year first above written. NEW FORTRESS ENERGY INC., as the Borrower By: /s/Christopher Guinta_________ Name: Christopher S. Guinta Title: Chief Financial Officer NEW FORTRESS INTERMEDIATE LLC By: /s/Christopher Guinta_________ Name: Christopher S. Guinta Title: Chief Financial Officer NFE ATLANTIC HOLDINGS LLC By: /s/Christopher Guinta_________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Third Amendment Agreement AMERICAN ENERGY LOGISTICS SOLUTIONS LLC ATLANTIC ENERGY HOLDINGS LLC BRADFORD COUNTY DEVELOPMENT HOLDINGS LLC BRADFORD COUNTY GPF HOLDINGS LLC BRADFORD COUNTY GPF PARTNERS LLC BRADFORD COUNTY POWER HOLDINGS LLC BRADFORD COUNTY POWER PARTNERS LLC BRADFORD COUNTY TRANSPORT HOLDINGS LLC BRADFORD COUNTY TRANSPORT PARTNERS LLC ISLAND LNG LLC LA DEVELOPMENT HOLDINGS LLC LA REAL ESTATE HOLDINGS LLC LA REAL ESTATE PARTNERS LLC LNG HOLDINGS LLC NEW FORTRESS ENERGY MARKETING LLC NEW FORTRESS ENERGY HOLDINGS LLC NFE ANDROMEDA CHARTERING LLC NFE ANGOLA HOLDINGS LLC NFE BCS HOLDINGS (A) LLC NFE BCS HOLDINGS (B) LLC NFE EQUIPMENT HOLDINGS LLC NFE EQUIPMENT PARTNERS LLC NFE GHANA HOLDINGS LLC NFEGHANAPARTNERSLLC NFE GLOBAL SHIPPING LLC NFE GRAND SHIPPING LLC NFE HONDURAS HOLDINGS LLC NFE INTERNATIONAL LLC NFE INTERNATIONAL SHIPPING LLC NFE ISO HOLDINGS LLC NFE ISO PARTNERS LLC NFE JAMAICA GP LLC NFE LOGISTICS HOLDINGS LLC NFE MANAGEMENT LLC NFE NICARAGUA DEVELOPMENT PARTNERS LLC NFE NICARAGUA HOLDINGS LLC By: /s/Christopher Guinta_________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Third Amendment Agreement NFE NORTH TRADING LLC NFE PIONEER 1 LLC NFE PIONEER 2 LLC NFE PIONEER 3 LLC NFE PLANT DEVELOPMENT HOLDINGS LLC NFE RIG HOLDINGS LLC NFE SOUTH POWER HOLDINGS LLC NFESUB LLC NFE TRANSPORT HOLDINGS LLC NFE TRANSPORT PARTNERS LLC NFE US HOLDINGS LLC PA DEVELOPMENT HOLDINGS LLC PA REAL ESTATE HOLDINGS LLC PA REAL ESTATE PARTNERS LLC TICO DEVELOPMENT PARTNERS HOLDINGS LLC TICO DEVELOPMENT PARTNERS LLC By: /s/Christopher Guinta_________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Third Amendment Agreement AMERICAN LNG MARKETING LLC LNG HOLDINGS (FLORIDA) LLC By: /s/Christopher Guinta_________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Third Amendment Agreement ATLANTIC DISTRIBUTION HOLDINGS SRL ATLANTIC POWER HOLDINGS SRL ATLANTIC ENERGY INFRASTRUCTURE HOLDINGS SRL ATLANTIC PIPELINE HOLDINGS SRL ATLANTIC TERMINAL INFRASTRUCTURE HOLDINGS SRL By: /s/Christopher Guinta_________ Name: Christopher S. Guinta Title: Chief Financial Officer ATLANTIC POWER HOLDINGS LIMITED NFE BERMUDA HOLDINGS LIMITED NFE INTERNATIONAL HOLDINGS LIMITED* NFE NORTH HOLDINGS LIMITED NFE SOUTH HOLDINGS LIMITED By: /s/Christopher Guinta_________ Name: Christopher S. Guinta Title: Director *incorporated under Bermuda law NFE SHANNON HOLDINGS LIMITED By: /s/Christopher Guinta_________ Name: Christopher S. Guinta Title: Director NFE NORTH DISTRIBUTION LIMITED NFE NORTH HOLDINGS LIMITED NFE NORTH TRANSPORT LIMITED NFE SOUTH HOLDINGS LIMITED NFE SOUTH POWER TRADING LIMITED By: /s/Christopher Guinta_________ Name: Christopher S. Guinta Title: Director AMAUNET, S. DE R.L. DE C.V. NFENERGIA MEXICO, S. DE R.L. DE C.V. NFENERGIA GN DE BCS, S. DE R.L. DE C.V. NFE PACIFICO LAP, S. DE R.L. DE C.V. NFE BCS MEXICO HOLDINGS, S. DE R.L. DE C.V. By: /s/Christopher Guinta_________ Name: Christopher S. Guinta Title: Legal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Third Amendment Agreement NFENERGIA LLC SOLUCIONES DE ENERGIA LIMPIA PR LLC NFE POWER PR LLC ENCANTO EAST LLC ENCANTO WEST LLC ENCANTO POWER WEST LLC By: /s/Christopher Guinta_________ Name: Christopher S. Guinta Title: Authorized Signatory NFE MEXICO HOLDINGS S..A R.L. NFE MEXICO HOLDINGS PARENT S..AR.L. By: /s/Christopher Guinta_________ Name: Christopher S. Guinta Title: Manager By: /s/Brannen Graybill McElmurray_ Name: Brannen Graybill McElmurray Title: Manager NFE NICARAGUA DEVELOPMENT PARTNERS LLC, SUCURSAL NICARAGUA By: /s/Christopher Guinta_________ Name: Christopher S. Guinta Title: Chief Financial Officer NFE GLOBAL HOLDINGS LIMITED By: /s/Christopher Guinta_________ Name: Christopher S. Guinta Title: Director NFE INTERNATIONAL HOLDINGS LIMITED* By: /s/Christopher Guinta_________ Name: Christopher S. Guinta Title: Director *incorporated under the laws of England and Wales NFE MEXICO POWER HOLDINGS LIMITED By: /s/Christopher Guinta_________ Name: Christopher S. Guinta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Third Amendment Agreement NFE MEXICO TERMINAL HOLDINGS LIMITED By: /s/Christopher Guinta_________ Name: Christopher S. Guinta Title: Director NFE UK HOLDINGS LIMITED By: /s/Christopher Guinta_________ Name: Christopher S. Guinta Title: Director NFE GP LLC By: /s/Christopher Guinta_________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 Third Amendment Agreement NATIXIS, NEW YORK BRANTH, as a Lender By: /s/Paolo Salvi_________ Name: Paolo Salvi Title: Managing Director By: /s/Abraham Edholm_________ Name: Abraham Edholm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 Third Amendment Agreement CREDIT AGRICOLE CORPORATE AND INVESTMENT BANK, as a Lender By: /s/Abdellah Agouzoul_________ Name: Abdellah Agouzoul Title: Director By: /s/Thibault Berger_________ Name: Thibault Berger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 Third Amendment Agreement BANCO SANTANDER, S.A., NEW YORK BRANCH, as a Lender By: /s/Rita Walz-Cuccioli_________ Name: Rita Walz-Cuccioli Title: Executive Director By: /s/Juan Galan_________ Name: Juan Galan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NFE ULCA - Third Amendment Agreement HSBC BANK USA, N.A., as a Lender By: /s/Jessica Smith_________ Name: Jessica Smith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DEUTSCHE BANK AG NEW YORK BRANCH, as a Lender By: /s/Gaurav Mathur_________ Name: Gaurav Mathur Title: Managing Director By: /s/Mirko Mueller_________ Name: Mirko Mueller Title: Director Trade Finance 1142S19.02.Q'IISR0IA-MSW NFE ULCA - Third Amendment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001-nfexflng2creditagre.htm"/>
      <w:bookmarkStart w:id="5" w:name="ksa001nfexflng2creditagre"/>
      <w:bookmarkEnd w:id="4"/>
      <w:bookmarkEnd w:id="5"/>
      <w:r>
        <w:rPr/>
        <w:drawing>
          <wp:inline distT="0" distB="0" distL="0" distR="0">
            <wp:extent cx="10048875" cy="13001625"/>
            <wp:effectExtent l="0" t="0" r="0" b="0"/>
            <wp:docPr id="1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897275.26-LACSR02A - MSW CREDIT AGREEMENT among NEW FORTRESS ENERGY INC., as the Borrower, The Guarantors from Time to Time Party Hereto The Several Lenders from Time to Time Party Hereto and MORGAN STANLEY SENIOR FUNDING, INC., as Administrative Agent and Collateral Agent, Dated as of July 19, 2024 MORGAN STANLEY SENIOR FUNDING, INC. BANCO SANTANDER, S.A., NEW YORK BRANCH, NATIXIS, NEW YORK BRANCH, JPMORGAN CHASE BANK, N.A. and MUFG BANK, LTD. as Lead Arrangers and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897275.26-LACSR02A - MSW TABLE OF CONTENTS Page SECTION 1. DEFINITIONS .................................................................................................................... 1 Section 1.1 Defined Terms .................................................................................................................... 1 Section 1.2 Other Definitional Provisions; Rules of Construction ...................................................... 78 Section 1.3 Accounting Terms and Principles ..................................................................................... 79 Section 1.4 Timing of Payment or Performance .................................................................................. 79 Section 1.5 Currency Equivalents Generally ....................................................................................... 79 Section 1.6 Limited Condition Transactions ....................................................................................... 80 Section 1.7 Certain Compliance Determinations ................................................................................. 81 Section 1.8 Divisions ........................................................................................................................... 84 Section 1.9 FLNG2 Collateral ............................................................................................................. 84 SECTION 2. LOANS ............................................................................................................................. 84 Section 2.1 Loans ................................................................................................................................. 84 Section 2.2 Pro Rata Shares; Availability of Funds ............................................................................. 85 Section 2.3 Repayment of Term Loans................................................................................................ 86 Section 2.4 Evidence of Debt; Register; Lenders’ Books and Records; Loan Notes .......................... 86 Section 2.5 Interest on Loans ............................................................................................................... 86 Section 2.6 Conversion/Continuation .................................................................................................. 88 Section 2.7 Default Interest ................................................................................................................. 88 Section 2.8 Fees ................................................................................................................................... 89 Section 2.9 [Reserved] ......................................................................................................................... 89 Section 2.10 Voluntary and Mandatory Prepayments ........................................................................... 89 Section 2.11 [Reserved] ......................................................................................................................... 93 Section 2.12 Benchmark Replacement Setting ...................................................................................... 93 Section 2.13 General Provisions Regarding Payments .......................................................................... 94 Section 2.14 Ratable Sharing ................................................................................................................. 95 Section 2.15 Making or Maintaining SOFR Loans ............................................................................... 96 Section 2.16 Increased Costs; Capital Requirements ............................................................................ 97 Section 2.17 Taxes ................................................................................................................................. 98 Section 2.18 Obligation to Mitigate ..................................................................................................... 102 Section 2.19 Removal or Replacement of a Lender ............................................................................ 102 Section 2.20 Defaulting Lenders ......................................................................................................... 103 Section 2.21 Extension of Term Loans. ............................................................................................... 104 SECTION 3. REPRESENTATIONS AND WARRANTIES ............................................................... 106 Section 3.1 Financial Condition ......................................................................................................... 106 Section 3.2 No Change ...................................................................................................................... 106 Section 3.3 Existence; Compliance with Law ................................................................................... 106 Section 3.4 Power; Authorization; Enforceable Obligations ............................................................. 106 Section 3.5 No Legal Bar ................................................................................................................... 106 Section 3.6 No Material Litigation .................................................................................................... 107 Section 3.7 No Default....................................................................................................................... 107 Section 3.8 Ownership of Property; Liens ......................................................................................... 107 Section 3.9 IP Rights ......................................................................................................................... 107 Section 3.10 Taxes ............................................................................................................................... 107 Section 3.11 Federal Regulations ........................................................................................................ 108 Section 3.12 Labor Matters ..................................................................................................................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897275.26-LACSR02A - MSW Section 3.13 ERISA ............................................................................................................................. 108 Section 3.14 Investment Company Act ............................................................................................... 108 Section 3.15 Subsidiaries ..................................................................................................................... 108 Section 3.16 Use of Proceeds .............................................................................................................. 108 Section 3.17 Environmental Matters ................................................................................................... 108 Section 3.18 Accuracy of Information, Etc. ........................................................................................ 110 Section 3.19 Security Documents ........................................................................................................ 110 Section 3.20 Solvency.......................................................................................................................... 111 Section 3.21 Permits ............................................................................................................................ 111 Section 3.22 Anti-Money Laundering and Anti-Corruption Laws; Sanctions .................................... 111 Section 3.23 Insurance ......................................................................................................................... 113 Section 3.24 Material Project Documents ........................................................................................... 113 Section 3.25 Sufficiency of Funds ....................................................................................................... 113 Section 3.26 Construction Budget and Schedule ................................................................................. 114 Section 3.27 Availability and Transfer of Foreign Currency; No Restrictions on Foreign Exchange ......................................................................................................................... 114 Section 3.28 No Immunity ................................................................................................................... 114 Section 3.29 Conduct of Business by FLNG2 Subsidiaries................................................................. 114 SECTION 4. CONDITIONS PRECEDENT ........................................................................................ 114 Section 4.1 Closing Date ................................................................................................................... 114 Section 4.2 Conditions to First Initial Term Loan Funding Date. ..................................................... 117 Section 4.3 Conditions to All Borrowings. ........................................................................................ 118 Section 4.4 Conditions to Occurrence of the Completion Date ......................................................... 119 SECTION 5. AFFIRMATIVE COVENANTS .................................................................................... 121 Section 5.1 Financial Statements ....................................................................................................... 121 Section 5.2 Certificates; Other Information ....................................................................................... 122 Section 5.3 Payment of Taxes ............................................................................................................ 123 Section 5.4 Conduct of Business and Maintenance of Existence; Compliance with Law ................. 123 Section 5.5 Maintenance of Property; Insurance ............................................................................... 123 Section 5.6 Inspection of Property; Books and Records; Discussions .............................................. 123 Section 5.7 Notices ............................................................................................................................ 124 Section 5.8 Environmental Laws; Equator Principles ....................................................................... 125 Section 5.9 Plan Compliance ............................................................................................................. 125 Section 5.10 Additional Guarantors; Additional Collateral, Collateral Limitations ............................ 126 Section 5.11 Further Assurances ......................................................................................................... 129 Section 5.12 Post-Closing Covenants .................................................................................................. 130 Section 5.13 Use of Proceeds .............................................................................................................. 130 Section 5.14 Debt Service Reserve Account. ...................................................................................... 130 Section 5.15 Material Project Documents ........................................................................................... 131 Section 5.16 Compliance with Anti-Corruption Laws, Anti-Money Laundering Laws and Sanctions ......................................................................................................................... 131 Section 5.17 Construction Progress Reports ........................................................................................ 131 Section 5.18 Annual Operating Budgets .............................................................................................. 132 SECTION 6. NEGATIVE COVENANTS ........................................................................................... 132 Section 6.1 Limitation on Restricted Payments ................................................................................. 132 Section 6.2 Dividend and Other Payment Restrictions Affecting Restricted Subsidiaries ................ 140 Section 6.3 Limitation on Incurrence of Indebtedness and Issuance of Disqualified Stock and Preferred Stock ...............................................................................................................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897275.26-LACSR02A - MSW Section 6.4 Asset Sales ...................................................................................................................... 152 Section 6.5 Transactions with Affiliates ............................................................................................ 154 Section 6.6 Liens ............................................................................................................................... 157 Section 6.7 Financial Covenants. ....................................................................................................... 158 Section 6.8 Capital Expenditures ....................................................................................................... 158 Section 6.9 Merger, Consolidation or Sale of All or Substantially All Assets .................................. 158 Section 6.10 Change in Business; Changes in Fiscal Year or Accounting Policies ............................ 161 Section 6.11 Sale and Leaseback Transactions .................................................................................... 161 Section 6.12 Accounts ......................................................................................................................... 161 Section 6.13 Amendment or Termination of Material Project Documents; Other Restrictions on Material Project Documents ......................................... Error! Bookmark not defined. SECTION 7. EVENTS OF DEFAULT ................................................................................................ 162 Section 7.1 Events of Default ............................................................................................................ 162 Section 7.2 Application of Proceeds .................................................................................................. 167 SECTION 8. THE ADMINISTRATIVE AGENT AND THE COLLATERAL AGENT ................... 168 Section 8.1 Appointment and Authority ............................................................................................ 168 Section 8.2 Rights as a Lender ........................................................................................................... 168 Section 8.3 Exculpatory Provisions ................................................................................................... 168 Section 8.4 Reliance by Administrative Agent .................................................................................. 170 Section 8.5 Delegation of Duties ....................................................................................................... 170 Section 8.6 Resignation of the Agents ............................................................................................... 170 Section 8.7 Non-Reliance on the Agents and Other Lenders ............................................................ 171 Section 8.8 No Other Duties, Etc. ...................................................................................................... 171 Section 8.9 Administrative Agent May File Proofs of Claim ............................................................ 171 Section 8.10 Collateral and Guaranty Matters ..................................................................................... 172 Section 8.11 Withholding Taxes .......................................................................................................... 172 Section 8.12 Intercreditor and Subordination Agreements .................................................................. 173 Section 8.13 Credit Bidding ................................................................................................................. 173 Section 8.14 Return of Certain Payments ............................................................................................ 174 Section 8.15 Certain ERISA Matters ................................................................................................... 175 SECTION 9. MISCELLANEOUS ....................................................................................................... 177 Section 9.1 Amendments and Waivers .............................................................................................. 177 Section 9.2 Notices ............................................................................................................................ 180 Section 9.3 No Waiver; Cumulative Remedies ................................................................................. 181 Section 9.4 Survival of Representations and Warranties ................................................................... 182 Section 9.5 Payment of Expenses; Indemnification .......................................................................... 182 Section 9.6 Successors and Assigns; Participations and Assignments .............................................. 184 Section 9.7 Set-off ............................................................................................................................. 188 Section 9.8 Counterparts .................................................................................................................... 188 Section 9.9 Severability ..................................................................................................................... 189 Section 9.10 Integration ....................................................................................................................... 189 Section 9.11 GOVERNING LAW ....................................................................................................... 189 Section 9.12 Submission To Jurisdiction; Waivers ............................................................................. 189 Section 9.13 Acknowledgments .......................................................................................................... 190 Section 9.14 Confidentiality ................................................................................................................ 190 Section 9.15 [Reserved.] ...................................................................................................................... 191 Section 9.16 WAIVERS OF JURY TRIAL...................................................................................... 191 Section 9.17 Conversion of Currencies ...............................................................................................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897275.26-LACSR02A - MSW Section 9.18 USA PATRIOT ACT ...................................................................................................... 191 Section 9.19 Payments Set Aside ........................................................................................................ 192 Section 9.20 Releases of Collateral and Guarantees ............................................................................ 192 Section 9.21 Acknowledgement and Consent to Bail-In of Affected Financial Institutions ............... 193 Section 9.22 [Reserved] ....................................................................................................................... 194 Section 9.23 Intercreditor Agreement .................................................................................................. 194 Section 9.24 No Fiduciary Duty .......................................................................................................... 194 Section 9.25 Interest Rate Limitation .................................................................................................. 194 Section 9.26 Net Short Lenders. .......................................................................................................... 194 Section 9.27 Additional Borrowers. .................................................................................................... 196 Section 9.28 Release of Additional Borrowers .................................................................................... 196 Section 9.29 Acknowledgement Regarding Any Supported QFCs ..................................................... 197 SECTION 10. GUARANTEES .............................................................................................................. 197 SCHEDULES: 1.1A Commitments 1.1B Material Project Documents 3.15 Subsidiaries 3.19 Filing Jurisdictions 3.21 Permits 5.12 Post-Closing Matters Appendix A Notice Addresses EXHIBITS: A Form of Compliance Certificate B Form of Assignment and Acceptance C Form of Loan Note D Form of Solvency Certificate E-1 Form of Funding Notice E-2 Form of Conversion/Continuation Notice F-1 Form of U.S. Tax Compliance Certificate (For Foreign Lenders that are Not Partnerships for U.S. Federal Income Tax Purposes) F-2 Form of U.S. Tax Compliance Certificate (For Foreign Participants that are Not Partnerships for U.S. Federal Income Tax Purposes) F-3 Form of U.S. Tax Compliance Certificate (For Foreign Participants that are Partnerships for U.S. Federal Income Tax Purposes) F-4 Form of U.S. Tax Compliance Certificate (For Foreign Lenders that are Partnerships for U.S. Federal Income Tax Purposes) G Form of Joinder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897275.26-LACSR02A - MSW CREDIT AGREEMENT, dated as of July 19, 2024 among NEW FORTRESS ENERGY INC., a Delaware corporation (the “Borrower”), the Guarantors (as defined herein) from time to time party hereto, the Lenders (as defined herein) and MORGAN STANLEY SENIOR FUNDING, INC. (“MSSF”), as administrative agent for the Lenders (in such capacity, together with any successor appointed in accordance with Section 8.6, the “Administrative Agent”) and as collateral agent for the Secured Parties (in such capacity, together with any successor appointed in accordance with Section 8.6, the “Collateral Agent”). W I T N E S S E T H: WHEREAS, capitalized terms used in these recitals and not otherwise defined shall have the respective meanings set forth for such terms in Section 1.1; and WHEREAS, on the terms and subject to the conditions set forth herein, the Lenders have agreed to extend Initial Term Loans to the Borrower from time to time in an aggregate principal amount not to exceed $700,000,000 (the “Initial Term Loan Facility”). NOW, THEREFORE, in consideration of the premises and mutual agreements contained herein, the parties hereto agree as follows: SECTION 1. DEFINITIONS Section 1.1 Defined Terms. As used in this Agreement, the terms listed in this Section 1.1 shall have the respective meanings set forth in this Section 1.1. “2025 Additional Notes”: 2025 Notes (other than the Initial Notes, as defined in the 2025 Notes Indenture) issued from time to time under the 2025 Notes Indenture in accordance with Sections 2.01, 4.09 and 4.12 thereof, as part of the same series as the Initial Notes. “2025 Note Guarantee”: a “Note Guarantee” as defined in the 2025 Notes Indenture. “2025 Notes”: the “Notes” as defined in the 2025 Notes Indenture. “2025 Notes Indenture”: that certain Indenture, dated as of September 2, 2020, by and between the Borrower, as issuer, the Guarantors from time to time party thereto and U.S. Bank Trust Company, National Association (as successor in interest to U.S. Bank National Association), as trustee and notes collateral agent, as supplemented from time to time and in effect on the Closing Date. “2025 Secured Notes Obligations”: the “Secured Notes Obligations” as defined in the 2025 Notes Indenture. “2025 Secured Notes Secured Parties”: the “Secured Notes Secured Parties” as defined in the 2025 Notes Indenture. “2026 Additional Notes”: 2026 Notes (other than the Initial Notes, as defined in the 2026 Notes Indenture) issued from time to time under the 2026 Notes Indenture in accordance with Sections 2.01, 4.09 and 4.12 thereof, as part of the same series as the Initial Notes. “2026 Note Guarantee”: a “Note Guarantee” as defined in the 2026 Notes Indenture. “2026 Notes”: the “Notes” as defined in the 2026 Notes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897275.26-LACSR02A - MSW “2026 Notes Indenture”: that certain Indenture, dated as of April 12, 2021, by and between the Borrower, as issuer, the Guarantors from time to time party thereto and U.S. Bank Trust Company, National Association (as successor in interest to U.S. Bank National Association), as trustee and notes collateral agent, as supplemented from time to time and in effect on the Closing Date. “2026 Secured Notes Obligations”: the “Secured Notes Obligations” as defined in the 2026 Notes Indenture. “2026 Secured Notes Secured Parties”: the “Secured Notes Secured Parties” as defined in the 2026 Notes Indenture. “2029 Additional Notes”: 2029 Notes (other than the Initial Notes, as defined in the 2029 Notes Indenture) issued from time to time under the 2029 Notes Indenture in accordance with Sections 2.01, 4.09 and 4.12 thereof, as part of the same series as the Initial Notes. “2029 Note Guarantee”: a “Note Guarantee” as defined in the 2029 Notes Indenture. “2029 Notes”: the “Notes” as defined in the 2029 Notes Indenture. “2029 Notes Indenture”: that certain Indenture, dated as of March 8, 2024, by and between the Borrower, as issuer, the Guarantors from time to time party thereto and U.S. Bank Trust Company, National Association, as trustee and notes collateral agent, as supplemented from time to time and in effect on the Closing Date. “2029 Secured Notes Obligations”: the “Secured Notes Obligations” as defined in the 2029 Notes Indenture. “2029 Secured Notes Secured Parties”: the “Secured Notes Secured Parties” as defined in the 2029 Notes Indenture. “Acceptable DSRA Bank” shall mean, as of the date the Debt Service Reserve Account is established or the applicable DSR Letter of Credit is issued, (a) a bank or other financial institution whose long-term unsecured and unguaranteed debt is rated at least: (i) A- (or the equivalent) and, if rated A- (or the equivalent), with a stable or positive outlook by S&amp;P, and (ii) A3 (or the equivalent) and, if rated A3 (or the equivalent), with a stable or positive outlook by Moody’s, or (b) such other bank or other financial institution as is reasonably acceptable to the Administrative Agent. “Accession Date” as defined in Section 10. “Acquired Indebtedness”: with respect to any specified Person, (1) Indebtedness of any other Person existing at the time such other Person is consolidated with, amalgamated or merged with or into or became a Restricted Subsidiary of such specified Person, including Indebtedness incurred in connection with, or in contemplation of, such other Person consolidating with, amalgamating or merging with or into or becoming a Restricted Subsidiary of such specified Person; and (2) Indebtedness secured by a Lien encumbering any asset acquired by such specified Person. “Additional Equal Priority Obligations”: the obligations with respect to any Indebtedness having, or intended to have, Equal Lien Priority (but without regard to the control of remedies) relative to the Obligations with respect to the Collateral (other than FLNG2 Collateral); provided that an authorized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897275.26-LACSR02A - MSW representative of the holders of such Indebtedness shall have executed an Equal Priority Intercreditor Agreement. “Additional Equal Priority Secured Parties”: the holders of any Additional Equal Priority Obligations and any trustee, authorized representative or agent of such Additional Equal Priority Obligations. “Administrative Agent”: as defined in the preamble hereto. “Affected Financial Institution”: (a) any EEA Financial Institution or (b) any UK Financial Institution. “Affected Lender”: any Lender advising the Administrative Agent pursuant to Section 2.15(b). “Affiliate”: as applied to any Person, any other Person directly or indirectly Controlling, Controlled by, or under common Control with, that Person.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“Affiliate Transaction”: as defined in Section 6.5(a). “Agent Party”: as defined in Section 9.2. “Agents”: the Administrative Agent and the Collateral Agent and any other Person appointed under the Loan Documents to serve in an agent or similar capacity. “Aggregate Amounts Due”: as defined in Section 2.14. “Aggregate Commitment”: the sum of the Commitments of all the Lenders at such time. “Agreement”: this Credit Agreement, including its annexes, exhibits and schedules. “Agreement Currency”: as defined in Section 9.17(b). “All-In Yield”: as to any Indebtedness, the yield thereof, whether in the form of interest rate, (taking into consideration margin, OID, upfront fees (each of which shall be deemed to constitute like amounts of OID)), in the case of private Indebtedness, commitment fees or otherwise, in each case, incurred or payable by the Borrower generally to all lenders of such Indebtedness; provided that OID, upfront fees and commitment fees, as applicable, shall be equated to interest rate assuming a 4-year average life to maturity (or if less, based on actual life to maturity) on a straight-line basis (e.g. 100 basis points of original issue discount equals 25 basis points of interest rate margin assuming a 4-year average life); and provided, further, that “All-In Yield” shall not include any interest rate floor, arrangement fees, structuring fees, ticking fees, commitment fees (other than in the case of private Indebtedness), underwriting fees and other similar fees and, if applicable, consent fees for an amendment (in each case regardless of whether any such fees are paid to or shared in whole or in part with any lender) and any other fees not paid generally to all lenders ratably in the primary syndication of such Indebtedness. “Anti-Money Laundering Laws”: as defined in Section 3.22(a). “Applicable Creditor”: as defined in Section 9.17(b).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897275.26-LACSR02A - MSW “Applicable Margin”: a percentage per annum equal to, (a) with respect to the Initial Term Loans, (A) for SOFR Loans, 3.75% and (B) for Base Rate Loans, 2.75%; provided that each of the foregoing shall increase by 25 basis points every 180 days beginning on June 30, 2025. “Appropriate Lenders”: at any time, with respect to Loans of any Class, the Lenders of such Class of Loans. “Arranger”: Morgan Stanley Senior Funding, Inc., Natixis, New York Branch, JPMorgan Chase Bank, N.A., MUFG Bank Ltd., Banco Santander, S.A., New York Branch, Yorkshire Investments V, LLC and OCM AB HOLDINGS I, LLC, each in its capacity as lead arranger and bookrunner. “Asset Sale”: (1) the sale, conveyance, transfer or other disposition, whether in a single transaction or a series of related transactions, of property or assets (including by way of a Sale and Lease-Back Transaction) of the Borrower or any of its Restricted Subsidiaries (a “Disposition”); or (2) the sale of Equity Interests of any Restricted Subsidiary (other than Preferred Stock of Restricted Subsidiaries issued in compliance with Section 6.3), whether in a single transaction or a series of related transactions and whether effected pursuant to a Division or otherwise; in each case, other than: (a) the Disposition of all or substantially all of the assets of the Borrower or any Restricted Subsidiary in a manner permitted pursuant to Section 6.9; (b) Dispositions (including of Equity Interests issued by any Restricted Subsidiary) among the Borrower and/or any Restricted Subsidiary (upon voluntary liquidation or otherwise); (c) (i) the liquidation or dissolution of any Restricted Subsidiary if the Borrower determines in good faith that such liquidation or dissolution is in the best interests of the Borrower or such Restricted Subsidiary, is not materially disadvantageous to the Lenders, and the Borrower or any Restricted Subsidiary receives any assets of the relevant dissolved or liquidated Restricted Subsidiary, (ii) any merger, amalgamation, dissolution, liquidation or consolidation, the purpose of which is to effect (A) any Disposition referred to in clauses (d) through (jj) of this definition or (B) any Permitted Investment or any Investment permitted under Section 6.1; and (iii) the conversion of the Borrower or any Restricted Subsidiary into another form of entity (and solely with respect to the Borrower, organized in the U.S., any state thereof or the District of Columbia), so long as such conversion does not adversely affect the Guarantees, taken as a whole; (d) (i)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Borrower and its Restricted Subsidiaries), (ii) the conversion of accounts receivable for notes receivable or other Dispositions of accounts receivable in connection with the collection or compromise thereof and (iii)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897275.26-LACSR02A - MSW (e) Dispositions of surplus, obsolete, damaged, used or worn out property or other property (including IP Rights) that, in the reasonable judgment of the Borrower, is (i) no longer used or useful in its business (or in the business of any Restricted Subsidiary of the Borrower) or (ii) otherwise economically impracticable to maintain; (f) Dispositions of cash, Cash Equivalents, and/or Investment Grade Assets and/or other assets that were Cash Equivalents or Investment Grade Assets when the relevant original Investment was made; (g) Dispositions, mergers, amalgamations, consolidations or conveyances that constitute (i) Permitted Investments (other than pursuant to clause (j) of the definition thereof), (ii) Liens not prohibited under this Agreement or (iii) Restricted Payments permitted to be made, and that are made, under Section 6.1 (other than Section 6.1(b)(ix)); (h) [Reserved]; (i) to the extent that (i) the relevant property is exchanged for credit against the purchase price of similar replacement property or (ii) the proceeds of the relevant Disposition are promptly applied to the purchase price of such replacement property; (j) Dispositions of Investments in joint ventures to the extent required by, or made pursuant to, buy/sell and/or put/call arrangements between joint venture or similar parties set forth in the relevant joint venture arrangements and/or similar binding arrangements; (k) 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 (l) 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or (ii) that relate to closed facilities or the discontinuation of any product or business line; (m) (i)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Borrower determines in good faith that such action is in the best interests of the Borrower and the Restricted Subsidiaries, taken as a whole, and is not materially disadvantageous to the Lenders; (n) (i)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897275.26-LACSR02A - MSW (o) Dispositions or consignments of equipment, inventory or other assets (including leasehold interests in real property) with respect to facilities that are not in use, held for sale or closed (or otherwise in connection with the closing or sale of any facility); (p) [Reserved]; (q) [Reserved]; (r) exchanges or swaps, including transactions covered by Section 1031 of the Code (or any comparable provision of any foreign jurisdiction), of assets so long as any such exchange or swap is made for fair value (as reasonably determined by the Borrower) for like assets; (s) [Reserved]; (t) (i) licensing, sublicensing and cross-licensing arrangements involving any technology, intellectual property, other IP Rights or other general intangibles of the Borrower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Borrower, are not material to the conduct of the business of the Borrower and its Restricted Subsidiaries, taken as a whole, or are no longer economically practicable or commercially reasonable to maintain; (u) terminations or unwinds of Derivative Transactions; (v) 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 (w) [Reserved]; (x) Dispositions made to comply with any order of any governmental authority or any applicable Requirements of Law (including the Dispositions of any assets (including Equity Interests) made to obtain the approval of any applicable antitrust authority in connection with any acquisition); (y) any merger, consolidation, Disposition or conveyance the sole purpose of which is to reincorporate or reorganize (i) any Domestic Subsidiary in the U.S., any state thereof or the District of Columbia and/or (ii) any Foreign Subsidiary in the U.S. or any other jurisdiction; (z) any sale of equipment purchased at the end of an operating lease and resold thereafter; (aa) [Reserved]; (bb) any sale of Equity Interests of the Borrower; (cc) [Reserved]; (dd) any financing transaction with respect to property built or acquired by the Borrower or any Restricted Subsidiary after the Closing Date, including Sale and Lease-Back Transactions and asset securitizations permitted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897275.26-LACSR02A - MSW (ee) any Disposition of Equity Interests of a Restricted Subsidiary pursuant to an agreement or other obligation with or to a Person (other than the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 and, where such Equity Interests so disposed or sold in any single transaction or series of related transactions have an aggregate Fair Market Value (as determined in good faith by the Borrower) of less than $50.0 million per transaction or series of related transactions; (ff) [reserved]; (gg) any Disposition of non-revenue producing assets to a Person who is providing services related to such assets, the provision of which have been or are to be outsourced by the Borrower or any Restricted Subsidiaries to such Person, provided such services are of comparable or greater value or usefulness to the business of the Borrower and the Restricted Subsidiaries as a whole; (hh) other Dispositions (including those of the type otherwise described herein) involving assets having a Fair Market Value of not more than $50.0 million; (ii) the issuance of directors’ qualifying shares and shares issued to foreign nationals or other third parties as required by applicable law; (jj) [Reserved]; and (kk) any transfer of properties or assets that is a maritime vessel sharing arrangement in the ordinary course of business, or entry by the Borrower or any Subsidiary of the Borrower into one or more leases, charters, pool agreements or operations or service contracts with respect to any vessels. “Assignee”: as defined in Section 9.6(c). “Assignment and Acceptance”: an agreement substantially in the form of Exhibit B. “Assignor”: as defined in Section 9.6(c). “Available Liquidity”: as of any date of determination, the sum of (a) all unrestricted cash and Cash Equivalents of the Borrower and its Restricted Subsidiaries plus (b) an amount equal to the available unused balance of the Aggregate Commitments (as defined in the Revolving Credit Agreement) under the Revolving Credit Agreement plus (c) an amount equal to the available unused balance of any revolving commitments established pursuant to any Incremental Equivalent Debt (as defined in the TLB Credit Agreement). “Available Tenor”: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clause (d) of Section 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897275.26-LACSR02A - MSW “Bail-In Action”: the exercise of any Write-Down and Conversion Powers by the applicable Resolution Authority in respect of any liability of an Affected Financial Institution. “Bail-In Legislation”: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“Banking Services”: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 “Bankruptcy Code”: Title 11 of the United States Code, as amended. “Bankruptcy Event”: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provided, however,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agreements made by such Person. “Bankruptcy Law”: the Bankruptcy Code and any similar federal, state or foreign law for the relief of debtors. “Base Rate”: for any day, a rate per annum equal to the greatest of (a) the Prime Rate in effect on such day, (b) the Federal Funds Rate in effect on such day plus ½ of 1%, (c) the sum of (i) Term SOFR for a one-month tenor in effect on such day plus (ii) 1.0%; and (d) 1.0% per annum. Any change in the Base Rate due to a change in the Prime Rate, the Federal Funds Rate, or Term SOFR shall be effective from and including the effective day of such change in the Prime Rate, the Federal Funds Rate, or Term SOFR, respectively. “Base Rate Loans”: Loans for which the applicable rate of interest is based on the Base Rate. “Benchmark”: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Section 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897275.26-LACSR02A - MSW “Benchmark Replacement”: with respect to any Benchmark Transition Event, the first alternative set forth in the order below that can be determined by the Administrative Agent for the applicable Benchmark Replacement Date: (1) Daily Simple SOFR; or (2)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“Benchmark Replacement Conforming Changes”: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“Benchmark Replacement Date”: a date and time determined by the Administrative Agent, which date shall be no later than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897275.26-LACSR02A - MSW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 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the occurrence of one or more of the following events with respect to the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the period (if any) (x) beginning at the time that a Benchmark Replacement Date has occurred if, at such time, no Benchmark Replacement has replaced the then-current Benchmark for all purposes hereunder and under any Loan Document in accordance with Section 2.12 and (y) ending at the time that a Benchmark Replacement has replaced the then-current Benchmark for all purposes hereunder and under any Loan Document in accordance with Section 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897275.26-LACSR02A - MSW “Beneficial Ownership Certification”: a certification regarding individual beneficial ownership solely to the extent required by 31 C.F.R. §1010.230. “Benefit Plan”: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“BHC Act”: of a party means an “affiliate” (as such term is defined under, and interpreted in accordance with, 12 U.S.C. 1841(k)) of such party. “Board”: the Board of Governors of the Federal Reserve System of the United States (or any successor). “Board of Directors”: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“director” means a director or functional equivalent thereof with respect to the relevant Board of Directors. “Borrower”: as defined in the preamble hereto. “Borrower Materials”: as defined in Section 9.2. “Borrower Obligations”: the collective reference to the unpaid principal of and interest on the Loans, and all other obligations and liabilities of the Borrower (including interest accruing at the then applicable rate provided herein after the maturity of the Loans and interest, fees and expenses accruing after the filing of any petition in bankruptcy (or which, but for the filing of such petition, would be accruing), or the commencement of any insolvency, reorganization or like proceeding, relating to the Borrower, whether or not a claim for post-filing or post-petition interest, fees or expenses is allowed or allowable in such proceeding) to any Agent or any Lender, whether direct or indirect, absolute or contingent, due or to become due, or now existing or hereafter incurred, which arise under, out of, or in connection with, this Agreement, the Security Documents or the other Loan Documents, or any other document made, delivered or given in connection therewith, in each case whether on account of principal, interest, reimbursement obligations, fees, indemnities, costs, expenses or otherwise. “Borrowing”: Loans of the same Class and Type and, in the case of a SOFR Loan, as to which a single Interest Period is in effect. “Business Day”: any day excluding Saturday, Sunday and any day which is a legal holiday under the laws of the State of New York or is a day on which banking institutions located in such state are authorized or required by law or other governmental action to close. “Capital Expenditures”: for any period, expenditures (including the aggregate amount of capital lease obligations incurred during such period) to acquire or construct fixed assets, plant and equipment (including renewals, improvements and replacements) computed in accordance with GAAP (other than expenditures paid out of casualty insurance proceeds). “Capital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897275.26-LACSR02A - MSW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or membership interests (whether general or limited); and (4) any other interest or participation that confers on a Person the right to receive a share of the profits and losses of, or distributions of assets of, the issuing Person. “Capitalized Software Expenditures”: for any period, the aggregate of all expenditures (whether paid in cash or accrued as liabilities) by the Borrower and its Restricted 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Borrower and its Restricted Subsidiaries. “Captive Insurance Subsidiary”: any Restricted Subsidiary of the Borrower that is subject to regulation as an insurance company (and any Restricted Subsidiary thereof). “Cash Equivalents”: as at any date of determination, (a) United States dollars, Australian Dollars, Canadian Dollars, Euros, Japanese Yen, New Swedish Krona, Pounds Sterling, Swiss Francs, any national currency of any member nation of the European Union, Yuan or such other currencies held by the Borrower and its Restricted Subsidiaries from time to time in the ordinary course of business, consistent with past practice or consistent with industry norm; (b) (i)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 (c) 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 (d) 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897275.26-LACSR02A - MSW or fixed rate notes issued by any financial institution meeting the qualifications specified in clause (e) below; (e) 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 (f) securities with maturities of six months or less from the date of acquisition backed by standby letters of credit issued by any financial institution meeting the qualifications specified in clause (e) above; (g) 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 (h) 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 (i) 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 (j) 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 (k) 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 (l) investments, classified in accordance with GAAP as current assets of the Borrower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 (m) investment funds investing at least 90.0% of their assets in the types of investments referred to in clauses (a) through (l) above; (n) solely with respect to any Captive Insurance Subsidiary, any investment that such Captive Insurance Subsidiary is not prohibited to make in accordance with applicable law;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897275.26-LACSR02A - MSW (o) (i)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clause (o). 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 following the receipt of such amounts. For the avoidance of doubt, any items identified as Cash Equivalents under this definition will be deemed to be Cash Equivalents under this Agreement regardless of the treatment of such items under GAAP. “Change in Law”: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the occurrence of one or more of the following events after the Closing Date: (1) the sale, lease or transfer, in one or a series of related transactions, of all or substantially all of the assets of the Borrower and its Subsidiaries, taken as a whole, to any Person other than one or more Permitted Holders; or (2) the Borrower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Borrower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Borrower, unless the Permitted Holders otherwise have the right (pursuant to contract, proxy or otherwise), directly or indirectly, to designate, nominate or appoint directors having a majority of the aggregate votes on the Board of Directors of the Borrower; or (3) prior to the Completion Date, the Borrower shall cease to own, directly or indirectly, 100% of the total voting power of all of the outstanding Voting Stock in each of the FLNG2 Subsidiaries. Notwithstanding anything to the contrary in this definition or any provision of Rule 13d-3 of the Exchange Act, (i) a Person or group shall not be deemed to beneficially own Voting Stock (x) to be acquired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897275.26-LACSR02A - MSW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Borrower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“Charge”: any fee, loss, charge, expense, cost, accrual or reserve of any kind (in each case, if applicable, as defined under GAAP). “Class”: (i) with respect to Commitments or Loans, those of such Commitments or Loans that have the same terms and conditions (without regard to differences in the Type of Loan, Interest Period, upfront fees, OID or similar fees paid or payable in connection with such Commitments or Loans, or differences in Tax treatment (e.g., “fungibility”)) and (ii) with respect to Lenders, those of such Lenders that have Commitments or Loans of a particular Class. “Closing Base Case Model Assumptions”: as defined in Error! Reference source not found.. “Closing Date”: the date on which the conditions specified in Section 4.1 are satisfied (or waived). “Code”: the Internal Revenue Code of 1986, as amended. “Collateral”: all of the assets and property of the Borrower or any Guarantor, whether real, personal or mixed, securing or purported to secure any Obligations, other than Excluded Assets. “Collateral Agent”: as defined in the preamble hereto. “Commitment”: the commitment of a Lender to make Loans hereunder, and “Commitments” means such commitments of all Lenders in the aggregate. The initial amount of each Lender’s Initial Term Loan Commitment is set forth on Schedule 1.1A. The aggregate amount of the Initial Term Loan Commitments as of the Closing Date is $700,000,000. “Common Representative”: as defined in the Equal Priority Intercreditor Agreement. “Commonly Controlled Entity”: an entity, whether or not incorporated, that is under common control with the Borrower within the meaning of Section 4001(a)(14) of ERISA or is part of a group that includes the Borrower and that is treated as a single employer under Section 414(b), (c), (m) or (o) of the Code. “Communications”: collectively, any notice, demand, communication, information, document or other material provided by or on behalf of the Borrower pursuant to any Loan Document or the transactions contemplated therein which is distributed by the Administrative Agent or any Lender by means of electronic communications pursuant to Section 8.16, including through a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897275.26-LACSR02A - MSW “Completion Date” means the date upon which all of the conditions set forth in Section 4.4 have been either satisfied, or, in each case, waived by the Required Lenders. “Compliance Certificate”: a certificate duly executed by a Responsible Officer of the Borrower, substantially in the form of Exhibit A. “Connection Income Taxes”: Other Connection Taxes that are imposed on or measured by net income (however denominated) or that are franchise Taxes or branch profits Taxes. “Consolidated EBITDA”: with respect to any Person for any Test Period, the sum of: (a) Consolidated Net Income of such Person for such period; plus (b) without duplication and, other than with respect to clauses (b)(vii), (xiii) and (xv) of this definition of “Consolidated EBITDA”, to the extent already deducted (and not added back) or not included in arriving at such Consolidated Net Income, the sum of the following amounts: (i) 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“Consolidated Interest Expense” pursuant to clauses (a) through (n) thereof; (ii) 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associated with any adjustment made pursuant to clauses (a) through (w) of the definition of “Consolidated Net Income”; (iii) (A) depreciation and (B) amortization (including capitalized fees and costs, including in respect of any Permitted Receivables Financing, and amortization of goodwill, software, internal labor costs, deferred financing fees or costs, original issue discount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 (iv) any non-cash Charge (provided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 (y) any non-cash Charge representing amortization of a prepaid cash item that was paid and not expensed in a prior period, except for non-cash Charges in respect of prepaid installation and construction Charges, shall be excluded);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897275.26-LACSR02A - MSW (v) (A) any Charge incurred as a result of, in connection with or pursuant to any management equity plan, profits interest or stock 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 incurred in connection with the rollover, acceleration or payout of Equity Interests held by directors, officers, managers and/or employees (or any Immediate Family Member thereof) of such Person or any of its Restricted Subsidiaries; (vi) [Reserved]; (vii) the aggregate amount of Consolidated Net Income for such period attributable to non-controlling interests and/or minority interests of third parties in any non-Wholly- Owned Subsidiary, excluding cash distributions in respect thereof to the extent already included in Consolidated Net Income; (viii) the amount of any contingent payments in connection with the licensing of intellectual property or other assets; (ix) [Reserved]; (x) the amount of fees, Charges, expense reimbursements and indemnities paid to directors; (xi) the amount of any Charge incurred or accrued in connection with sales of receivables and related assets in connection with any Permitted Receivables Financing; (xii)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and any other items of a similar nature; (xiii) adjustments permitted or required by Article 11 of Regulation S- X of the Securities Act; (xiv) expenses consisting of internal software development costs that are expensed during the period but could have been capitalized under alternative accounting policies in accordance with GAAP; and (xv) with respect to any joint venture that is not a Subsidiary of the Borrower or that is accounted for by the equity method of accounting, an amount equal to the proportion of those items described in clauses (i), (ii) and (iii) 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provided, that the aggregate amount added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897275.26-LACSR02A - MSW Consolidated EBITDA pursuant to this clause (xv), shall not exceed 5.0% of Consolidated EBITDA for such period (determined after giving effect to such adjustments); plus (c) 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plus (d) [reserved]; plus (e) (i) the aggregate amount of “run rate” income that would have been earned pursuant to Customer Contracts entered into on or prior to the last day of such period (net of actual income earned pursuant to such Customer Contracts during such period) as estimated by the Borrower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Borrower to be a reasonable good faith estimate of the actual volumes and costs associated with such Customer Contract, in each case for the 12 months after such Customer Contract has been entered into) during the entire Test Period, less (ii) any actual income earned under any Customer Contract that was cancelled or otherwise terminated in accordance with its terms during such period, or for which the Borrower has received notice that such cancellation or termination will occur; provided, that the aggregate amount added to Consolidated EBITDA pursuant to this clause (e) shall not exceed 20% of Consolidated EBITDA for such period (determined after giving effect to such adjustments); minus (f) without duplication, any amount that, in the determination of such Consolidated Net Income for such period, has been included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minus (g) without duplication, the amount of any cash payment made during such period in respect of any non-cash accrual, reserve or other non-cash Charge that is accounted for in a prior period and that was added to Consolidated Net Income of the Borrower to determine Consolidated EBITDA of the Borrower for such prior period and that does not otherwise reduce such Consolidated Net Income for the current period. Consolidated EBITDA of the Borrower and its Restricted Subsidiaries for any period shall be calculated on a pro forma basis. “Consolidated First Lien Debt”: as to any Person at any date of determination, the aggregate principal amount of Consolidated Total Debt of such Person outstanding on such date (a) that constitutes Obligations or Secured Notes Obligations or (b) that is secured by a Lien on the Collateral that does not rank junior to the Liens on the Collateral securing the Obligations. “Consolidated First Lien Debt Ratio”: the ratio, as of any date of determination, of (a) Consolidated First Lien Debt as of the last day of the Test Period then most recently ended on or prior to such date of determination to (b) Consolidated EBITDA for the Test Period then most recently ended on or prior to such date of determination, in each case of the Borrower and its Restricted Subsidiaries on a consolidated basis. “Consolidated Interest Expense”: cash interest expense (including that attributable to Financing Leases), net of cash interest income of the Borrower and the Restricted Subsidiaries with respect to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897275.26-LACSR02A - MSW outstanding Indebtedness of the Borrower and the Restricted Subsidiaries to the extent included in the calculation of Consolidated Total Debt, including all commissions, discounts and other cash fees and Charges owed with respect to letters of credit and bankers’ acceptance financing and net costs (less net cash payments in connection therewith) under Specified Hedge Agreements and any Restricted Payments on account of Disqualified Stock made pursuant to Section 6.1(b)(xiv), but in any event excluding, for the avoidance of doubt, (a) amortization of original issue discount resulting from the issuance of Indebtedness at less than par, amortization of deferred financing costs, amendment and consent fees, debt issuance costs, commissions, fees, expenses and discounted liabilities and any other amounts of non-cash 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 respect of Hedge Agreements for interest rates, (d) commissions, discounts, yield, make- whole premium and other fees and Charges (including any interest expense) incurred in connection with any Permitted Receivables Financing, (e) all non-recurring interest expense or “additional interest”, “special interest” or “liquidated damages” for failure to timely comply with registration rights obligations, (f) any interest expense attributable to the exercise of appraisal rights and the settlement of any claims or actions (whether actual, contingent or potential) with respect thereto and with respect to any acquisition or Investment, all as calculated on a consolidated basis in accordance with GAAP, (g) any payments with respect to make-whole premiums or other breakage costs of any Indebtedness, (h) penalties and interest relating to taxes, (i) accretion or accrual of discounted liabilities not constituting Indebtedness, (j) [Reserved], (k) any expense resulting from the discounting of Indebtedness in connection with the application of recapitalization or purchase accounting, (l) any expensing of bridge, arrangement, structuring, commitment or other financing fees or closing payments related to any transaction on or after the Issue Date or (m) any lease, rental or other expense, in connection with Non-Financing Lease Obligations. 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 “Consolidated Net Income”: with respect to any Person (the “Subject Person”) for any Test Period, an amount equal to the net income (loss), determined in accordance with GAAP, attributable to such Person and its Restricted Subsidiaries on a consolidated basis, but excluding (and excluding the effect of), without duplication: (a) (i)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 (b) [Reserved]; (c) any gain or Charge from (A) any extraordinary or exceptional items and/or (B) any non-recurring or unusual item (including any non-recurring or unusual accruals or reserves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897275.26-LACSR02A - MSW respect of any extraordinary, exceptional, non-recurring or unusual items) and/or (C) any Charge associated with and/or payment of any actual or prospective legal settlement, fine, judgment or order; (d) 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 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 moving costs and legal costs), any systems implementation Charge, any severance Charge, any Charge relating to entry into a new market, any Charge relating to any strategic 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employee benefit plan (including any settlement of pension liabilities and charges resulting from changes in estimates, valuations and judgments thereof), any software or other intellectual property development Charge, any Charge associated with new systems design, any implementation Charge, any startup Charge, any Charge in connection with new operations, any consulting Charge and/or any business development Charge; (e) Transaction Costs; (f) any Charge (including any transaction or retention bonus or similar payment or any amortization thereof for such period) incurred in connection with the consummation of any transaction (including any such transaction consummated prior to the Closing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 (g) the amount of any Charge that is actually reimbursed (or reimbursable by one or more third parties pursuant to indemnification or reimbursement provisions or similar agreements or insurance); provided 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 (h) any net gain or Charge (less all fees and expenses chargeable thereto) with respect to (i) any disposed, abandoned, divested and/or discontinued asset, property or operation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897275.26-LACSR02A - MSW asset retirement costs, but other than (A) at the option of the Borrower,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 (i) any net income or Charge that is established, adjusted and/or incurred, as applicable, and attributable to the early extinguishment of Indebtedness, any Hedge Agreement or other derivative instrument (including deferred financing costs written off and premiums paid); (j) any Charge that is established, adjusted or incurred, as applicable, within 12 months of the closing of any acquisition or other Investment, in each case, in accordance with GAAP (including any adjustment of estimated payouts on existing earn-outs) or changes as a result of the adoption or modification of accounting policies during such period; (k) (i)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Borrower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Borrower to apply IFRS or other accounting changes) and any costs, charges, losses, fees or expenses in connection with the implementation or tracking of such changes or modifications; (l) (i)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Agreement (including expenses relating to distributions made to equity holders of such Person resulting from the application of FASB Accounting Standards Codification Topic 718); (m) amortization of intangible assets; (n) any impairment charge or asset write-off or write-down (including related to intangible assets (including goodwill), long-lived assets, leased right of use assets and investments in debt and equity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897275.26-LACSR02A - MSW (o) solely for the purpose of determining the amount available under clause (2)(B) of Section 6.1(a),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 (A) any restriction that has been waived or otherwise released, (B) any restriction set forth in this Agreement, similar restrictions (or other customary restrictions, as determined in good faith by the Borrower) set forth in any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Lenders than the encumbrances and restrictions contained in this Agreement or other Indebtedness contemplated by the preceding clause (B) (as determined by the Borrower in good faith)); it being understood and agreed that Consolidated Net Income will be increased by the amount of any payments made in cash (or converted into cash) or in Cash Equivalents to the Borrower or any Restricted Subsidiary (other than the Restricted Subsidiary that is subject to the relevant restriction) in respect of any such income; (p) (i)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 (q) any deferred tax expense associated with any tax deduction or net operating loss arising as a result of the Transactions, or the release of any valuation allowance related to any such item; (r) any reserves, accruals or non-cash Charges related to adjustments to historical tax exposures, including social security, federal unemployment, state unemployment and state disability taxes deducted in the calculation of net income during such period (provided, in each case, that the cash payment in respect thereof in such future period shall be subtracted from Consolidated Net Income for the period in which such cash payment was made); (s) any accruals or obligations accrued related to workers’ compensation programs to the extent that expenses deducted in the calculation of net income exceed the net amounts paid in cash related to workers’ compensation programs in that period; (t) any net income or Charge attributable to deferred compensation plans; (u) income or expense related to changes in the fair value of contingent liability in connection with earn-out obligations, purchase price adjustments and similar liabilities in connection with any acquisition or Investment; (v) any non-cash interest expense or non-cash interest income, in each case, to the extent that there is no associated cash disbursement or receipt;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897275.26-LACSR02A - MSW (w) effects of adjustments to accruals and reserves during a period relating to any change in the methodology of calculating reserves for returns, rebates and other chargebacks (including government program rebates). 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 charges that are covered by indemnification, insurance and other reimbursement provisions, including to the extent such insurance proceeds or reimbursement relate to events or periods occurring prior to the Issue Date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 For the purpose of clause (2)(B) of Section 6.1(a) only, there shall be excluded from Consolidated Net Income any income arising from the sale or other disposition of Restricted Investments, from repurchases or redemptions of Restricted Investments, from repayments of loans or advances that constituted Restricted Investments or from any dividends, repayments of loans or advances or other transfers of assets from Unrestricted Subsidiaries, in each case to the extent such amounts increase the amount of Restricted Payments permitted under such covenant pursuant to clause (2)(E), 2(F) or (2)(G) of Section 6.1(a). “Consolidated Secured Debt”: as to any Person at any date of determination, the aggregate principal amount of Consolidated Total Debt of such Person outstanding on such date that is secured by a Lien on the Collateral. “Consolidated Secured Debt Ratio”: the ratio, as of any date of determination, of (a) Consolidated Secured Debt as of the last day of the Test Period then most recently ended on or prior to such date of determination to (b) Consolidated EBITDA for the Test Period then most recently ended on or prior to such date of determination, in each case of the Borrower and its Restricted Subsidiaries on a consolidated basis. “Consolidated Total Assets”: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 “Consolidated Total Debt”: as to any Person at any date of determination, an amount equal to the sum of (1) the aggregate principal amount of all third party debt for borrowed money (including letter of credit drawings that have not been reimbursed within ten Business Days and the outstanding principal balance of all Indebtedness of such 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 obligations relating to Permitted Receivables Financings) and (2) the aggregate amount of all outstanding Disqualified Stock of such Person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 in accordance with GAAP (excluding, in any event, the effects of any discounting of Indebtedness resulting from the application of purchase or pushdown accounting in connection with any acquisition, Investment or other similar transaction); provided that “Consolidated Total Debt” shall be calculated (i) net of all unrestricted cash and Cash Equivalents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897275.26-LACSR02A - MSW such Person and its Restricted Subsidiaries at such date of determination and (ii) to exclude any obligation, liability or indebtedness of such Person if, upon or prior to the maturity thereof, such Person has irrevocably deposited with the proper Person in trust or escrow the necessary funds (or evidence of indebtedness) for the payment, 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Debt shall be required to be determined pursuant to this Agreement, and if such price is based upon, or measured by, the Fair Market Value of such Disqualified Stock or Preferred Stock, such Fair Market Value shall be determined in good faith by the Board of Directors or senior management of such Person. “Consolidated Total Debt Ratio”: the ratio, as of any date of determination, of (a) Consolidated Total Debt outstanding as of the last day of the Test Period then most recently ended on or prior to such date of determination to (b) Consolidated EBITDA for the Test Period then most recently ended on or prior to such date of determination, in each case of the Borrower and its Restricted Subsidiaries on a consolidated basis. “Construction Budget and Schedule”: (a) the budget and schedule delivered pursuant to Schedule 5.12. “Contingent Obligations”: with respect to any Person, any obligation of such Person guaranteeing any leases, dividends or other obligations that do not constitute Indebtedness (the “primary obligation”) of any other Person (the “primary obligor”) in any manner, whether directly or indirectly,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 “Contractual Obligation”: as to any Person, any provision of any security issued by such Person or of any agreement, instrument or other undertaking to which such Person is a party or by which it or any of its Property is bound. “Control”: as defined in the definition of Affiliate. “Control Agreement”: an account control agreement (or similar agreement), in form and substance reasonably acceptable to the Collateral Agent, executed by the applicable Loan Party, the Collateral Agent and the relevant bank, securities intermediary or commodity intermediary, as applicable, party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897275.26-LACSR02A - MSW “Control Investment Affiliate”: as to any Person, any other Person that (a) directly or indirectly, is in control of, is controlled by, or is under common control with, such Person and (b) exists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 “Controlling Authorized Representative”: as defined in the Equal Priority Intercreditor Agreement. “Conversion/Continuation Date”: the effective date of a continuation or conversion, as the case may be, as set forth in the applicable Conversion/Continuation Notice. “Conversion/Continuation Notice”: a Conversion/Continuation Notice substantially in the form of Exhibit E-2. “Corresponding Tenor”: with respect to any Available Tenor means, as applicable, either a tenor (including overnight) or an interest payment period having approximately the same length (disregarding business day adjustment) as such Available Tenor. “Covered Entity”: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“Credit Party”: the Administrative Agent, the Collateral Agent, and each Lender. “Customer Contracts”: contracts entered into by the Borrower or any of its Restricted Subsidiaries for the sale, lease and/or other provision of products, goods and services by the Borrower or any such Restricted Subsidiary. “Daily Simple SOFR”: for any day, SOFR, with the conventions for this rate (which may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“date of determination”: the applicable date of determination for the specified ratio, amount or percentage. “Debt Service Reserve Account”: as defined in Section 5.14(a). “Debt Service Reserve Amount”: as of any date of determination on and after the Completion Date, an amount equal to the amount of scheduled interest in respect of the Term Loans reasonably anticipated by the Borrower to be due and payable for the next six months (assuming that no Default or Event of Default will occur during such period) based on the reasonable good faith projections of the Borrower. “Debt to Total Capitalization Ratio”: as of any date of determination for the Borrower and the Restricted Subsidiaries, the ratio of (x) Consolidated Total Debt to (y) the greater of (i) total capitalization calculated in accordance with GAAP and (ii) total capitalization calculated based on then-current stock trading price of the Borrower. “Declined Proceeds”: as defined in Section 2.10(b)(vi).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897275.26-LACSR02A - MSW “Default”: any event that is, or after notice or lapse of time or both would become, an Event of Default; provided that any Default that results solely from the taking of an action that would have been permitted but for the continuation of a previous Default will be deemed to be cured if such previous Default is cured prior to becoming an Event of Default. “Default Right”: has the meaning assigned to that term in, and shall be interpreted in accordance with, 12 C.F.R. §§ 252.81, 47.2 or 382.1, as applicable. “Defaulting Lender”: any Lender that: (a) has failed, within two Business Days of the date required to be funded or paid, (i) to fund any portion of its Loans or (ii)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a Credit Party made in good faith to provide a certification in writing from an authorized officer of such Lender that it will comply with its obligations to fund prospective Loans, provided that such Lender shall cease to be a Defaulting Lender pursuant to this clause (c) upon such Credit Party’s receipt of such certification in form and substance satisfactory to it and the Administrative Agent, or (d) has, or has a direct or indirect parent company that has, become the subject of a Bankruptcy Event or Bail-In Action. Any determination by the Administrative Agent that a Lender is a Defaulting Lender under any one or more of clauses (a) through (d) above shall be conclusive and binding absent manifest error, and such Lender shall be deemed to be a Defaulting Lender (subject to Section 2.20) upon delivery of written notice of such determination to the Borrower each other Lender. “Deferred Revenue”: at any date, the amount set forth opposite the caption “deferred revenue” (or any like caption or included in any other caption, including current and non-current designations) on a consolidated balance sheet at such date; provided that such balance shall be determined excluding the effects of acquisition method accounting. “Deposit Account”: a demand, time, savings, passbook or like account with a bank, excluding, for the avoidance of doubt, any investment property (within the meaning of the UCC) or any account evidenced by an instrument (within the meaning of the UCC). “Derivative Transaction”: (a) any interest rate transaction, including any interest rate swap, basis swap, forward rate agreement, interest rate option (including a cap, collar or floor), and any other instrument linked to interest rates that gives rise to similar credit risks (including when-issued securities and forward deposits accepted), (b) any exchange rate transaction, including any cross currency interest rate swap, any forward foreign exchange contract, any currency option, and any other instrument linked to exchange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897275.26-LACSR02A - MSW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provided that no phantom stock or similar plan providing for payments only on account of services provided by current or former directors, officers, employees, members of management, managers, members, partners, independent contractors or consultants of the Borrower or its Subsidiaries shall constitute a Derivative Transaction. “Designated Non-Cash Consideration”: the Fair Market Value of non-cash consideration received by the Borrower or a Restricted Subsidiary in connection with an Asset Sale that is designated as Designated Non-Cash Consideration pursuant to an Officer’s Certificate, setting forth the basis of such valuation (which amount shall be reduced by the amount of cash or Cash Equivalents received in connection with a subsequent sale or conversion of such Designated Non-Cash Consideration to cash or Cash Equivalents). A particular item of Designated Non-Cash Consideration will no longer be considered to be outstanding when and to the extent it has been paid, redeemed or otherwise retired or sold or otherwise disposed of in exchange for, in each case, cash or Cash Equivalents in compliance with Section 6.4. “Designated Preferred Stock”: Preferred Stock of the Borrower (other than Disqualified Stock) that is issued for cash (other than to the Borrower or a Restricted Subsidiary or an employee stock ownership plan or trust established by the Borrower or any of its Subsidiaries) and is so designated as Designated Preferred Stock, the cash proceeds of which shall be excluded from the calculation set forth in clause (2) of Section 6.1(a). “Designs”: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 “Disposition”: as defined in the definition of Asset Sale. “Disqualified Institutions”: (i) such Persons that have been specified in writing to the Arrangers on February 28, 2024 as being “Disqualified Institutions”, (ii) any Person who is a bona fide competitor of the Borrower or its Subsidiaries identified in writing to the Arrangers on February 28, 2024, as such list of bona fide competitors may be updated by the Borrower (by furnishing such updates to the Administrative Agent) from time to time hereafter or (iii) any affiliate of any Person identified in clause (i) or (ii) that is (a) identified in writing by the Borrower from time to time or (b) clearly identifiable as an Affiliate solely on the basis of the similarity of its name (other than bona fide debt funds that purchase commercial loans in the ordinary course of business, other than such debt funds excluded pursuant to clause (i) or (ii) of this paragraph). “Disqualified Stock”: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after the Stated Maturity Date of the Revolving Credit Agreement at the time such Capital Stock is issued (it being understood that if any such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897275.26-LACSR02A - MSW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after the Stated Maturity Date of the Revolving Credit Agreement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Stated Maturity Date of the Revolving Credit Agreement at the time such Capital Stock is issued (it being understood that if any such repurchase obligation is in part, only such part coming into effect prior to the date that is 91 days following the Stated Maturity Date of the Revolving Credit Agreement shall constitute Disqualified Stock) or (d) provides for the scheduled payments of dividends in cash on or prior to the date that is 91 days following the Stated Maturity Date of the Revolving Credit Agreement at the time such Capital Stock is issued; provided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 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Borrower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Borrower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“Division”: the division of the assets, liabilities and/or obligations of a Person (the “Dividing Person”)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 “Dollars” and “$”: dollars in lawful currency of the United States of America. “Domestic Subsidiary”: any Restricted Subsidiary (other than a Foreign Subsidiary) that is organized or existing under the laws of the United States, any state thereof or the District of Columbia. “Drawing Amount”: as of the date of determination with respect to a DSR Letter of Credit, the maximum amount that could then be drawn under such DSR Letter of Credit. “Drawstop Equity Contribution”: an equity contribution made by the Borrower at any time on or after the Closing Date; provided that (x) at the time of such equity contribution one or more conditions precedent required by any of Section 4.2 or 4.3 shall not be satisfied and (y) the proceeds of such equity contribution are applied to pay Project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897275.26-LACSR02A - MSW “DSR Letter of Credit”: as defined in Section 5.14(d). “DSRA Deficiency” : as defined in Section 5.14(c). “EEA Financial Institution”: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 “EEA Member Country”: (a) any of the member states of the European Union, (b) Iceland, (c) Liechtenstein and (d) Norway. “EEA Resolution Authority”: any public administrative authority or any Person entrusted with public administrative authority of any EEA Member Country (including any delegee) having responsibility for the resolution of any EEA Financial Institution. “Elected Amount”: as set forth in Section 1.7(h). “Electronic Signature”: an electronic sound, symbol, or process attached to, or associated with, a contract or other record and adopted by a person with the intent to sign, authenticate or accept such contract or record. “Environment”: ambient air, indoor air, surface water, drinking water, groundwater, land surface, subsurface strata, sediments and natural resources such as wetlands, flora and fauna. “Environmental &amp; Social Consultant”: Environmental Resources Management or another nationally recognized environmental and social consultant selected by the Administrative Agent and reasonably acceptable to the Borrower. “Environmental Claim”: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the presence, Release of, or exposure to, any Hazardous Materials; or (c) in connection with any actual or alleged damage, injury, threat, or harm to the Environment. “Environmental Laws”: any and all Laws regulating, relating to or imposing liability or standards of conduct concerning pollution, protection or regulation of the Environment or human health or safety in connection with exposure to Hazardous Materials, as has been, is now, or may at any time hereafter be, in effect and including the common law insofar as it relates to any of the foregoing. “Environmental Permits”: any and all Permits required under, or issued pursuant to, any Environmental Law and including the common law insofar as it relates to any of the foregoing. “EPC Contracts”: as defined in Schedule 1.1B. “Equal Lien Priority”: with respect to specified Indebtedness, such Indebtedness is secured by a Lien that is equal in priority to the Liens on specified Collateral (but without regard to control of remedies) (whether FLNG2 Collateral, Non-Super Priority Collateral, or all Collateral, as the context may require) and is subject to the Equal Priority Intercreditor Agreement (or such other intercreditor agreement having substantially similar terms as the Equal Priority Intercreditor Agreement,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897275.26-LACSR02A - MSW “Equal Priority Collateral Agent”: the Equal Priority Representative for the holders of the Equal Priority Obligations. “Equal Priority ICA Joinder Agreement”: that certain Other Equal Priority Joinder Agreement No. 5, dated the date hereof, to the Equal Priority Intercreditor Agreement by the Collateral Agent and acknowledged by U.S. Bank Trust Company, National Association, as 2025 Notes Collateral Agent, U.S. Bank Trust Company, National Association, as 2026 Notes Collateral Agent, U.S. Bank Trust Company, National Association, as Initial Common Representative, MUFG Bank, Ltd., as the Credit Facility Agent, Natixis, New York Branch, as “Additional Equal Priority Agent” and “Authorized Representative” for the “Other Equal Priority Obligations” designated as such by the Borrower in the Other Equal Priority Joinder Agreement No. 1 dated as of July 16, 2021, Morgan Stanley Senior Funding, Inc., as “Additional Equal Priority Agent” and “Authorized Representative” for the “Other Equal Priority Obligations” designated as such by the Borrower in the Other Equal Priority Joinder Agreement No. 3 dated as of October 30, 2023, and U.S. Bank Trust Company, National Association, as “Additional Equal Priority Agent” and “Authorized Representative” for the “Other Equal Priority Obligations” designated as such by the Borrower in the Other Equal Priority Joinder Agreement No. 4 dated as of March 8, 2024, and each Loan Party. “Equal Priority Intercreditor Agreement”: that certain intercreditor agreement with respect to the Collateral, dated as of April 12, 2021, among U.S. Bank Trust Company, National Association (as successor in interest to U.S. Bank National Association), as 2025 Notes Collateral Agent, U.S. Bank Trust Company, National Association (as successor in interest to U.S. Bank National Association), as 2026 Notes Collateral Agent, U.S. Bank Trust Company, National Association (as successor in interest to U.S. Bank National Association), as Initial Common Representative, the Credit Facility Agent, each Additional Common Representative from time to time party thereto, and each additional Authorized Representative (including the Collateral Agent) from time to time party thereto, and acknowledged by each Loan Party. “Equal Priority Obligations”: collectively, (1) the obligations incurred pursuant to the Revolving Credit Agreement, (2) the 2025 Secured Notes Obligations, (3) the 2026 Secured Notes Obligations and (4) each Series of Additional Equal Priority Obligations (including the Obligations, the obligations under the LC Facility, the obligations incurred pursuant to the TLB Credit Agreement and the 2029 Secured Notes Obligations). “Equal Priority Representative”: any “Authorized Representative” as defined in the Equal Priority Intercreditor Agreement. “Equal Priority Secured Parties”: collectively, (1) the 2025 Secured Notes Secured Parties, (2) the 2026 Secured Notes Secured Parties, (3) the secured parties under the Revolving Credit Agreement and (4) any Additional Equal Priority Secured Parties (including the Secured Parties, the secured parties under the LC Facility, the secured parties under the TLB Credit Agreement and the 2029 Secured Notes Secured Parties). “Equator Principles” shall mean the principles entitled “The Equator Principles – A financial industry benchmark for determining, assessing and managing environmental and social risk in projects” adopted by various financing institutions in the form dated July 2020 and available at: https://equator- principles.com/wp-content/uploads/2021/02/The-Equator-Principles-July-2020.pdf. “Equator Principles Action Plan” means the action plan, dated May 2, 2024, approved by the Lenders prior to the Closing Date, as amended from time to time by the Environmental &amp; Social Consultant (in consultation with the Borrower) and any replacement action plan provided in accordance with the Equator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897275.26-LACSR02A - MSW “Equity Interests”: Capital Stock and all warrants, options or other rights to acquire Capital Stock, but excluding any debt security that is convertible into, or exchangeable for, Capital Stock. “ERISA”: the Employee Retirement Income Security Act of 1974. “EU Bail-In Legislation Schedule”: the EU Bail-In Legislation Schedule published by the Loan Market Association (or any successor Person), as in effect from time to time. “Event of Default”: any of the events or conditions specified in Section 7.1(a); provided that any requirement for the giving of notice, the lapse of time, or both, has been satisfied. “Excess Cash Flow” for any fiscal year of the FLNG2 Subsidiaries: (a) the sum, without duplication, of the amounts for such period of (i) FLNG2 Consolidated Net Income, (ii) the amount of all non-cash charges (including depreciation and amortization) deducted in arriving at such FLNG2 Consolidated Net Income, (iii) reductions to noncash working capital for such period and expenses reducing (or excluded from) the calculation of FLNG2 Consolidated Net Income for such period with respect to amounts deducted in any prior calculation of Excess Cash Flow and (iv) the amount deducted as tax expense in determining FLNG2 Consolidated Net Income to the extent in excess of cash taxes paid in such period, and minus: (b) the sum, without duplication of the amounts for such period of: (i) all non-cash credits included in arriving at such FLNG2 Consolidated Net Income; (ii) scheduled repayments and prepayments and repurchases of the Loans; (iii) capital expenditures paid in cash by the FLNG2 Subsidiaries during the applicable Excess Cash Flow period which are not prohibited under this Agreement (net of (x) any proceeds of any related debt incurred by the FLNG2 Subsidiaries to fund such expenditures and (y) any equity issuance proceeds that would not be included in FLNG2 Consolidated Net Income and that are used to fund such expenditures); (iv) Consolidated Interest Expense of the FLNG2 Subsidiaries paid in cash by the FLNG2 Subsidiaries during the applicable Excess Cash Flow period; (v) Taxes based on income or gross margins of the FLNG2 Subsidiaries payable in cash with respect to such period and profits or capital and franchise Taxes; (vi) cash payments by the FLNG2 Subsidiaries during such period in respect of long-term liabilities of the FLNG2 Subsidiaries other than Indebtedness; (vii) the amount related to items that were added to or not deducted from net income in calculating FLNG2 Consolidated Net Income to the extent such items represented a cash payment by any FLNG2 Subsidiary or did not represent cash received by any FLNG2 Subsidiary, on a consolidated basis during such period, (x) customary fees, expenses or charges paid in cash by any FLNG2 Subsidiary related to any Permitted Investments and Asset Sales completed by the FLNG2 Subsidiaries permitted under Section 6.4 hereof made during such fiscal quarter;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897275.26-LACSR02A - MSW (viii) any premium paid in cash by any FLNG2 Subsidiary during such period in connection with the prepayment, redemption, purchase, defeasance or other satisfaction prior to scheduled maturity of Indebtedness permitted to be prepaid, redeemed, purchased, defeased or satisfied hereunder. “Excess Cash Flow Period”: each fiscal quarter of the FLNG2 Subsidiaries commencing with and including the first full fiscal quarter after the Completion Date. “Exchange Act”: the Securities Exchange Act of 1934, and the rules and regulations of the SEC promulgated thereunder. “Excluded Account”: (i) any accounts that are designated solely as accounts for, and are used solely for, employee benefits or taxes, (ii) any accounts that are designated solely as accounts for, and are used solely for, payroll funding obligations and (iii) any escrow account, trust or other fiduciary account solely used for purposes of transactions that are permitted under this Agreement, in each case, only to the extent that such amounts deposited in such accounts are used solely for such purposes listed above; provided that, notwithstanding the foregoing, in no event shall the Project Costs Reserve Account or the Debt Service Reserve Account constitute an “Excluded Account”. “Excluded Assets”: the following: (a) any asset the grant of a security interest in which would (i) be prohibited by any enforceable anti-assignment provision set forth in any contract relating to such asset that is permitted or otherwise not prohibited by the terms of this Agreement, (ii) violate the terms of any contract relating to such asset that is permitted or otherwise not prohibited by the terms of this Agreement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Agreement pursuant to any “change of control” or similar provision; it being understood that (A) the term “Excluded Asset” shall not include proceeds or receivables arising out of any contract described in this clause (a) to the extent that the assignment of such proceeds or receivables is expressly deemed to be effective under the UCC or any other applicable Requirements of Law notwithstanding the relevant prohibition, violation or termination right, (B) the exclusions referenced in clauses (i), (ii) and (iii) above shall not apply to the extent that the relevant contract expressly permits the grant of a security interest in all or substantially all of the assets of the Borrower or any Guarantor and (C) the exclusion set forth in this clause (a) shall only apply if the contractual prohibitions or contractual provisions that would be so violated or that would trigger any such termination, right or modification under clauses (i), (ii) or (iii) above (x) existed on the Closing Date (or in the case of any contract of a Subsidiary that is acquired following the Closing Date, as of the date of such acquisition) and were not entered into in contemplation of the Closing Date (or such acquisition) and (y) cannot be waived unilaterally by the Borrower or any of its Wholly-Owned Subsidiaries; (b) the Equity Interests of any (A) Captive Insurance Subsidiary, (B) Unrestricted Subsidiary, (C) not-for-profit or special purpose Subsidiary, (D) Receivables Subsidiary, (E) Qualified Liquefaction Development Entity or (F) Immaterial Subsidiary (other than NFE Shannon Holdings Limited); provided that no Equity Interests of any FLNG2 Subsidiary shall be Excluded Assets; (c) any intent-to-use (or similar) trademark application prior to the filing and acceptance of a “Statement of Use” or “Amendment to Allege Use” notice and/or filing with respect thereto; (d) any asset, the grant of a security interest in which would (i) require any governmental consent, approval, license, permit or authorization (collectively, “Governmental Consents”)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897275.26-LACSR02A - MSW that has not been obtained (provided that, in the case of any Project Leasehold or Concession, such FLNG2 Subsidiary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(i) or clause (ii) to the extent that the assignment of such proceeds or receivables is expressly deemed to be effective under the UCC or any other applicable Requirements of Law notwithstanding the relevant requirement or prohibition or (iii) result in material adverse tax consequences to the Borrower or any of its direct or indirect Subsidiaries as reasonably determined by the Borrower, including as a result of the operation of Section 956 of the Code; (e) (i) any leasehold real property interests (other than the port lease in San Juan, Puerto Rico or the leasehold interest relating to the LNG storage and regasification facility at the Port of Montego Bay, Jamaica) or concessions (other than any Project Leasehold or Concession to the extent any required Governmental Consents have been obtained therefor); provided that the leasehold of property located at 6800 NW 72nd Street, Miami, Florida shall no longer be Excluded Assets if it is held by a Loan Party on September 30, 2024, and (ii) any fee owned real property that is not a Material Real Estate Asset or that is located in a “special flood zone” (and no landlord lien waivers, estoppels or collateral access letters shall be required to be delivered); (f) any interest in any partnership, joint venture or non-Wholly-Owned Subsidiary that cannot be pledged without (i) the consent of one or more third parties other than the Borrower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Agreement that may be exercised by any third party other than the Borrower or any of its Restricted Subsidiaries in accordance with the Organizational Documents (and/or shareholders’ or similar agreement) of such partnership, joint venture or non-Wholly-Owned Subsidiary; (g) (i) motor vehicles, tankers, marine vessels, ISO containers and other assets subject to certificates of title, other than any tankers or other marine vessels with a value (as reasonably estimated by the Borrower) in excess of $40.0 million, (ii) letter-of-credit rights not constituting supporting obligations of other Collateral and (iii) commercial tort claims with a value (as reasonably estimated by the Borrower) of less than $40.0 million, except, in each case of the foregoing clauses (i)-(iii), to the extent a security interest therein can be perfected solely by the filing of a UCC financing statement; (h) any margin stock; (i) any cash or Cash Equivalents, Deposit Account, commodities account or securities account (including securities entitlements and related assets) or Excluded Accounts; provided that none of the following shall be an “Excluded Asset”: (i) cash, Cash Equivalents or Deposit Accounts (other than Excluded Accounts) of the FLNG2 Subsidiaries, including the Debt Service Reserve Account and any Project Costs Reserve Account, and (ii) any cash and Cash Equivalents representing the proceeds of assets otherwise constituting Collateral; (j) any lease, license or other agreement or contract or any asset subject thereto (including pursuant to a purchase money security interest, Financing Lease or similar arrangement) that is, in each case, not prohibited by the terms of this Agreement to the extent that the grant of a security interest therein would violate or invalidate such lease, license or agreement or contract or purchase money, Financing Lease or similar arrangement or trigger a right of termination in favor of any other party thereto (other than the Borrower or any of its Restricted Subsidiaries) after giving effect to the applicable anti-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897275.26-LACSR02A - MSW assignment provisions of the UCC or any other applicable Requirements of Law; it being understood that the term “Excluded Asset” shall not include any proceeds or receivables arising out of any asset described in this clause (j) to the extent that the assignment of such proceeds or receivables is expressly deemed to be effective under the UCC or any other applicable Requirements of Law notwithstanding the relevant requirement or prohibition; (k) any asset with respect to which the Borrower and the Collateral Agent has reasonably agreed that the cost, burden, difficulty or consequence (including any effect on the ability of the Borrower or any Guarantor to conduct its operations and business in the ordinary course of business) of obtaining or perfecting a security interest therein outweighs the benefit of a security interest to the Secured Parties of the security afforded thereby, which determination is evidenced in writing; (l) receivables and related assets (or interests therein) (i) disposed of to any Receivables Subsidiary in connection with a Permitted Receivables Financing or (ii) otherwise pledged, factored, transferred or sold in connection with any Permitted Receivables Financing; (m) 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Borrower’s or any Guarantor’s ability to utilize such license, permit franchise, charter or authorization in the conduct of its business in the ordinary course; and (n) any FLNG1 Asset (as defined in the TLB Credit Agreement as of the date hereof) and any Reinvested Asset (as defined in the TLB Credit Agreement as of the date hereof); provided that no asset that would otherwise be FLNG2 Collateral shall be an “Excluded Asset” except if such asset (other than Equity Interests of any FLNG2 Subsidiary) is excluded under clauses (a), (d), (j), (k) or (m) of “Excluded Assets” above. “Excluded Contribution”: the aggregate amount of cash or Cash Equivalents or the Fair Market Value of other assets received by the Borrower or any of its Restricted Subsidiaries after the Issue Date from: (a) contributions in respect of Qualified Capital Stock of the Borrower or any of its Restricted Subsidiaries (other than any amounts received from the Borrower or any of its Restricted Subsidiaries), (b) the sale of Qualified Capital Stock of the Borrower (other than (i) to any Restricted Subsidiary of the Borrower, (ii) pursuant to any management equity plan or stock option plan or any other management or employee benefit plan, (iii) with the proceeds of any loan or advance made pursuant to clause (h)(i) of the definition of “Permitted Investments” or (iv) Designated Preferred Stock), including any addition to capital as a result of any consolidation, merger or similar transaction with the Borrower or any Restricted Subsidiary, to the extent designated as an Excluded Contribution and the proceeds of which have not been applied in reliance on clause (2) of Section 6.1(a) or to make a Restricted Payment pursuant to Section 6.1(b)(ii)(2) or 6.1(b)(xxix)(1), and (c) dividends, distributions, other Returns, fees and other payments from any Unrestricted Subsidiaries or joint ventures or Investments in entities that are not Restricted Subsidiaries. “Existing Indentures”: collectively, the 2025 Notes Indenture, the 2026 Notes Indenture and the 2029 Notes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897275.26-LACSR02A - MSW “Existing Note Guarantees”: collectively, the 2025 Note Guarantees, the 2026 Notes Guarantees and the 2029 Note Guarantees. “Existing Notes”: collectively, the 2025 Notes, the 2026 Notes and the 2029 Notes. “Existing Term Loan Tranche”: has the meaning provided in Section 2.21(a). “Extended Term Loans”: has the meaning provided in Section 2.21(a). “Extending Term Lender”: has the meaning provided in Section 2.21(b). “Extension”: the establishment of an Extension Series by amending a Commitment or Loan pursuant to Section 2.21 and the applicable Extension Amendment. “Extension Amendment”: has the meaning provided in Section 2.21(c). “Extension Election”: has the meaning provided in Section 2.21(b). “Extension Minimum Condition”: a condition to consummating any Extension that a minimum amount (to be determined and specified in the relevant Term Loan Extension Request, in the Borrower’s sole discretion) of any or all applicable Classes be submitted for Extension. “Extraordinary MPD Payments”: collectively, Performance Liquidated Damages and Material Project Document Termination Payments. “Facility”: (a) the Initial Term Loan Facility or (b) any other given Class of Term Loans. “Fair Market Value”: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Borrower, which determination will be conclusive (unless otherwise provided in this Agreement). “FASB”: the Financial Accounting Standards Board of the American Institute of Certified Public Accountants. “FATCA”: as defined in Section 2.17(a). “FCPA”: as defined in Section 3.22(b). “Federal Funds Rate”: for any day, the rate per annum equal to the weighted average of the rates on overnight Federal funds transactions with members of the Federal Reserve System, as published by the Federal Reserve Bank of New York on the Business Day next succeeding such day; provided,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the Administrative Agent on such day on such transactions as determined by the Administrative Agent. “Financing Lease”: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897275.26-LACSR02A - MSW time any determination thereof is to be made, the amount of the liability in respect of a financing or capital lease would be the amount required to be reflected as a liability on such balance sheet (excluding the footnotes thereto) in accordance with GAAP. “First Initial Term Loan Funding Date”: as defined in Section 4.2(a). “First LNG”: the first date on which the custody transfer meter located on the Pioneer II Rig records a transfer of liquified natural gas from the production facility to the floating storage unit moored alongside the production facility, as confirmed by the Independent Engineer. “Fitch”: Fitch Ratings or any of its successors or assigns that is a nationally recognized statistical rating organization within the meaning of Rule 3(a)(62) under the Exchange Act. “Fixed Amount”: as defined in Section 1.7(c). “Fixed Charge Coverage Ratio”: as of any date of determination, the ratio of (a) Consolidated EBITDA for the Test Period then most recently ended on or prior to such date of determination to (b) Fixed Charges for the Test Period then most recently ended on or prior to such date of determination, in each case of the Borrower and its Restricted Subsidiaries on a consolidated basis. “Fixed Charges”: as to the Borrower and its Restricted Subsidiaries at any date of determination, on a consolidated basis, for any period, the sum of (without duplication): (1) Consolidated Interest Expense for such period; (2) all cash dividends or other distributions paid (excluding items eliminated in consolidation) on any series of Preferred Stock of the Borrower and its Restricted Subsidiaries made during such period; and (3) all cash dividends or other distributions paid (excluding items eliminated in consolidation) on any series of Disqualified Stock of the Borrower and its Restricted Subsidiaries made during such period. “FLNG2 Affected Property” shall mean, with respect to any FLNG2 Assets, the property of the FLNG2 Subsidiaries which has been lost, destroyed, materially damaged (other than ordinary wear and tear), condemned or taken. “FLNG2 Assets”: the natural gas liquefaction assets (including all real and personal property rights, Material Project Documents, Permits, the onshore interconnection pipeline and proceeds of any insurance policies insuring such assets, but excluding any other pipeline) that are owned by the FLNG2 Subsidiaries and collectively comprise the natural gas liquefaction facility referred to by the Borrower as “FLNG2”. “FLNG2 Collateral”: the FLNG2 Assets, Reinvested Assets and the Equity Interests of any FLNG2 Subsidiary and any proceeds arising out of the sale or disposition of such assets including, for the avoidance of doubt, any proceeds of insurance insuring such assets, other than Excluded Assets as set forth in the proviso in the definition of Excluded Assets. “FLNG2 Consolidated Net Income”: with respect to the FLNG2 Subsidiaries for any Test Period, an amount equal to the Consolidated Net Income of the FLNG2 Subsidiaries solely to the extent generated by the FLNG2 Subsidiaries from the FLNG2 Assets. “FLNG2 Subsidiaries”: (i) NFE FLNG2 LLC, a Delaware limited liability company and the direct or indirect parent of each other FLNG2 Subsidiary, (ii) Mexico FLNG Onshore S. de R.L. de C.V.,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897275.26-LACSR02A - MSW sociedad de responsabilidad limitada de capital variable organized under the laws of Mexico, which owns the onshore interconnection pipeline, (iii) NFE Altamira Onshore, S. de R.L. de C.V., a sociedad de responsabilidad limitada de capital variable as organized under the laws of Mexico which leases the natural gas liquefaction assets from NFE FLNG2 LLC and (iv) any other Restricted Subsidiary of the Borrower that has a direct ownership interest in the Project, any FLNG2 Assets or Reinvested Assets. “Floor”: the benchmark rate floor (which may be zero), if any, provided for in this Agreement with respect to Term SOFR or any Benchmark Replacement as determined for any Class of Loans. The Floor shall be 0.00% per annum with respect to the Initial Term Loans. “Foreign Disposition”: as defined in Section 2.10(b)(vii). “Foreign Employee Benefit Plan”: any employee benefit plan as defined in Section 3(3) of ERISA which is maintained or contributed to for the benefit of the employees of the Borrower and its Subsidiaries, but which is not covered by ERISA pursuant to ERISA Section 4(b)(4). “Foreign Lender”: as defined in Section 2.17(g). “Foreign Recovery Event”: as defined in Section 2.10(b)(vii). “Foreign Subsidiary”: any Restricted Subsidiary that is not organized under the laws of the United States of America, any state thereof or the District of Columbia and any Restricted Subsidiary of such Foreign Subsidiary. “Fortress”: Fortress Investment Group LLC. “Funding Notice”: a notice substantially in the form of Exhibit E-1. “GAAP”: at the election of the Borrower, (i) the accounting standards and interpretations adopted by the International Accounting Standards Board, as in effect from time to time (“IFRS”) if the Borrower’s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provided that (a)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Agreement that requires the application of GAAP across multiple quarters need not be calculated or determined using the same accounting standard for each constituent quarter. 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897275.26-LACSR02A - MSW be excluded from the calculation of Consolidated Net Income or Consolidated EBITDA, respectively, until such disposition shall have been consummated. “Gearing Ratio”: means, as of any date of determination for the FLNG2 Subsidiaries, the ratio (expressed as a percentage) of (x) outstanding amounts of Term Loans on such date (assuming the Term Loans were incurred by the FLNG2 Subsidiaries) to (y) Total Capital. “Governmental Authority”: any federal, state, provincial, municipal, national or other government, governmental department, commission, board, bureau, authority, court, central bank, agency, regulatory body or instrumentality or political subdivision thereof or any entity, officer or examiner exercising executive, legislative, judicial, regulatory or administrative functions of or pertaining to any government or any court, in each case whether associated with a state of the United States, the United States, or a foreign entity or government (including any supranational bodies such as the European Union or the European Central Bank). “Granting Lender”: as defined in Section 9.6(o). “Guarantee”: the guarantee by any Guarantor of the Obligations. “Guarantor”: each Domestic Subsidiary of the Borrower that executes this Agreement as a guarantor on the Closing Date and each other Subsidiary of the Borrower that thereafter guarantees the Obligations in accordance with the terms of this Agreement (but excluding any Person released from its obligations hereunder pursuant to Section 9.20) including the FLNG2 Subsidiaries. “Guarantor Obligations”: all obligations and liabilities of each Guarantor (including interest, fees and expenses after the filing of any petition in bankruptcy (or which, but for the filing of such petition, would be accruing), or the commencement of any insolvency, reorganization, examinership or like proceeding, relating to such Guarantor, whether or not a claim for post-filing or post-petition interests, fees or expenses is allowed or allowable in such proceeding) which arise under or in connection with this Agreement or any other Loan Document, in each case whether on account of principal, interest, guarantee obligations, reimbursement obligations, fees, indemnities, costs, expenses or otherwise. “Hazardous Materials”: any material, substance, chemical, or waste (or combination thereof) that (a) is listed, defined, designated, regulated or classified as hazardous, toxic, radioactive, dangerous, a pollutant, a contaminant, or words of similar meaning or effect under any Environmental Law; or (b) can form the basis of any liability under any Environmental Law, including any Environmental Law relating to petroleum, petroleum products, asbestos, urea formaldehyde, radioactive materials, polychlorinated biphenyls and toxic mold. “Hedge Agreement”: (a) any agreement with respect to any Derivative Transaction between the Borrower,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“Hedging Obligations”: the obligations of the Borrower, any Guarantor or any Restricted Subsidiary under any Hedge Agreement. “IBA”: as defined in Section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897275.26-LACSR02A - MSW “IFRS”: as defined in the definition of GAAP. “Illegality Notice”: as defined in Section 2.15(b). “Immaterial FLNG2 Maintenance Transactions”: any Disposition of property that is (i) surplus, obsolete, damaged, worn out property or other property that is (x) no longer used or useful in the business, subject to the replacement of any damaged or worn out assets with working assets or (y) otherwise economically impracticable to maintain, in each case in the ordinary course of business, or (ii) subject to a casualty, eminent domain, expropriation, condemnation proceedings or other involuntary loss, damage or destruction of property, so long as, in the case of the foregoing clauses (i) or (ii), such Disposition does not have any material adverse impact to the aggregate value of the FLNG2 Assets or Reinvested Assets and will not impair the operation of the FLNG2 Assets or Reinvested Assets. “Immaterial Subsidiary”: as of any date of determination, any Restricted Subsidiary of the Borrower (other than the FLNG2 Subsidiaries) (a) the assets of which (on a standalone basis, when combined with the assets of such Restricted Subsidiary’s subsidiaries attributable to such Restricted Subsidiary’s economic interest therein) do not exceed 3.0% of Consolidated Total Assets of the Borrower as of the last day of the Test Period then most recently ended on or prior to such date of determination and (b) the contribution to Consolidated EBITDA of which (on a standalone basis, when combined with the contribution to Consolidated EBITDA of such Restricted Subsidiary’s subsidiaries, after intercompany eliminations) does not exceed 3.0% of the Consolidated EBITDA for the most recently ended Test Period on or prior to such date of determination. “Immediate Family Member”: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 “Increased Amount”: as defined in Section 6.6(c). “Increased Cost Lender”: as defined in Section 2.19. “Incurrence-Based Amounts”: as defined in Section 1.7(c). “Indebtedness” as applied to any Person means, without duplication: (a) all indebtedness for borrowed money; (b) all obligations with respect to Financing Leases; (c) all obligations of such Person evidenced by bonds, debentures, notes or similar instruments; (d) any obligation of such Person to pay the deferred purchase price of property or services (excluding (i) any earn-out obligation, purchase price adjustment or similar obligation, unless such obligation has not been paid within 60 days after becoming due and payable and becomes a liability on the balance sheet of such Person in accordance with GAAP and (ii) any such obligations incurred ERISA), which purchase price is (A) due more than 365 days from the date of incurrence of the obligation in respect thereof or (B) evidenced by a note or similar written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897275.26-LACSR02A - MSW (e) all Indebtedness of others that is secured by any Lien on any asset owned or held by such Person regardless of whether the Indebtedness secured thereby has been assumed by such Person or is non-recourse to the credit of such Person provided that the amount of Indebtedness of any Person for purposes of this clause (e) shall be deemed to be equal to the lesser of (A) the aggregate unpaid amount of such Indebtedness and (B) the Fair Market Value of the property encumbered thereby; (f) letters of credit or bankers’ acceptances issued for the account of such Person or as to which such Person is otherwise liable for reimbursement of drawings; (g) the guarantee by such Person of the Indebtedness of another, other than by endorsement of negotiable instruments for collection in the ordinary course of business; provided that the amount of Indebtedness of any Person for purposes of this clause (g) shall be deemed to be equal to the lesser of (i) the aggregate unpaid amount of such Indebtedness and (ii) in the case of Indebtedness that is non-recourse to the credit of the Borrower or a Restricted Subsidiary, the Fair Market Value of the property encumbered thereby; (h) all obligations of such Person in respect of any Disqualified Stock; and (i) 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“Specified Hedge Agreement”); provided that in no event shall any obligation under any Derivative Transaction be deemed “Indebtedness” for any calculation of the Consolidated Total Debt Ratio, Consolidated First Lien Debt Ratio, Consolidated Secured Debt Ratio, Fixed Charge Coverage Ratio or any other financial ratio under this Agreement; in each case, to the extent the same would appear as a liability on a balance sheet (excluding the footnotes thereto) of such Person prepared in accordance with GAAP. 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provided 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Agreement as a result of accounting for any embedded derivatives created by the terms of such Indebtedness (it being understood that any such amounts that would have constituted Indebtedness under this Agreement but for the application of this proviso shall not be deemed an incurrence of Indebtedness under this Agreement)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 that would have constituted Indebtedness under this Agreement but for the application of this sentence shall not be deemed to be an incurrence of Indebtedness under this Agreement). For all purposes hereof, the Indebtedness of the Borrower and its Restricted Subsidiaries shall exclude (i) intercompany liabilities arising from cash management and accounting operations and intercompany loans, advances or Indebtedness among the Borrower and its Restricted Subsidiaries having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897275.26-LACSR02A - MSW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Borrower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 line leases, operating leases or Sale and Lease-Back Transactions (except to the extent resulting in a Financing Lease), any leases or rentals of equipment related to exploration, production and commercialization activities, including without limitation, leases or rentals of or related to drilling rigs, pipelines, supply boats and LNG carriers, FPSO (floating production storage and offloading) facilities, WHPs (wellhead platforms), TLWPs (tension leg wellhead platforms) and any other equipment or other assets, provided that such leases or rentals do not include a bargain purchase option, (xi) customary obligations under employment agreements and deferred compensation arrangements, (xii) Contingent Obligations, (xiii) obligations under any license, permit or other approval (or guarantees given in respect of such obligations) incurred prior to the Closing Date or in the ordinary course of business, consistent with past practice or consistent with industry norm, (xiv) any liability for taxes and (xv) any land and port concessions. “Indemnified Liabilities”: as defined in Section 9.5(a) hereto. “Indemnitee”: as defined in Section 9.5(a) hereto. “Independent Engineer”: Black &amp; Veatch LLP, or another nationally recognized engineering consultant selected by the Administrative Agent and reasonably acceptable to the Borrower. “Independent Financial Advisor”: an accounting, appraisal or investment banking firm or consultant of nationally recognized standing. “Information”: as defined in Section 9.14 hereto. “Initial Lenders”: each of Morgan Stanley Senior Funding, Inc., Natixis, New York Branch, JPMorgan Chase Bank, N.A., MUFG Bank Ltd. and Banco Santander, S.A., New York Branch. “Initial Term Loan Commitment”: (a) as to any Lender, that portion of such Lender’s Commitment with respect to the Initial Term Loans, as such amount may be reduced at any time or from time to time pursuant to the terms hereof, and (b) as to all Lenders, the aggregate portion of Commitments of all Lenders to make Initial Term Loans. The aggregate amount of the Initial Term Loan Commitment of all Lenders as of the Closing Date is $700,000,000.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897275.26-LACSR02A - MSW “Initial Term Loan Commitment Termination Date” means the earliest of (i) June 30, 2026, (ii) the Completion Date or (iii) the date on which the aggregate Initial Term Loan Commitments have been reduced to $0 or terminated in full. “Initial Term Loan Funding Date” means, with respect to any Initial Term Loan, the Business Day on which such Initial Term Loan is borrowed. “Initial Term Loan Facility”: as defined in the recitals hereto. “Initial Term Loans”: the term loans made by the Lenders to the Borrower on any Initial Term Loan Funding Date pursuant to Section 2.1(a). “Insolvency”: with respect to any Multiemployer Plan, the condition that such “plan” is insolvent within the meaning of Section 4245 of ERISA. “Intercreditor Agreements”: any Equal Priority Intercreditor Agreement and any Junior Priority Intercreditor Agreement. “Interest Payment Date”: with respect to (a) any Loan that is a Base Rate Loan, the last Business Day of March, June, September and December of each year, commencing on the first such date to occur after the Closing Date; and the final maturity date of such Loan; and (b) any Loan that is a SOFR Loan, the last day of each Interest Period applicable to such Loan and the final maturity of such Loan; provided that, in the case of each Interest Period of longer than three months, “Interest Payment Date” shall also include each date that is three months, or an integral multiple thereof, after the commencement of such Interest Period. “Interest Period”: in connection with a SOFR Borrowing, the period commencing on the date of such Borrowing and ending on the numerically corresponding day in the calendar month that is one, three or six months thereafter (in each case, subject to the availability of the Term SOFR applicable to the relevant Loan), as selected by the Borrower in the applicable Funding Notice or Conversion/Continuation Notice, (a) initially, commencing on the Closing Date or Conversion/Continuation Date thereof, as the case may be; and (b) thereafter, commencing on the day on which the immediately preceding Interest Period expires; provided,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clause (iii) of this definition, end on the last Business Day of a calendar month; (iii) no Interest Period with respect to any portion of Loans shall extend beyond the Maturity Date and (iv) no tenor that has been removed from this definition pursuant to Section 2.12(d) shall be available for specification in such Funding Notice or Conversion/Continuation Notice. “International LNG Terminal Standards”: to the extent not inconsistent with the express requirements of this Agreement, the international standards and practices applicable to the design, construction, equipment, operation or maintenance of LNG liquefaction terminals, established by the following (such standards to apply in the following order of priority): (i) a Governmental Authority having jurisdiction over any of the FLNG2 Subsidiaries, (ii) the Society of International Gas Tanker and Terminal Operators (“SIGTTO”) and (iii) any other internationally recognized non-governmental agency or organization with whose standards and practices it is customary for Reasonable and Prudent Operators of LNG liquefaction terminals to comply. In the event of a conflict between any of the priorities noted above, the priority with the lowest roman numeral noted above shall prevail.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897275.26-LACSR02A - MSW “International LNG Vessel Standards”: to the extent not inconsistent with the express requirements of this Agreement, the international standards and practices applicable to the ownership, design, equipment, operation or maintenance of LNG vessels established by: (i) the International Maritime Organization, (ii) the Oil Companies International Marine Forum, (iii) SIGTTO (or any successor body of the same), (iv) the International Navigation Association, (v) the International Association of Classification Societies, and (vi) any other internationally recognized agency or non-governmental organization with whose standards and practices it is customary for Reasonable and Prudent Operators of LNG vessels to comply. In the event of a conflict between any of the priorities noted above, the priority with the lowest Roman numeral noted above shall prevail. “Investment”: (a) any purchase or other acquisition by the Borrower or any of its Restricted Subsidiaries of any of the securities of any other Person (other than the Borrower or any Guarantor), (b) the acquisition by purchase or otherwise (other than any purchase or other acquisition of inventory, materials, supplies and/or equipment in the 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Borrower or any Restricted Subsidiary for moving, entertainment and travel expenses, drawing accounts and similar expenditures, in each case in the ordinary course of business, consistent with practice or consistent with industry norm of the Borrower and/or its Subsidiaries) by the Borrower or any of its Restricted Subsidiaries to any other Person. The amount of any Investment outstanding at any time shall be the original cost of such Investment (determined, in the case of an Investment made with assets of the Borrower or any Restricted Subsidiary, based on the net book value of the assets invested), minus any payments actually received by such investor representing a Return in respect of such Investment (without duplication of amounts increasing clause (2) of Section 6.1(a)), but without any other adjustment for increases or decreases in value of, or write-ups, write-downs or write-offs with respect to, such Investment after the date of such Investment. If the Borrower or any Restricted Subsidiary issues, sells or otherwise disposes of any Capital Stock of a Person that is a Restricted Subsidiary such that, after giving effect thereto, such Person is no longer a Restricted Subsidiary, any Investment by the Borrower or any Restricted Subsidiary in such Person remaining after giving effect thereto shall not be deemed to be an Investment at such time. “Investment Grade Assets”: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 that invests at least 90.0% of its assets in investments of the type described in the foregoing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 “Investment Grade Rating”: a rating equal to or higher than Baa3 (or the equivalent) by Moody’s and BBB- (or the equivalent) by S&amp;P or Fitch or the equivalent investment grade credit rating from any other nationally recognized rating agency. “IP Rights”: a license or right to use all rights in Designs, patents, trademarks, domain names, copyrights, software, Trade Secrets and all other intellectual property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897275.26-LACSR02A - MSW “IRS”: the U.S. Internal Revenue Service. “Issue Date”: September 2, 2020. “Joinder Agreement” a Joinder Agreement, substantially in the form of Exhibit G, duly executed by a Subsidiary made a party hereto pursuant to Section 5.10(a). “Judgment Currency”: as defined in Section 9.17(b) hereto. “Junior Lien Priority”: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 “Junior Priority Collateral Agent”: the Junior Priority Representative for the holders of any Junior Priority Obligations. “Junior Priority Intercreditor Agreement”: an intercreditor agreement with respect to the Collateral, entered into by, among others, the Collateral Agent, the applicable Junior Priority Collateral Agent(s) and, if applicable, any other Equal Priority Collateral Agent(s), having substantially the same terms as those described in the “Description of Notes—Security for the Notes—Junior Priority Intercreditor Agreement” section of the Offering Memorandum and other usual or customary terms reasonably acceptable to the Collateral Agent. “Junior Priority Obligations”: the obligations with respect to any Indebtedness having Junior Lien Priority relative to the Obligations; provided that such Lien is permitted to be incurred under this Agreement, and provided further, that the holders of such Indebtedness or their Junior Priority Representative shall become party to a Junior Priority Intercreditor Agreement. “Junior Priority Representative”: any duly authorized representative of any holders of Junior Priority Obligations, which representative is named as such in a Junior Priority Intercreditor Agreement or any joinder thereto. “Kiewit Contract”: as defined in Schedule 1.1B. “Latest Maturity Date”: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in each case as extended in accordance with this Agreement from time to time. “Law”: all international, foreign, Federal, state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any Governmental Authority. “LC Facility”: that certain Uncommitted Line of Credit and Reimbursement Agreement, dated as of July 16, 2021, among New Fortress Energy Inc., as the borrower, the guarantors from time to time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897275.26-LACSR02A - MSW thereto, the lenders and issuing banks from time to time party thereto, and Natixis, New York Branch, as administrative agent and collateral agent. “LCT Election”: as defined in Section 1.6(a). “LCT Test Date”: as defined in Section 1.6(a). “Lender Parent”: with respect to any Lender, any Person as to which such Lender is, directly or indirectly, a subsidiary. “Lenders”: the Persons listed on Schedule 1.1A and any other Person that shall have become a party hereto pursuant to an Assignment and Acceptance, other than any such Person that shall have ceased to be a party hereto pursuant to an Assignment and Acceptance; provided, however, that Section 9.5 shall continue to apply to each such Person that ceases to be a party hereto pursuant to an Assignment and Acceptance as if such Person is a “Lender”. “Lien”: any mortgage, pledge, hypothecation, assignment,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provided that in no event shall a Non-Financing Lease Obligation be deemed to constitute a Lien. “Limited Condition Transaction”: any acquisition or Investment, including by way of merger, amalgamation, consolidation, Division or similar transaction, not prohibited by this Agreement, in each case whose consummation is not conditioned on the availability of, or on obtaining, third party financing. “Liquefaction Development Entity”: (i) any Subsidiary of the Borrower, the principal operations of which are the construction, development, financing or operation of liquefaction facilities and (ii) one or more holding companies, the primary purpose of which is to hold the capital stock of any such entity, either directly or indirectly. “LNG”: natural gas in its liquid state at or below its boiling point at or near atmospheric pressure. “Loan Documents”: this Agreement, the Security Documents and, the Loan Notes. “Loan Note”: a promissory note substantially in the form of Exhibit C. “Loan Parties”: the collective reference to the Borrower and each Guarantor. “Loans”: the extensions of credit made by the Lenders to the Borrower hereunder in the form of Term Loans. “Management Investors”: the current, former or future officers, directors, managers and employees (and any Immediate Family Members of the foregoing) of the Borrower or any of its Subsidiaries who are or who become direct or indirect investors in the Borrower. “Material Adverse Effect”: any circumstances or conditions that would have a material adverse effect on (a) the ability of the Borrower to perform its payment obligations under this Agreement or any other Loan Document, (b) the rights or remedies of the Secured Parties under this Agreement or any other Loan Document or (c) the business, assets, properties, liabilities or financial condition of the Loan Parties,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897275.26-LACSR02A - MSW “Material Intellectual Property” means any Intellectual Property owned by the Borrower or any Restricted Subsidiary that is material to the business of the Borrower and its Restricted Subsidiaries, taken as a whole. “Material Project Counterparty” means each Person (other than the Borrower, any other Loan Party, any Agent, any Lender or any of their respective Affiliates) from time to time party to any Material Project Document. “Material Project Document”: (i) each agreement set forth on Schedule 1.1B, (ii) each Replacement Material Project Document, (iii) each performance security, letters of credit and guarantees required to be delivered under any Material Project Document, (iv) any terminal services agreement, or storage services agreement to be entered into by an FLNG2 Subsidiary with any other Person in connection with the Project, (v) any material leasehold real property agreement or other material real property agreement entered into by an FLNG2 Subsidiary with any other Person in connection with Project, and (vi) and any other contract or agreement in respect of the Project entered into by an FLNG2 Subsidiary with any other Person subsequent to the Closing Date that the Administrative Agent and the Borrower agree in writing to designate as a “Material Project Document”; provided that the Administrative Agent may consult with the Independent Engineer in making such designation. “Material Project Document Modification”: as defined in Section 6.13. “Material Project Document Termination Payments”: all payments that are actually paid to or for the account of any Loan Party by a Material Project Counterparty as a result of the termination of any Material Project Document. “Material Real Estate Asset”: any “fee-owned” real estate asset owned by a Loan Party on the Closing Date, acquired by a Loan Party after the Closing Date or owned by any Person at the time such Person becomes a Loan Party, in each case, having a Fair Market Value in excess of $25.0 million as of the date of acquisition thereof (or the date of substantial completion of any material improvement thereon or new construction thereof) or if the owning entity becomes a Loan Party after the Closing Date, as of the date such Person becomes a Loan Party. “Maturity Date”: (i) with respect to the Initial Term Loans, the earliest of: (a) the third anniversary of the Closing Date (such date, the “Stated Maturity Date”), (b) 60 days prior to the maturity date of the 2025 Notes if the Refinance Conditions have not been satisfied with respect to the 2025 Notes as of such date, (c) 60 days prior to the maturity date of the 2026 Notes if the Refinance Conditions have not been satisfied with respect to the 2026 Notes as of such date, and (d) the date on which the Loans become due and payable in full hereunder (whether by acceleration or otherwise) and (ii) with respect to any Class of Extended Term Loans, the final maturity date as specified in the applicable Term Loan Extension Request accepted by the respective Lender or Lenders; provided that if such date is not a Business Day, then the applicable Maturity Date shall be the immediately preceding Business Day. “Maximum Rate”: as defined in Section 9.25. “Moody’s”: Moody’s Investors Service, Inc. or any of its successors or assigns that is a nationally recognized statistical rating organization within the meaning of Rule 3(a)(62) under the Exchange Act. “Mortgage”: any mortgage, deed of trust or other similar agreement made by a Loan Party in favor of the Collateral Agent or any Common Representative, for the benefit of the Collateral Agent and the Secured Parties, on any Material Real Estate Asset constituting Collateral, which shall be in form reasonably satisfactory to the Collateral Agent and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897275.26-LACSR02A - MSW “MSA”: as defined in Schedule 1.1B. “MSSF”: Morgan Stanley Senior Funding, Inc. “Multiemployer Plan”: a plan that is a multiemployer plan as defined in Section 4001(a)(3) of ERISA with respect to which the Borrower or any Commonly Controlled Entity has an obligation to make contributions or has any actual or contingent liability. “Net Proceeds”: (a) 100% of the cash proceeds actually received by the Borrower or any of its Restricted Subsidiaries (including any cash payments received by way of deferred payment of principal pursuant to a note or installment receivable or purchase price adjustment receivable or otherwise and including casualty insurance settlements (excluding any settlement received in connection with a business interruption insurance policy) and condemnation awards, but in each case only as and when received) from any Asset Sale or Recovery Event,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the principal amount of any Indebtedness that is secured by a Lien (other than Indebtedness under the Loan Documents and other than Indebtedness secured by Liens that rank pari passu with or are subordinated to the Liens securing the Obligations) on the asset subject to such Asset Sale or Recovery Event and that is required to be repaid in connection with such Asset Sale or Recovery Event, together with any applicable premium, penalty, interest and breakage costs, (iii) in the case of any Asset Sale, or Recovery Event by a non-wholly owned Restricted Subsidiary, the pro rata portion of the Net Proceeds thereof (calculated without regard to this clause (iii)) attributable to minority interests and not available for distribution to or for the account of the Borrower or a Wholly-Owned Restricted Subsidiary of the Borrower as a result thereof, (iv) Taxes paid or reasonably estimated to be payable by the Borrower or any of its Restricted Subsidiaries or beneficial owners, directly or indirectly, as a result thereof, and (v) the amount of any reasonable reserve established in accordance with GAAP against any adjustment to the sale price or any liabilities (x) related to any of the applicable assets and (y) retained by the Borrower or any of its Restricted Subsidiaries including, without limitation, pension and other post-employment benefit liabilities and liabilities related to environmental matters or against any indemnification obligations (provided, however, the amount of any subsequent reduction of such reserve (other than in connection with a payment in respect of any such liability) shall be deemed to be Net Proceeds of such Asset Sale or Recover Event occurring on the date of such reduction); provided that, at the option of the Borrower, the Borrower or any of its Restricted Subsidiaries may use (or enter into an agreement to use) all or any portion of such proceeds to acquire, maintain, develop, construct, improve, upgrade or repair assets useful in the business of the Borrower or any of its Restricted Subsidiaries or to make acquisitions not prohibited hereunder, in each case within 12 months of such Asset Sale or Recovery Event, and such proceeds shall not constitute Net Proceeds except to the extent not, within 12 months of such Asset Sale or Recovery Event, so used or contractually committed to be so used (and then reinvested within 18 months of such Asset Sale or Recovery Event) (it being understood that if any portion of such proceeds are not so used within such 12-month period (or such 18-month period, as applicable) but within such 12-month period (or such 18-month period, as applicable) are contractually committed to be used, then if such Net Proceeds are not so used within 180 days from the end of such 12-month period (or such 18-month period, as applicable), then such remaining portion shall constitute Net Proceeds as of the date of such termination or expiry without giving effect to this proviso); provided further, that, other than with respect to the FLNG2 Assets, no proceeds shall constitute Net Proceeds unless the aggregate net proceeds exceed $50,000,000 in any fiscal year for all Asset Sales or Recovery Events (and thereafter only net cash proceeds in excess of such amount shall constitute Net Proceeds under this clause (a)); provided further, with respect to any Recovery Event in respect of any FLNG2 Affected Property, (I) the Borrower shall notify the Administrative Agent as soon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897275.26-LACSR02A - MSW as reasonably practicable after becoming aware of such Recovery Event, (II) in the event that the net cash proceeds received by the Borrower or any Restricted Subsidiary in respect of such Recovery Event (A) is greater than $10.0 million and less than or equal to $25.0 million and (B) was actually paid to the Borrower or any Restricted Subsidiary pursuant to an insurance policy) the Borrower shall (x) as soon as reasonably practicable and in any event within 60 days of receiving such net cash proceeds submit a Restoration Notice to the Administrative Agent (and, if the Borrower does not so submit such Restoration Notice, such net cash proceeds shall become “Net Proceeds” to the extent provided in this definition), and (y) following the submission of any such Restoration Notice, use reasonable efforts to complete the Restoration Action contemplated by such Restoration Notice, (III) in the event that the net cash proceeds received by the Borrower or any Restricted Subsidiary in respect of such Recovery Event (A) is greater than $25.0 million and (B) was actually paid to the Borrower or any Restricted Subsidiary pursuant to an insurance policy) the Borrower shall (x) as soon as reasonably practicable and in any event within 90 days of receiving such net cash proceeds Borrower shall submit a Restoration Plan to the Administrative Agent (and, if the Borrower does not so submit such Restoration Plan, such net cash proceeds shall become “Net Proceeds” to the extent provided in this definition), and within a further 10 days after submission to the Administrative Agent, the Borrower shall have delivered a certificate to the Administrative Agent to the effect that the Borrower’s Restoration Plan is prudent and sound and the net cash proceeds received by the Borrower in respect of such Recovery Event is sufficient (together with all other monies reasonably expected to be available to the Borrower or FLNG2 Subsidiary), in the reasonable opinion of the Independent Engineer, for such Restoration Action contemplated by the Restoration Plan, and attaching a copy of a certificate from the Independent Engineer confirming the same and (y) following the submission of any such Restoration Plan, use commercially reasonable efforts to complete the Restoration Action contemplated by such Restoration Plan, and (IV) any assets rebuilt, restored or acquired in connection with such Restoration Action shall be pledged to secure the Super Priority Obligations and shall not secure any other obligations; provided further, with respect to any cash proceeds actually received by the Borrower or any of its Restricted Subsidiaries (including any cash payments received by way of deferred payment of principal pursuant to a note or installment receivable or purchase price adjustment receivable or otherwise and including casualty insurance settlements (excluding any settlement received in connection with a business interruption insurance policy) and condemnation awards, but in each case only as and when received) from any Asset Sale or Recovery Event related to the FLNG2 Collateral and not otherwise reinvested as set forth above, none of the items described in clauses (i) through (v) in this paragraph shall apply for purposes of calculating Net Proceeds for such Asset Sale or Recovery Event; (b) 100% of the cash proceeds from the incurrence, issuance or sale by the Borrower or any of its Restricted Subsidiaries of any Indebtedness, net of all Taxes paid or reasonably estimated to be payable by the Borrower or any of its Restricted Subsidiaries or any beneficial owner, directly or indirectly, as a result thereof and fees (including investment banking fees, underwriting fees and discounts), commissions, costs and other expenses, in each case incurred by the Borrower or any of its Restricted Subsidiaries in connection with such issuance or sale; and (c) in respect of any Extraordinary MPD Payments, the aggregate amount of payments received by the Borrower or any of its Restricted Subsidiaries in respect of such payments, net of (i) all reasonable and documented out-of-pocket costs and expenses (if any) and, if applicable, reasonable transaction costs (including reasonable legal and accounting fees and expenses), incurred, invoiced or required by contract to be paid by the Borrower or any of its Restricted Subsidiaries in connection with the collection of such proceeds; (ii) federal, state, provincial, foreign and local Taxes (other than any income taxes) reasonably estimated to be actually payable by the Borrower or any of its Restricted Subsidiaries within the current or the immediately succeeding tax year in connection therewith to the extent such amounts were not deducted in determining the amount of such proceeds; (iii) any amounts associated with unwinding of any related Hedge Agreement; and (iv) with respect to any Material Project Document Termination Payment, amounts thereof applied (A) to make payments under any Replacement Material Project Document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897275.26-LACSR02A - MSW termination of the Material Project Document that gave rise to such Material Project Document Termination Payment or (B) to the drafting, negotiation or implementation of any Replacement Material Project Document; provided that, subject to clauses (I) – (IV) below, at the option of the Borrower, the FLNG2 Subsidiaries may use (or enter into an agreement to use) all or any portion of such proceeds to acquire, maintain, develop, construct, improve, upgrade or repair assets useful in the business of the FLNG2 Subsidiaries or to make acquisitions not prohibited hereunder (such use, an “Extraordinary MPD Payment Reinvestment”), and such proceeds shall not constitute Net Proceeds except to the extent that such proceeds are not, within 12 months of receipt of such Extraordinary MPD Payments, so used or contractually committed to be so used (it being understood that if any portion of such proceeds are not so used within such 12-month period but within such 12-month period are contractually committed to be used, then if such Net Proceeds are not so used within 180 days from the end of such 12-month period, then such remaining portion shall constitute Net Proceeds as of the date of expiry of such 180-day period without giving effect to this proviso), so long as (I) the Borrower shall notify the Administrative Agent as soon as reasonably practicable after becoming aware of the receipt of any such proceeds of Extraordinary MPD Payments, (II) in the event that such proceeds are greater than $10.0 million and less than or equal to $25.0 million, the Borrower shall (x) as soon as reasonably practicable and in any event within 60 days of receiving such proceeds, submit a written notice to the Administrative Agent certifying that the Borrower or an FLNG2 Subsidiary intends to make an Extraordinary MPD Payment Reinvestment and that, as of the date of delivery of such notice, the Borrower reasonably believes sufficient funds are or will be available to it or the applicable FLNG2 Subsidiary such that such Extraordinary MPD Payment Reinvestment can be completed with funds available to it or the applicable FLNG2 Subsidiary and (y) following the submission of any such notice, use commercially reasonable efforts to complete the Extraordinary MPD Payment Reinvestment contemplated thereby, (III) in the event that such proceeds are greater than $25.0 million, the Borrower shall (x) as soon as reasonably practicable and in any event within 90 days of receiving such proceeds, submit a reasonably detailed plan (an “Extraordinary MPD Payment Reinvestment Plan”) to the Administrative Agent describing the proposed plan, time schedule, contractual arrangements, and projected capital expenses for such Extraordinary MPD Payment Reinvestment (and, if the Borrower does not so submit such Extraordinary MPD Payment Reinvestment Plan, such net cash proceeds shall become “Net Proceeds” to the extent provided in this definition), and within a further 10 days after submission to the Administrative Agent, the Borrower shall have delivered a certificate to the Administrative Agent to the effect that the Borrower’s Extraordinary MPD Payment Reinvestment Plan is prudent and sound and the proceeds of the subject Extraordinary MPD Payments are sufficient (together with all other monies reasonably expected to be available to the Borrower or FLNG2 Subsidiary), in the reasonable opinion of the Independent Engineer, and attaching a copy of a certificate from the Independent Engineer confirming the same, for such Extraordinary MPD Payment Reinvestment contemplated by the Extraordinary MPD Payment Reinvestment Plan and (y) following the submission of any such Extraordinary MPD Payment Reinvestment Plan, use commercially reasonable efforts to complete the Extraordinary MPD Payment Reinvestment contemplated thereby, and (IV) any assets rebuilt, restored or acquired in connection with such Extraordinary MPD Payment Reinvestment shall be pledged to secure the Super Priority Obligations and shall not secure any other obligations. “Net Short Lender”: as defined in Section 9.26. “NFE Offtake Agreement”: has the meaning assigned to such term on Schedule 1.1B. “Non-Consenting Lender”: as defined in Section 2.19. “Non-Defaulting Lender”: at any time, any Lender that is not a Defaulting Lender at such time. “Non-Excluded Taxes”: as defined in Section 2.17(a).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897275.26-LACSR02A - MSW “Non-Financing Lease Obligation”: a lease obligation that is not required to be accounted for as a financing or capital lease on both the balance sheet and the income statement for financial reporting purposes in accordance with GAAP. For avoidance of doubt, a straight line or operating lease shall be considered a Non-Financing Lease Obligation. “Non-Public Information”: material non-public information (within the meaning of United States federal, state or other applicable securities laws) with respect to the Borrower and its Subsidiaries or their securities. “Non-Super Priority Collateral”: the Collateral other than the FLNG2 Collateral. “Notice”: a Funding Notice or a Conversion/Continuation Notice. “Obligations”: the collective reference to (a) the Borrower Obligations and (b) the Guarantor Obligations. “Offering Memorandum”: the Offering Memorandum dated August 19, 2020 relating to the offering of the 2025 Notes and as in effect on the Closing Date. “Officer’s Certificate”: a certificate signed on behalf of the Borrower by a Responsible Officer of the Borrower or on behalf of any other Person, as the case may be, that meets the requirements set forth in this Agreement. “OID”: original issue discount. “Organizational Documents”: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(v) in the case of any trust, the declaration of trust and trust agreement (or similar document) of such Person and (vi) in any other case, the functional equivalent of the foregoing. “Other Applicable Indebtedness”: as defined in Section 2.10(b)(ii). “Other Connection Taxes”: with respect to any Recipient, Taxes imposed as a result of a present or former connection between such Recipient and the jurisdiction imposing such Tax (other than any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any and all present or future stamp, court or documentary, intangible, recording, filing or similar Taxes arising from any payment made hereunder or under any other Loan Document or from the execution, delivery, performance, enforcement or registration of, or otherwise with respect to, any Loan Document (and any interest, additions to Tax or penalties applicable thereto), except any such Taxes that are Other Connection Taxes imposed as a result of an assignment by a Recipient (other than an assignment made pursuant to Section 2.19). “Outstanding Amount”: with respect to any Lender at any time, the outstanding principal amount of such Lender’s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897275.26-LACSR02A - MSW “Participant”: as defined in Section 9.6(b). “Participant Register”: as defined in Section 9.6(b). “PATRIOT Act”: the Uniting and Strengthening America by Providing Appropriate Tools Required to Intercept and Obstruct Terrorism Act (Title III of Pub. L. 107-56 (signed into law October 26, 2001)). “PBGC”: the Pension Benefit Guaranty Corporation established pursuant to Subtitle A of Title IV of ERISA (or any successor). “Pension Plan”: a “pension plan,” as such term is defined in Section 3(2) of ERISA, which is subject to Title IV of ERISA (other than a Multiemployer Plan), and to which the Borrower may have liability, including any liability by reason of the Borrower’s (a) being jointly and severally liable for liabilities of any Commonly Controlled Entity in connection with such Pension Plan, (b) having been a substantial employer within the meaning of Section 4063 of ERISA at any time during the preceding five years, or (c) being deemed to be a contributing sponsor under Section 4069 of ERISA. “Performance Liquidated Damages”: any liquidated damages that are actually paid to or for the account of any Loan Party by a Material Project Counterparty for or on account of any diminution to the performance of the Project (in each case, other than delay liquidated damages or other damages or payments of the type meant to substitute, replace or compensate the applicable Loan Party for lost or otherwise foregone revenue). “Periodic Term SOFR Determination Day” has the meaning specified in the definition of “Term SOFR”. “Permit”: any permit, license, approval, consent, order, right, certificate, judgment, writ, injunction, award, determination, direction, decree, registration, notification, authorization, franchise, privilege, grant, waiver, exemption and other similar concession or bylaw, rule or regulation of, by or from any Governmental Authority. “Permitted Asset Swap”: the substantially concurrent purchase and sale or exchange, including as a deposit for future purchases, of Related Business Assets or a combination of Related Business Assets and cash or Cash Equivalents between the Borrower or any of its Restricted Subsidiaries and another Person. “Permitted Capital Expenditures”: Capital Expenditures incurred (a) for the purpose of permitting any FLNG2 Subsidiary or the Project to comply with applicable Law (including any Environmental Laws) and/or any Permit, (b) for the payment of Project Costs, including as required pursuant to the terms of the Material Project Documents and as contemplated by the then-current Construction Budget and Schedule or annual operating budget, as applicable, (c) as required to operate the Project in accordance with Prudent Industry Practices and (d) under emergency circumstances to resume or maintain operation of the Project in accordance with Prudent Industry Practice or to avoid imminent threat to human life or property; provided that in the case of clause (c) above, such Capital Expenditures shall not exceed $25,000,000 in aggregate within any twelve (12) month period. “Permitted Holders”: (a) any of Fortress, the Management Investors and their respective Affiliates, (b) any Person who is acting solely as an underwriter or initial purchaser in connection with a public or private offering of Equity Interests of the Borrower, acting in such capacity, and (c) any group (within the meaning of Section 13(d)(3) or Section 14(d)(2) of the Exchange Act) of which any of the foregoing are members and any member of such group; provided that, in the case of such group and any member of such group and without giving effect to the existence of such group or any other group, no Person or other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897275.26-LACSR02A - MSW (other than the Permitted Holders specified in clauses (a), (b) or (d) of this definition) owns, directly or indirectly, more than 50.0% of the total voting power of the Voting Stock of the Borrower held by such group. “Permitted Investments”: (a) cash or Investments that were Cash Equivalents or Investment Grade Assets at the time made; (b) (i) Investments existing on the Closing Date in the Borrower or in any Restricted Subsidiary or (ii) Investments made after the Closing Date in the Borrower and/or one or more Restricted Subsidiaries (including, in each case, guarantees of obligations of Restricted Subsidiaries); (c) 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Borrower or any Restricted Subsidiary; (d) Investments in joint ventures and Unrestricted Subsidiaries (with respect to each such Investment, as valued at Fair Market Value of such Investment at the time such Investment is made or, at the option of the Borrower, committed to be made); provided that the amount of such Investment (as so valued) shall not cause the aggregate amount of all such Investments made pursuant to this clause (d) and outstanding at the time of such Investment, after giving pro forma effect to such Investment, to exceed the greater of $320.0 million and 20.0% of Consolidated EBITDA for the Test Period then most recently ended on or prior to such date of determination of the Borrower and its Restricted Subsidiaries; provided, further however, that if any Investment pursuant to this clause (d) is made in any Person that is an Unrestricted Subsidiary at the date of the making of such Investment and such Person becomes a Restricted Subsidiary after such date, such Investment shall thereafter be deemed to have been made pursuant to clause (b) above and shall cease to have been made pursuant to this clause (d); (e) Any Investment by the Borrower or any of its Restricted Subsidiaries of all or substantially all of the assets of, or any business line, unit, division or product line (including research and development and related assets in respect of any product): (i) in any Person or the Equity Interests of any Person who is engaged in a Similar Business and becomes a Restricted Subsidiary (and, in any event, including by redesignation of an Unrestricted Subsidiary as a Restricted Subsidiary or by means of a Division); or (ii) 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Borrower or a Restricted Subsidiary, and, in each case, any Investment held by such Person; provided that such Investment was not acquired by such Person in contemplation of such acquisition, merger, amalgamation, Division, consolidation, transfer, conveyance or redesignation; (f) Investments (i) existing on, or contractually committed to or contemplated as of, the Closing Date and (ii) any modification, replacement, renewal or extension of any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897275.26-LACSR02A - MSW described in clause (i) above so long as no such modification, replacement, renewal or extension increases the amount of such Investment except by the terms thereof in effect on the Closing Date (including as a result of the accrual or accretion of interest or original issue discount or the issuance of pay-in-kind securities) or as otherwise not prohibited by this Agreement; (g) Investments (including earn-outs) received in lieu of cash in connection with an Asset Sale made pursuant to the provisions of Section 6.4 or any other disposition of assets not constituting an Asset Sale; (h) loans or advances to, or guarantees of Indebtedness of, present or former employees, directors, members of management, officers, managers, members, partners, consultants or independent contractors (or any Immediate Family Member of the foregoing) of the Borrower, its Subsidiaries and/or any joint venture (i) to the extent permitted by applicable Requirements of Law, in connection with such Person’s purchase of Equity Interests of the Borrower, so long as any cash proceeds of such loan or advance are substantially contemporaneously contributed to the Borrower for the purchase of such Equity Interests, (ii) for reasonable and customary business-related travel, entertainment, relocation and analogous ordinary business purposes and (iii) for purposes not described in the foregoing clauses (i) and (ii); provided that after giving pro forma effect to the making of any such loan, advance or guarantee, the aggregate principal amount of all loans, advances and guarantees made in reliance on this clause (h) then outstanding (measured as of the date such Investment is made or, at the option of the Borrower, committed to be made) shall not exceed $80.0 million; (i) 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 (j) Investments consisting of (or resulting from) (i) Indebtedness permitted under Section 6.3, (ii) Permitted Liens, (iii) Restricted Payments permitted under Section 6.1 (other than a Restricted Payment permitted under Section 6.1(b)(ix)) and (iv) Asset Sales permitted under Section 6.4 or any other disposition not constituting an Asset Sale (other than pursuant to clause (a), (b), (c)(ii) (if made in reliance on clause (B) therein) and (g) of the definition thereof); (k) Investments in the ordinary course of business, consistent with past practice or consistent with industry norm consisting of endorsements for collection or deposit and customary trade arrangements with customers; (l) 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 (m) loans and advances of payroll payments or other compensation (including deferred compensation) to present or former employees, directors, members of management, officers, managers, members, partners, independent contractors or consultants of the Borrower and/or any Subsidiary in the ordinary course of business, consistent with past practice or consistent with industry norm;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897275.26-LACSR02A - MSW (n) Investments to the extent that payment therefor is made solely with Qualified Capital Stock of the Borrower; (o) (i) Investments of any Restricted Subsidiary that is acquired after the Closing Date, or of any Person merged into or consolidated or amalgamated with, the Borrower or any Restricted Subsidiary after the Closing Date, in each case as part of an Investment otherwise not prohibited by this Agreement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clause (o) so long as no such modification, replacement, renewal or extension thereof increases the amount of such Investment except as otherwise not prohibited by this Agreement; (p) [Reserved]; (q) Investments made after the Closing Date by the Borrower and/or any of its Restricted Subsidiaries in an aggregate amount (with respect to each such Investment, as valued at the Fair Market Value of such Investment at the time such Investment is made or, at the option of the Borrower, committed to be made) then outstanding not to exceed: (i) the greater of $405.0 million and 25.0% of Consolidated EBITDA for the Test Period then most recently ended on or prior to such date of determination of the Borrower and its Restricted Subsidiaries (measured as of the date such Investment is made, or at the option of the Borrower, committed to be made); plus (ii) in the event that (A) the Borrower or any of its Restricted Subsidiaries makes any Investment after the Closing Date in any Person that is not a Restricted Subsidiary and (B) such Person subsequently becomes a Restricted Subsidiary, at the election of the Borrower, an amount equal to 100.0% of the Fair Market Value of such Investment as of the date on which such Person becomes a Restricted Subsidiary; provided that if the Borrower elects to apply the Fair Market Value of any such Investment (other than any Investment made pursuant to clause (q)(i)) in the manner described above in order to increase availability under this clause (q), then such Fair Market Value, and such Person becoming a Restricted Subsidiary, shall not increase the amount available for Restricted Payments under clause (2) of Section 6.1(a) or reduce the amount of outstanding Investments under the provision pursuant to which such Investment was initially made; (r) [Reserved]; (s) to the extent constituting Investments, (i) guarantees of leases (other than Financing Leases) or of other obligations not constituting Indebtedness of the Borrower and/or its Restricted Subsidiaries and (ii) guarantees of the lease obligations of suppliers, customers, franchisees and licensees of the Borrower and/or its Restricted Subsidiaries, in each case, in the ordinary course of business, consistent with past practice or consistent with industry norm; (t) [Reserved]; (u) [Reserved]; (v) Investments in Subsidiaries of the Borrower in connection with internal reorganizations and/or tax restructuring entered into among the Borrower and/or its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897275.26-LACSR02A - MSW (w) any Derivative Transactions of the type permitted under Section 6.3(b)(xix); (x) Investments consisting of the licensing of intellectual property or other works of authorship for the purpose of joint marketing arrangements with other Persons; (y) repurchases of the Existing Notes and any other Senior Indebtedness; (z) (i)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 (aa) Investments in the Borrower,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 (bb) additional Investments so long as, after giving effect thereto on a pro forma basis, the Consolidated Total Debt Ratio of the Borrower for the most recently ended four full fiscal quarters for which internal financial statements are available does not exceed 4.85 to 1.00; (cc) 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 (dd) [Reserved]; (ee) Investments in Receivables Subsidiaries required in connection with a Permitted Receivables Financing (including the contribution or lending of cash and Cash Equivalents to Receivables Subsidiaries to finance the purchase of assets from the Borrower or any Restricted Subsidiary or to otherwise fund required reserves); (ff) contributions to a “rabbi” trust for the benefit of employees, directors, consultants, independent contractors or other service providers or other grantor trust (or any Immediate Family Member of the foregoing) subject to claims of creditors in the case of a bankruptcy of the Borrower or any Restricted Subsidiary; (gg) 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 (hh) intercompany current liabilities owed to Unrestricted Subsidiaries or joint ventures incurred in the ordinary course of business, consistent with past practice or consistent with industry norm or in connection with cash management operations of the Borrower and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897275.26-LACSR02A - MSW (ii) Investments made from casualty insurance proceeds in connection with the replacement, substitution, restoration or repair of assets on account of a casualty event; (jj) Investments to the extent required by applicable rules under the Exchange Act or by any governmental authority, including any Investment made in order to avoid early warning or notice requirements under such rules or requirements; (kk) [Reserved]; and (ll) any transaction to the extent it constitutes an Investment that is not prohibited by and is made in accordance with the provisions of Section 6.5 (except transactions permitted by Section 6.5(b)(iv)(1) by reference to Section 6.1 or this definition and Section 6.5(b)(xv) and (xix)). “Permitted Liens”: (a) (i) Liens securing the Indebtedness incurred under any Loan Document and (ii) Liens securing the Indebtedness incurred under the Revolving Credit Agreement, the LC Facility and the TLB Credit Agreement; (b) 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Borrower or any of its Restricted Subsidiaries in accordance with GAAP, (iii) which are on property that the Borrower or any of its Restricted Subsidiaries has determined to abandon if the sole recourse for such tax, assessment, charge, levy or claim is to such property or (iv) with respect to which the failure to make payment would not reasonably be expected to have a Material Adverse Effect; (c) Liens (and rights of setoff) of landlords, banks, carriers, warehousemen, mechanics, repairmen, workmen and materialmen, and other Liens (including, without limitation, any maritime liens, whether or not statutory, that are recognized or given effect to as such by the law of any applicable jurisdiction)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 (d) Liens incurred or deposits made in the ordinary course of business, consistent with past practice or consistent with industry norm (i) 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Borrower or its Subsidiaries or otherwise supporting the payment of items set forth in the foregoing clause (i) or (y) leases or licenses of property otherwise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897275.26-LACSR02A - MSW prohibited by this Agreement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 (e) Liens consisting of survey exceptions, easements, rights-of-way, restrictions, encroachments, and other similar encumbrances or minor defects or irregularities in title, in each case that would not reasonably be expected to result in a Material Adverse Effect; (f) Liens consisting of any (i) interest or title of a lessor or sublessor under any lease of real estate entered into by the Borrower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 (g) Liens solely on any cash advance, earnest money or escrow deposits made by the Borrower and/or any of its Restricted Subsidiaries in connection with any letter of intent or purchase agreement with respect to any Investment or disposition not prohibited under this Agreement; (h) Liens or purported Liens evidenced by the filing of UCC financing statements, including precautionary UCC financing statements, or any similar filings made in respect of (i) Non-Financing Lease Obligations or consignment or bailee arrangements entered into by the Borrower or any of its Restricted Subsidiaries and/or (ii) the sale of accounts receivable in the ordinary course of business, consistent with past practice or consistent with industry norm (to the extent otherwise permitted herein) for which a UCC financing statement is required; (i) Liens in favor of customs and revenue authorities arising as a matter of law to secure payment of customs duties in connection with the importation of goods; (j) Liens in connection with any zoning, building, land use or similar Requirements of Law or right reserved to or vested in any governmental authority by any statutory provision or by the terms of any lease, license, franchise, grant or permit of the Borrower or any of its Restricted Subsidiaries to (i) control or regulate the use of any or dimensions of real property or the structure thereon that would not reasonably be expected to have a material adverse effect on the business, results of operations or financial condition of the Borrower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 (k) Liens securing Refinancing Indebtedness permitted pursuant to Section 6.3(b)(xvii) (solely with respect to the permitted refinancing of (x) Indebtedness permitted pursuant to Section 0 or Sections 6.3(b)(i), (ii), (x), (xi), (xiv), (xv), (xvii), (xviii), (xxi), (xxv), (xxxvi), (xli) or (xlii), or (y) Indebtedness that is secured in reliance on clause (u) below (without duplication of any amount outstanding thereunder)); provided that (i) no such Lien extends to any property or asset of the Borrower or any Restricted Subsidiary that did not secure the Indebtedness being refinanced, other than (A) after- acquired property that is affixed to or incorporated into the property covered by such Lien, (B) in the case of any property or assets financed by Indebtedness, Disqualified Stock or Preferred Stock or subject to a Lien securing Indebtedness, in each case, not prohibited by Section 6.3, the terms of which Indebtedness, Disqualified Stock or Preferred Stock require or include a pledge of after-acquired property to secure such Indebtedness and related obligations, any such after-acquired property and (C) the proceeds and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897275.26-LACSR02A - MSW thereof, accessions thereto and improvements thereon (it being understood that individual financings of the type permitted under Section 6.3(b)(xiv) provided by any lender may be cross-collateralized to other financings of such type provided by such lender or its Affiliates) and (ii)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Borrower,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 (l) Liens existing on the Closing Date or pursuant to agreements in existence on the Closing Date and any modification, replacement, refinancing, renewal or extension thereof; provided that (i) no such Lien extends to any property or asset of the Borrower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Section 6.3,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Section 6.3(b)(xiv)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Section 6.3; (m) Liens arising out of Sale and Lease-Back Transactions permitted under Section 6.3(b)(xxv) and customary security deposits, related contract rights and payment intangibles related thereto; (n) Liens securing Indebtedness permitted pursuant to Section 6.3(b)(xiv), (xviii) or (xxi); (o) Liens securing Indebtedness permitted pursuant to Section 6.3(b)(xv) on 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 Restricted Subsidiary (including by the designation of an Unrestricted Subsidiary as a Restricted Subsidiary); provided that no such Lien (A) extends to or covers any other assets (other than (x) any replacements, additions and accessions thereto, any improvements thereon and any proceeds or products thereof, (y) after-acquired property to the extent such Indebtedness requires or includes, pursuant to its terms at the time assumed, a pledge of after-acquired property of such Person, and any replacements, additions and accessions thereto, any improvements thereon and any proceeds or products thereof, and customary security deposits in respect thereof and (z) in the case of multiple financings of equipment provided by any lender or its Affiliates, other equipment financed by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897275.26-LACSR02A - MSW or its Affiliates, it being understood that such requirement shall not be permitted to apply to any property to which such requirement would not have applied but for such acquisition) or (B) was created in contemplation of the applicable acquisition of the Person, assets or Equity Interests; (p) (i)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consistent with past practice or consistent with industry norm of the Borrower or any Restricted Subsidiary, (C) purchase orders and other agreements entered into with customers of the Borrower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Agreement, which proceeds have been deposited into an escrow account on customary terms to secure such Indebtedness pending the application of such proceeds to finance such transaction and (v) Liens consisting of an agreement to dispose of any property in a disposition permitted under Section 6.4, in each case, solely to the extent such Investment or disposition, as the case may be, would have been permitted on the date of the creation of such Lien; (q) Liens on assets of Restricted Subsidiaries that are not Guarantors (including Equity Interests owned by such Persons); (r) (i) Liens securing obligations (other than obligations representing indebtedness for borrowed money) under operating, reciprocal easement or similar agreements entered into in the ordinary course of business, consistent with past practice or consistent with industry norm of the Borrower and/or its Restricted Subsidiaries and (ii) Liens not securing indebtedness for borrowed money that are granted in the ordinary course of business, consistent with past practice or consistent with industry norm and customary in the operation of the business of the Borrower and its Restricted Subsidiaries; (s) Liens on the Collateral securing obligations in respect of Permitted Pari Passu Secured Refinancing Debt, Permitted Junior Secured Refinancing Debt or Refinancing Equivalent Debt (each as defined in the TLB Credit Agreement); provided that (x) any such Liens securing any Permitted Pari Passu Secured Refinancing Debt are subject to the Equal Priority Intercreditor Agreement and (y) any such Liens securing any Permitted Junior Secured Refinancing Debt are subject to a Junior Lien Intercreditor Agreement; (t) Liens on Non-Super Priority Collateral securing obligations in respect of Incremental Equivalent Debt (as defined under the TLB Credit Agreement) permitted under Section 6.3(b)(ii); provided that such Indebtedness ranks junior in right of security with the Obligations and any such Liens are subject to a Junior Lien Intercreditor Agreement; (u) other Liens on assets (other than the FLNG2 Collateral) securing Indebtedness; provided that, at the time of incurrence thereof and after giving pro forma effect thereto and the use of the proceeds thereof, the aggregate amount of Indebtedness and other obligations then outstanding and secured thereby shall not, except as contemplated by Section 6.3(b)(xvii), exceed an amount equal to the greater of $485.0 million and 30.0% of Consolidated EBITDA of the Borrower and its Restricted Subsidiaries for the Test Period then most recently ended on or prior to such date of determination; provided that, if such Liens are consensual Liens that are secured by the Collateral, then the Borrower may elect to have the holders of the Indebtedness or other obligations secured thereby (or a representative or trustee on their behalf) enter into an Equal Priority Intercreditor Agreement or a Junior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1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897275.26-LACSR02A - MSW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Obligations but, in any event, shall not be required to enter into any such intercreditor with respect to any Collateral consisting of cash and Cash Equivalents; (v) (i) Liens on assets securing, or otherwise arising from, judgments, awards, attachments and/or decrees and notices of lis pendens and associated rights relating to litigation not constituting an Event of Default under Section 7.1(a)(6) and (ii) any pledge and/or deposit securing any settlement of litigation; (w) (i) leases (including ground leases and leases of vehicles, tankers and ISO containers), licenses, subleases or sublicenses granted to others in the ordinary course of business, consistent with past practice or consistent with industry norm (and other agreements pursuant to which the Borrower or any Restricted Subsidiary has granted rights to end users to access and use the Borrower’s or any Restricted Subsidiary’s products, technologies or services), or which would not reasonably be expected to result in a Material Adverse Effect, and (ii) ground leases, subleases, licenses or sublicenses in respect of real property on which facilities owned or leased by the Borrower or any of its Restricted Subsidiaries are located; (x) Liens on securities that are the subject of repurchase agreements constituting Permitted Investments or any Investment permitted under Section 6.1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 (y) Liens securing obligations in respect of letters of credit, bank guaranties, surety bonds, performance bonds, completion bonds or similar instruments permitted under Section 6.3(b)(v), (vi), (viii), or (xxvii); (z) Liens arising (i) out of conditional sale, title retention, consignment or similar arrangements for the sale or purchase of any asset in the ordinary course of business, consistent with past practice or consistent with industry norm or (ii) by operation of law under Article 2 of the UCC (or any similar Requirements of Law under any jurisdiction); (aa) Liens (other than, if granted in favor of any Person that is not the Borrower or a Guarantor, Liens on the Collateral ranking on an equal or senior priority basis to the Liens on the Collateral securing the Obligations) securing Indebtedness of the Borrower or a Restricted Subsidiary owing to the Borrower or another Restricted Subsidiary and not prohibited to be incurred in accordance with Section 6.3; (bb) Liens on insurance policies and the proceeds thereof securing the financing of the premiums with respect thereto; (cc) (i)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1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897275.26-LACSR02A - MSW advances from customers in the ordinary course of business, consistent with past practice or consistent with industry norm to the extent the same creates a Lien on the related inventory and proceeds thereof; (dd) Liens securing obligations of the type described in Section 6.3(b)(vii) and/or (xix); (ee) (i)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 (iv) customary rights of first refusal and tag, drag and similar rights in joint venture agreements and agreements with respect to non-Wholly-Owned Subsidiaries; (ff) Liens on cash or Cash Equivalents arising in connection with the defeasance, satisfaction, discharge or redemption of Indebtedness; (gg) Liens consisting of the prior rights of consignees and their lenders under consignment arrangements entered into in the ordinary course of business, consistent with past practice or consistent with industry norm; (hh) Liens disclosed in any mortgage policy or survey with respect to any Material Real Estate Asset and any replacement, extension or renewal thereof; (ii) Liens on receivables and related assets incurred in connection with Permitted Receivables Financings; (jj) 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 (kk) security given to a public utility or any municipality or governmental authority when required by such utility or authority in connection with the operations of such Person in the ordinary course of business, consistent with past practice or consistent with industry norm; (ll) Liens securing Indebtedness incurred in reliance on Section 6.3(b)(xxxix); (mm) other Liens on assets securing Indebtedness; provided that, at the time of incurrence thereof and after giving pro forma effect thereto and the use of the proceeds thereof, the aggregate amount of Indebtedness then outstanding and secured thereby shall not exceed an amount such that (I) in the case of any such Liens on Collateral (including the FLNG2 Collateral) that have Equal Lien Priority (but without regard to the control of remedies) relative to the Liens on the Collateral securing the Obligations, the Consolidated First Lien Debt Ratio does not exceed 2.65 to 1.00 (whether or not incurred in connection with an acquisition, Investment or other similar transaction), calculated on a pro forma basis, (II) in the case of any such Liens on Collateral (excluding the FLNG2 Collateral) that have Equal Lien Priority (but without regard to the control of remedies) relative to the Liens on the Collateral securing the Obligations, the Consolidated First Lien Debt Ratio does not exceed 2.90 to 1.00 (whether or not incurred in connection with an acquisition, Investment or other similar transaction), calculated on a pro forma basis, (III) in the case of any such Liens secured by the Collateral that have Junior Lien Priority relative to the Liens on the Collateral securing the Obligations, the Consolidated Secured Debt Ratio does not exceed 4.70 to 1.00 (whether or not incurred in connection with an acquisition, Investment or other similar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897275.26-LACSR02A - MSW calculated on a pro forma basis and (IV) in the case of any such Indebtedness that is secured by assets that do not constitute Collateral (assuming, for purposes of this clause (III) and future ratio calculations for so long as such Indebtedness remains outstanding, that such assets constitute Collateral), the Consolidated Total Debt Ratio does not exceed 4.85 to 1.00 (whether or not incurred in connection with an acquisition, Investment or other similar transaction), calculated on a pro forma basis; provided that, if such Liens are consensual Liens that are secured by the Collateral, then the holders of the Indebtedness or other 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 Borrower, either equal in priority (but without regard to the control of remedies) with, or junior to, the Liens on the Collateral (other than cash and Cash Equivalents) securing the Secured Notes Obligations but, in any event, shall not be required to enter into any such intercreditor agreement with respect to any Collateral consisting of cash and Cash Equivalents; and provided, further, that the amount of Indebtedness that may be secured by Liens pursuant to the foregoing by Restricted Subsidiaries that are not Guarantors, together with any Refinancing Indebtedness in respect thereof, shall not exceed, in the aggregate, $485.0 million and 30.0% of Consolidated EBITDA for the Test Period then most recently ended on or prior to the date on which such Indebtedness is incurred; (nn) agreements to subordinate any interest of the Borrower or any Restricted Subsidiary in any accounts receivable or other proceeds arising from inventory consigned by the Borrower or any Restricted Subsidiary pursuant to an agreement entered into in the ordinary course of business, consistent with past practice or consistent with industry norm; (oo) 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 (pp) Liens securing the 2025 Notes (other than any 2025 Additional Notes issued after the Closing Date) and the related 2025 Note Guarantees; (qq) Liens securing the 2026 Notes (other than any 2026 Additional Notes issued after the Closing Date) and the related 2026 Note Guarantees; (rr) Liens with respect to any vessel for maritime torts with respect to damage resulting from allisions, collisions, cargo damage, property damage, conversion (wrongful possession), pollution, personal injury and death, maintenance and cure, and unseaworthiness, in each case, that are covered by insurance (subject to reasonable deductibles); (ss) Liens incurred in the ordinary course of business of the Borrower or any Restricted Subsidiary arising from vessel chartering, drydocking, maintenance, repair, refurbishment, the furnishing of supplies and bunkers to vessels or masters’, officers’ or crews’ wages and maritime Liens, that, in the case of each of the foregoing, were not incurred or created to secure the payment of Indebtedness and that in the aggregate do not materially adversely affect the value of the properties subject to such Liens or materially impair the use for the purposes of which such properties are held by the Borrower and its Restricted Subsidiaries; (tt) Liens securing the 2029 Notes (other than any 2029 Additional Notes issued after the Closing Date) and the related 2029 Note Guarantees;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897275.26-LACSR02A - MSW (uu) Liens on the interconnection pipeline at the import terminal at Altamira, Mexico securing Indebtedness to finance other natural gas liquefaction assets that use such interconnection pipeline. For purposes of this definition, the term “Indebtedness” shall be deemed to include interest on such Indebtedness. “Permitted Receivables Financing”: any Receivables Financing of a Receivables Subsidiary that meets the following conditions: (a) the Board of Directors of the Borrower or any direct or indirect parent of the Borrower shall have determined in good faith that such Receivables Financing (including financing terms, covenants, termination events and other provisions) is in the aggregate economically fair and reasonable to the Borrower and its Restricted Subsidiaries; (b) all sales of accounts receivable and related assets by the Borrower or any Restricted Subsidiary to the Receivables Subsidiary are made at Fair Market Value; and (c) the financing terms, covenants, termination events and other provisions thereof shall be market terms at the time the Receivables Financing is first introduced (as determined in good faith by the Borrower) and may include Standard Securitization Undertakings. “Person”: any natural person, corporation, limited liability company, trust, joint venture, association, company, partnership, governmental authority or any other entity. “Pioneer II Rig”: the jack-up rig, forming part of the natural gas liquefaction facility referred to by the Borrower as “FLNG1”, on which rig is located the natural gas liquefaction unit. “Platform”: as defined in Section 5.2(d). “Post-Closing Actions”: as defined in Section 5.12. “Preferred Stock”: any Capital Stock with preferential rights of payment of dividends or upon liquidation, dissolution, or winding up. “Prime Rate”: the rate that the Administrative Agent announces from time to time as its prime lending rate, as in effect from time to time. “Principal Office”: the Administrative Agent’s “Principal Office” as set forth in Section 9.2, or such other office or office of a third party or subagent, as appropriate, as the Administrative Agent may from time to time designate in writing to the Borrower and each Lender. “Private Side Information”: as defined in Section 5.2. “pro forma basis” or “pro forma effect”: with respect to any determination of the Consolidated Total Debt Ratio, Consolidated First Lien Debt Ratio, Consolidated Secured Debt Ratio, Fixed Charge Coverage Ratio, Consolidated EBITDA or Consolidated Total Assets (including component definitions thereof) or any other calculation under this Agreement, that each Subject Transaction required to be calculated on a pro forma basis in accordance with Section 1.7 shall be deemed to have occurred as of the first day of the applicable Test Period (or, in the case of Consolidated Total Assets, as of the last day of such Test Period) with respect to any ratio, test, covenant, calculation or measurement for which such calculation is being made and that: (a) (i) in the case of (A) any disposition of all or substantially all of the Equity Interests of any Restricted Subsidiary or any division, facility, business line and/or product line of the Borrower or any Restricted Subsidiary and (B) any designation of a Restricted Subsidiary as an Unrestricted Subsidiary, income statement items (whether positive or negative and including any Run Rate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897275.26-LACSR02A - MSW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“Consolidated EBITDA” may be applied to any such ratio, test, covenant, calculation or measurement solely to the extent that such adjustment is consistent with the definition of “Consolidated EBITDA”, (b) 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 (c) any Indebtedness incurred by the Borrower or any of its Restricted Subsidiaries in connection therewith shall be deemed to have been incurred as of the first day of the applicable Test Period with respect to any ratio, test, covenant, calculation or measurement for which the relevant determination is being made; provided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Borrower to be the rate 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 (iv)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date of determination, and (d) the acquisition of any asset included in calculating Consolidated Total Assets, whether pursuant to any Subject Transaction or any Person becoming a Subsidiary or merging, amalgamating or consolidating with or into the Borrower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 “Pro Rata Share”: with respect to any Lender, a percentage (x) the numerator of which shall be the sum of such Lender’s unused Commitment and Term Loans and (y) the denominator of which shall be the sum of the undrawn Aggregate Commitment and the aggregate Term Loans of all Lenders. After all the Commitments have terminated or expired, “Pro Rata Share” shall be obtained by dividing (a) the Outstanding Amount of such Lender Loan’s at such time by (b) the Total Outstandings at such time. “Project”: the design, engineering, development, acquisition, ownership, occupation, construction, installation, operation and maintenance of a 1.4 million metric tonnes per annum liquefaction train and related infrastructure, including an interconnection pipeline onshore at the site of the existing import terminal at Altamira, Mexico referred to by the Borrower as “FLNG2” (and activities ancillary to or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897275.26-LACSR02A - MSW connection with the foregoing, including, without limitation, the purchase, transportation and sale of gas and the production, storage and sale of LNG). The Project shall be 100% owned, directly or indirectly, by the Borrower and 100% directly owned by NFE FLNG2 LLC, a Delaware limited liability company, or any of NFE FLNG2 LLC direct or indirect Subsidiaries that is a FLNG2 Subsidiary. “Project Costs”: (a) costs paid or payable by the Borrower and the Guarantors associated with the development, design, engineering, site acquisition and preparation, permitting, construction, installation, procurement and purchase of equipment, materials and natural gas (for testing or operations) in connection with the Project including transportation costs, financing costs, spare parts, labor, interconnection, commissioning, testing and start-up of the Project, (b) transaction costs, fees and expenses in connection with the closing of the Term Loans on the Closing Date on or prior to the Closing Date, (c) interest and fees on the Term Loans that accrue up to and including the Completion Date, (d) all operation and maintenance expenses (including labor) of the Project up to and including the Completion Date and (e) the funding of the Debt Service Reserve Account on the Completion Date in accordance with Section 5.14. “Project Costs Reserve Accounts”: as defined in Section 6.12. “Project Leasehold or Concession”: each material real property leasehold or concession owned by an FLNG2 Subsidiary necessary for the Project. “Property”: any right or interest in or to property of any kind whatsoever, whether real or immovable, personal or moveable or mixed and whether tangible or intangible, corporeal or incorporeal, including Equity Interests. “Prudent Industry Practice” means, at a particular time, any of the practices, methods, standards and procedures (including those engaged in or approved by a material portion of the LNG industry) that, at that time, in the exercise of reasonable judgment in light of the facts known at the time a decision was made, could reasonably have been expected to accomplish the desired result consistent with good, safe and prudent business practices, including due consideration of the Project’s reliability, environmental compliance, economy, safety and expedition, and which practices, methods, standards and acts generally conform to International LNG Terminal Standards and International LNG Vessel Standards. “Public Lenders”: Lenders that do not wish to receive Non-Public Information with respect to the Borrower and its Subsidiaries or their securities. “QFC”: has the meaning assigned to the term “qualified financial contract” in, and shall be interpreted in accordance with, 12 U.S.C. 5390(c)(8)(D). “Qualified Capital Stock”: of any Person means any Equity Interests of such Person that is not Disqualified Stock. “Qualified Liquefaction Development Entities”: (i) Bradford County Real Estate Holdings LLC, (ii) any Liquefaction Development Entity which is designated by the Borrower as a Qualified Liquefaction Development Entity and (iii) any Subsidiary of a Qualified Liquefaction Development Entity; provided that, for purposes of the Loan Documents, in no circumstances shall any FLNG2 Subsidiary be a Qualified Liquefaction Development Entity. “Reasonable and Prudent Operator” means a Person exercising that degree of skill, diligence, prudence, and foresight which would reasonably and ordinarily be expected from a skilled and experienced operator complying with all applicable Laws and engaged in the same type of undertaking under the same or similar circumstances and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897275.26-LACSR02A - MSW “Receivables Fees”: distributions or payments made directly or by means of discounts with respect to any participation interest issued or sold in connection with, and other fees paid to a Person that is not a Restricted Subsidiary in connection with, any Receivables Financing. “Receivables Financing”: any transaction or series of transactions that may be entered into by the Borrower or any of its Subsidiaries pursuant to which the Borrower or any of its Subsidiaries may sell, contribute, convey or otherwise transfer to (a) a Receivables Subsidiary (in the case of a transfer by the Borrower or any of its Subsidiaries), and (b) any other Person (in the case of a transfer by a Receivables Subsidiary), or may grant a security interest in, any accounts receivable (whether now existing or arising in the future) of the Borrower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and any Hedge Agreements entered into by the Borrower or any such Subsidiary in connection with such accounts receivable. “Receivables Repurchase Obligation”: any obligation of a seller of receivables in a Permitted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“Receivables Subsidiary”: a Restricted Subsidiary that is a Wholly-Owned Subsidiary of the Borrower (or another Person formed for the purposes of engaging in a Permitted Receivables Financing with the Borrower in which the Borrower or any Subsidiary of the Borrower or a direct or indirect parent of the Borrower makes an Investment and to which the Borrower or any Subsidiary of the Borrower or a direct or indirect parent of the Borrower transfers accounts receivable and related assets) which engages in no activities other than in connection with the financing of accounts receivable of the Borrower and its Subsidiaries or a direct or indirect parent of the Borrower and all proceeds thereof and all rights (contractual or other), collateral and other assets relating thereto, and any business or activities incidental or related to such business, and which is designated by the Board of Directors of the Borrower or any direct or indirect parent of the Borrower (as provided below) as a Receivables Subsidiary and: (a) no portion of the Indebtedness or any other obligations (contingent or otherwise) of which (i) is guaranteed by the Borrower or any other Subsidiary of the Borrower (excluding guarantees of obligations (other than the principal of, and interest on, Indebtedness) pursuant to Standard Securitization Undertakings),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other Subsidiary of the Borrower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“Recipient”: (a) the Administrative Agent, (b) any Lender or (c) the Arranger,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897275.26-LACSR02A - MSW “Recovery Event”: any settlement of or payment in respect of any property or casualty insurance claim (excluding the proceeds of business interruption insurance and any proceeds of property or casualty insurance which are paid directly to, or paid upon receipt by the Borrower or its Subsidiaries to, a third party loss payee) or any condemnation proceeding relating to any asset of Borrower or its Subsidiaries. “Refinance Conditions” means, with respect to the 2025 Notes or the 2026 Notes, any of the following: (a) such series of Existing Notes have been repurchased (and cancelled), redeemed, defeased, satisfied or otherwise discharged in full such that there is no Indebtedness outstanding with respect thereto (other than contingent indemnification obligations which survive repayment and for which no underlying claim has been asserted); (b) such series of Existing Notes have been refinanced with (or exchanged for) Indebtedness with a final maturity date falling no earlier than 61 days after the Stated Maturity Date or (c) the maturity date with respect to such series of Existing Notes has been extended to a date falling no earlier than 61 days after the Stated Maturity Date. “Refinancing Indebtedness”: as defined in Section 6.3(b)(xvii). “Refunding Capital Stock”: as defined in Section 6.1(b)(viii). “Register”: as defined in Section 2.4(b). “Regulated Bank”: any insured depository institution that is regulated by foreign, federal or state banking regulators, including the United States Office of the Comptroller of the Currency, the Federal Deposit Insurance Corporation or the Board. “Regulation D”: Regulation D of the Board as in effect from time to time. “Regulation T”: Regulation T of the Board as in effect from time to time. “Reinvested Assets”: any assets into which the proceeds from a Recovery Event or Extraordinary MPD Payment relating to any FLNG2 Collateral (including other Reinvested Assets) have been reinvested or assets which have been acquired using such proceeds, in each case pursuant to the definition of “Net Proceeds.” “Related Business Assets”: assets (other than cash or Cash Equivalents) used or useful in a Similar Business; provided that any assets received by the Borrower or a Restricted Subsidiary in exchange for assets transferred by the Borrower or a Restricted Subsidiary shall not be deemed to be Related Business Assets if they consist of securities of a Person, unless upon receipt of the securities of such Person, such Person would become a Restricted Subsidiary. “Related Fund”: with respect to any Lender, any fund that (x) invests in commercial loans and (y) is managed or advised by the same investment advisor as such Lender, by such Lender or an affiliate of such Lender. “Related Parties”: with respect to any Person, such Person’s Affiliates and the partners, directors, officers, employees, agents, trustees and advisors of such Person and of such Person’s Affiliates. “Release”: any spilling, leaking, seepage, pumping, pouring, emitting, emptying, discharging, injecting, escaping, leaching, dumping, disposing, depositing, dispersing, emanating or migrating of any Hazardous Material in, into, onto or through the Environment, or from, into or through any structure or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897275.26-LACSR02A - MSW “Relevant Governmental Body”: the Board or the Federal Reserve Bank of New York, or a committee officially endorsed or convened by the Board or the Federal Reserve Bank of New York, or any successor thereto. “Relevant Transaction”: as defined in Section 2.10(b)(ii). “Repeated Representations”: collectively, the representations and warranties of the Borrower set forth in Sections 3.1 through 3.7, Section 3.9, Sections 3.11 through 3.17, Section 3.19, Sections 3.21 through 3.23, Section 3.24(b) and (c), Section 3.25 and Section 3.29. “Replacement Lender”: as defined in Section 2.19. “Replacement Material Project Document”: in respect of any Material Project Document, one or more binding replacement Contractual Obligations that (i) (a) are on terms and conditions (taken as a whole) that are substantially similar to in all material respects, or more favorable to the applicable FLNG2 Subsidiary than, the terms and conditions (taken as a whole) of the Material Project Document being replaced, and (b) is with a counterparty that is as creditworthy (measured as of the date that such counterparty enters into such Replacement Material Project Document) as the Material Project Counterparty under the Material Project Document being replaced (measured as of the date that such Material Project Counterparty entered into the Material Project Document being replaced) or (ii) are otherwise on terms and conditions reasonably acceptable, and with a counterparty of credit reasonably acceptable, to the Administrative Agent (who may consult with the Independent Engineer). “Reportable Event”: any of the events set forth in Section 4043(c) of ERISA, other than those events as to which the notice requirement is waived. “Required Class Lenders”: as of any date of determination, with respect to any Facility, Lenders having more than 50% of the Commitments or Loans under such Facility or, if the Commitment of each Lender under such Facility to make Loans has been terminated, Lenders holding in the aggregate more than 50% of the Total Outstandings. under such Facility. “Required Lenders”: as of any date of determination, Lenders having more than 50% of the Commitments and Loans or, if the Commitment of each Lender to make Loans has been terminated, Lenders holding in the aggregate more than 50% of the Total Outstandings. “Required Permits”: as defined in Section 3.21 or any other Permit that the Required Lenders and the Borrower agree in writing is to be designated as a “Required Permit”. “Requirements of Law”: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 “Resolution Authority”: an EEA Resolution Authority or, with respect to any UK Financial Institution, a UK Resolution Authority. “Responsible Officer”: with respect to any Loan Party, the chief executive officer, president, chief financial officer, vice president, treasurer, assistant treasurer, controller, secretary, assistant secretary,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897275.26-LACSR02A - MSW member or manager of such Loan Party, or any other authorized officer or signatory of such Loan Party reasonably acceptable to the Administrative Agent. “Restoration Action”: in respect of a Recovery Event related to FLNG2 Affected Property, any action taken or intended to be taken by or on behalf of the Borrower or any of the FLNG2 Subsidiaries to rebuild, repair, replace or otherwise restore such FLNG2 Affected Property or any portion thereof, and all activities incidental and reasonably necessary for such matters, including redesigning and altering to the extent necessary, in order to permit construction and operation of the Project. “Restoration Notice”: a written notice of the Borrower certifying that the Borrower or an FLNG2 Subsidiary intends to take certain Restoration Actions in connection with the related Recovery Event in respect of FLNG2 Affected Property and that, as of the date of delivery of such Restoration Notice, the Borrower reasonably believes sufficient funds are or will be available to it or the applicable FLNG2 Subsidiary such that such Restoration Action can be completed with funds available to it or the applicable FLNG2 Subsidiary. “Restoration Plan”: in respect of a Recovery Event related to FLNG2 Affected Property, a reasonably detailed plan describing the proposed plan, time schedule, contractual arrangements, and projected capital expenses for any action taken or intended to be taken by or on behalf of the Borrower or any FLNG2 Subsidiary to rebuild, repair, replace, or otherwise restore such FLNG2 Affected Property or any portion thereof, and all activities incidental and reasonably necessary for such matters, including redesigning and altering to the extent necessary, in order to permit construction and operation of the Project. “Restricted Debt Payments”: as defined in Section 6.1(a). “Restricted Investment”: an Investment other than a Permitted Investment. “Restricted Payments”: as defined in Section 6.1(a). “Restricted Subsidiary”: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Borrower. “Return”: with respect to any Investment, any dividend, distribution, interest, fee, premium, return of capital, repayment of principal, income, profit (from a disposition or otherwise) and any other similar amount received or realized in respect thereof. “Revolving Credit Agreement”: that certain credit agreement, dated as of April 15, 2021, among the Borrower, as borrower, the guarantors from time to time party thereto, the lenders and issuing banks from time to time party thereto and MUFG Bank, Ltd., as administrative agent and as collateral agent. “S&amp;P”: S&amp;P Global Ratings, a division of S&amp;P Global Inc., or any of its successors or assigns that is a nationally recognized statistical rating organization within the meaning of Rule 3(a)(62) under the Exchange Act. “Sale and Lease-Back Transaction”: any transaction or series of related transactions pursuant to which the Borrower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2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897275.26-LACSR02A - MSW “Sanctioned Country”: a country, region, or territory that is the subject of comprehensive territorial Sanctions, at the time of this Agreement, Crimea, Cuba, Iran, North Korea, Syria, the so-called Donetsk People’s Republic, and the so-called Luhansk People’s Republic. “Sanctions”: as defined in Section 3.22(c). “SEC”: the Securities and Exchange Commission (or successors thereto or an analogous Governmental Authority). “Secured Indebtedness”: any Indebtedness secured by a Lien. “Secured Notes Obligations”: collectively, the 2025 Secured Notes Obligations, the 2026 Secured Notes Obligations and the 2029 Secured Notes Obligations. “Secured Parties”: a collective reference to the Administrative Agent, the Collateral Agent and the Lenders. “Securities Act”: the Securities Act of 1933, as amended, and the rules and regulations of the SEC promulgated thereunder. “Security Agreement”: that certain Pledge and Security Agreement, dated as of the Closing Date, among the Borrower, the Guarantors and the Collateral Agent. “Security Documents”: the Security Agreement, the Mortgages, the Ship Mortgages (if any) and any other security agreements relating to the Collateral securing the Obligations and the mortgages and instruments filed and recorded in appropriate jurisdictions to preserve and protect the Liens on the Collateral securing the Obligations (including financing statements under the Uniform Commercial Code of the relevant states), each for the benefit of the Collateral Agent. “Senior Indebtedness”: (a) all Indebtedness of the Borrower or any Restricted Subsidiary outstanding under the Revolving Credit Agreement, the TLB Credit Agreement, the LC Facility, the Existing Notes and related Existing Note Guarantees (including in each case interest accruing on or after the filing of any petition in bankruptcy or similar proceeding or for reorganization of the Borrower or any Guarantor (at the rate provided for in the documentation with respect thereto, regardless of whether or not a claim for post- filing interest is allowed in such proceedings)), and any and all other fees, expense reimbursement obligations, indemnification amounts, penalties, and other amounts (whether existing on the Closing Date or thereafter created or incurred) and all obligations of the Borrower or any Guarantor to reimburse any bank or other Person in respect of amounts paid under letters of credit, acceptances or other similar instruments; (b) the Obligations, and all (i) Hedging Obligations (and guarantees thereof) and (ii) Indebtedness of the Borrower and/or any Guarantor in respect of Banking Services (and guarantees thereof); provided that such Hedging Obligations and Indebtedness, as the case may be, are permitted to be incurred under the terms of this Agreement; (c) any other Indebtedness of the Borrower or any Restricted Subsidiary permitted to be incurred under the terms of this Agreement, unless the instrument under which such Indebtedness is incurred expressly provides that it is subordinated in right of payment to the Obligations;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2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897275.26-LACSR02A - MSW (d) all obligations with respect to the items listed in the preceding clauses (a), (b) and (c); provided, however, that Senior Indebtedness shall not include: (i) any obligation of such Person to the Borrower or any of its Subsidiaries; (ii) any liability for U.S. or foreign federal, state, local or other taxes owed or owing by such Person; (iii) any accounts payable or other liability to trade creditors arising in the ordinary course of business; (iv) any Indebtedness or other obligation of such Person which is subordinate or junior in right of payment to any other Indebtedness or other obligation of such Person; or (v) that portion of any Indebtedness which at the time of incurrence is incurred in violation of this Agreement. “Senior Lien Priority”: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 “Senior Priority Obligations”: (x) the Equal Priority Obligations and (y) any obligations with respect to any Indebtedness having a Junior Lien Priority relative to the Obligations with respect to the Collateral and having Senior Lien Priority relative to the Junior Priority Obligations; provided, that the holders of such Indebtedness or their Senior Priority Representative shall become party to a Junior Priority Intercreditor Agreement and any other applicable intercreditor agreements. “Senior Priority Representative”: any duly authorized representative of any holders of Senior Priority Obligations, which representative is named as such in a Junior Priority Intercreditor Agreement or any joinder thereto. “Series”: (1) with respect to the Equal Priority Secured Parties, each of (i) the 2025 Secured Notes Secured Parties (in their capacity as such), (ii) the 2026 Secured Notes Secured Parties (in their capacity as such), (iii) the 2029 Secured Notes Secured Parties (in their capacity as such), (iv) the secured parties under the Revolving Credit Agreement, (v) the secured parties under the TLB Credit Agreement and (vi) the Additional Equal Priority Secured Parties that are represented by a common representative (in its capacity as such for such Additional Equal Priority Secured Parties) and (2) with respect to any Equal Priority Obligations, each of (i) the 2025 Secured Notes Obligations, (ii) the 2026 Secured Notes Obligations, (iii) the 2029 Secured Notes Obligations, (iv) the obligations under the Revolving Credit Agreement, (v) the obligations under the TLB Credit Agreement and (vi) the Additional Equal Priority Obligations incurred pursuant to any applicable agreement, which are to be represented under the Equal Priority Intercreditor Agreement by a common representative (in its capacity as such for such Additional Equal Priority Obligations). “Shared Collateral”: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897275.26-LACSR02A - MSW security interest in such Collateral at such time and shall not constitute Shared Collateral for any Series that does not have a valid and perfected security interest in such Collateral at such time. “Ship Mortgage”: any mortgage, deed of trust or other similar agreement made by a Loan Party in favor of the Collateral Agent or any Common Representative, for the benefit of the Collateral Agent and the Secured Parties, on any tanker or other marine vessel constituting Collateral, which shall be in form reasonably satisfactory to the Collateral Agent and the Borrower. “Significant Subsidiary”: any Restricted Subsidiary that would be a “significant subsidiary” as defined in Article 1, Rule 1-02 of Regulation S-X, promulgated pursuant to the Securities Act, as such regulation is in effect on the Closing Date; provided that, solely for purposes of Section 7.1(a)(7), each Restricted Subsidiary forming part of a group is subject to an Event of Default under such clause. “Similar Business”: any business conducted, engaged in or proposed to be conducted by the Borrower or any of its Subsidiaries on the Closing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 “Social Laws”: the social impact assessments and authorizations required by the Mexico Safety, Energy and Environment Agency (ASEA). “SOFR”: with respect to any Business Day, a rate per annum equal to the secured overnight financing rate for such Business Day published by the SOFR Administrator on the SOFR Administrator’s Website at approximately 2:30 p.m. (New York City time) on the immediately succeeding Business Day. “SOFR Administrator”: the Federal Reserve Bank of New York (or a successor administrator of the secured overnight financing rate). “SOFR Administrator’s Website”: the website of the Federal Reserve Bank of New York, currently at http://www.newyorkfed.org, or any successor source for the secured overnight financing rate identified as such by the SOFR Administrator from time to time. “SOFR Borrowing”: as to any Borrowing, the SOFR Loans comprising such Borrowing. “SOFR Loan” a Loan that bears interest at a rate based on Term SOFR, other than pursuant to clause (c) of the definition of “Base Rate”. “Solvent”: with respect to any Person on any date of determination, that on such date (a) the fair value of the assets of such Person and its Subsidiaries on a consolidated basis, at a fair valuation, will exceed the debts and liabilities, direct, subordinated, contingent or otherwise, of such Person and its Subsidiaries on a consolidated basis, respectively; (b) the present fair saleable value of the property of such Person and its Subsidiaries on a consolidated basis will be greater than the amount that will be required to pay the probable liability of such Person and its Subsidiaries on a consolidated basis, respectively,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conducted on such date. “SPC”: as defined in Section 9.6(o).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897275.26-LACSR02A - MSW “Specified Asset Sales”: the sale of any of the following assets of the Borrower: (i) the modular floating or on-shore natural gas liquefaction assets, referred to by the Borrower as “Fast LNG” or “FLNG” Projects 3-5, (ii) the LNG terminal and power plant located in Pará, Brazil; (iii) the LNG terminal located on the southern coast of Brazil, (iv) the 100MW gas-fired modular power units at the Port of Pichilingue in Baja California Sur, Mexico, and (v) the liquefaction facility in Miami, Florida; provided that for the avoidance of doubt the FLNG2 Collateral shall not be subject to any Specified Asset Sale. “Specified Hedge Agreement”: as defined in clause (i) of the definition of Indebtedness. “Specified Representations”: those representations and warranties made in Sections 3.3(a), 3.3(d), 3.4(a), 3.4(b), 3.4(d), 3.14, 3.19 (subject to customary limitations on the perfection of Liens on the Collateral in financing commitments obtained in connection with Limited Condition Transactions), 3.20 and 3.22. “Specified Transaction”: (a) the transactions contemplated hereby, (b) any Investment that results in a Person becoming a Restricted Subsidiary, (c) any designation of a Subsidiary as a Restricted Subsidiary or an Unrestricted Subsidiary, (d) any Permitted Investment, (e) any Asset Sale that results in a Restricted Subsidiary ceasing to be a Subsidiary of the Borrower and any Disposition of a business unit, line of business or division of the Borrower or a Restricted Subsidiary, in each case whether by merger, consolidation, amalgamation or otherwise and (f) any issuance, incurrence or repayment of Indebtedness (other than Indebtedness incurred or repaid under any revolving credit facility or line of credit in the ordinary course of business), any re-classification of Indebtedness permitted hereunder, and any Restricted Payment. “Standard Securitization Undertakings”: representations, warranties, covenants, indemnities and guarantees of performance entered into by the Borrower or any Subsidiary of the Borrower which the Borrower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 “Stated Maturity Date”: as defined in the definition of “Maturity Date”. “Subject Lien”: as defined in Section 6.6(a). “Subject Transaction”: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 the effect of which is to increase the Borrower’s or any Restricted Subsidiary’s respective equity ownership in such Restricted Subsidiary or (ii) any joint venture for the purpose of increasing the Borrower’s or its relevant Restricted Subsidiary’s ownership interest in such joint venture), in each case that is not prohibited by this Agreement, (c) any disposition of all or substantially all of the assets or Capital Stock of any Subsidiary (or any facility, business unit, line of business, product line or division of the Borrower or a Restricted Subsidiary) not prohibited by this Agreement, (d) the designation of a Restricted Subsidiary as an Unrestricted Subsidiary or an Unrestricted Subsidiary as a Restricted Subsidiary in accordance with this Agreement, (e) any incurrence or prepayment, repayment, redemption, repurchase, defeasance, satisfaction and discharge or refinancing of Indebtedness, (f) the implementation of any Run Rate Initiative, (g) any tax restructuring, (h) [Reserved], (i) the entry into any Customer Contract and/or (j) any other event that by the terms of this Agreement requires pro forma compliance with a test or covenant or requires such test or covenant to be calculated on a pro forma basis. “Subordinated Indebtedness”: (a) with respect to the Borrower, any Indebtedness of the Borrower which is by its terms subordinated in right of payment to the Obligations, and (b) with respect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897275.26-LACSR02A - MSW Guarantor, any Indebtedness of such Guarantor which is by its terms subordinated in right of payment to the Guarantee of such Guarantor. “Subsidiary”: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 (2) any partnership, joint venture, limited liability company or similar entity of which (a) 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 (b) such Person or any Restricted Subsidiary of such Person is a controlling general partner or otherwise controls such entity. For the avoidance of doubt, any entity that is owned at a 50.0% or less level (as described above) shall not be a “Subsidiary” for any purpose under the Loan Documents, regardless of whether such entity is consolidated on the Borrower’s or any of its Restricted Subsidiaries’ financial statements. Unless otherwise specified, all references herein to a “Subsidiary” or to “Subsidiaries” shall refer to a Subsidiary or Subsidiaries of the Borrower. “Successor Company”: as defined in Section 6.9(a)(i). “Successor Guarantor”: as defined in Section 6.9(c)(i). “Super Priority Obligations”: collectively, (1) the obligations incurred pursuant to the Revolving Credit Agreement, (2) the Obligations; (3) the obligations incurred pursuant to the LC Facility; (4) the obligations incurred under the TLB Credit Agreement and (5) any other obligations which, in each case and in accordance with the Loan Documents, are secured on a first lien pari passu basis with the foregoing, including on the FLNG2 Collateral. “Taxes”: all present or future taxes, levies, imposts, duties, deductions, withholdings (including backup withholding), assessments, fees or other charges imposed by any Governmental Authority, including any interest, additions to tax or penalties applicable thereto. “Term Loan”: any Initial Term Loan or Extended Term Loan, as the context may require. “Term Loan Extension Request”: has the meaning provided in Section 2.21(a). “Term Loan Extension Series”: has the meaning provided in Section 2.21(a). “Term SOFR”: (a) for any calculation with respect to a SOFR Loan, the Term SOFR Reference Rate for a tenor comparable to the applicable Interest Period on the day (such day, the “Periodic Term SOFR Determination Day”) that is two (2) U.S. Government Securities Business Days prior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897275.26-LACSR02A - MSW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“Term SOFR Administrator”: CME Group Benchmark Administration Limited (CBA) (or a successor administrator of the Term SOFR Reference Rate selected by the Administrative Agent in its reasonable discretion). “Term SOFR Reference Rate”: the forward-looking term rate based on SOFR. “Terminated Lender”: as defined in Section 2.19. “Termination Conditions”: collectively, (a) the payment in full in cash of the Obligations (other than Unasserted Contingent Obligations) and (b) the expiration or termination of the Commitments. “Test Period”: for any date of determination under this Agreement, the period of four consecutive fiscal quarters then most recently ended for which financial statements have been delivered to the Administrative Agent pursuant to Section 5.1. “TLB Credit Agreement”: that certain credit agreement, dated as of October 30, 2023, among the Borrower, as borrower, the guarantors from time to time party thereto, the lenders from time to time party thereto and Morgan Stanley Senior Funding, Inc., as administrative agent and as collateral agent. “Total Capital”: in respect of any date, the sum of (a) the outstanding amounts of Term Loans on such date (assuming the Term Loans were incurred by the FLNG2 Subsidiaries) and (b) the aggregate amount of cash which shall have been received by the FLNG2 Subsidiaries on or prior to such date as common equity contributions minus any dividends, payments or distributions made by any FLNG2 Subsidiary to any Person other than to another FLNG2 Subsidiary on account of any FLNG2 Subsidiary’s Equity Interests. “Total Outstandings”: the aggregate Outstanding Amount of all Loans of all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897275.26-LACSR02A - MSW “Trade Secrets”: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 “Transaction Costs”: fees, premiums, expenses, closing payments and other similar transaction costs (including original issue discount or upfront fees) payable or otherwise borne by the Borrower and/or the Guarantors in connection with the Transactions. “Transactions”: (a) the execution, delivery and performance of the Loan Documents and the Borrowings hereunder, (b) the establishment of the Debt Service Reserve Account and the funding of the Debt Service Reserve Amount therein on the Completion Date, (c) the Project (and the required equity contributions of the Borrower pursuant to Sections 4.2 and 4.3 hereof) and (d) and the payment of Transaction Costs. “Transferee”: as defined in Section 9.14. “Treasury Capital Stock”: as defined in Section 6.1(b)(viii). “Type”: when used in reference to any Loan or Borrowing, refers to whether the rate of interest on such Loan, or on the Loans comprising such Borrowing, is determined by reference to Term SOFR or the Base Rate. “UK Financial Institution”: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the Bank of England or any other public administrative authority having responsibility for the resolution of any UK Financial Institution. “Unadjusted Benchmark Replacement”: the applicable Benchmark Replacement excluding the related Benchmark Replacement Adjustment. “Unasserted Contingent Obligations”: at any time, Obligations for taxes, costs, indemnifications, reimbursements, damages and other liabilities (excluding Obligations in respect of the principal of, and interest and premium (if any) on, any Obligation) in respect of which no assertion of liability and no claim or demand for payment has been made (and, in the case of Obligations for indemnification, no notice for indemnification has been issued by the indemnitee at such time). “Undrawn Commitment Fees”: as defined in Section 2.8(b). “Uniform Commercial Code” or “UCC”: the Uniform Commercial Code (or any similar or equivalent legislation) as in effect in any applicable jurisdiction. “Unrestricted Subsidiary”: (1) any Subsidiary of the Borrower which at the time of determination is an Unrestricted Subsidiary (as designated by the Borrower, as provided below); (2) any Subsidiary of an Unrestricted Subsidiary;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897275.26-LACSR02A - MSW (3) as of the Closing Date, NFE South Power Holdings Limited and each of its Subsidiaries, and NFE South Power Buyback Holdings Limited. The Borrower may designate (or redesignate) any Subsidiary of the Borrower (including any existing Subsidiary and any newly acquired or newly formed Subsidiary, but other than any FLNG2 Subsidiary) to be an Unrestricted Subsidiary or any Unrestricted Subsidiary as a Restricted Subsidiary; provided that: (a) 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 (b) as of the date of the designation thereof, no Unrestricted Subsidiary shall own any Capital Stock in any Restricted Subsidiary of the Borrower or hold any Indebtedness of or any Lien on any property of the Borrower or any Restricted Subsidiary; and (c) as of the date of the designation thereof, such Unrestricted Subsidiary is not a “restricted subsidiary” for purposes of any Existing Indenture or any other agreement governing any other Equal Priority Obligations.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determined by the Borrower in good faith (and such designation shall only be permitted to the extent such Investment is permitted under Section 6.1).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Borrower in Unrestricted Subsidiaries pursuant to the preceding sentence in an amount equal to the Fair Market Value at the date of such designation of the Borrower’s or its Restricted Subsidiary’s Investment in such Subsidiary. Any such designation by the Borrower shall be notified by the Borrower to the Administrative Agent by promptly providing an Officer’s Certificate certifying that such designation complied with the foregoing provisions. “U.S.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 “U.S. Tax Compliance Certificate”: as defined in Section 2.17(g). “Voting Stock”: of any Person, as of any date, means shares of such Person’s Capital Stock that are at the time generally entitled, without regard to contingencies, to vote in the election of the Board of Directors of such Person. “Weighted Average Life to Maturity”: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897275.26-LACSR02A - MSW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 “Wholly-Owned Restricted Subsidiary”: any Wholly-Owned Subsidiary that is a Restricted Subsidiary. “Wholly-Owned Subsidiary”: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 “Write-Down and Conversion Powers”: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1.2 Other Definitional Provisions; Rules of Construction. (a) Unless otherwise specified therein, all terms defined in this Agreement shall have the defined meanings when used in the other Loan Documents or any certificate or other document made or delivered pursuant hereto or thereto. (b)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 The words “include,” “includes” and “including” shall be deemed to be followed by the phrase “without limitation.” The word “will” shall be construed to have the same meaning and effect as the word “shall.” Provisions apply to successive events and transactions. (c) The meanings given to terms defined herein shall be equally applicable to both the singular and plural forms of such terms; “or” is not exclusive. (d) As used herein and in the other Loan Documents, references to agreements or other Contractual Obligations shall, unless otherwise specified, be deemed to refer to such agreements or Contractual Obligations as amended, restated, amended and restated, replaced, refinanced, supplemented or otherwise modified from time to time (subject to any restrictions on such amendments, restatements, replacements, refinancings, supplements or other modifications set forth herein or in any other Loan Document). Any reference to any Law shall include all statutory and regulatory provisions consolidating, amending, replacing or interpreting such Law and any reference to any Law shall, unless otherwise specified, refer to such Law as amended, supplemented or otherwise modified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897275.26-LACSR02A - MSW (e) The words “asset” and “property” shall be construed to have the same meaning and effect and to refer to any and all tangible and intangible assets and properties, including cash, securities, accounts and contract rights. (f) Any reference herein to any Person shall be construed to include such Person’s permitted successors and assigns. (g) 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 (h) The Administrative Agent does not warrant nor accept any responsibility nor shall the Administrative Agent have any liability with respect to (i) any Benchmark Replacement Conforming Changes, (ii) the administration, submission or any matter relating to the rates in the definition of Benchmark or with respect to any rate that is an alternative, comparable or successor rate thereto or (iii) the effect of any of the foregoing. Section 1.3 Accounting Terms and Principles. (a) Generally.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ratios and other financial calculations, and principles of consolidation, where appropriate) required to be submitted pursuant to this Agreement shall be prepared in conformity with, GAAP, as in effect from time to time, except as otherwise specifically prescribed herein. (b) Changes in GAAP. If at any time any change in GAAP would affect the computation of any financial ratio or requirement set forth in any Loan Document, and either the Borrower or the Required Lenders shall so request, the Administrative Agent and the Borrower shall negotiate in good faith to amend such ratio or requirement to preserve the original intent thereof in light of such change in GAAP;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Section 1.4 Timing of Payment or Performance. When the payment of any obligation or the performance of any covenant, duty or obligation is stated to be due or performance required on a day which is not a Business Day, the date of such payment (other than as described in the definition of “Interest Period” and in the definition of “Maturity Date”) or performance shall extend to the immediately succeeding Business Day. Section 1.5 Currency Equivalents Generally. (a) For purposes of determining compliance with Sections 6.1, 6.3 and 6.6 with respect to any amount of Indebtedness or Investment in a currency other than Dollars, no Default or Event of Default shall be deemed to have occurred solely as a result of changes in rates of currency exchange occurring after the time such Indebtedness or Investment is incurred (so long as such Indebtedness or Investment, at the time incurred, made or acquired, was permitted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3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897275.26-LACSR02A - MSW (b) For purposes of this Agreement and the other Loan Documents, where the permissibility of a transaction or determination of required actions or circumstances depend upon compliance with, or are determined by reference to, amounts stated in Dollars, any requisite currency translation shall be based on the exchange rate in effect on the Business Day immediately preceding the date of such transaction or determination and shall not be affected by subsequent fluctuations in exchange rates. Section 1.6 Limited Condition Transactions. (a) In connection with any action being taken solely in connection with a Limited Condition Transaction, for purposes of: (i) determining compliance with any provision of this Agreement that requires the calculation of the Fixed Charge Coverage Ratio, Consolidated Total Debt Ratio, Consolidated First Lien Debt Ratio or Consolidated Secured Debt Ratio; (ii) determining whether a Default or Event of Default shall have occurred and be continuing (or any subset of Defaults or Events of Default); or (iii) testing availability under baskets, ratios or financial metrics under this Agreement (including those measured as a percentage of Consolidated EBITDA, Fixed Charges or Consolidated Total Assets or by reference to clause (2) of Section 6.1(a)); in each case, at the option of the Borrower, any of its Restricted Subsidiaries or any successor entity of any of the foregoing (including a third party) (the “Testing Party”, and the election to exercise such option in connection with any Limited Condition Transaction, an “LCT Election”), with such option to be exercised on or prior to the date of execution of the definitive agreements, submission of notice or the making of a definitive declaration, as applicable, with respect to such Limited Condition Transaction, the date of determination of whether any such action is permitted under this Agreement, shall be deemed to be (a) the date the definitive agreements (or, if applicable, a binding offer or 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“Rule 2.7 announcement” of a firm intent to make an offer or similar announcement or determination in another jurisdiction subject to laws similar to the United Kingdom City Code on Takeovers and Mergers (as applicable, the “LCT Test Date”) is made, and if, after giving pro forma effect to the Limited Condition Transaction and the other transactions to be entered into in connection therewith (including any acquisitions or Investments) as if they had occurred at the beginning of the most recent fiscal quarter for which financial statements have been delivered to the Administrative Agent pursuant to Section 5.1 ending prior to the LCT Test Date, the Borrower could have taken such action on the relevant LCT Test Date in compliance with such ratio, basket or financial metric, such ratio, basket or financial metric shall be deemed to have been complied with. (b) 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Consolidated EBITDA of the Borrower, the target company or the Person subject to such Limited Condition Transaction, at or prior to the consummation of the relevant transaction or action, such ratios, baskets or financial metrics will not be deemed to have been exceeded as a result of such fluctuations and such baskets, ratios or financial metrics shall not be tested at the consummation of the Limited Condition Transaction except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3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897275.26-LACSR02A - MSW contemplated in clause (a) of the immediately succeeding proviso; provided, however,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LCT Test Date, (b) if any ratios or financial metrics improve or baskets increase as a result of such fluctuations, such improved ratios, financial metrics or baskets may be utilized and (c) Fixed Charges with respect to any Indebtedness expected to be incurred in connection with such Limited Condition Transaction will, for purposes of the Fixed Charge Coverage Ratio, be 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 Transaction, then, in connection with any subsequent calculation of the ratios, baskets or financial metrics on or following the relevant LCT Test Date and prior to the earlier of (i) 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Agreement. Section 1.7 Certain Compliance Determinations. (a) Notwithstanding anything to the contrary herein, but subject to Section 1.6 and clauses (b) and (c) of this Section 1.7, all financial ratios, tests, covenants, calculations and measurements (including Consolidated Total Debt Ratio, Consolidated Secured Debt Ratio, Consolidated First Lien Debt Ratio, Fixed Charge Coverage Ratio, Consolidated Interest Expense, Fixed Charges, Consolidated Net Income, Consolidated Total Assets, Consolidated EBITDA, any Fixed Amount or any Incurrence-Based Amount) contained in this Agreement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Borrower instead, so long as such parent company does not hold any material assets other than, directly or indirectly, the Equity Interests of the Borrower (as determined in good faith by the Board of Directors or senior management of the Borrower (or any parent company of the Borrower)).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Borrower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“run rate” income described, and calculated as set forth, in clause (e)(i) of the definition of Consolidated EBITDA) had occurred at the beginning of the applicable period. (b) For purposes of determining the permissibility of any action, change, transaction or event that requires a calculation of any Fixed Amounts, Incurrence-Based Amounts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897275.26-LACSR02A - MSW financial ratio, test, covenant, calculation or measurement (including Consolidated Total Debt Ratio, Consolidated Secured Debt Ratio, Consolidated First Lien Debt Ratio, Fixed Charge Coverage Ratio, Consolidated Interest Expense, Fixed Charges, Consolidated Net Income, Consolidated Total Assets and Consolidated EBITDA), such Fixed Amounts, Incurrence-Based Amounts or financial ratio, test, covenant, calculation or measurement shall be calculated at the time such action is taken (subject to Section 1.6), such change is made, such transaction is consummated or such event occurs, as the case may be, and no Default or Event of Default shall be deemed to have occurred solely as a result of a change in such Fixed Amounts, Incurrence-Based Amounts or financial ratio, test, covenant, calculation or measurement occurring after the time such action is taken, such change is made, such transaction is consummated or such event occurs, as the case may be. (c) Notwithstanding anything in this Agreement to the contrary, with respect to any amounts incurred or transactions entered into (or consummated) in reliance on a provision of this Agreement (including any covenant), including in connection with any Limited Condition Transaction, that does not require compliance with a financial ratio or test (including Consolidated Secured Debt Ratio, Consolidated Total Debt Ratio, Consolidated First Lien Debt Ratio, and/or Fixed Charge Coverage Ratio) (any such amounts, the “Fixed Amounts”) substantially concurrently (or in connection with the same Limited Condition Transaction) with any amounts incurred or transactions entered into (or consummated) in reliance on a provision of this Agreement that requires compliance with a financial ratio or test (including Consolidated Secured Debt Ratio, Consolidated Total Debt Ratio, Consolidated First Lien Debt Ratio and/or Fixed Charge Coverage Ratio) (any such amounts, the “Incurrence-Based Amounts”), it is understood and agreed that the Fixed Amounts shall be disregarded in the calculation of the financial ratio or test applicable to the Incurrence-Based Amounts. (d) Notwithstanding anything in this Agreement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 (ii) used to finance working capital needs of the Borrower and its Restricted Subsidiaries (as reasonably determined by the Borrower). (e) For purposes of determining compliance at any time with Sections 6.1, 6.2, 6.3, 6.4, 6.5 and 6.6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Section 6.3, any clause of the definition of “Permitted Liens,” clause (2) of Section 6.1(a) or any clause of Section 6.1(b), any clause of Section 6.2(b), any clause of the definition of “Permitted Investment”, any clause of the definition of “Asset Sale” and any dispositions constituting exceptions thereto and any clause under Section 6.5, the Borrower, in its sole discretion, may, from time to time, classify or reclassify such transaction or item (or portion thereof) among baskets within the same covenant (but not across other covenants) and will only be required to include the amount and type of such transaction (or portion thereof) in any one category; provided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 Based Amount.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897275.26-LACSR02A - MSW (f) Notwithstanding anything in this Agreement to the contrary, so long as an action was taken (or not taken) in reliance upon a basket, ratio or test under this Agreement that was calculated or determined in good faith by a responsible financial or accounting officer of the Borrower based upon financial information available to such officer at such time and such action (or inaction) was permitted under this Agreement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Agreement. (g) For purposes of any determination under this Agreement (other than the calculation of compliance with any financial ratio for purposes of taking any action under this Agreement) with respect to the amount of any Indebtedness, Lien, Restricted Payment, Investment, Asset Sale, Sale and Lease-Back Transaction, Affiliate Transaction or other transaction, event or circumstance, or any determination under any other provision of this Agreement (any of the foregoing, a “specified transaction”) requiring the use of a current exchange rate, (i) the equivalent amount in U.S. dollars of a specified transaction in a currency other than U.S. dollars shall be calculated based on the relevant exchange rate, as may be determined by the Borrower in good faith, for such foreign currency (the “Exchange Rate”) on the date of such determination (which, in the case of any Restricted Payment, shall be deemed to be the date of the declaration thereof and, in the case of the incurrence of Indebtedness, shall be deemed to be on the date first committed); provided,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Section 6.3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Agreement, on any relevant date of determination, amounts denominated in currencies other than U.S. dollars shall be translated into U.S. dollars at the applicable Exchange Rate used in preparing the financial statements delivered pursuant to Section 5.1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Agreement in respect of currency exchange risks with respect to the applicable currency in effect on the date of determination for the U.S. dollar equivalent amount of such Indebtedness. (h) For purposes of the calculation of the Consolidated First Lien Debt Ratio, Consolidated Secured Debt Ratio, Consolidated Total Debt Ratio, Debt to Total Capitalization Ratio and Fixed Charge Coverage Ratio, in connection with the incurrence of any Indebtedness pursuant to Section 0, such Person may elect to treat all or any portion of the commitment (such amount elected until revoked as described below, the “Elected Amount”) under any Indebtedness which is to be incurred (or any commitment in respect thereof) or secured by such Lien (whether by the Borrower, its Restricted Subsidiaries or any third party), as the case may be, as being incurred or secured, as the case may be, as of the date of determination and (i) any subsequent incurrence of such Indebtedness under such commitment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897275.26-LACSR02A - MSW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 subsequent calculations of the Consolidated First Lien Debt Ratio, Consolidated Secured Debt Ratio, Consolidated Total Debt Ratio, Debt to Total Capitalization Ratio and Fixed Charge Coverage Ratio, the Elected Amount (if any) shall be deemed to be outstanding, whether or not such amount is actually outstanding. Section 1.8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1.9 FLNG2 Collateral. Notwithstanding anything herein to the contrary,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FLNG2 Assets or any Reinvested Assets other than Immaterial FLNG2 Maintenance Transactions or (ii) at any time prior to the Completion Date, any Equity Interests in any FLNG2 Subsidiaries, in each case to any entity other than a Wholly-Owned Restricted Subsidiary that is a Guarantor; provided that such Guarantor satisfies the requirements of Section 5.10. Prior to the Completion Date, each FLNG2 Subsidiary shall be, directly or indirectly, 100% owned by the Borrower. SECTION 2. LOANS Section 2.1 Loans. (a) Loan Commitments. Subject to the terms and conditions hereof, each Lender with an Initial Term Loan Commitment severally agrees to make Initial Term Loans to the Borrower from time to time on each Initial Term Loan Funding Date prior to the Initial Term Loan Commitment Termination Date in an aggregate principal amount not to exceed such Lender’s Initial Term Loan Commitment at such time. All Loans shall be denominated in Dollars. Each Lender’s Initial Term Loan Commitment shall automatically be reduced by the amount of each Initial Term Loan made by such Lender, such reduction to be effective immediately following the making of such Initial Term Loan by such Lender. The Loans are not revolving in nature, and amounts borrowed under this Section 2.1 and repaid may not be reborrowed. The Loans may be SOFR Loans or Base Rate Loans, as provided herein. (b) Borrowing Mechanics for Loans. (i) The Borrower shall deliver to the Administrative Agent a fully executed Funding Notice no later than 12:00 p.m. (noon) (New York City time) (x) on the date of the proposed Borrowing with respect to Base Rate Loans and (y) three U.S. Government Securities Business Days prior to the date of the proposed Borrowing with respect to SOFR Loans (or such later time as may be acceptable to the Administrative Agent). Promptly upon receipt by the Administrative Agent of such Funding Notice, the Administrative Agent shall notify each Lender of the proposed borrowing. If no election as to the Type of Borrowing is specified, then the requested Borrowing shall be a Base Rate Borrowing. If no Interest Period is specified with respect to any requested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897275.26-LACSR02A - MSW Borrowing, then the Borrower shall be deemed to have selected an Interest Period of one month’s duration. (ii) Each Lender shall make its Loan available to the Administrative Agent not later than 1:00 p.m. (New York City time) on the applicable Initial Term Loan Funding Date, by wire transfer of same day funds in Dollars, at the principal office designated by Administrative Agent. Upon satisfaction or waiver of the conditions precedent specified herein, the Administrative Agent shall make the proceeds of the Loans available to the Borrower on the applicable Initial Term Loan Funding Date by causing an amount of same day funds in Dollars equal to the proceeds of all such Loans received by the Administrative Agent from Lenders to be credited to the account of the Borrower at the Principal Office designated by the Administrative Agent or to such other account as may be designated in writing to the Administrative Agent by the Borrower. (iii) At the commencement of each Interest Period for any Borrowing of SOFR Loans, such Borrowing shall be in an aggregate amount that is an integral multiple of $100,000 and not less than $1,000,000; provided that a Borrowing of SOFR Loans that results from a continuation of an outstanding Borrowing of SOFR Loans may be in an aggregate amount that is equal to such outstanding Borrowing. At the time that each Borrowing of Base Rate Loans is made, such Borrowing shall be in an aggregate amount that is an integral multiple of $100,000 and not less than $1,000,000. Section 2.2 Pro Rata Shares; Availability of Funds. (a) Pro Rata Shares. All Loans shall be made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result of a default by any other Lender in such other Lender’s obligation to make a Loan requested hereunder or purchase a participation required hereby. (b) Availability of Funds. Unless the Administrative Agent shall have been notified by any Lender prior to the date of any Borrowing that such Lender does not intend to make available to the Administrative Agent the amount of such Lender’s share of the Borrowing, the Administrative Agent may assume that such Lender has made such amount available to the Administrative Agent on such date and the Administrative Agent may, in its sole discretion, but shall not be obligated to, make available to the Borrower a corresponding amount. If such corresponding amount is not in fact made available to the Administrative Agent by such Lender, the Administrative Agent shall be entitled to recover such corresponding amount on demand from such Lender, together with interest thereon, for each day from and including the date such amount is made available to the Borrower to but excluding the date such amount is paid to the Administrative Agent, at the customary rate set by the Administrative Agent for the correction of errors among banks for three Business Days and thereafter at the Base Rate. If such corresponding amount is not in fact made available to the Administrative Agent forthwith upon the Administrative Agent’s demand therefor, the Administrative Agent shall promptly notify the Borrower and the Borrower shall immediately pay such corresponding amount to the Administrative Agent together with interest thereon, for each day from and including the date such amount is made available to the Borrower to but excluding the date such amount is paid to the Administrative Agent, at the rate payable hereunder for Base Rate Loans. If the Borrower and such Lender shall pay such interest to the Administrative Agent for the same or an overlapping period, the Administrative Agent shall promptly remit to the Borrower the amount of such duplicative interest paid by the Borrower for such period. In the event that (i) the Administrative Agent declines to make a requested amount available to the Borrower until such time as all applicable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897275.26-LACSR02A - MSW have made payment to the Administrative Agent, (ii) a Lender fails to fund to the Administrative Agent all or any portion of the Loans required to be funded by such Lender hereunder prior to the time specified in this Agreement and (iii) such Lender’s failure results in the Administrative Agent failing to make a corresponding amount available to the Borrower on the requested date of the applicable Borrowing, at the Administrative Agent’s option, such Lender shall not receive interest hereunder with respect to the requested amount of such Lender’s Loans for the period commencing with the time specified in this Agreement for receipt of payment by the Borrower through and including the time of the Borrower’s receipt of the requested amount. Nothing in this Section 2.2(b) shall be deemed to relieve any Lender from its obligation to fulfill its Commitments hereunder or to prejudice any rights that the Borrower may have against any Lender as a result of any default by such Lender hereunder. Section 2.3 Repayment of Term Loans. To the extent not previously paid, all Loans shall be due and payable on the Maturity Date. Section 2.4 Evidence of Debt; Register; Lenders’ Books and Records; Loan Notes. (a) Lenders’ Evidence of Debt. Each Lender shall maintain on its internal records an account or accounts evidencing the Borrower Obligations to such Lender, including the amounts of the Loans made by it and each repayment and prepayment in respect thereof. Any such recordation shall be conclusive and binding on the Borrower and each other Loan Party, absent manifest error; provided that the failure to make any such recordation, or any error in such recordation, shall not affect the Borrower Obligations in respect of any Loans; and provided further, in the event of any inconsistency between the Register and any Lender’s records, the recordations in the Register shall govern. (b) Register. The Administrative Agent (or its agent or sub-agent appointed by it), acting solely as a non-fiduciary agent of the Borrower for purposes of maintaining the Register (as defined below), shall maintain at its Principal Office (which Principal Office shall be in the United States) a copy of each Assignment and Acceptance delivered to it and a register for the recordation of the names and addresses of Lenders (and each assignee thereof) and the Commitments and Loans (and related stated interest amounts) of each Lender from time to time (the “Register”). The Register shall be available for inspection by the Borrower or any Lender (provided that any such Lender may only inspect any entry relating to such Lender’s Commitments and Loans) at any reasonable time and from time to time upon reasonable prior notice. The Administrative Agent shall record, or shall cause to be recorded, in the Register the Commitments and the Loans (and related interest amounts), as well as any assignments thereof, in accordance with the provisions of Section 9.6, and each repayment or prepayment in respect of the principal amount (and related interest amounts) of the Loans, and any such recordation shall be conclusive and binding on the Borrower, each other Loan Party and each Lender, absent manifest error. The parties hereto shall treat each Person listed in the Register as the owner of the applicable Loan, notwithstanding notice to the contrary. This Section 2.4(b) is intended to establish a “book entry system” within the meaning of United States Treasury Regulations Section 5f.103-1(c)(1)(ii) and shall be interpreted consistently with such intent. (c) Loan Notes. If so requested by any Lender by written notice to the Borrower (with a copy to the Administrative Agent) at least two Business Days prior to the Closing Date, or at any time thereafter, the Borrower shall execute and deliver to such Lender (and/or, if applicable and if so specified in such notice, to any Person who is an Assignee of such Lender pursuant to Section 9.6) on the Closing Date (or, if such notice is delivered after the Closing Date, promptly after the Borrower’s receipt of such notice) a Loan Note to evidence such Lender’s Loans provided that the delivery of such Loan Notes shall not be a condition to closing on the Closing Date. Section 2.5 Interest on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897275.26-LACSR02A - MSW (a) Except as otherwise set forth herein, each Loan shall bear interest on the unpaid principal amount thereof from the date made through repayment (whether by acceleration or otherwise) thereof as follows: (i) if a Base Rate Loan, at the Base Rate plus the Applicable Margin; or (ii) if a SOFR Loan, at the Term SOFR plus the Applicable Margin. (b) The basis for determining the rate of interest with respect to any Loan, and the Interest Period with respect to any SOFR Loan, shall be selected by the Borrower and notified to the Administrative Agent and Lenders pursuant to the applicable Funding Notice or Conversion/Continuation Notice, as the case may be. (c) In connection with SOFR Loans there shall be no more than ten (10) Interest Periods outstanding at any time. In the event the Borrower 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 (if not then outstanding) will be made as, a Base Rate Loan). In the event the Borrower fails to specify an Interest Period for any SOFR Loan in the applicable Funding Notice or Conversion/Continuation Notice, the Borrower shall be deemed to have selected an Interest Period of one month. As soon as practicable after 10:00 a.m. (New York City time) on each Periodic Term SOFR Determination Day, the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or by telephone confirmed in writing) to the Borrower and each Lender. (d) Interest payable pursuant to clause (a) shall be computed (i) in the case of Base Rate Loans on the basis of a 365 day or 366 day year, as the case may be, and (ii) in the case of SOFR Loans, on the basis of a 360 day year, in each case for the actual number of days elapsed in the period during which it accrues. In computing interest on any Loan, the date of the making of such Loan or the first day of an Interest Period applicable to such Loan or the last Interest Payment Date with respect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provided, if a Loan is repaid on the same day on which it is made, one day’s interest shall be paid on that Loan. (e) Except as otherwise set forth herein, interest on each Loan shall accrue on a daily basis and shall be payable in arrears on (i) each Interest Payment Date with respect to interest accrued on and to each such payment date; and (ii) upon any prepayment of that Loan, to the extent accrued on the amount being prepaid (provided, however, with respect to any voluntary prepayment of a Base Rate Loan, accrued interest shall instead be payable on the applicable Interest Payment Date). (f) In connection with the use or administration of Term SOFR, the Administrative Agent will have the right to make Benchmark Replacement Conforming Changes from time to time in consultation with the Borrower (provided that, any such consultation shall not be required with respect to any determination by the Administrative Agent as to whether any market practice or convention is administratively feasible) and, notwithstanding anything to the contrary herein or in any other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897275.26-LACSR02A - MSW Document, any amendments implementing such Benchmark Replacement Conforming Changes will become effective without any further action or consent of any other party to this Agreement or any other Loan Document. The Administrative Agent will promptly notify the Borrower and the Lenders of the effectiveness of any Benchmark Replacement Conforming Changes in connection with the use or administration of Term SOFR. Section 2.6 Conversion/Continuation. (a) Subject to Section 2.15 and so long as no Default or Event of Default shall have occurred and then be continuing, the Borrower shall have the option: (i) to convert at any time all or any part of any Loan (in an amount permitted by Section 2.1(b)(iii)) from one Type of Loan to another Type of Loan; provided, a SOFR Loan may only be converted on the expiration of the Interest Period applicable to such SOFR Loan unless the Borrower shall pay all amounts due under Section 2.15 in connection with any such conversion; or (ii) upon the expiration of any Interest Period applicable to any SOFR Loan, to continue all or any portion of such Loan (in an amount permitted by Section 2.1(b)(iii)) as a SOFR Loan. (b) Subject to clause (c) below, the Borrower shall deliver a Conversion/Continuation Notice to the Administrative Agent no later than 2:00 p.m. (New York City time) at least one Business Day in advance of the proposed conversion date (in the case of a conversion to a Base Rate Loan) and at least three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Periodic Term SOFR Determination Day, and the Borrower shall be bound to effect a conversion or continuation in accordance therewith. If on any day a Loan is outstanding with respect to which a Funding Notice or Conversion/Continuation Notice has not been delivered to the Administrative Agent in accordance with the terms hereof specifying the applicable basis for determining the rate of interest, then for that day such Loan shall be a Base Rate Loan. (c) Any Conversion/Continuation Notice shall be executed by a Responsible Officer of the Borrower in a writing delivered to the Administrative Agent. In lieu of delivering a Conversion/Continuation Notice, the Borrower may give the Administrative Agent telephonic notice by the required time of such proposed conversion or continuation, as the case may be; provided each such notice shall be promptly confirmed in writing by delivery of the applicable Conversion/Continuation Notice to the Administrative Agent on or before the close of business on the date that the telephonic notice is given. In the event of a discrepancy between the telephone notice and the written Conversion/Continuation Notice, the written Conversion/Continuation Notice shall govern. In the case of any Conversion/Continuation Notice that is irrevocable once given, if the Borrower provides telephonic notice in lieu thereof, such telephone notice shall also be irrevocable once given. Neither the Administrative Agent nor any Lender shall incur any liability to the Borrower in acting upon any telephonic notice referred to above that the Administrative Agent believes in good faith to have been given by a duly authorized officer or other person authorized on behalf of the Borrower or for otherwise acting in good faith. Section 2.7 Default Interest. Upon the occurrence and during the continuance of an Event of Default under Section 7.1(a)(1), Section 7.1(a)(7) or Section 7.1(a)(8), the overdue principal amount of all Loans outstanding and, to the extent permitted by applicable law, any overdue interest payments on the Loans or any overdue fees or other amounts owed hereunder shall bear interest (including post-petition interest in any proceeding under Bankruptcy Laws (or interest that would have accrued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897275.26-LACSR02A - MSW the commencement of a proceeding but for the commencement of such proceeding)) payable on demand at a rate that is 2% per annum in excess of (i) in the case of overdue principal of any Loan, the interest rate otherwise payable hereunder with respect to the applicable Loans and (ii) in the case of any other amount, the rate applicable to Base Rate Loans. Payment or acceptance of the increased rates of interest provided for in this Section 2.7 is not a permitted alternative to timely payment and shall not constitute a waiver of any Event of Default or otherwise prejudice or limit any rights or remedies of the Administrative Agent or any Lender. Section 2.8 Fees. (a) The Borrower agrees to pay to the Administrative Agent fees in the amounts and at the times set forth in a separate fee letter between the Administrative Agent and the Borrower. (b) The Borrower agrees to pay to the Lenders undrawn commitment fees (“Undrawn Commitment Fees”) equal to (i) the average of the daily difference between the Initial Term Loan Commitments and the aggregate principal amount of all outstanding Initial Term Loans, times (ii) 35% of the Applicable Margin then applicable to SOFR Loans. Such Undrawn Commitment Fees shall be paid to the Administrative Agent and the Administrative Agent shall promptly distribute to each Lender its Pro Rata Share thereof. Such Undrawn Commitment Fees shall be calculated on the basis of a 360-day year and the actual number of days elapsed and shall be paid in arrears on the last Business Day of March, June, September and December of each year, such payment commencing on September 30, 2024 (but accruing beginning on the Closing Date). (c) All fees payable hereunder shall be paid on the dates due, in immediately available funds, to the Administrative Agent for distribution to the Lenders entitled thereto. Section 2.9 [Reserved]. Section 2.10 Voluntary and Mandatory Prepayments. (a) Voluntary Prepayments. (i) The Borrower shall have the right at any time and from time to time to prepay any Borrowing in whole or in part, subject to the requirements of this Section 2.10. (ii) [Reserved]. (iii) Notwithstanding anything in any Loan Document to the contrary, so long as no Event of Default has occurred and is continuing, the Borrower may prepay any Class of outstanding Term Loans at any time on (x) with respect to any SOFR Loan, at least three (3) Business Days’ prior written notice by Borrower to the Administrative Agent and (y) with respect to any Base Rate Loan, at least same day prior written notice by Borrower to the Administrative Agent; provided that any such prepayments or reductions shall be in a minimum principal amount of $1,000,000 or a whole multiple thereof. When a voluntary prepayment of a SOFR Loan is made on a day other than the last day of an Interest Period, such voluntary prepayment must be accompanied by the payment of any Term SOFR funding breakage costs, as applicable, in accordance with Section 2.15(c). Each notice of partial prepayment shall designate the Loans or other Obligations hereunder to which such prepayment is to be applied, and any notice delivered pursuant to this Section 2.10 may be conditioned on the occurrence of one or more events described in the applicable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4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897275.26-LACSR02A - MSW (b) Mandatory. (i) Within ten (10) Business Days after financial statements have been delivered pursuant to Section 5.1(a) and Section 5.1(b) (commencing with the first full fiscal quarter after the Completion Date) and the related Compliance Certificate has been delivered pursuant to Section 5.2(a), the Borrower shall prepay an aggregate principal amount of Term Loans in an amount equal to (A) 100% of Excess Cash Flow minus (B) the sum of, without duplication, all voluntary prepayments or permitted purchases of Term Loans during such Excess Cash Flow Period or, without duplication across Excess Cash Flow Periods, after the end of such Excess Cash Flow Period and prior to when such Excess Cash Flow prepayment is due minus (C) the aggregate amount deposited into the Debt Service Reserve Account (such that amounts on deposit therein are equal to or less than the Debt Service Reserve Amount), during such Excess Cash Flow Period or, without duplication across Excess Cash Flow Periods, after the end of such Excess Cash Flow Period and prior to when such Excess Cash Flow prepayment is due. (ii) If (x) the Borrower or any of its Subsidiaries consummates an Asset Sale (subject at all times to the restrictions set forth in Section 6.4(c) that prohibit the sale of any FLNG2 Collateral) or (y) any Recovery Event occurs, and the transactions described in the foregoing clauses (x) and (y) result in the receipt by the Borrower and its Subsidiaries of Net Proceeds (any such transaction or series of related transactions being a “Relevant Transaction”), the Borrower shall give written notice to the Administrative Agent thereof promptly after the date of receipt of such Net Proceeds and the Borrower shall, prepay an aggregate principal amount of Term Loans in an amount equal to the Net Proceeds received from such Relevant Transaction within five (5) Business Days of receipt thereof by the Borrower or such Subsidiary; provided that, the Borrower (or any Restricted Subsidiary) may use such Net Proceeds to prepay or offer to repurchase, on a ratable basis (determined on the basis of the aggregate outstanding principal amount of the Term Loans and the Other Applicable Indebtedness at such time), (A) Permitted Pari Passu Secured Refinancing Debt (as defined in the TLB Credit Agreement as of the date hereof) or any other Indebtedness permitted hereunder to the extent secured by Liens on the Collateral on a pari passu basis with the Obligations (or, in each case, any Refinancing Indebtedness incurred in respect thereof that is secured by Liens on the Collateral on a pari passu basis with the Obligations) or (B) Indebtedness under the Equal Priority Obligations existing on the date hereof pursuant to the terms of the documentation governing such Indebtedness (such Permitted Pari Passu Secured Refinancing Debt, Indebtedness under the Equal Priority Obligations or such other Indebtedness (or such Refinancing Indebtedness incurred in respect thereof) which the borrower elects to prepay or offer to repurchase, “Other Applicable Indebtedness”); provided further that if the Relevant Transaction involves (1) an Asset Sale (including a Specified Asset Sale) constituting Collateral (other than FLNG2 Assets) so long as the aggregate Net Proceeds do not exceed $350 million or (2) any Asset Sale of assets not constituting Collateral, then the Net Proceeds of such assets may be applied to Other Applicable Indebtedness (other than Indebtedness under the Revolving Credit Agreement, LC Facility or other revolving indebtedness that constitutes Equal Priority Obligations unless such prepayment is accompanied by permanent reductions of the commitments thereunder) on a non-ratable basis, and the amount of prepayment of the Term Loans that would have otherwise been required pursuant to this Section 2.10(b)(ii) shall be reduced accordingly; provided, further, that to the extent the holders of Other Applicable Indebtedness decline to have such Indebtedness repurchased or prepaid, the declined amount shall promptly (and in any event within ten (10) Business Days after the date of such rejection) be applied to prepay the Term Loans (and any Other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4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897275.26-LACSR02A - MSW Indebtedness required to be repaid with such declined amount) in accordance with the terms hereof; provided further that if the Recovery Event involves any FLNG2 Collateral, the Borrower shall cause to be prepaid an aggregate principal amount of Term Loans in an amount equal to 100% of all Net Proceeds received therefrom, on or prior to the date that is five (5) Business Days after the later of (i) receipt by the Borrower or any of its Restricted Subsidiaries of such Net Proceeds and (ii) a determination that any proceeds of such Recovery Event are Net Proceeds in accordance with sub-clauses (II) and (III) of the proviso in sub-clause (a) of the definition thereof; provided further that if the Borrower or any of its Subsidiaries disposes of any FLNG2 Collateral in breach of this Agreement, the Borrower shall cause to be prepaid an aggregate principal amount of Term Loans in an amount equal to 100% of all Net Proceeds received therefrom on or prior to the date that is one (1) Business Days after the receipt by the Borrower or any of its Restricted Subsidiaries of such Net Proceeds (without the ability by the Borrower to reinvest such Net Proceeds as set forth in the definition of “Net Proceeds”). (iii) If the Borrower or any of its Restricted Subsidiaries incurs or issues any Indebtedness, Disqualified Stock or Preferred Stock after the Closing Date not permitted to be incurred or issued pursuant to Section 6.3, the Borrower shall cause to be prepaid an aggregate principal amount of Term Loans in an amount equal to 100% of all Net Proceeds received therefrom on or prior to the date which is five (5) Business Days after the receipt by the Borrower or a Guarantor of such Net Proceeds. (iv) If the Borrower or any of its Subsidiaries receives any Extraordinary MPD Payments, the Borrower shall cause to be prepaid an aggregate principal amount of Term Loans in an amount equal to 100% of the Net Proceeds of such Extraordinary MPD Payments on or prior to the date which is five (5) Business Days after the later of (i) receipt by the Borrower or any of its Subsidiaries of such Net Proceeds and (ii) a determination that any proceeds of such Extraordinary MPD Payment are Net Proceeds in accordance with the proviso in sub-clause (c) of the definition thereof; (v) Each prepayment of Term Loans pursuant to Section 2.10(a)(iii) (A) shall be applied either (x) ratably to each Class of Term Loans then outstanding or (y) as requested by the Borrower in the notice delivered pursuant to clause (vi) below, and to the extent permitted pursuant to clause (2) of the immediately following sentence below, to any Class or Classes of Term Loans with a Maturity Date preceding the Maturity Date of the other Classes of Term Loans then outstanding, (B) shall be applied, with respect to each such Class for which prepayments will be made, in a manner determined at the discretion of the Borrower in the applicable notice and (C) shall be paid to the Appropriate Lenders in accordance with their respective pro rata share (or other applicable share provided by this Agreement) of each such Class of Term Loans, subject to clause (vi) of this Section 2.10(b). (vi) The Borrower shall notify the Administrative Agent in writing of any mandatory prepayment of Term Loans required to be made by the Borrower pursuant to clauses (i) through (iv) of this Section 2.10(b) at least five (5) Business Days prior to the date of such prepayment. Each such notice shall specify the date of such prepayment and provide a reasonably detailed calculation of the aggregate amount of such prepayment to be made by the Borrower. The Administrative Agent will promptly notify each Appropriate Lender of the contents of the Borrower’s prepayment notice and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4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897275.26-LACSR02A - MSW Appropriate Lender’s Pro Rata Share of the prepayment. Each Lender with a Commitment may reject all or a portion of its Pro Rata Share of any mandatory prepayment (such declined amounts, the “Declined Proceeds”) of Term Loans required to be made (other than a prepayment required to be made pursuant to clause (iii) of this Section 2.10(b)) by providing written notice (each, a “Rejection Notice”) to the Administrative Agent and the Borrower no later than 5:00 p.m. one (1) Business Day after the date of such Lender’s receipt of notice from the Administrative Agent regarding such prepayment. Each Rejection Notice from a given Lender shall specify the principal amount of the mandatory repayment of Term Loans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shall be retained by the Borrower but shall not increase the amount of Restricted Payments able to be made under Section 6.1(a)(2). (vii) Foreign Dispositions. Notwithstanding any other provisions of this Section 2.10, (i) to the extent that any of or all the Net Proceeds of any Disposition by a Foreign Subsidiary (“Foreign Disposition”), the Net Proceeds of any Recovery Event from a Foreign Subsidiary (a “Foreign Recovery Event”) or Excess Cash Flow attributable to Foreign Subsidiaries would be (x) prohibited or delayed by applicable local law from being repatriated to the United States or (y) restricted by applicable material constituent documents, solely as a result of minority ownership and so long as such restrictions were not implemented for the purpose of avoiding such mandatory prepayment requirements, an amount equal to the Net Proceeds or Excess Cash Flow that would be so affected were the Borrower or a Restricted Subsidiary to attempt to repatriate such cash will not be required to be applied to repay Term Loans at the times provided in this Section 2.10(b) but may be retained by the applicable Foreign Subsidiary so long, but only so long, as the applicable local law or applicable material constituent documents (solely as a result of minority ownership) would not permit repatriation to the United States and, if within one year following the date on which the respective prepayment would otherwise have been required such repatriation of any of such affected Net Proceeds or Excess Cash Flow is permissible under the applicable local law documents or applicable material constituent documents (solely as a result of minority ownership), even if such cash is not actually repatriated at such time, an amount equal to the amount of the Net Proceeds or Excess Cash Flow, as applicable, will be promptly (and in any event not later than five Business Days) applied (net of an amount equal to the additional taxes of the Borrower, the Subsidiaries and the direct and indirect holders of Equity Interests in the Borrower that would be payable or reserved against and any additional costs that would be incurred as a result of a repatriation, whether or not a repatriation actually occurs) by the Borrower or the Restricted Subsidiaries to the repayment of the Term Loans pursuant to this Section 2.10(b) to the extent provided herein and (ii) to the extent that the Borrower has determined in good faith that repatriation of any of or all the Net Proceeds of any Foreign Disposition or any Foreign Recovery Event or Excess Cash Flow attributable to Foreign Subsidiaries would have material adverse Tax consequences to Borrower or any of its Affiliates, such Net Proceeds or Excess Cash Flow so affected will not be required to be applied to repay Term Loans at the times provided in this Section 2.10(b); provided that the Borrower will use commercially reasonable efforts to eliminate or reduce any such material adverse Tax consequences to enable such repayment to be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897275.26-LACSR02A - MSW (c) Prepayment Procedures. Prior to any optional or mandatory prepayment of Borrowings under this Section, the Borrower shall select the Borrowing or Borrowings to be prepaid and shall specify such selection in the notice of such prepayment delivered pursuant to the following sentence. All such voluntary or mandatory prepayments shall be made (i) upon written or telephonic notice on the date of prepayment, in the case of Base Rate Loans and (ii) upon not less than (to the extent practicable, in the case of a mandatory prepayment) three U.S. Government Securities Business Days’ prior written or telephonic notice in the case of SOFR Loans, in each case of (i) and (ii), given to the Administrative Agent by 1:00 p.m. (New York City time) on the date required and, if given by telephone, promptly confirmed by delivery of written notice thereof to the Administrative Agent (and the Administrative Agent will promptly advise each applicable Lender of the contents thereof). Any such notice of an optional prepayment of Borrowings to be made prior to the Completion Date shall be accompanied by evidence, reasonably satisfactory to the Administrative Agent (who may consult with the Independent Engineer), that the Borrower and its Subsidiaries have, after giving effect to such optional prepayment, adequate funding to achieve the Completion Date. Upon the giving of any such notice, the principal amount of the Loans specified in such notice shall become due and payable on the prepayment date specified therein; provided that a notice of voluntary prepayment may state that such notice is conditioned upon the effectiveness of other credit facilities, the receipt of proceeds from the issuance of other Indebtedness or the Disposition of assets or the closing of a merger, amalgamation or acquisition transaction, in which case such notice of prepayment may be revoked or extended by the Borrower (by notice to the Administrative Agent on or prior to the specified date) if such condition is not satisfied or delayed in effectiveness, provided that the Borrower shall make any payments required to be made pursuant to Section 2.15(c) in connection therewith. Each partial prepayment of any Borrowing shall be in an amount that would be permitted in the case of an advance of a Borrowing of the same Type as provided in Section 2.1(b), except as necessary to apply fully the required amount of a mandatory prepayment. Each prepayment of a Borrowing shall be applied ratably to the Loans included in the prepaid Borrowing. Prepayments shall be accompanied by accrued interest to the extent required by Section 2.5(e). Section 2.11 [Reserved]. Section 2.12 Benchmark Replacement Setting. (a) Benchmark Replacement. Notwithstanding anything to the contrary herein or in any other Loan Document, if a Benchmark Transition Event and its related Benchmark Replacement Date have occurred prior any setting of the then-current Benchmark, then: (i) if a Benchmark Replacement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(ii) if a Benchmark Replacement is determined in accordance with clause (2) 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897275.26-LACSR02A - MSW Required Lenders. If the Benchmark Replacement is Daily Simple SOFR, all interest payments will be payable on a quarterly basis. (b) Benchmark Replacement Conforming Changes.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(c) Notices; Standards for Decisions and Determinations.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clause (d)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 (d) 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(e) Benchmark Unavailability Period. Upon the Borrower’s receipt of notice of the commencement of a Benchmark Unavailability Period, the Borrower may revoke any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Section 2.13 General Provisions Regarding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897275.26-LACSR02A - MSW (a) All payments by the Borrower of principal, interest, fees and other Obligations shall be made in Dollars in same day funds, without defense, recoupment, setoff or counterclaim, free of any restriction or condition, and delivered to the Administrative Agent not later than 1:00 p.m. (New York City time) on the date due at the Principal Office of the Administrative Agent for the account of Lenders. (b) All payments in respect of the principal amount of any Loan shall be accompanied by payment of any fees required to be paid in connection with such principal payment pursuant to Section 2.8 and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 (c) 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related thereto, including all fees payable with respect thereto, to the extent received by the Administrative Agent. (d) Notwithstanding the foregoing provisions hereof, if any Conversion/Continuation Notice is withdrawn as to any Affected Lender or if any Affected Lender makes Base Rate Loans in lieu of its Pro Rata Share of any SOFR Loans, the Administrative Agent shall give effect thereto in apportioning payments received thereafter. (e) Whenever any payment to be made hereunder with respect to any Loan shall be stated to be due on a day that is not a Business Day, such payment shall be made on the next succeeding Business Day. (f) The Administrative Agent shall deem any payment by or on behalf of the Borrower hereunder that is not made in same day funds prior to 1:00 p.m. (New York City time) (unless a later time is otherwise specified herein with respect to such payment)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7.1(a).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if applicable, from the date such amount was due and payable until the date such amount is paid in full. Section 2.14 Ratable Sharing. The Lenders hereby agree among themselves that if any of them shall, whether by voluntary payment (other than a prepayment of Loans made and applied in accordance with the terms hereof) through the exercise of any right of set off or banker’s lien, or by counterclaim or cross action or by the enforcement of any right under the Loan Documents or otherwise, or as adequate protection of a deposit treated as cash collateral under Bankruptcy Laws, receive payment or reduction of a proportion of the aggregate amount of principal, interest, fees and other amounts then due and owing to such Lender hereunder or under the other Loan Documents (collectively, the “Aggregate Amounts Due”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897275.26-LACSR02A - MSW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provided 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consolidation, set off or counterclaim with respect to any and all monies owing by the Borrower to that holder with respect thereto as fully as if that holder were owed the amount of the participation held by that holder. The provisions of this Section 2.14 shall not be construed to apply to (i) any payment made by the Borrower pursuant to and in accordance with the express terms of this Agreement as in effect from time to time or (ii) any payment obtained by any Lender as consideration for the assignment or sale of a participation in any of its Loans or other Obligations owed to it. For purposes of clause (a)(iii) of Section 2.17, a Lender that acquires a participation pursuant to this Section 2.14 shall be treated as having acquired such participation on the earlier date on which such Lender acquired the applicable interest in the Loan to which such participation relates. Section 2.15 Making or Maintaining SOFR Loans. (a) Inability to Determine Applicable Interest Rate. Subject to Section 2.12, if, on or prior to the first day of any Interest Period for any SOFR Loan: (i) the Administrative Agent determines (which determination shall be conclusive and binding absent manifest error but shall be made only after consultation with the Borrower) that Term SOFR cannot be determined pursuant to the definition thereof, or (ii) 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(which determination shall be conclusive and binding absent manifest error but shall be made only after consultation with the Borrower and the Administrative Agent), and the Required Lenders have provided notice of such determination to the Administrative Agent and the Borrower, the Administrative Agent will promptly so notify the Borrower and each Lender. Upon notice thereof by the Administrative Agent to the Borrower, any obligation of the Lenders to make SOFR Loans, and any right of the Borrower to continue SOFR Loans or to convert Base Rate Loans to SOFR Loans, shall be suspended (to the extent of the affected SOFR Loans or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Section 2.15(c). Subject to Section 2.12, if the Administrative Agent determines (which determination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897275.26-LACSR02A - MSW be conclusive and binding absent manifest error but shall be made only after consultation with the Borrower)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Notwithstanding anything to the contrary set forth herein, any consultation with the Borrower pursuant to the foregoing provisions of this Section 2.15(a) shall not be required with respect to any determination by the Administrative Agent as to whether any market practice or convention is administratively feasible. (b) Illegality of SOFR Loans. If any Lender reasonably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“Illegality Notice”), (i) any obligation of the Lenders to make SOFR Loans, and any right of the Borrower to continue SOFR Loans or to convert Base Rate Loans to SOFR Loans, shall be suspended, and (ii) the interest rate on which Base Rate Loans shall, if necessary to avoid such illegality, be determined by the Administrative Agent without reference to clause (c) of the definition of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 shall also pay accrued interest on the amount so prepaid or converted, together with any additional amounts required pursuant to Section 2.15(c). (c) Compensation for Breakage or Non-Commencement of Interest Periods. The Borrower shall compensate each Lender, upon written request by such Lender (which request shall set forth the basis for requesting such amounts in reasonable detail), for all reasonable losses, expenses and liabilities (including any interest paid or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telephonic request for borrowing, or a conversion to or continuation of any SOFR Loan does not occur on a date specified therefor in a Conversion/Continuation Notice or a telephonic request for conversion or continuation; (ii) if any prepayment or other principal payment of, or any conversion of, any of its SOFR Loans occurs on a date prior to the last day of an Interest Period applicable to that Loan; or (iii) if any prepayment of any of its SOFR Loans is not made on any date specified in a notice of prepayment given by the Borrower. (d) Booking of SOFR Loans. Any Lender may make, carry or transfer SOFR Loans at, to, or for the account of any of its branch offices or the office of an Affiliate of such Lender. Section 2.16 Increased Costs; Capital Requirements. (a) Increased Costs. If any Change in Law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897275.26-LACSR02A - MSW (i) impose, modify or deem applicable any reserve, special deposit, compulsory loan, insurance charge or similar requirement against assets of, deposits with or for the account of, or credit extended or participated in by, any Lender (except any reserve requirement reflected in the Term SOFR); (ii) subject any Recipient to any Taxes (other than (A) Taxes excluded from Section 2.17(a) pursuant to clauses (ii) through (iv) of Section 2.17(a), (B) Non-Excluded Taxes and Other Taxes indemnifiable under Section 2.17 and (C) Connection Income Taxes) on its loans, letters of credit, commitments, or other obligations, or its deposits, reserves, other liabilities or capital attributable thereto; or (iii) impose on any Lender any other condition, cost or expense (other than Taxes) affecting this Agreement or Loans made by such Lender; 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 (b) 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(c) Certificates for Reimbursement. A certificate of a Lender setting forth the amount or amounts necessary to compensate such Lender or its holding company, as the case may be, as specified in paragraph (a) or (b) of this Section and delivered to the Borrower, shall be conclusive absent manifest error. The Borrower shall pay such Lender the amount shown as due on any such certificate within 30 days after receipt thereof. (d) Delay in Requests. Failure or delay on the part of any Lender to demand compensation pursuant to this Section shall not constitute a waiver of such Lender’s right to demand such compensation; provided 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Section 2.17 Taxes. (a) All payments made by or on behalf of any Loan Party to a Recipient under any Loan Document shall be made free and clear of, and without deduction or withholding for or on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4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897275.26-LACSR02A - MSW of, any Taxes (except as required by applicable Law), excluding any of the following Taxes imposed on or with respect to a Recipient or required to be withheld or deducted from a payment to a Recipient: (i) Taxes imposed on or measured by net income (however denominated), branch profits, and franchise Taxes, in each case (x) imposed on any Recipient as a result of such Recipient being organized under the laws of, or having its principal office or applicable lending office located in, the jurisdiction of the Governmental Authority imposing such Tax (or any political subdivision thereof), or (y) that are Other Connection Taxes; (ii) Taxes imposed on any Recipient that are attributable to such Recipient’s failure to comply with the requirements of paragraph (f), (g) or (h) of this Section 2.17; (iii) in the case of a Lender, U.S. federal withholding Taxes imposed on amounts payable to or for the account of such Lender with respect to an applicable interest in a Loan or Commitment pursuant to a Law in effect on the date on which (x) such Lender acquires such interest in such Commitment (or, to the extent such Lender did not fund an applicable Loan pursuant to a prior Commitment, on the date on which such Lender acquires interest in such Loan), provided that this clause (x) shall not apply to a Lender that became a Lender pursuant to an assignment request by the Borrower under Section 2.19, or (y) such Lender changes its lending office, except in each case to the extent that, pursuant to this Section 2.17, amounts with respect to such Taxes were payable either to such Lender’s assignor immediately before such Lender acquired the applicable interest in such Loan or Commitment or to such Lender immediately before it changed its lending office; and (iv) Taxes that are imposed pursuant to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and any intergovernmental agreement (and any related fiscal or regulatory legislation, administrative rules or official practices implementing the foregoing (such Code provisions, agreements, regulations and interpretations, collectively, “FATCA”)). If applicable Law (as determined in the good faith discretion of any applicable withholding agent) requires any Taxes not described in clauses (i) through (iv) of the preceding sentence (“Non-Excluded Taxes”) or any Other Taxes to be withheld by any applicable withholding agent from any amounts payable under any Loan Document, the amounts so payable by or on behalf of any Loan Party shall be increased to the extent necessary so that after such deduction or withholding has been made (including such deductions and withholdings of Non- Excluded Taxes or Other Taxes applicable to additional sums payable under this Section 2.17) the applicable Lender (or, in the case of any amounts received by the Administrative Agent for its own account, the Administrative Agent) receives an amount equal to the sum it would have received had no such deduction or withholding been made. (b) Without duplication of Section 2.17(a), the Loan Parties shall pay to the relevant Governmental Authority in accordance with applicable Law, or at the option of the Administrative Agent timely reimburse it for the payment of, any Other Taxes. (c) Whenever any Non-Excluded Taxes or Other Taxes are payable or remittable by a Loan Party, as soon as practicable thereafter the Loan Party shall send to the applicable Recipient the original or a certified copy of an original official receipt received by the Loan Party or other reasonably satisfactory evidence showing payment thereof. (d) Without duplication of Section 2.17(a), the Loan Parties shall indemnify each Recipient for the full amount of Non-Excluded Taxes or Other Taxes (including any Non-Excluded Taxes and Other Taxes imposed on amounts payable under this Section 2.17) payable or paid by such Recipient, and any liability (including penalties, additions to Tax, interest and any reasonable expenses, in each case other than those arising from the gross negligence, bad faith or willful misconduct of a Recipient as determined by a final non-appealable judgment of a court of competent jurisdiction) arising therefrom or with respect thereto, whether or not such Non-Excluded Taxes or Other Taxes were correctly or legally asserted by the relevant Governmental Authority. Such indemnification shall be made within 10 days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5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897275.26-LACSR02A - MSW the date the Recipient makes written demand therefor (which demand shall set forth in reasonable detail the nature and amount of Non-Excluded Taxes and Other Taxes for which indemnification is being sought). A certificate as to the amount of such payment or liability delivered to the Borrower by a Lender (with a copy to the Administrative Agent), or by the Arranger or Administrative Agent on its own behalf or on behalf of a Lender, shall be conclusive absent manifest error. (e) If any Recipient determines, in its sole discretion exercised in good faith, that it has received a refund of any Taxes as to which it has been indemnified by a Loan Party or with respect to which a Loan Party has paid additional amounts pursuant to this Section 2.17, it shall pay such Loan Party an amount equal to such refund (but only to the extent of indemnity payments made, or additional amounts paid, by the Loan Party under this Section 2.17 with respect to the Taxes giving rise to such refund), net of all out-of-pocket expenses (including Taxes) of such Recipient and without interest (other than any interest paid by the relevant Governmental Authority with respect to such refund); provided that the Loan Party, upon the request of such Recipient, agrees to repay the amount paid over to the Loan Party (plus interest attributable to the period during which the Loan Party held such funds and any penalties, additions to Tax, interest or other charges imposed by the relevant Governmental Authority) to such Recipient in the event such Recipient is required to repay such refund to such Governmental Authority. This Section 2.17(e) shall not be construed to require any Recipient to make available its tax returns (or any other information relating to its Taxes that it deems confidential) to the Borrower or any other Person. (f) Upon the reasonable request of the Borrower or the Administrative Agent, a Lender that is entitled to an exemption from or reduction of any applicable withholding Tax with respect to any payments under this Agreement or any other Loan Document shall deliver to the Borrower and the Administrative Agent such properly completed and executed documentation prescribed by applicable Law or reasonably requested by the Borrower or the Administrative Agent (in such number of copies as shall be reasonably requested by the Borrower or the Administrative Agent, as applicable) as will permit such payments to be made without withholding or at a reduced rate prior to the date on which such Lender becomes a Lender under this Agreement (and from time to time thereafter upon the reasonable request of the Borrower or the Administrative Agent); provided that the completion, execution or submission of such documentation required under this Section 2.17(f) (other than such documentation set forth in Section 2.17(g)) shall not be required if in the Lender’s reasonable judgment such completion, execution or submission would subject such Lender to any material unreimbursed cost or expense or would materially prejudice the legal or commercial position of such Lender.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deliver the forms and other documentation required to be provided under this Section 2.17: (i) on or before the date it becomes a party to this Agreement, (ii) promptly upon the obsolescence, expiration, inaccuracy, or invalidity of any form previously delivered by such Lender, and (iii) at such other times as may be reasonably requested by the Borrower or the Administrative Agent or as required by Law. Each Lender shall promptly notify the Borrower and the Administrative Agent at any time it determines that it is no longer in a position to provide any documentation previously delivered to the Borrower or the Administrative Agent. Notwithstanding anything in this Section 2.17 to the contrary, no Lender shall be required to provide any form or other documentation pursuant to this Section 2.17 that it is not legally eligible to provide. (g) Without limiting the generality of Section 2.17(f): (i) Each Lender that is a “United States person” (as defined in Section 7701(a)(30) of the Code) shall deliver to the Borrower and the Administrative Agent on or prior to the date on which such Lender becomes a Lender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5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897275.26-LACSR02A - MSW (and from time to time thereafter upon the reasonable request of the Borrower or the Administrative Agent) two executed copies of IRS Form W-9 certifying that such Lender is exempt from U.S. federal backup withholding Tax. (ii) Each Lender that is not a “United States person” (as such term is defined in Section 7701(a)(30) of the Code) (a “Foreign Lender”) shall deliver to the Borrower and the Administrative Agent on or prior to the date on which such Lender becomes a Lender under this Agreement (and from time to time thereafter upon the reasonable request of the Borrower or the Administrative Agent), two executed copies of whichever of the following is applicable: (A) In the case of a Foreign Lender claiming the benefits of an income tax treaty to which the United States is a party, IRS Form W-8BEN or Form W-8BEN-E, as applicable, establishing an exemption from, or reduction of, U.S. federal withholding Tax pursuant to such tax treaty; (B) IRS Form W-8ECI; (C) In the case of a Foreign Lender claiming the benefits of the exemption for portfolio interest under Section 881(c) of the Code, (x) a certificate substantially in the form of Exhibit F- 1 (a “U.S. Tax Compliance Certificate”) and (y) IRS Form W-8BEN or Form W-8BEN-E, as applicable; (D) To the extent a Foreign Lender is not the beneficial owner, IRS Form W-8IMY, accompanied by IRS Form W- 8ECI, Form W-8BEN, Form W-8BEN-E, a U.S. Tax Compliance Certificate substantially in the form of Exhibit F-2 or Exhibit F-3,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(iii)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its obligations under FATCA or to determine the amount, if any, to deduct and withhold from such payment. Solely for the purpose of this Section 2.17(g)(iii), “FATCA” shall include any amendments made to FATCA after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897275.26-LACSR02A - MSW (h) If the Administrative Agent is a “United States person” within the meaning of Section 7701(a)(30) of the Code, then it shall, on or prior to the date on which it becomes the Administrative Agent, provide the Borrower with a properly completed and duly executed copy of IRS Form W-9 confirming that the Administrative Agent is exempt from U.S. federal back-up withholding. If the Administrative Agent is not a “United States person” within the meaning of Section 7701(a)(30) of the Code, then it shall, on or prior to the date on which it becomes the Administrative Agent, provide the Borrower with, (i) with respect to payments made to the Administrative Agent for its own account, a properly completed and duly executed IRS Form W-8ECI (or other applicable IRS Form W-8), and (ii) with respect to payments made to the Administrative Agent for the account of any Lender, a properly completed and duly executed IRS Form W-8IMY confirming that the Administrative Agent agrees to be treated as a “United States person” for U.S. federal withholding Tax purposes. On or prior to the date on which it becomes the Arranger, the Arranger shall provide the Borrower with a properly completed and duly executed copy of IRS Form W-9 confirming that the Arranger is exempt from U.S. federal back-up withholding. The Administrative Agent and the Arranger shall, (A) promptly upon the obsolescence, expiration, inaccuracy or invalidity of any form previously delivered by the Administrative Agent or the Arranger under this clause (h), and (B) at such other times as may be reasonably requested by the Borrower or as required by Law, deliver promptly to the Borrower an updated form or other appropriate documentation (in such number of copies as shall be reasonably requested by the Borrower) or promptly notify the Borrower in writing of its legal ineligibility to do so. Notwithstanding anything in this clause (h) to the contrary, no Administrative Agent or Arranger shall be required to provide any documentation pursuant to this clause (h) that the Administrative Agent or Arranger is unable to deliver as a result of a Change in Law after the date of this Agreement. (i) The agreements in this Section 2.17 shall survive the resignation and/or replacement of the Administrative Agent, any assignment of rights by, or the replacement of, a Lender, the termination of the Commitments and the repayment, satisfaction or discharge of all other Obligations. Section 2.18 Obligation to Mitigate. Each Lender agrees that, as promptly as practicable after the officer of such Lender responsible for administering its Loans becomes aware of the occurrence of an event or the existence of a condition that would cause such Lender to become an Affected Lender or that would entitle such Lender to receive payments or would require the Borrower to pay amounts under Section 2.15, 2.16 or 2.17, it will, to the extent not inconsistent with the internal policies of such Lender and any applicable legal or regulatory restrictions, use reasonable efforts to (a) make, issue, fund or maintain its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or by the Borrower pursuant to Section 2.15, 2.16 or 2.17 would be reduced and if, as determined by such Lender in its sole discretion, the making, funding or maintaining of such Loans through such other office or in accordance with such other measures, as the case may be, would not otherwise adversely affect such Loans or the interests of such Lender; provided that such Lender will not be obligated to utilize such other office or take such other measures pursuant to this Section 2.18 unless the Borrower agrees to pay all incremental expenses incurred by such Lender as a result of utilizing such other office or taking such other measures as described above. A certificate as to the amount of any such expenses payable by the Borrower pursuant to this Section 2.18 (setting forth in reasonable detail the basis for requesting such amount) submitted by such Lender to the Borrower (with a copy to the Administrative Agent) shall be conclusive absent manifest error. The Borrower shall pay such Lender the amount shown as due on any such certificate within 30 days after receipt thereof. Section 2.19 Removal or Replacement of a Lender. Anything contained herein to the contrary notwithstanding, in the event that: (a)(i) any Lender shall give notice to the Borrower that such Lender is an Affected Lender or that such Lender is entitled to receive payments or that the Borrower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897275.26-LACSR02A - MSW required to make payments under Section 2.15, 2.16 or 2.17 (an “Increased Cost Lender”), (ii) the circumstances which have caused such Lender to be an Affected Lender or which entitle such Lender to receive or the Borrower to make such payments shall remain in effect, and (iii) such Lender shall fail to withdraw such notice within five Business Days after the Borrower’s request for such withdrawal; (b) in connection with any proposed amendment, modification, termination, waiver or consent with respect to any of the provisions hereof as contemplated by Section 9.1, the consent of Required Lenders shall have been obtained but the consent of one or more of such other Lenders (each a “Non-Consenting Lender”) whose consent is required shall not have been obtained; then, with respect to each such Increased Cost Lender or Non-Consenting Lender (the “Terminated Lender”), the Borrower may, by giving written notice to the Administrative Agent and any Terminated Lender of its election to do so, elect to cause such Terminated Lender (and such Terminated Lender hereby irrevocably agrees) to assign its outstanding Loans and Commitments in full to one or more Persons permitted to become Lenders hereunder pursuant to and in accordance with the provisions of Section 9.6 (each a “Replacement Lender”) and the Borrower shall pay the fees, if any, payable thereunder in connection with any such assignment from an Increased Cost Lender; provided that, (A) on the date of such assignment, such Terminated Lender shall have received payment from the Replacement Lender or the Borrower in an amount equal to the sum of (1) the principal of, and all accrued interest on, all outstanding Loans of the Terminated Lender and (2) all accrued, but theretofore unpaid fees owing to such Terminated Lender pursuant to Section 2.8; (B) in the case of any such assignment resulting from a claim for compensation under Section 2.15(c), 2.16 or 2.17, such assignment will result in a material reduction in such compensation and on the date of such assignment, the Borrower shall pay any amounts payable to such Terminated Lender pursuant to Section 2.15, 2.16 or 2.17; or otherwise as if it were a prepayment and (C)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provided, any rights of such Terminated Lender to indemnification hereunder shall survive as to such Terminated Lender. Each Lender agrees that if the Borrower exercises its option hereunder to cause an assignment by such Lender as a Terminated Lender, such Lender shall, promptly after receipt of written notice of such election, execute and deliver all documentation necessary to effectuate such assignment in accordance with Section 9.6; provided that each party hereto agrees that an assignment required pursuant to this Section 2.19 may be effected pursuant to an Assignment and Acceptance executed by the Borrower, the Administrative Agent and the assignee and that the Lender required to make such assignment need not be a party thereto, and each Lender hereby authorizes and directs the Administrative Agent to execute and deliver such documentation as may be required to give effect to an assignment in accordance with Section 9.6 on behalf of a Terminated Lender and any such documentation so executed by the Administrative Agent shall be effective for purposes of documenting an assignment pursuant to Section 9.6. Section 2.20 Defaulting Lenders. Notwithstanding any provision of this Agreement to the contrary, if any Lender becomes a Defaulting Lender, then the Commitment and Outstanding Amount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9.1); provided that any amendment, waiver or other modification requiring the consent of all Lenders or all Lenders affected thereby shall, except as otherwise provided in Section 9.1, require the consent of such Defaulting Lender in accordance with the terms hereof. In the event that the Administrative Agent and the Borrower each agree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in accordance with its Pro Rata Share; provided that no adjustments will be made retroactively with respect to fees accrued or payments made by or on behalf of the Borrower while such Lender was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897275.26-LACSR02A - MSW Defaulting Lender; provided further that, except as otherwise expressly agreed by the affected parties, no change hereunder from a Defaulting Lender to a Non-Defaulting Lender will constitute a waiver or release of any claim of any party hereunder arising from such Lender’s having been a Defaulting Lender. Section 2.21 Extension of Term Loans. (a) Extension of Term Loans. The Borrower may at any time and from time to time request that all or a portion of the Term Loans of a given Class or Classes (each, an “Existing Term Loan Tranche”) be amended to extend the scheduled Maturity Date with respect to all or a portion of the Term Loans of such Existing Term Loan Tranche (any such Term Loans which have been so amended, “Extended Term Loans”) and to provide for other terms consistent with this Section 2.21. In order to establish any Extended Term Loans, the Borrower shall provide a notice to the Administrative Agent (who shall provide a copy of such notice to each of the Lenders under the applicable Existing Term Loan Tranche) (each, a “Term Loan Extension Request”) setting forth the proposed terms of the Extended Term Loans to be established, which shall (x) be identical as offered to each Lender under the same Class in such Existing Term Loan Tranche (including as to the proposed interest rates and fees payable, but excluding any arrangement, structuring or other similar fees payable in connection therewith that are not generally shared with all relevant Lenders of such Class) and offered pro rata to each Lender under the same Class in such Existing Term Loan Tranche and (y) be identical in all material respects to the Term Loans under the same Class in the Existing Term Loan Tranche from which such Extended Term Loans are intended to be amended, except that: (i) at no time shall there be Classes of Extended Term Loans hereunder which have more than five (5) different Maturity Dates; (ii) the All-In Yield with respect to the Extended Term Loans (whether in the form of interest rate margin, upfront fees, original issue discount or otherwise)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prepayment terms (including call protection) as may be agreed by the Borrower and the Lenders thereof; provided, however, that (A) in no event shall the Maturity Date of any Extended Term Loans of a given Term Loan Extension Series at the time of establishment thereof be earlier than the Maturity Date of the Existing Term Loan Tranche, (B) the Weighted Average Life to Maturity of any Extended Term Loans of a given Term Loan Extension Series at the time of establishment thereof shall be no shorter than the remaining Weighted Average Life to Maturity of the Existing Term Loan Tranche, (C) all documentation in respect of such Extension Amendment shall be consistent with the foregoing and (D) any Extended Term Loans may participate on a pro rata basis or less than a pro rata basis (but not greater than a pro rata basis) in any voluntary repayments or prepayments of principal of Term Loans hereunder and on a pro rata basis or less than a pro rata basis (but not greater than a pro rata basis (except in the case of a prepayment under Section 2.10(b)(v)(A)(y))), in any mandatory repayments or prepayments of Term Loans hereunder, in each case as specified in the respective Term Loan Extension Request. Any Extended Term Loans amended pursuant to any Term Loan Extension Request shall be designated a series (each, a “Term Loan Extension Series”) of Extended Term Loans for all purposes of this Agreement; provided that any Extended Term Loans amended from an Existing Term Loan Tranche may, to the extent provided in the applicable Extension Amendment, be designated as an increase in any previously established Class of Term Loans. Each request for Extended Term Loans proposed to be incurred under this Section 2.21 shall be in an aggregate principal amount that is not less than $15,000,000 (it being understood that the actual principal amount thereof provided by the applicable Lenders may be lower than such minimum amount) and the Borrower may impose an Extension Minimum Condition with respect to any Term Loan Extension Request, which may be waived by the Borrower in its sole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897275.26-LACSR02A - MSW (b) Extension Request. The Borrower shall provide the applicable Term Loan Extension Request at least five (5) Business Days (or such shorter period as may be agreed by the Administrative Agent) prior to the date on which Lenders under the Existing Term Loan Tranche are requested to respond, and shall agree to such procedures, if any, as may be established by, or acceptable to, the Administrative Agent, in each case acting reasonably to accomplish the purposes of this Section 2.21. No Lender shall have any obligation to agree to have any of its Term Loans of any Existing Term Loan Tranche amended into Extended Term Loans. Any Lender holding a Loan under an Existing Term Loan Tranche (each, an “Extending Term Lender”) wishing to have all or a portion of its Term Loans under the Existing Term Loan Tranche subject to such Term Loan Extension Request amended into Extended Term Loans shall notify the Administrative Agent (each, an “Extension Election”) on or prior to the date specified in such Term Loan Extension Request of the amount of its Term Loans under the Existing Term Loan Tranche which it has elected to request be amended into Extended Term Loans (subject to any minimum denomination requirements imposed by the Administrative Agent). In the event that the aggregate principal amount of Term Loans under the Existing Term Loan Tranche in respect of which applicable Lenders shall have accepted the relevant Term Loan Extension Request exceeds the amount of Extended Term Loans requested to be extended pursuant to the Term Loan Extension Request, Term Loans subject to Extension Elections shall be amended to Extended Term Loans on a pro rata basis (subject to rounding by the Administrative Agent, which shall be conclusive) based on the aggregate principal amount of Term Loans included in each such Extension Election. (c) Extension Amendment. Extended Term Loans shall be established pursuant to an amendment (each, a “Extension Amendment”) to this Agreement among the Borrower, the Administrative Agent and each Extending Term Lender providing an Extended Term Loan thereunder, which shall be consistent with the provisions set forth in Section 2.21(a) or (b) above, respectively (but which shall not require the consent of any other Lender). The effectiveness of any Extension Amendment shall be subject to the satisfaction (or waiver in accordance with such Extension Amendment) on the date thereof of each of the conditions set forth in Section 4.1(p) and (q) and, to the extent reasonably requested by the Administrative Agent, receipt by the Administrative Agent of (i) legal opinions, board resolutions and officers’ certificates consistent with those delivered on the Closing Date (conformed as appropriate) other than changes to such legal opinions that are reasonably satisfactory to the Administrative Agent and (ii) reaffirmation agreements and/or such amendments to the Security Documents as may be reasonably requested by the Administrative Agent in order to ensure that the Extended Term Loans are provided with the benefit of the applicable Loan Documents.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incurred pursuant thereto, (ii) modify the prepayments set forth in Section 2.10 to reflect the existence of the Extended Term Loans and the application of prepayments with respect thereto, (iii) address technical issues relating to funding and payments and (iv) effect such other amendments to this Agreement and the other Loan Documents as may be necessary or appropriate, in the reasonable opinion of the Administrative Agent and the Borrower, to effect the provisions of this Section 2.21, and the Required Lenders hereby expressly authorize the Administrative Agent to enter into any such Extension Amendment. (d) No conversion or extension of Loans or Commitments pursuant to any Extension in accordance with this Section 2.21 shall constitute a voluntary or mandatory payment or prepayment for purposes of this Agreement. This Section 2.21 shall supersede any provisions in Section 2.14 or 9.1 to the contrary.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897275.26-LACSR02A - MSW SECTION 3. REPRESENTATIONS AND WARRANTIES To induce the Administrative Agent and the Lenders to enter into this Agreement and to make the Loans, the Borrower represents and warrants to the Administrative Agent and each Lender that: Section 3.1 Financial Condition. The audited consolidated balance sheet of the Borrower and its consolidated Subsidiaries as at December 31, 2023 and the audited consolidated statements of operations, comprehensive loss and cash flow of the Borrower and its consolidated Subsidiaries for such fiscal period then ended, copies of which have heretofore been furnished to the Administrative Agent for delivery to each Lender, in each case, present fairly in all material respects the consolidated financial condition of the Borrower and its consolidated Subsidiaries as at such date, and the consolidated results of operations and consolidated cash flows of the Borrower and its consolidated Subsidiaries for the fiscal year then ended. Such financial statements, including the related schedules and notes thereto, have been prepared in accordance with GAAP applied consistently throughout the period involved (except as disclosed therein). Section 3.2 No Change. Since December 31, 2023, there has been no development or event that has had or could reasonably be expected to have, individually or in the aggregate, a Material Adverse Effect. Section 3.3 Existence; Compliance with Law. Each Loan Party (a) is duly incorporated, organized or formed, validly existing and in good standing (if applicable) under the laws of the jurisdiction of its incorporation, organization or formation, (b) has the organizational power and authority and all requisite Permits from Governmental Authorities (other than Permits relating to the Project) to own and operate its Property, to lease the Property it leases as a lessee and to conduct the business in which it is currently engaged, (c) is duly qualified as a foreign corporation or other organization or body corporate and in good standing under the laws of each jurisdiction (if applicable) where its ownership, lease or operation of Property or the conduct of its business requires such qualification and (d) is in compliance with such Loan Party’s Organizational Documents and all Requirements of Law, except, in the case of clause (a) above with respect to any Loan Party other than the Borrower, and in the cases of clauses (b), (c) and (d) above, to the extent that failure of the same could not reasonably be expected to have, individually or in the aggregate, a Material Adverse Effect. Section 3.4 Power; Authorization; Enforceable Obligations. (a) Each Loan Party has the requisite corporate or other organizational power and authority to make, deliver and perform the Loan Documents to which it is a party. (b) Each Loan Party has taken all necessary corporate or other organizational action to authorize the execution, delivery and performance of the Loan Documents to which it is a party. (c) No material consent or authorization of, filing with, notice to or other act by or in respect of, any Governmental Authority is required in connection with the borrowings hereunder, the granting of Liens pursuant to the Security Documents or the execution, delivery or performance of this Agreement or any of the other Loan Documents, except (i) those consents, authorizations, filings and notices that have been obtained or made and are in full force and effect and (ii) the filings or other actions referred to in Section 3.19. (d) Each Loan Document has been duly executed and delivered on behalf of each Loan Party that is a party thereto and constitutes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Section 3.5 No Legal Bar. The execution, delivery and performance of this Agreement and the other Loan Documents, the borrowings hereunder and the use of the proceeds thereof will not contravene, violate or result in a breach of or default under any Loan Party’s Organizational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897275.26-LACSR02A - MSW the Existing Indentures, any Requirement of Law or any Contractual Obligation of any Loan Party, other than any violation that could not reasonably be expected to have, individually or in the aggregate, a Material Adverse Effect, and will not result in, or require, the creation or imposition of any Lien on any of their respective properties or revenues pursuant to any Requirement of Law or any such Contractual Obligation (other than the Liens created by the Security Documents). Section 3.6 No Material Litigation. No litigation, action, suit, claim, dispute, investigation or proceeding of or before any arbitrator or Governmental Authority is pending or, to the knowledge of the Borrower, threatened by or against any Loan Party or against any of their respective properties or revenues that (i) could reasonably be expected to have, individually or in the aggregate, a Material Adverse Effect or (ii) as of the Closing Date, purports to affect or pertain to any of the Loan Documents or any of the transactions contemplated hereby or thereby. Section 3.7 No Default. No Default or Event of Default has occurred and is continuing. No Loan Party is in default under or with respect to, or a party to, any Contractual Obligation that could reasonably be expected to have, individually or in the aggregate, a Material Adverse Effect. Section 3.8 Ownership of Property; Liens. Each of the Loan Parties has title in fee simple or good and valid title, as the case may be, to, or a valid leasehold interest in, or easements or other limited property interests in, all its real or immoveable property necessary in the ordinary conduct of its business, and good title to, or a valid leasehold interest in, or valid license of or other right to use, all its other Property necessary for the conduct of its business as currently conducted, in each case except where the failure to have such title, interest, license or right could not reasonably be expected to have, individually or in the aggregate, a Material Adverse Effect, and none of such Property is subject to any Lien except as permitted by Section 6.6. Each of the FLNG2 Subsidiaries has title in fee simple or good and valid title, as the case may be, to the FLNG2 Collateral and none of the FLNG2 Collateral is subject to any Lien other than Permitted Liens of the type described in clauses (a)(i), (a)(ii), (b), (c)(i), (c)(ii), (mm)(I), (rr), (ss) and (uu) of the definition thereof. Section 3.9 IP Rights. Each of the Loan Parties owns, or is licensed or otherwise has the right to use, all IP Rights necessary for the conduct of its business as currently conducted except to the extent such failure could not reasonably be expected to have, individually or in the aggregate, a Material Adverse Effect. No claim has been asserted and is pending by any Person challenging or questioning the use of any IP Rights by any Loan Party or the validity or effectiveness of any IP Rights, and the Borrower does not know of any valid basis for any such claim, in each case except to the extent that any such claim could not reasonably be expected to have, individually or in the aggregate, a Material Adverse Effect. To the knowledge of the Borrower, the use of IP Rights by the Loan Parties does not infringe on the IP Rights of any Person, except for such infringements which could not reasonably be expected to have, individually or in the aggregate, a Material Adverse Effect. Section 3.10 Taxes. Each of the Loan Parties has filed or caused to be filed all tax returns that are required to be filed and has paid all Taxes due and payable by it (including in its capacity as a withholding agent) other than (a) any amount the validity of which is currently being contested in good faith by appropriate proceedings and with respect to which reserves in conformity with GAAP have been provided on the books of the relevant Loan Party or (b) where the failure to make such filing, payment, deduction, withholding, collection or remittance could not reasonably be expected, individually or in the aggregate, to have a Material Adverse Effect; and no Lien for Tax has been filed, other than a Permitted Lien, and, to the knowledge of the Borrower, no claim is being asserted, with respect to any such Tax, fee or other charge except, in each case, as could not reasonably be expected, individually or in the aggregate,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897275.26-LACSR02A - MSW Section 3.11 Federal Regulations. No part of the proceeds of any Loans, and no other extensions of credit hereunder, will be used for any purpose that violates the provisions of Regulations T, U or X. Section 3.12 Labor Matters. There are no strikes or other labor disputes against any Loan Party pending or, to the knowledge of the Borrower threatened, that could reasonably be expected to have, individually or in the aggregate, a Material Adverse Effect. All payments due from the Loan Parties on account of employee health and welfare insurance that could reasonably be expected to have, individually or in the aggregate, a Material Adverse Effect if not paid have been paid or accrued as a liability on the books of the relevant Loan Party. Section 3.13 ERISA. As of the date hereof, there are no Pension Plans or Multiemployer Plans. None of the Borrower or any Commonly Controlled Entity has had a complete or partial withdrawal from any Multiemployer Plan that has resulted or could reasonably be expected to result in a liability under ERISA, except as could not reasonably be expected to have, individually or in the aggregate, a Material Adverse Effect. Section 3.14 Investment Company Act. No Loan Party is an “investment company,” or a company “controlled” by an “investment company,” within the meaning of the Investment Company Act of 1940. Section 3.15 Subsidiaries. (a) The Persons listed on Schedule 3.15 constitute all the Subsidiaries of the Borrower as of the Closing Date. Schedule 3.15 sets forth as of the Closing Date the name and jurisdiction of incorporation or organization of each Person listed therein, the percentage of each class of Capital Stock of such Person owned by the Borrower and each Subsidiary and identifies each Person that is a Loan Party. (b) As of the Closing Date, there are no outstanding subscriptions, options, warrants, calls, rights or other agreements or commitments granted to any Person other than the Borrower and its Subsidiaries (other than directors’ qualifying shares or other similar shares required pursuant to applicable Law) of any nature relating to any Capital Stock of any Subsidiary owned directly or indirectly by the Borrower; provided that, with respect to any non-Wholly-Owned Subsidiary, its Capital Stock may be subject to customary rights of first refusal, tag-along, drag-along and other similar rights. Section 3.16 Use of Proceeds. The proceeds of the Initial Term Loans shall be used to (x) fund Project Costs (including reimbursement of the Borrower or any Guarantor for the Project Costs incurred from February 28, 2024 up to the Closing Date in amount not to exceed the lesser of (x) $90.0 million and (y) an amount such that the total amount the Borrower shall have contributed to the FLNG2 Subsidiaries as equity and used for the payment of Project Costs and/or paid Project Costs on behalf of the FLNG2 Subsidiaries (or funded a Project Costs Reserve Account) shall not be less than $300 million after deducting the amount of such reimbursement) and (y) reimburse any Drawstop Equity Contribution; provided that with respect to any reimbursement of a Drawstop Equity Contribution, (A) at the time of such reimbursement, no Event of Default has occurred and is continuing or would result therefrom and (B) immediately after giving effect to any such Initial Term Loan for such purpose, the Borrower shall be in pro forma compliance with the financial covenants contained in Section 6.7. Section 3.17 Environmental Matters. (a) Other than exceptions to any of the following that could not reasonably be expected to result in, individually or in the aggregate,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897275.26-LACSR02A - MSW (i) The Loan Parties (other than the FLNG2 Subsidiaries) and each of their respective facilities and operations: (A) are in compliance with all applicable Environmental Laws; (B) hold all Environmental Permits (each of which is in full force and effect) required for any of their current operations or for any property owned, leased, or otherwise operated by any of them; (C) are in compliance with all of their Environmental Permits; (D) have taken reasonable steps to ensure each of their Environmental Permits will be timely maintained, renewed and complied with; and (E) have no knowledge of any facts or circumstances upon which any such Environmental Permits could reasonably be expected to be adversely amended or revoked. (ii) To the knowledge of the Borrower, Hazardous Materials are not present at, on, under, in, or emanating from any property now or formerly owned, leased or operated by the Borrower or any of the Loan Parties (other than the FLNG2 Subsidiaries), or at any other location (including any location to which Hazardous Materials have been sent for reuse or recycling or for treatment, storage, or disposal) which could reasonably be expected to (A) give rise to liability of the Borrower or Loan Party (other than the FLNG2 Subsidiaries) under any applicable Environmental Law or otherwise result in costs to the Borrower or any Loan Party (other than the FLNG2 Subsidiaries), or (B) interfere with the Borrower’s or any Loan Party’s (other than the FLNG2 Subsidiaries) continued operations. (iii) There are no Environmental Claims to which the Borrower or any of the Loan Parties (other than the FLNG2 Subsidiaries) is, or to the knowledge of the Borrower will be, named as a party that is pending or, to the knowledge of the Borrower, threatened. To the knowledge of the Borrower, there are no facts or circumstances that could reasonably be expected to give rise to any such Environmental Claim. (iv) None of the Borrower nor any Loan Party (other than the FLNG2 Subsidiaries) has been notified that it is a potentially responsible party or subject to liability under or relating to the federal Comprehensive Environmental Response, Compensation, and Liability Act of 1980 or any other Environmental Law (including with respect to any Hazardous Materials) excluding any such matters that have been fully resolved with no further obligation or liability on the part of the Borrower or any Loan Party (other than the FLNG2 Subsidiaries). (v) None of the Borrower nor any Loan Party (other than the FLNG2 Subsidiaries) has entered into or agreed to any consent decree, order, or settlement or other agreement, or is subject to any judgment, decree, or order or other agreement, in any judicial, administrative, arbitral or other form of dispute resolution, relating to compliance with or liability under any Environmental Law, excluding any such matters that have been fully resolved with no further obligation or possible liability on the part of the Borrower or any Loan Party (other than the FLNG2 Subsidiaries). (b) (i) The FLNG2 Subsidiaries and each of their respective facilities and operations: (A) are in compliance with all applicable Environmental Laws in all material respects; (B) are in compliance with all of their Environmental Permits in all material respects; (C) have taken reasonable steps to obtain, maintain and comply with each of their Environmental Permits; and (D) have no knowledge of any facts or circumstances upon which any material Environmental Permits could reasonably be expected to be adversely amended or revoked.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6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897275.26-LACSR02A - MSW (ii) To the knowledge of the Borrower, Hazardous Materials are not present at, on, under, in, or emanating from any property now or formerly owned, leased or operated by the FLNG2 Subsidiaries (including at any location where the FLNG2 Assets are being operated) which could reasonably be expected to (A) give rise to a material liability of the Borrower or any FLNG2 Subsidiary under any applicable Environmental Law or (B) materially interfere with the Borrower’s or any FLNG2 Subsidiary’s continued operations. (iii) There are no material Environmental Claims to which the Borrower or any of the FLNG2 Subsidiaries is, or to the knowledge of the Borrower will be, named as a party that is pending or, to the knowledge of the Borrower, threatened. (iv) None of the Borrower nor any FLNG2 Subsidiary has been notified that it is a potentially responsible party or subject to material liability under or relating to the federal Comprehensive Environmental Response, Compensation, and Liability Act of 1980 or any other Environmental Law (including with respect to any Hazardous Materials) other than matters that have been fully resolved with no further obligation or liability on the part of the Borrower or any FLNG2 Subsidiary. (v) None of the Borrower nor any FLNG2 Subsidiary has entered into or agreed to any consent decree, order, or settlement or equivalent agreement, or is subject to any judgment, decree, or order or equivalent agreement, in any judicial, administrative, arbitral or other form of dispute resolution, relating to material non- compliance with, or material liability under, any Environmental Law, excluding any such matters that have been fully resolved with no further obligation or liability on the part of the Borrower or any FLNG2 Subsidiary. Section 3.18 Accuracy of Information, Etc. No statement or information contained in this Agreement, any other Loan Document, or any other document, certificate or written statement (other than any projections and information of a general economic or general industry nature) furnished to the Administrative Agent or the Lenders or any of them, by or on behalf of any Loan Party for use in connection with the transactions contemplated by this Agreement or the other Loan Documents, when taken as a whole,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in the light of the circumstances under which they were made, not materially misleading. The projections and pro forma financial information contained in the materials referenced above are based upon good faith estimates and assumptions believed by management of the Borrower to be reasonable at the time made, it being recognized by the Administrative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 Section 3.19 Security Documents. Each of the Security Documents is effective to create in favor of the Collateral Agent or any Common Representative for the benefit of the Secured Parties, a legal, valid and enforceable security interest in the Collateral described therein and proceeds thereof. In the case of (i) any Pledged Stock (as defined in the Security Agreement) which is in certificated form, when any stock, membership or partnership unit certificates representing such Pledged Stock are delivered to, and in the possession of, the Collateral Agent (or the Controlling Authorized Representative in accordance with the terms of the Equal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6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897275.26-LACSR02A - MSW Priority Intercreditor Agreement) and (ii) the other Collateral described in the Security Documents, when financing statements and other filings in appropriate form are filed or registered in the office specified on Schedule 3.19, the security interest created in favor of the Collateral Agent or any Common Representative for the benefit of the Secured Parties in such Pledged Stock and other Collateral shall constitute a fully perfected Lien on, and security interest in, all right, title and interest of the Loan Parties in such Pledged Stock, other Collateral and the proceeds thereof, in which a security interest may be perfected by delivery to the Collateral Agent of such Pledged Stock or by filing a financing statement in the United States or other filing or registration in any applicable non-U.S. jurisdiction as security for the Obligations, in each case, prior and superior in right to any other Person (other than Persons holding Liens or other encumbrances or rights that are permitted by this Agreement to be incurred pursuant to Section 6.6). Section 3.20 Solvency. As of each Initial Term Loan Funding Date and after giving effect to any Loans made on such Initial Term Loan Funding Date, the Borrower and its Subsidiaries, on a consolidated basis, are Solvent. Section 3.21 Project Permits. (a) All material Permits necessary for the Project (x) are set forth in Schedule 3.21 hereto (collectively, the “Required Permits”), including the applicant’s name, and (y) are or will be held by the FLNG2 Subsidiaries when such Required Permits are obtained, as applicable, and: (i) as to those listed in Part A of Schedule 3.21, have been duly obtained, were validly issued, are in full force and effect, and are not the subject of any pending appeal (or if subject to any appeal, such appeal does not have a reasonable probability of success and the applicable Permit remains effective during such appeal) and all applicable fixed time periods for appeal set forth in the applicable Laws pursuant to which such Permits were issued have expired or are Permits that do not have limits on appeal periods; or (ii) as to those listed in Part B of Schedule 3.21: (1) the relevant FLNG2 Subsidiary has applied to the relevant Governmental Authority for each such Permit, other than as indicated on Schedule 3.21, and (2) are reasonably expected by the Loan Parties to be obtained in the ordinary course by the time they are required; and (iii) in the case of the Permits listed in Part A of Schedule 3.21, are, or, in the case of the Permits listed in Part B of Schedule 3.21, are reasonably expected to be, free from conditions or requirements: (1) the compliance with which could reasonably be expected to have a Material Adverse Effect; or (2) which the FLNG2 Subsidiaries do not expect to be able to satisfy on or prior to the commencement of the relevant stage of the Project for which such Permit is necessary, except to the extent that a failure to so satisfy such condition or requirement could not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6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897275.26-LACSR02A - MSW (b) All Project Leasehold or Concessions are reasonably expected to be (x) obtained in the ordinary course by the time they are required and (y) free from conditions or requirements, the compliance with which could reasonably be expected to have a Material Adverse Effect, or which the FLNG2 Subsidiaries do not expect to be able to satisfy on or prior to the commencement of the relevant stage of the Project for which such Project Leasehold or Concession is necessary, except to the extent that a failure to so satisfy such condition or requirement could not reasonably be expected to have a Material Adverse Effect. (c) The FLNG2 Subsidiaries are in compliance in all material respects with all Required Permits and the Project Leasehold or Concessions held by such entities. (d) There is no action, suit, or proceeding pending or, to the Borrower’s knowledge, threatened in writing that could reasonably be expected to result in the materially adverse termination or suspension of any Required Permit or any Project Leasehold or Concession held by any FLNG2 Subsidiary. Section 3.22 Anti-Money Laundering and Anti-Corruption Laws; Sanctions. (a) To the extent applicable, each of the Borrower and each Restricted Subsidiary is in compliance in all material respects, and the operations of the Borrower and each Restricted Subsidiary are and have been conducted at all times in compliance in all material respects, with all applicable financial recordkeeping and reporting requirements, including those of the (i) the Trading with the Enemy Act and each of the foreign assets control regulations of the United States Treasury Department (31 C.F.R., Subtitle B, Chapter V) and any other enabling legislation or executive order relating thereto, (ii) the PATRIOT Act and (iii) the material applicable anti-money laundering statutes of jurisdictions where the Borrower and each such Restricted Subsidiary conducts business, the rules and regulations thereunder and any related or similar rules, regulations or guidelines, issued, administered or enforced by any Governmental Authority (collectively, the “Anti-Money Laundering Laws”), and no action, suit or proceeding by or before any Governmental Authority involving the Borrower or any Restricted Subsidiary with respect to the Anti-Money Laundering Laws is pending or, to the best knowledge of the Loan Parties party hereto, threatened. (b) No part of the proceeds of the Loans will be used, directly or, to the knowledge of any Loan Party, indirectly, for any payments to any governmental official or employee, political party, official of a political party, candidate for political office, or anyone else acting in an official capacity, in order to obtain, retain or direct business or obtain any improper advantage, in material violation of the United States Foreign Corrupt Practices Act of 1977 (the “FCPA”), or otherwise in furtherance of an offer, payment, promise to pay or authorization of the payment or giving of money, or anything else of value, to any Person in material violation of any material applicable anti-corruption laws. None of the Borrower nor any Restricted Subsidiary or any director or officer thereof, nor, to the knowledge of any Loan Party, any employee, agent, Affiliate or representative thereof, has taken or will take any action in furtherance of an offer, payment, promise to pay or authorization or approval of the payment, giving or receipt of money, property, gifts or anything else of value, directly or, to the knowledge of any Loan Party, indirectly, to any government official (including any officer or employee of a government or government- owned or controlled entity or of a public international organization, or any person acting in an official capacity for or on behalf of any of the foregoing, or any political party or party official or candidate for public office) in order to influence official action, or to any Person in material violation of the FCPA or any material applicable anti-corruption laws. The Borrower and the its Restricted Subsidiaries have conducted their businesses in compliance in all material respects with the FCPA and material applicable anti- corruption laws and have instituted and maintained and will continue to maintain policies and procedures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6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897275.26-LACSR02A - MSW reasonably designed to promote and achieve material compliance with such laws and with the representations and warranties contained in this clause (b). (c) None of the Borrower nor any Restricted Subsidiary, nor, to the knowledge of any Loan Party, any employee, agent, Affiliate or representative of any Loan Party or any Restricted Subsidiary, is a Person that is, or is owned or controlled by one or more Persons that are, (i) on the list of “Specially Designated Nationals and Blocked Persons”, (ii) subject to any sanctions administered or enforced by the Office of Foreign Assets Control of the U.S. Treasury Department, the United Nations Security Council, the European Union, His Majesty’s Treasury or other relevant sanctions authority (collectively, “Sanctions”) or (iii) located, organized or resident in a Sanctioned Country and the Borrower will not directly or, to the knowledge of the Borrower, indirectly, use the proceeds of the Loans or lend, contribute or otherwise make available such proceeds to any Person (A) to fund or facilitate any activities or business of or with any Person or in any country or territory that, at the time of such funding or facilitation, is the subject of Sanctions, in violation of Sanctions or (B) in any other manner that will result in a violation of Sanctions by the Borrower or any Restricted Subsidiary. The Loan Parties have instituted and maintained and will continue to maintain policies and procedures reasonably designed to promote and achieve material compliance with applicable Sanctions. Section 3.23 Insurance. The properties of the Borrower and the other Loan Parties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Loan Party operates. Section 3.24 Material Project Documents. (a) An FLNG2 Subsidiary is party to each of the Material Project Documents and a list of each executed Material Project Document (including all amendments, amendments and restatements, supplements and waivers thereto) existing on the Closing Date is attached as Schedule 1.1B. True, correct and complete copies of each of the aforementioned Material Project Documents have been delivered to the Administrative Agent. (b) Each of the Material Project Documents is in full force and effect (in each case, unless such Material Project Document has been replaced by a Replacement Material Project Document), and none of the Material Project Documents has been terminated or otherwise amended, modified, supplemented or assigned, except as permitted by the terms hereof. (c) Each FLNG2 Subsidiary is in compliance in all material respects with all of the terms of the Material Project Documents to which it is a party. To the knowledge of the Borrower, no Material Project Counterparty is in default of any of its obligations under any Material Project Document other than defaults which, individually or in the aggregate, would not reasonably be expected to result in a Material Adverse Effect. (d) As of the Closing Date, no event of force majeure (as defined under the applicable Material Project Document) in respect of which a Material Project Counterparty has sought or would reasonably be expected to seek relief from performance under a Material Project Document has occurred and is continuing under any Material Project Document. Section 3.25 Sufficiency of Funds. The Borrower reasonably believes that, collectively, (a) the unused Commitments, (b) proceeds of the Term Loans that have not yet been applied to the payment of Project Costs, (c) funds on deposit in any Project Costs Reserve Accounts and (d) other funds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897275.26-LACSR02A - MSW to the Borrower and the FLNG2 Subsidiaries for purpose of paying Project Costs will be sufficient to achieve the Completion Date by June 30, 2026. Section 3.26 Construction Budget and Schedule. The Construction Budget and Schedule is, as of its date of delivery to the Administrative Agent pursuant to Schedule 5.12, (a) based on good faith assumptions believed by the Borrower to be reasonable and (b) consistent in all material respects with the provisions of the EPC Contracts, it being recognized by the Lenders that the Construction Budget and Schedule (and the information contained therein) as it relates to future events is not to be viewed as fact and that actual results during the period or periods covered by such information may differ from the projected results set forth therein by a material amount. Section 3.27 Availability and Transfer of Foreign Currency; No Restrictions on Foreign Exchange. To the knowledge of the Borrower, there are no registrations or requirements that limit the availability or transfer of foreign exchange for the purpose of the performance by a Loan Party of its obligations under this Agreement or any other Loan Documents to which it is a party, including, without limitation, the payment in Dollars of all sums due hereunder or thereunder. No change in Law, nor any change in the official interpretation or administration of any Law, has occurred that could adversely impact (a) the ability of the Borrower to maintain Dollar accounts outside of Mexico and to transfer amounts from and outside of Mexico as necessary to meet its obligations under the Loan Documents; and (b) the ability of a Loan Party to use Dollars as necessary to perform all of its obligations under the Loan Documents unless such impact would not, individually or in the aggregate, reasonably be expected to result in a Material Adverse Effect. Section 3.28 No Immunity. Each Loan Party is subject to civil and commercial law with respect to its obligations under the Loan Documents to which it is party, and the execution, delivery and performance of the Loan Documents by it constitute private and commercial acts rather than public or governmental acts. None of the Loan Parties or any of their respective properties has any immunity from suit, court jurisdiction, attachment prior to judgment, attachment in aid of execution of a judgment, set-off, execution of a judgment or from any other legal process with respect to the obligations of such Loan Party under the Loan Documents. Section 3.29 Conduct of Business by FLNG2 Subsidiaries. None of the FLNG2 Subsidiaries is engaged in any business other than the Project (and activities incidental or reasonably related thereto) as contemplated by its Organizational Documents, the Loan Documents, the Material Project Documents then in effect and other agreements relating to the Project. SECTION 4. CONDITIONS PRECEDENT Section 4.1 Closing Date. The obligations of each Lender to make Loans hereunder shall not become effective until the date on which each of the following conditions precedent is satisfied (or waived): (a) Loan Documents. The Administrative Agent shall have received (i) this Agreement, executed and delivered by a duly authorized officer or signatory of the Borrower, (ii) the Security Agreement, dated as of the Closing Date, executed and delivered by a duly authorized officer or signatory of each Loan Party that is a party thereto and (iii) the Equal Priority ICA Joinder Agreement, executed and delivered by a duly authorized officer or signatory of each party thereto. (b) Fees and Expenses. All fees due to the Administrative Agent, the Collateral Agent, the Arranger and the Lenders on the Closing Date shall have been paid, and all reasonable and documented out-of-pocket expenses to be paid or reimbursed to the Administrative Agent, the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897275.26-LACSR02A - MSW Agent and the Arranger on the Closing Date that have been invoiced at least three Business Days prior to the Closing Date shall have been paid (which amounts may be offset against the proceeds of the Loans). (c) Solvency Certificate. The Lenders shall have received a solvency certificate, substantially in the form of Exhibit D, executed by a Responsible Officer (which shall be the chief financial officer, chief accounting officer or other officer with equivalent duties) of the Borrower. (d) Lien Searches. The Administrative Agent shall have received the results of recent Uniform Commercial Code searches in each relevant jurisdiction reasonably requested by the Administrative Agent with respect to each of the Loan Parties. (e) Closing Certificate. The Administrative Agent shall have received a certificate signed by a Responsible Officer of the Borrower, certifying that the representations and warranties contained herein and in the other Loan Documents are true and correct in all material respects, except to the extent such representations and warranties specifically relate to an earlier date, in which case such representations and warranties shall have been true and correct in all material respects on and as of such earlier date; provided that, in each case, such materiality qualifier shall not be applicable to any representations and warranties that already are qualified or modified by materiality in the text hereof. (f) Legal Opinions. The Administrative Agent shall have received, in form and substance reasonably acceptable to the Administrative Agent, a legal opinion of Skadden, Arps, Slate Meagher &amp; Flom LLP, New York counsel to the Borrower and the Guarantors dated the date hereof and addressed to the Administrative Agent and the Lenders. (g) Organizational Documents. A certificate of a Responsible Officer of each Loan Party, certifying (A) as to copies of the Organizational Documents of such Loan Party, together with all amendments thereto, (B)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and (C) the names and true signatures of the representatives of such Loan Party authorized to sign each Loan Document (in the case of the Borrower, including, without limitation, Funding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 (h) Uniform Commercial Code Filings. Each Uniform Commercial Code financing statement required as of the Closing Date by the Security Documents to be filed in order to create in favor of the Collateral Agent for the benefit of the Secured Parties, a perfected Lien on the Collateral described therein, prior and superior in right to any other Person (other than with respect to Liens expressly permitted by Section 6.6), shall have been filed, or shall have been delivered to the Collateral Agent in proper form for filing, or arrangements reasonably satisfactory to the Collateral Agent for such filing shall have been made. (i) PATRIOT Act; Beneficial Ownership. The Administrative Agent shall have received at least five (5) Business Days prior to the Closing Date (or such shorter period time as may be agreed by the Administrative Agent) all documentation and other information about the Borrower and the Guarantors required under applicable “know your customer” and anti-money laundering rules and regulations, including the PATRIOT Act, that has been requested by the Administrative Agent in writing at least ten (10) Business Days prior to the Closing Date. At least five (5) Business Days prior to the Closing Date, the Borrower shall have delivered a Beneficial Ownership Certification to any Lender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897275.26-LACSR02A - MSW has requested such certification, which certification shall be substantially similar in form and substance to the form of Certification Regarding Beneficial Owners of Legal Entity Customers published jointly, in May 2018, by the Loan Syndications and Trading Association and Securities and Industry and Financial Markets Association, in relation to the Borrower. (j) Financial Statements; Pro Forma Balance Sheet; Closing Financial Model. The Administrative Agent and the Arranger shall have received (a) audited consolidated balance sheets and related statements of income and cash flows of the Borrower and its consolidated subsidiaries for the three most recently completed fiscal years ended at least 75 days prior to the Closing Date, (b) unaudited consolidated balance sheets and related statements of income and cash flows of the Borrower and its consolidated subsidiaries for each fiscal quarter (other than any fourth fiscal quarter) ended after the most recent audited financial statements delivered pursuant to clause (a) above and at least 45 days prior to the Closing Date, (c) an unaudited pro forma opening balance sheet of the FLNG2 Subsidiaries as of March 31, 2024, prepared after giving effect to the Transactions as if the Transactions had occurred as of such date, (d) a consolidated closing financial model for the FLNG2 Subsidiaries incorporating appropriate operating assumptions consistent with the Material Project Documents, which has been agreed by the Administrative Agent (upon consultation with the Independent Engineer), and distributed to the Lenders through an electronic platform chosen by the Borrower prior to the Closing Date, and which shall prove resistance to reasonable sensitivities and downside scenarios, including projected compliance with a Gearing Ratio equal to or greater than 60.0% through the Completion Date (the “Closing Base Case Model Assumptions”), and (e) solely to the extent (i) made available to the Borrower under and pursuant to any Material Project Document and (ii) that the Borrower is permitted to deliver such financial statements to the Administrative Agent (and in accordance with any confidentiality restrictions in the applicable Material Project Document), the financial statements of the Material Project Counterparties. (k) Independent Consultant Reports. The Administrative Agent shall have received independent consultant reports from each of legal counsel to the Administrative Agent, the Independent Engineer and the Environmental &amp; Social Consultant (which report shall include the Equator Principles Action Plan), together with reliance letters from each such consultant, in each case, in form and substance reasonably acceptable to the Administrative Agent and the Lenders. (l) Construction Budget and Schedule. The Administrative Agent shall have received a certificate of the Borrower attaching the Construction Budget and Schedule, and certifying that, as of the Closing Date, the Construction Budget and Schedule is: (x) based on good faith assumptions believed by the Borrower to be reasonable and (y) consistent in all material respects with the provisions of the EPC Contract. (m) No Litigation. No litigation, action, suit, claim, dispute, investigation or proceeding of or before any arbitrator or Governmental Authority shall be pending or, to the knowledge of the Borrower, threatened by or against any Loan Party or against any of their respective properties or revenues that could reasonably be expected to have, individually or in the aggregate, a Material Adverse Effect. (n) Insurance. The Administrative Agent shall have received evidence that an early works insurance policy has been issued to the Borrower and all required premiums are paid in full (or will be paid in full on the Closing Date) naming the Collateral Agent, on behalf of the Secured Parties, as an additional insured and loss payee under such insurance policy. (o) Material Project Documents. Receipt by the Administrative Agent of: (i) a true and complete executed copy of each Material Project Document (including all amendments, amendments and restatements, supplements and waivers thereto) set forth on Schedule 1.1B and (ii) executed copies of all performance security, letters of credit and guarantees required to be delivered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897275.26-LACSR02A - MSW each Material Project Document by the Material Project Counterparties as of the Closing Date. Except to the extent the applicable Material Project Document expressly permits collateral assignment for financing purposes, the Borrower shall have used its commercially reasonable efforts to obtain consents to the collateral assignment from the Material Project Counterparties in respect of the Material Project Documents identified on Schedule 4.1(o) and, to the extent any such consent to collateral assignment has been obtained, such consent to collateral assignment shall be in full force and effect. (p) Representations and Warranties. The representations and warranties of each Loan Party set forth in Section 3 and in each other Loan Document shall be true and correct in all material respects on and as of the date of such Borrowing with the same effect as though made on and as of such date, except to the extent such representations and warranties expressly relate to an earlier date, in which case they shall be true and correct in all material respects as of such earlier date; provided, however, that, any representation and warranty that is qualified as to “materiality,” “Material Adverse Effect” or similar language shall be true and correct (after giving effect to any qualification therein) in all respects on such respective dates. (q) No Default. No Default or Event of Default shall exist or would result from such proposed Borrowing or from the application of the proceeds therefrom. Section 4.2 Conditions to First Initial Term Loan Funding Date. (a) The obligation of each Lender to honor any Funding Notice with respect to the first Initial Term Loan Funding Date to occur on or after the Closing Date (such date, the “First Initial Term Loan Funding Date”) is subject to satisfaction or waiver of the following conditions precedent: (i) Subject to Section 1.6(a), the representations and warranties of each Loan Party set forth in Section 3 and in each other Loan Document shall be true and correct in all material respects on and as of the date of such Borrowing with the same effect as though made on and as of such date, except to the extent such representations and warranties expressly relate to an earlier date, in which case they shall be true and correct in all material respects as of such earlier date; provided, however, that, any representation and warranty that is qualified as to “materiality,” “Material Adverse Effect” or similar language shall be true and correct (after giving effect to any qualification therein) in all respects on such respective dates. (ii) Subject to Section 1.6(a), no Default or Event of Default shall exist or would result from such proposed Borrowing or from the application of the proceeds therefrom. (iii) The Administrative Agent shall have received a Funding Notice in accordance with the requirements hereof including certification from the Independent Engineer. (iv) All fees due to the Administrative Agent, the Collateral Agent, the Arranger and the Lenders on the First Initial Term Loan Funding Date shall have been paid, and all reasonable and documented out-of-pocket expenses to be paid or reimbursed to the Administrative Agent, the Collateral Agent and the Arranger on the First Initial Term Loan Funding Date that have been invoiced at least three Business Days prior to the First Initial Term Loan Funding Date shall have been paid (which amounts may be offset against the proceeds of the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897275.26-LACSR02A - MSW (v) If so requested by any Lender by written notice to the Borrower (with a copy to the Administrative Agent) at least two Business Days prior to the First Initial Term Loan Funding Date, the Borrower shall have executed and delivered to such Lender on or prior to the First Initial Term Loan Funding Date a Loan Note. (vi) As of the First Initial Term Loan Funding Date, the Borrower and its Restricted Subsidiaries shall have Availability Liquidity in an aggregate amount not less than $100,000,000. (vii) First LNG shall have occurred. (viii) Prior to the First Initial Term Loan Funding Date (or substantially concurrently with the funding of the Initial Term Loans on the First Initial Term Loan Funding Date), the Borrower shall have (x) contributed equity to the FLNG2 Subsidiaries (and the FLNG2 Subsidiaries shall have applied such equity to the payment of Project Costs (or the funding of a Project Costs Reserve Account) and/or (y) paid Project Costs on behalf of the FLNG2 Subsidiaries (or funded a Project Costs Reserve Account), in an aggregate amount equal to not less than $300 million and otherwise in compliance with a Gearing Ratio greater than 60.0% on a pro forma basis as of the First Initial Term Loan Funding Date. (ix) If the First Initial Term Loan Funding Date does not occur on the Closing Date or within 10 Business Days thereafter, the Administrative Agent shall have received, at least three (3) Business Days prior to the First Initial Term Loan Funding Date, a bring-down of the report of the Environmental &amp; Social Consultant (including the Equator Principles Action Plan) delivered pursuant to Section 4.1(k); provided that, such bring-down shall either (i) contain a statement from the Environmental &amp; Social Consultant that there have been no material adverse changes to such report or (ii) be reasonably acceptable to the Administrative Agent. (x) As of the First Initial Term Loan Funding Date, each FLNG2 Subsidiary is in compliance in all material respects with Environmental Laws and Social Laws, and reasonably expects to be in compliance with all applicable provisions of the Equator Principles and the applicable Organization for Economic Cooperation and Development guidelines pertaining to environmental matters in respect of the Project on or prior to the Completion Date. (b) Subject to Section 1.6(a), each Borrowing by the Borrower shall be deemed to be a representation and warranty that the conditions specified in Sections 4.2(a)(i), (ii), (vi), (vii),(viii) and (x) have been satisfied on and as of the date of the applicable Borrowing. Section 4.3 Conditions to All Borrowings. (a) The obligation of each Lender to honor any Funding Notice on any Initial Term Loan Funding Date other than the First Initial Term Loan Funding Date is subject to satisfaction or waiver of the following conditions precedent: (i) Subject to Section 1.6(a), the representations and warranties of each Loan Party set forth in Section 3 and each other Loan Document shall be true and correct in all material respects on and as of the date of such Borrowing with the same effect as though made on and as of such date, except to the extent such representations and warranties expressly relate to an earlier date, in which case they shall be true and correct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6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897275.26-LACSR02A - MSW in all material respects as of such earlier date; provided that, any representation and warranty that is qualified as to “materiality,” “Material Adverse Effect” or similar language shall be true and correct (after giving effect to any qualification therein) in all respects on such respective dates. (ii) Subject to Section 1.6(a), no Default or Event of Default shall exist or would result from such proposed Borrowing or from the application of the proceeds therefrom. (iii) The Administrative Agent shall have received a Funding Notice in accordance with the requirements hereof including certification from the Independent Engineer. (iv) All fees due to the Administrative Agent, the Collateral Agent, the Arranger and the Lenders on such Initial Term Loan Funding Date shall have been paid, and all reasonable and documented out-of-pocket expenses to be paid or reimbursed to the Administrative Agent, the Collateral Agent and the Arranger on such Initial Term Loan Funding Date that have been invoiced at least three Business Days prior to such Initial Term Loan Funding Date shall have been paid (which amounts may be offset against the proceeds of the Loans). (v) If so requested by any Lender by written notice to the Borrower (with a copy to the Administrative Agent) at least two Business Days prior to such Initial Term Loan Funding Date, the Borrower shall have executed and delivered to such Lender on or prior to such Initial Term Loan Funding Date a Loan Note. (vi) As of such Initial Term Loan Funding Date, the Borrower and its Restricted Subsidiaries shall have Availability Liquidity in an aggregate amount not less than $100,000,000. (vii) Prior to such Initial Term Loan Funding Date (or concurrently with the funding of the Initial Term Loans on such Initial Term Loan Funding Date), the Borrower shall have (x) contributed equity contributions to the FLNG2 Subsidiaries (and the FLNG2 Subsidiaries shall have applied such equity to the payment of Project Costs (or the funding of a Project Costs Reserve Account) and/or (y) paid Project Costs on behalf of the FLNG2 Subsidiaries (or funded a Project Costs Reserve Account), in an aggregate amount sufficient to be in compliance with a Gearing Ratio greater than 60.0% on a pro forma basis as of such Initial Term Loan Funding Date. (b) Subject to Section 1.6(a), each Borrowing by the Borrower shall be deemed to be a representation and warranty that the conditions specified in Sections 4.3(a)(i), (ii), (vi) and (vii) have been satisfied on and as of the date of the applicable Borrowing. Section 4.4 Conditions to Occurrence of the Completion Date. The occurrence of the Completion Date is subject to the satisfaction of each of the following, and no other, conditions (or waiver thereof by the Administrative Agent (acting on the instruction of the Required Lenders)): (a) Notice of Completion Date. Receipt by the Administrative Agent of a duly executed notice of Project completion from the Borrower certifying that the conditions in clauses (b) through (i) of this Section 4.4 have been met.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7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897275.26-LACSR02A - MSW (b) Borrower Certificate. Receipt by the Administrative Agent of a certificate of the Borrower certifying that: (i) no Default or Event of Default has occurred and is continuing; (ii) each of the Repeated Representations of each Loan Party is true and correct in all material respects on and as of such date with the same effect as though made on and as of the Completion Date, except to the extent such representations and warranties expressly relate to an earlier date, in which case they were true and correct in all material respects as of such earlier date; provided that, any Repeated Representation that is qualified as to “materiality,” “Material Adverse Effect” or similar language shall be true and correct (after giving effect to any qualification therein) in all respects on such respective dates; (iii) to the knowledge of each Loan Party that is a party to a Material Project Document, no event of force majeure (as defined in the applicable Material Project Document) has occurred and is continuing under such Material Project Document, the consequences of which have or could reasonably be expected to have a Material Adverse Effect; and (iv) the Borrower is in pro forma compliance with the financial covenants set forth in Section 6.7. (c) Independent Engineer’s Certificate. Receipt by the Administrative Agent of a certificate of the Borrower certifying that: (i) substantial completion (or such corresponding or similar concept) under each of Kiewit Contract and the MSA has occurred, subject, in each case, to completion of punch list items under the relevant Material Project Document; and (ii) the Commercial Operation Date (as defined in the NFE Offtake Agreement) has occurred, and attaching a copy of a certificate from the Independent Engineer confirming (i) and (ii) above. (d) Payment. Receipt by the Administrative Agent of reasonably satisfactory evidence that the applicable Loan Party shall have paid in full all amounts then due and payable under each of the EPC Contracts and the MSA, other than, in each case, (i) amounts required to complete punch list items; (ii) amounts properly withheld or retained by such Loan Party in accordance with the terms and conditions of such EPC Contracts and the MSA; and (iii) disputed amounts under such EPC Contracts and the MSA which are being contested in good faith by appropriate actions diligently conducted. (e) Insurance. Receipt by the Administrative Agent of a certificate from the Borrower confirmed in writing to be reasonable by Aon or another internationally recognized insurance consultant confirming that (i) the insurance policies relating to the Project with respect to the operating period risks are in full force and effect, including payment of all premiums required as of the Completion Date, and (ii) such insurance policies name the Collateral Agent as additional insured or loss payee, as applicable. (f) Debt Service Reserve Account. The Debt Service Reserve Account shall have been established and funded in an amount not less than the Debt Service Reserve Amount in accordance with Section 5.14. (g) Initial Operating Budget. The Borrower shall have delivered to the Administrative Agent an initial operating budget relating to the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7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897275.26-LACSR02A - MSW (h) Required Permits and Project Leasehold or Concession. All Required Permits and any Project Leasehold or Concession needed to commence operation of the Project (i) have been duly obtained, were validly issued, are in full force and effect, and are not the subject of any pending appeal and all applicable fixed time periods for appeal set forth in the applicable Laws pursuant to which such Permits were issued have expired or are Permits that do not have limits on appeal periods and (ii) are free from conditions or requirements that the Loan Parties do not expect to be able to satisfy or the compliance with which could reasonably be expected to have a Material Adverse Effect. (i) Equator Principles and Environmental Laws. On the Completion Date, each FLNG2 Subsidiaries shall be in compliance in all material respects with Environmental Laws, all applicable provisions of the Equator Principles and the applicable Organization for Economic Cooperation and Development guidelines pertaining to the Project. (j) Lien Waivers. (i) The Project shall not be subject to any Liens other than Permitted Liens of the types described in clauses (a)(i), (a)(ii), (b), (c)(i), (c)(ii), (mm)(I), (rr),(ss) and (uu) of the definition thereof and (ii) the Borrower shall have delivered to the Administrative Agent each of the final lien waivers and releases from each of Kiewit Offshore Services, Ltd. and Arendal pursuant to the terms of the Kiewit Contract and the MSA, respectively. SECTION 5. AFFIRMATIVE COVENANTS The Borrower agrees that, so long as the Termination Conditions have not been satisfied, the Borrower shall and, as applicable, shall cause each of the Restricted Subsidiaries of the Borrower (as applicable) to: Section 5.1 Financial Statements. Furnish to the Administrative Agent for delivery to each Lender and take the following actions: (a) within 90 days (or the successor time period then in effect under the Exchange Act for a non-accelerated filer plus any grace period provided by Rule 12b-25 under the Exchange Act) after the end of each fiscal year of the Borrower, beginning with the fiscal year ending December 31, 2024, a copy of the audited consolidated balance sheet of the Borrower and its consolidated Subsidiaries as at the end of such year and the related audited consolidated statements of operations and of cash flows for such year, setting forth in each case in comparative form the figures as of the end of and for the previous year, audited by Ernst &amp; Young LLP or other independent certified public accountants of nationally recognized standing, together with a report and opinion by such certified public accountants, which report and opinion shall be prepared in accordance with generally accepted auditing standards and shall not be subject to any “going concern” or like qualification or exception or any qualification or exception as to the scope of such audit (other than solely as a result of (a) the impending maturity of any Indebtedness or (b) any potential inability to satisfy a financial maintenance covenant on a future date or in a future period); and (b) not later than 45 days (or the successor time period then in effect under the Exchange Act for a non-accelerated filer plus any grace period provided by Rule 12b-25 under the Exchange Act) after the end of each of the first three fiscal quarters of the Borrower, beginning with the fiscal quarter ending March 31, 2024, the unaudited consolidated balance sheet of the Borrower and its consolidated Subsidiaries as at the end of such quarter and the related unaudited consolidated statements of operations and of cash flows for such quarter and the portion of the fiscal year through the end of such quarter, setting forth in each case in comparative form the figures as of the end of and for the corresponding period in the previous year, certified by a Responsible Officer of the Borrower as being fairly stated in all material respects (subject to normal year-end audit adjustments and the absence of footnotes).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7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897275.26-LACSR02A - MSW (c) If the Borrower has designated any of its Subsidiaries as an Unrestricted Subsidiary, then the annual and quarterly information required by Section 5.1(a) and 5.1(b) shall include information (which need not be audited or reviewed by the Borrower’s auditors) regarding such Unrestricted Subsidiaries substantially comparable to the financial information of the Unrestricted Subsidiaries presented in the Offering Memorandum; provided that no such information shall be required if such financial information is not material compared to the applicable financial information of the Borrower and its Subsidiaries on a consolidated basis or if such Unrestricted Subsidiaries are not material to the Borrower and its Subsidiaries on a consolidated basis. Financial statements, segment information and other information required to be delivered pursuant to this Section 5.1, Section 5.2 or Section 5.7 may be delivered electronically and if so delivered, shall be deemed to have been delivered on the date (i) on which the Borrower, as applicable, posts such financial statements, segment information or other information, or provides a link thereto, on the website of the Borrower, as applicable; (ii) on which such financial statements, segment information or other information is posted on behalf of the Borrower on an Internet or intranet website, if any, to which each Lender and the Administrative Agent have access (whether a commercial or third-party website or whether sponsored by the Administrative Agent); or (iii) to the extent such financial statements, segment information or other information are set forth in the Borrower’s Form 10-K or 10-Q, as applicable, filed with the SEC, on which date such documents are filed for public availability on the SEC’s Electronic Data Gathering and Retrieval System. Section 5.2 Certificates; Other Information. Furnish to the Administrative Agent for delivery to each Lender: (a) concurrently with the delivery of any financial statements pursuant to Section 5.1, a Compliance Certificate of the Borrower (the first such Compliance Certificate to be delivered for the fiscal quarter ending March 31, 2024) as of the last day of the fiscal quarter or fiscal year of the Borrower, as the case may be; (b) no later than 60 days after the end of each fiscal year of the Borrower, beginning with the fiscal year ending December 31, 2024, a consolidated budget for the Borrower and its Subsidiaries for the following fiscal year (including a consolidated statement of projected results of operations of the Borrower and its consolidated Subsidiaries as of the end of the following fiscal year presented on a quarterly basis); (c) concurrently with the delivery of any financial statements pursuant to Section 5.1(a) or (b), a narrative discussion and analysis of the financial condition and results of operations of the Borrower and its consolidated Subsidiaries, in each case, for such fiscal quarter and for the period from the beginning of the then current fiscal year to the end of such fiscal quarter; and (d) promptly, from time to time, such other customary information regarding the operations, business affairs and financial condition of the Borrower and its Restricted Subsidiaries and their compliance with the terms of any Loan Document, in each case, as the Administrative Agent may reasonably request (for itself or on behalf of any Lender). The Borrower hereby acknowledges that certain of the Lenders may be Public Lenders and, if documents or notices required to be delivered pursuant to Section 5.1 or this Section 5.2 or otherwise are being distributed through IntraLinks/IntraAgency, SyndTrak, DebtDomain, ClearPar or any other electronic platform chosen by the Administrative Agent to be its electronic transmission system (the “Platform”), any Communication that the Borrower has not clearly and conspicuously marked “PUBLIC” shall not be posted on that portion of the Platform designated for such Public Lenders. The Borrower agrees to use commercially reasonable efforts to clearly designate all Communications provided to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7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897275.26-LACSR02A - MSW Agent by or on behalf of the Borrower which is suitable to make available to Public Lenders. If the Borrower has not indicated whether a Communication contains Non-Public Information, the Administrative Agent reserves the right to post such Communication solely on that portion of the Platform designated for Lenders who wish to receive Non-Public Information with respect to the Borrower, its Subsidiaries and their securities (“Private Side Information”). Each Public Lender agrees to cause at least one individual at or on behalf of such Public Lender to at all times have selected to receive Private Side Information in order to enable such Public Lender or its delegate, in accordance with such Public Lender’s compliance procedures and applicable Law, including United States federal and state securities laws, to make reference to Communications that are not made through the “Public” portion of the Platform and that may contain Non-Public Information. Section 5.3 Payment of Taxes. Pay, before the same shall become delinquent or in default, all Taxes required to be paid except where (a) the validity or amount thereof is being contested in good faith by appropriate proceedings and adequate reserves with respect thereto are maintained on the books of the Borrower or its Restricted Subsidiaries or (b) the failure to make payment could not reasonably be expected, individually or in the aggregate, to have a Material Adverse Effect. Section 5.4 Conduct of Business and Maintenance of Existence; Compliance with Law; Required Permits. (a)(i) Except as otherwise permitted by Section 6.4 or 6.9, preserve, renew and keep in full force and effect its organizational existence and good standing in its jurisdiction of incorporation or organization and (ii) take all reasonable action to maintain all rights, privileges and franchises necessary or desirable in the normal conduct of its business, except, in each case, as otherwise permitted by Section 6.4 or 6.9 or, other than with respect to the organizational existence of the Borrower, to the extent that failure to do so could not reasonably be expected to have, individually or in the aggregate, a Material Adverse Effect and (b) comply with all Requirements of Law, except to the extent that failure to comply therewith could not, individually or in the aggregate, reasonably be expected to have a Material Adverse Effect, (c) on or prior to the date that any Required Permit or any Project Leasehold or Concession becomes required for the Project, obtain such Required Permit or Project Leasehold or Concession, as applicable, (d) once obtained, maintain in full force and effect all Required Permits and any Project Leasehold or Concession, and (e) construct, operate and maintain the Project (or, as applicable, cause the Project to be constructed, operated and maintained) in material compliance with the terms and provisions of all Required Permits and any Project Leasehold or Concession. Section 5.5 Maintenance of Property; Insurance. (a) Keep all real and tangible Property and systems used, useful, or necessary in its business in good working order and condition, ordinary wear and tear excepted, except to the extent the failure to do so could not reasonably be expected to have, individually or in the aggregate, a Material Adverse Effect and (b)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are customarily carried under similar circumstances by such other Persons. Section 5.6 Inspection of Property; Books and Records; Discussions. (a) Keep proper books of records and account in which entries which are full, true and correct, in all material respects, in conformity with GAAP shall be made of all material dealings and transactions in relation to its business and activities, (b) upon the request of the Administrative Agent or the Required Lenders, participate in a meeting or conference call with the Administrative Agent and the Lenders once during each fiscal quarter at such time as may be agreed to by the Borrower and the Administrative Agent (provided that the requirements of this clause (b) shall be satisfied by the Borrower providing the Lenders with access to any earnings call for such fiscal quarter with the holders of the Capital Stock of the Borrower) and (c) permit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897275.26-LACSR02A - MSW representatives of the Administrative Agent to visit and inspect any of its properties and examine and make abstracts from any of its books and records at any reasonable time during normal business hours and as often as may reasonably be desired (but the Administrative Agent may not have more than one visit per any twelve month period except during an Event of Default), upon reasonable advance notice to the Borrower, and to discuss the business, operations, properties and financial and other condition of the Borrower and the Borrower’s Restricted Subsidiaries with officers and employees of the Borrower and the Borrower’s Restricted Subsidiaries and with their independent certified public accountants (and the Borrower will be given the opportunity to participate in any such discussions with such independent certified accountants). So long as no Event of Default has occurred and is continuing at the time of such inspection, the Borrower shall not bear the cost of more than one such inspection per calendar year by the Administrative Agent (or its representatives); provided that in any event, no more than two such inspections shall be conducted in any calendar year if no Event of Default has occurred and is continuing. Notwithstanding anything to the contrary in this Section 5.6, none of the Borrower and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its representatives) is prohibited by any Requirement of Law or any binding agreement (provided that, with respect to any prohibition by any binding agreement, the Borrower shall attempt to obtain consent to such disclosure if requested by the Administrative Agent) or (iii) is subject to attorney-client or similar privilege or constitutes attorney work product. Section 5.7 Notices. Promptly after obtaining knowledge of the same, give notice to the Administrative Agent of: (a) the occurrence of any Default or Event of Default; (b) any dispute, claim, litigation, investigation or proceeding (i) affecting the Borrower or any of its Subsidiaries that could reasonably be expected to have, individually or in the aggregate, a Material Adverse Effect, or (ii) with respect to any of the Loan Documents or any of the transactions contemplated hereby or thereby; (c) any notice received by the Borrower or any of its Restricted Subsidiaries of any investigation by any Governmental Authority of the Borrower or any of its Restricted Subsidiaries for violations of any Anti-Money Laundering Law, Sanctions or any applicable anti-corruption laws (including the FCPA), in each case that could reasonably be expected to have, individually or in the aggregate, a Material Adverse Effect; (d) any notice from a Material Project Counterparty with respect to a Material Project Document received by any Loan Party that is material to the Project, including (i) any notice of default or event of default under a Material Project Document, (ii) any notice of the occurrence of any force majeure claim reasonably expected to exceed 30 consecutive days, (iii) any change order request that would reasonably be expected to have a material effect on the Construction Budget and Schedule, and (iv) any material indemnity claim or notice of material dispute; (e) the execution and delivery of (i) any contract or agreement in respect of the Project entered into by an FLNG2 Subsidiary with any other Person subsequent to the Closing Date having a term in excess of two years (excluding any applicable warranty periods or non-performance related provisions) and providing for payments or revenue receipts by such FLNG2 Subsidiary in excess of $10.0 million in any twelve-month period, (ii) any Material Project Document Modification where such modification could reasonably be expected to have a material effect on the Construction Budget and Schedule, and (iii) any Replacement Material Project Document (along with true, correct and complete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7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897275.26-LACSR02A - MSW copies of any such Material Project Document Modification or Replacement Material Project Document, as applicable); (f) the rescission, revocation, staying, withdrawal, early termination, cancellation, repeal or invalidity of any material Permit; (g) any other development or event that has had or could reasonably be expected to have, individually or in the aggregate, a Material Adverse Effect. Each notice pursuant to this Section 5.7 shall be accompanied by a statement of a Responsible Officer of the Borrower setting forth details of the occurrence referred to therein and stating what action the Borrower or the relevant Subsidiary has taken or proposes to take with respect thereto. Section 5.8 Environmental Laws; Equator Principles. (a) (i) Solely in respect of the Borrower or any of its Restricted Subsidiaries (other than the FLNG2 Subsidiaries), except in each case to the extent the failure to do so could not reasonably be expected to have, individually or in the aggregate, a Material Adverse Effect, comply with, and use commercially reasonable efforts to ensure compliance by all tenants and subtenants, if any, and (ii) in respect of the FLNG2 Subsidiaries, comply with, and use commercially reasonable efforts to ensure material compliance by all tenants and subtenants, if any, with, all applicable Environmental Laws and Social Laws, and obtain and comply with and maintain, and use commercially reasonable efforts to ensure that all tenants and subtenants, if any, obtain and comply in all material respects with and maintain, any and all material Environmental Permits. (b) (i) Solely in respect of the Borrower or any of its Restricted Subsidiaries (other than the FLNG2 Subsidiaries), except in each case to the extent the failure to do so could not reasonably be expected to have, individually or in the aggregate, a Material Adverse Effect, conduct and complete all investigations, studies, sampling and testing, and all remedial, removal and other similar actions required by any Governmental Authority under Environmental Laws, and promptly comply with all lawful orders and directives of all Governmental Authorities regarding Environmental Laws and (ii) in respect of the FLNG2 Subsidiaries, conduct and complete all material investigations, studies, sampling and testing, and all remedial, removal and other similar actions required by any Governmental Authority under Environmental Laws, and promptly comply in all material respects with all lawful orders and directives of all Governmental Authorities regarding Environmental Laws. (c) The Borrower shall cause each FLNG2 Subsidiary to comply with all applicable provisions of the Equator Principles and the applicable Organization for Economic Cooperation and Development guidelines pertaining to environmental matters, throughout construction and operation of the Project, in each case except to the extent that failure to do so would not reasonably be expected to have a Material Adverse Effect. (d) The Borrower hereby consents to reporting of the Project’s name and other information as may be reasonably requested by any Lender in order for such Lender to comply with the applicable reporting obligations set forth in Annex B of the Equator Principles. (e) From the First Initial Term Loan Funding Date, the Borrower shall, and shall cause each FLNG2 Subsidiary to, be in compliance in all material respects with the Equator Principles Action Plan. Section 5.9 Plan Compliance. Except as could not reasonably be expected, individually or in the aggregate, to result in a Material Adverse Effect, establish, maintain and operate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897275.26-LACSR02A - MSW and all Pension Plans, Multiemployer Plans and Foreign Employee Benefit Plans (other than government- sponsored plans) in compliance with all Requirements of Law applicable thereto and the respective requirements of the governing documents for such plans to the extent the Borrower or any Commonly Controlled Entity has the authority to establish, maintain and operate such plans. Section 5.10 Additional Guarantors; Additional Collateral, Collateral Limitations. (a) Subject to Section 5.12, the Borrower shall cause each of its Wholly-Owned Restricted Subsidiaries (other than (a) the Guarantors, (b) any Qualified Liquefaction Development Entities, (c) any Receivables Subsidiaries, (d) any Immaterial Subsidiaries, (e) any Captive Insurance Subsidiaries, (f) any not-for-profit or special purpose Subsidiaries, (g) the FLNG1 Subsidiaries (as defined in the TLB Credit Agreement as of the date hereof) and (h) any Subsidiary with respect to which a guarantee by it of the Obligations would result in material adverse tax consequences to any Loan Party, as reasonably determined by the Borrower and notified to the Administrative Agent and the Collateral Agent in writing) to, within 60 days (subject to extensions, and exceptions as to scope of foreign security and perfection requirements, as are reasonably agreed by the Collateral Agent) of the later of (i) such Subsidiary becoming a Wholly-Owned Restricted Subsidiary and (ii) the Borrower determining such Subsidiary ceased to meet any of the exceptions set forth in the preceding parenthetical, execute and deliver (A) a Joinder Agreement, (B) a joinder to the Security Agreement substantially in the form of Exhibit A thereto, (C) an acknowledgment to the Equal Priority Intercreditor Agreement substantially in the form of Annex A thereto, (D) subject to the applicable limitations set forth in this Section 5.10, Security Documents in respect of the Collateral in the relevant jurisdictions outside of the United States, or, with respect to Single Lien Collateral (defined in the Equal Priority Intercreditor Agreement), new agreements, or amendments, amendments and restatements, supplements or other modifications to Single Lien Security Documents (as defined in the Equal Priority Intercreditor Agreement) in respect of such Single Lien Collateral, (E) a perfection certificate for such Wholly-Owned Restricted Subsidiary substantially in the form of the Perfection Certificate delivered on the Closing Date, and (F) all filings and other documents required by such Security Documents (including any Single Lien Security Documents) to create or perfect (to the extent required by such Security Documents) the security interests for the benefit of the Secured Parties in the Collateral of such Wholly- Owned Restricted Subsidiary. The Borrower may elect, in its sole discretion, to cause any Subsidiary that is not otherwise required to be a Guarantor to become a Guarantor (and no 60-day period described in the foregoing sentence shall apply to such Subsidiary). (b) From and after the Closing Date, and subject to the applicable time periods, limitations and exceptions set forth in the Security Documents and this Agreement (including the limitations and exceptions in this Section 5.10), if the Borrower or any Guarantor acquires any Property or asset that would constitute Collateral (which, for the avoidance of doubt, does not include any Excluded Assets), the Borrower or such Guarantor must grant a first-priority perfected security interest (subject to Permitted Liens) upon any such Collateral, as security for the Obligations within 90 days of such acquisition (subject to extensions, and exceptions as to scope of foreign security and perfection requirements, as are reasonably agreed by the Collateral Agent); provided that, the FLNG2 Subsidiaries and each of their direct parents shall, at all times subject to Section 5.12, grant a first priority security interest (subject to only Permitted Liens described in clauses (a)(i), (a)(ii), (b), (c)(i), (c)(ii), (mm)(I), (rr), (ss) and (uu) of the definition thereof) upon the FLNG2 Collateral as security for the Super Priority Obligations; provided, further, that, the Borrower shall use commercially reasonable efforts to obtain consents to the collateral assignment from the Material Project Counterparties in respect of any documents identified as Material Project Documents after the Closing Date and, to the extent any such consent to collateral assignment has been obtained, such consent to collateral assignment shall be in full force and effect. (c) Subject to the applicable terms of the Security Documents and any Intercreditor Agreements, within 90 days after the acquisition by any Loan Party of any Material Real Estate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7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897275.26-LACSR02A - MSW Asset (or within 90 days after the acquisition of a Person that becomes a Loan Party and that owns any Material Real Estate Asset) (in each case, other than any Excluded Asset) (or as soon as practicable thereafter using commercially reasonable efforts, but subject to extensions, and exceptions as to scope of foreign security and perfection requirements, as are reasonably agreed by the Collateral Agent), the Borrower shall cause such Loan Party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the such Material Real Estate Asset, as reasonably determined by the Borrower, naming the Collateral Agent for the benefit of the Secured Parties as the insured, insuring such Mortgage to be a valid first priority Lien on the real property described therein, free and clear of all Liens other than Permitted Liens and containing reasonable and customary endorsements (each, a “Title Policy”), (iii) deliver legal opinions of local counsel or Borrower’s counsel with respect to enforceability of such Mortgage and other customary matters; (iv) 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Agreement, such Material Real Estate Asset shall be deemed to have been acquired by such Restricted Subsidiary on the first day of the time period within which such Restricted Subsidiary is required to become a Guarantor under this Agreement. (d) Subject to the applicable terms of the Security Documents and any Intercreditor Agreements, and to the extent not otherwise constituting Excluded Assets, after the acquisition by any Loan Party of any tanker or other marine vessel with a value (as reasonably estimated by the Borrower) in excess of $40.0 million, the Borrower, as soon as practicable thereafter using commercially reasonable efforts, shall cause such Loan Party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Borrower) in excess of $40.0 million owned by any Restricted Subsidiary at the time such Restricted Subsidiary is required to become a Guarantor under this Agreement, such tanker or other marine vessel shall be deemed to have been acquired by such Restricted Subsidiary on the first day of the time period within which such Restricted Subsidiary is required to become a Guarantor under this Agreement. (e) Notwithstanding anything to the contrary, to the extent that the Lien on any Collateral is not or cannot be created and/or perfected on the Closing Date (other than (a) by the execution and delivery of the Security Agreement by the Borrower and the Guarantors and (b) a Lien on Collateral that is of the type that may be perfected by the filing of a financing statement in the United States under the UCC), the Borrower shall take all necessary actions to create and/or perfect such Lien pursuant to arrangements to be mutually agreed between the Borrower and the Collateral Agent acting reasonably, including those Post-Closing Actions set forth on Schedule 5.12. In addition, notwithstanding anything to the contrary, it is understood and agreed that: (i) the Collateral Agent may waive or grant extensions of time for the creation and perfection of security interests in, or obtaining Mortgages, policies of title insurance, legal opinions, surveys, appraisals or other deliverables with respect to, particular assets or the provision of any Guarantee by any Restricted Subsidiary; (ii) (1) perfection by control shall not be required with respect to assets requiring perfection through control agreements or other control arrangements, including Deposit Accounts, securities accounts and commodities accounts (other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7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897275.26-LACSR02A - MSW control or possession of pledged Equity Interests (to the extent certificated) that constitute Collateral) and (2) no blocked account agreement, deposit account control agreement or similar agreement shall be required for any Deposit Account, securities account or commodities account (other than as may be expressly required pursuant to Section 5.14(f) and 6.12); (iii) the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 (1) with respect to Equity Interests in, and Collateral owned by, Guarantors located in Barbados as of the Closing Date, a charge over shares and debentures under the Laws of Barbados and any customary filings associated therewith; (2) with respect to Equity Interests in, and Collateral owned by, Guarantors located in Bermuda as of the Closing Date, a share charge under the Laws of Bermuda and any customary filings associated therewith; (3) with respect to Equity Interests in, and Collateral owned by, Guarantors located in Ireland as of the Closing Date, a charge over shares under the laws of Ireland and any customary filings associated therewith; (4) with respect to Equity Interests and Collateral located in Jamaica as of the Closing Date, (i) a composite debenture creating charges over Collateral, (ii) three share charges by Barbadian parents over shares in four Jamaican subsidiaries, (iii) a share charge by a United States parent over shares in a Jamaican subsidiary and (iv) two mortgages over certain real property interests under the Laws of Jamaica (and Barbados, as applicable, with respect to the charges over shares), and any customary filings associated therewith; (5) with respect to Equity Interests in, and Collateral owned by, Guarantors located in Mexico as of the Closing Date, equity interests pledge agreements and non-possessory pledge agreements under the Laws of Mexico, and any customary filings associated therewith; (6) with respect to Equity Interests in, and Collateral owned by, Guarantors located in Luxembourg as of the Closing Date, a pledge of shares and pledge on receivables and accounts under the Laws of Luxembourg, and any customary filings associated therewith; (7) with respect to Collateral owned by, Guarantors located in Nicaragua as of the Closing Date, movable pledge over a Power Purchase Agreement under the laws of Nicaragua, and any customary filings associated therewith; (8) with respect to Equity Interests in, and Collateral owned by, Guarantors located in Puerto Rico as of the Closing Date, a mortgage note pledge and security agreement and filing of the applicable financing statement before the Commonwealth of Puerto Rico Department of State’s Secured Transactions Registry and any customary filings associated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7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897275.26-LACSR02A - MSW (9) with respect to Equity Interests in, and Collateral owned by, Guarantors incorporated in England and Wales as of the Closing Date, a charge over shares and debentures under the Laws of England and Wales and any customary filings associated therewith; and (10) with respect to Equity Interests in, and Collateral owned by, Foreign Subsidiaries that become Guarantors after the Closing Date, only such share pledges, debentures and similar instruments as are substantially consistent with those described in the foregoing clauses (1) through (10), as applicable. (f) No actions shall be required to perfect a security interest in (1) any vehicle, tanker, marine vessel, ISO container or other asset subject to a certificate of title, other than tankers or other marine vessels with a value (as reasonably estimated by the Borrower) in excess of $40.0 million, (2) letter- 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 (1) through (5), perfection actions limited solely to the filing of a UCC financing statement. (g) Subject to Section 5.12, the Borrower shall cause each Subsidiary (other than any Captive Insurance Subsidiaries, any FLNG1 Subsidiary (as defined in the TLB Credit Agreement as of the date hereof), any not-for-profit or special purpose Subsidiaries and any Subsidiary with respect to which a guarantee by it of the Obligations would result in material adverse tax consequences to any Loan Party, as reasonably determined by the Borrower and notified to the Administrative Agent and the Collateral Agent in writing) that is a guarantor under any Existing Indenture and any other Equal Priority Obligations to become a Guarantor under this Agreement and satisfy the requirements of this Section 5.10, and the Borrower shall, and shall cause each Guarantor to, grant a first-priority perfected security interest upon any Property (including, for the avoidance of doubt, any real property, tankers, other marine vessels and cash or Cash Equivalents of any of the FLNG2 Subsidiaries, but excluding any cash or Cash Equivalents of the Borrower or any of its Subsidiaries that are not FLNG2 Subsidiaries) that constitutes collateral under any Existing Indenture and any other Equal Priority Obligations and satisfy the requirements of this Section 5.10 with regards to such Property, in each case substantially concurrently with (and in no event later than 90 days of) such Subsidiary becoming a guarantor under any Existing Indenture or any other Equal Priority Obligation and such Property becoming collateral under any Existing Indenture or any other Equal Priority Obligation (subject to extensions as are reasonably agreed by the Collateral Agent); provided that the requirement of this Section 5.10(g) to grant a first-priority perfected security interest in Property constituting collateral under any Existing Indenture or any other Equal Priority Obligation shall not apply to Property consisting of cash and Cash Equivalents of the Borrower or any of its Subsidiaries that are not FLNG2 Subsidiaries (other than any Debt Service Reserve Account and any Project Costs Reserve Account). Section 5.11 Further Assurances. From time to time execute and deliver, or cause to be executed and delivered, such additional instruments, certificates or documents, and take such actions, as the Collateral Agent may, subject to the terms of the Intercreditor Agreement, reasonably request for the purposes of more fully creating, maintaining, preserving, perfecting or renewing the Liens granted in favor of (together with the other rights of) the Collateral Agent and the Secured Parties with respect to the Collateral (or with respect to any additions thereto or replacements or proceeds thereof or with respect to any other property or assets hereafter acquired by any Loan Party which are required to become part of the Collateral pursuant to Section 5.10) pursuant hereto or thereto. Upon the exercise by the Collateral Agent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8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897275.26-LACSR02A - MSW certifications, instruments and other documents and papers that the Collateral Agent may be reasonably required to obtain from the Borrower or any of its Subsidiaries for such governmental consent, approval, recording, qualification or authorization. Section 5.12 Post-Closing Covenants. The Borrower shall, and shall cause the Restricted Subsidiaries to, take the actions set forth on Schedule 5.12 (the “Post-Closing Actions”) within the time periods specified therein (it being understood that (i) no Foreign Subsidiary shall be required to enter into any Loan Document and (ii) the Borrower and its subsidiaries shall not be required to enter into any Loan Documents governed by the laws of a jurisdiction outside of the United States, in each case, until 90 days after the Closing Date (subject to extensions, and exceptions as to scope of foreign security and perfection requirements, as are reasonably agreed by the Administrative Agent in its sole discretion, in each case as applicable)). Section 5.13 Use of Proceeds. Use the proceeds of the Loans only for those purposes set forth in Section 3.16. Section 5.14 Debt Service Reserve Account. (a) On or prior to the Completion Date, the Borrower shall establish a Deposit Account or securities account in the name of the Borrower and established by the Borrower with an Acceptable DSRA Bank (such account, the “Debt Service Reserve Account”). From and after the Completion Date, the Debt Service Reserve Account shall be subject to a Control Agreement. (b) On (or prior to), and as a condition to the occurrence of, the Completion Date, the Borrower shall cause the Debt Service Reserve Account to be funded in an amount equal to not less than the Debt Service Reserve Amount. (c) After the Completion Date, if the sum of the aggregate Drawing Amount under all DSR Letters of Credit (if any) and funds on deposit in or credited to the Debt Service Reserve Account is less than the Debt Service Reserve Amount (a “DSRA Deficiency”), the Borrower shall cause funds to be deposited into the Debt Service Reserve Account until such time a DSRA Deficiency no longer exists; provided that, (i) the Borrower shall only be required to cause such funds to be deposited into the Debt Service Reserve Account to the extent it has funds available for such purpose (taking into account any obligations then due and payable by the Borrower or reasonably expected by the Borrower to be due and payable within the next thirty (30) days), and (ii) any failure of the Borrower to fund the Debt Service Reserve Account as a result of unavailable funds shall not constitute a Default or Event of Default hereunder. (d) Amounts on deposit in or credited to the Debt Service Reserve Account to satisfy the requirement to fund the Debt Service Reserve Amount may be funded (or replaced) from time to time by one or more letters of credit issued by an Acceptable DSRA Bank naming the Borrower as the applicant under such letter of credit (any such letter of credit, a “DSR Letter of Credit”). (e) Funds on deposit in the Debt Service Reserve Account shall be used by the Borrower to pay interest in respect of the Initial Term Loans if the Borrower does not otherwise have sufficient funds available to make such payments. In addition, if (i) any DSR Letter of Credit is then in effect and (ii) the Borrower does not have sufficient funds available to pay interest in respect of the Initial Term Loans, the Borrower may direct the Administrative Agent to make a drawing on such DSR Letter of Credit in an amount as may be necessary to pay such interest. Neither the use of funds in the Debt Service Reserve Account, nor the making of any drawing on a DSR Letter of Credit, to pay interest on the Initial Term Loans shall be, or result in, a Default or Event of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8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897275.26-LACSR02A - MSW Section 5.15 Material Project Documents. The Borrower shall, and shall cause each FLNG2 Subsidiary to, (a) take all reasonable and necessary action to prevent the termination or cancellation of any Material Project Document in accordance with the terms of such Material Project Document (except for the expiration of any Major Project Contract in accordance with its terms and not as a result of a breach or default thereunder), (b) perform all of its material contractual obligations under the Material Project Documents by which it is bound and (c) enforce against the relevant Material Project Counterparty to such Material Project Document each covenant or obligation in such Material Project Document in accordance with its terms in all material respects. Section 5.16 Compliance with Anti-Corruption Laws, Anti-Money Laundering Laws and Sanctions. The Borrower and its Restricted Subsidiaries shall conduct their businesses in compliance in all material respects with applicable Anti-Money Laundering Laws, the FCPA and material applicable anti-corruption laws and the Loan Parties shall maintain policies and procedures designed to promote and achieve material compliance with such laws and applicable Sanctions. Section 5.17 Construction Progress Reports. Prior to the Completion Date, the Borrower shall deliver to the Administrative Agent (who shall promptly deliver to the Lenders) and the Independent Engineer (within thirty days after the end of each calendar quarter): (a) to the extent provided to a FLNG2 Subsidiary by a Material Project Counterparty, a copy of any construction reports provided to the FLNG2 Subsidiaries under the EPC Contracts and the MSA; and (b) an updated Construction Budget and Schedule based on assumptions materially consistent with the Closing Base Case Model Assumptions, showing achievement of applicable milestones, cash spend to date in respect of Project Costs, details of any expected delays to achievement of the Completion Date and details of any material deviations from the Construction Budget and Schedule delivered for the previous period. Section 5.18 IE Construction Progress Reports. Prior to the Completion Date, the Borrower shall deliver to the Administrative Agent (within sixty days after the end of each calendar quarter) a report of the Independent Engineer which shall set forth: (a) the estimated date on which the technical requirements of the conditions to the occurrence of Completion Date are expected to be achieved; (b) the Borrower’s estimate of overall completion status of the Project at the end of the subject quarter together with the Independent Engineer’s observations on same; (c) the status of construction progress under each applicable Material Project Document and the proposed construction schedule for the following 90 days of the Project, including a description, as compared with the then current Construction Budget and Schedule, of the status of engineering, procurement, construction, commissioning and testing; (d) updates to the status of the Required Permits and any Project Leasehold or Concession, including the dates of applications submitted or to be submitted and the anticipated dates of actions by Governmental Authorities with respect to such Required Permits or Project Leasehold or Concession. Section 5.19 E&amp;S Reports; Compliance Notices. Within thirty days following each June 30 and December 31 to occur after the Closing Date (commencing with December 31, 2024), the Borrower shall deliver to the Administrative Agent a semi-annual environmental and social report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8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897275.26-LACSR02A - MSW an “E&amp;S Report”) prepared by the Environmental and Social Consultant addressing substantially the same matters contemplated by the report delivered by the Environmental and Social Consultant pursuant to Section 4.1(k). Each E&amp;S Report shall document material compliance with (i) the Environmental and Social Management Plan and the Equator Principles Action Plan (if applicable) each as defined in the Equator Principles and (ii) Principle 3 of the Equator Principles. The Borrower shall cause each FLNG2 Subsidiary, promptly after obtaining knowledge of the same but no later than 15 Business Days therefrom, give notice to the Administrative Agent of any failure to comply with any applicable material provision of the Equator Principles, Environmental Law or the applicable Organization for Economic Cooperation and Development guidelines pertaining to environmental matters in respect of the Project. Section 5.20 Annual Operating Budgets. No later than December 1 of each calendar year from and including the calendar year in which the Completion Date occurs, the Borrower shall deliver to the Administrative Agent and the Independent Engineer a draft annual operating budget based on assumptions materially consistent with the Closing Base Case Model Assumptions, for each subsequent year of operation prior to the Maturity Date. Prior to adopting such operating budget, the Borrower shall reasonably consider any comments thereto provided by the Independent Engineer (in consultation with the Administrative Agent). Section 5.21 Operating Reports. Following the Completion Date, within 30 days after the end of each calendar quarter, deliver to the Administrative Agent and Independent Engineer an operating report in respect of the most recently ended calendar quarter in a form reasonably satisfactory to the Administrative Agent (in consultation with the Independent Engineer). SECTION 6. NEGATIVE COVENANTS The Borrower agrees that, so long as the Termination Conditions are not satisfied: Section 6.1 Limitation on Restricted Payments. (a) The Borrower shall not, and shall not permit any of its Restricted Subsidiaries to directly or indirectly: (i) declare or pay any dividend or make any payment or distribution on account of the Borrower’s or any of its Restricted Subsidiaries’ Equity Interests, including any dividend or distribution payable in connection with any merger, amalgamation or consolidation other than: (A) dividends, payments or distributions by the Borrower payable solely in Qualified Capital Stock of the Borrower or in options, warrants or other rights to purchase Qualified Capital Stock; or (B) dividends, payments or distributions by a Restricted Subsidiary so long as, in the case of any dividend, payment or distribution payable on or in respect of any class or series of securities issued by a Restricted Subsidiary other than a Wholly-Owned Subsidiary, the Borrower or a Restricted Subsidiary receives at least its pro rata share of such dividend, payment or distribution in accordance with its Equity Interests in such class or series of securities; (ii) redeem, purchase, repurchase, defease or otherwise acquire or retire for value any Equity Interests of the Borrower, including in connection with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8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897275.26-LACSR02A - MSW merger, amalgamation or consolidation, in each case, held by a Person other than the Borrower or a Restricted Subsidiary; (iii) 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“Restricted Debt Payments”), other than: (A) Indebtedness permitted to be incurred or issued under Section 6.3(b)(iii); or (B) 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 (iv) make any Restricted Investment, (all such payments and other actions set forth in clauses (i) through (iv) above (other than any exceptions thereto) being collectively referred to as “Restricted Payments”), unless, at the time of such Restricted Payment: (1) no Default shall have occurred and be continuing or would occur as a consequence thereof; (2) such Restricted Payment, together with the aggregate amount of all other Restricted Payments made by the Borrower and its Restricted Subsidiaries after the Issue Date pursuant to this clause (2), is less than the sum of (without duplication): (A) [reserved]; plus (B) 50.0% of the cumulative Consolidated Net Income of the Borrower for each fiscal quarter (if greater than zero for such quarter) commencing on July 1, 2020 to the end of the most recent fiscal quarter, or in the case such cumulative Consolidated Net Income for such period is a deficit, minus 100% of such deficit; plus (C) the sum of (x) the amount of any cash capital contribution to the common equity capital of the Borrower or any Restricted Subsidiary, plus (y) the cash proceeds received by the Borrower from any issuance of Qualified Capital Stock (including Treasury Capital Stock, and other than any Designated Preferred Stock or Refunding Capital Stock) of the Borrower after the Issue Date, plus (z) the Fair Market Value of Cash Equivalents, marketable securities or other property received by the Borrower or any Restricted Subsidiary as a capital contribution to the common equity capital of the Borrower or such Restricted Subsidiary, or that becomes part of the common equity capital of the Borrower or a Restricted Subsidiary as a result of any consolidation,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897275.26-LACSR02A - MSW merger or similar transaction with the Borrower or any Restricted Subsidiary (in each case, other than any amount (A) constituting an Excluded Contribution, (B) received from the Borrower or any Restricted Subsidiary, (C) consisting of any loan or advance made pursuant to clause (h)(i) of the definition of “Permitted Investments” received as cash equity by the Borrower or any of its Restricted Subsidiaries, (D) used to make a Restricted Payment pursuant to Section 6.1(a)(i)(B) or (xxix)(1), in each case, during the period from and including the day immediately following the Issue Date through and including such time or (E) used to incur Indebtedness or issue Disqualified Stock or Preferred Stock pursuant to Section 6.3(b)(xviii)); plus (D) the net cash proceeds received by the Borrower or any of its Restricted Subsidiaries from the incurrence after the Issue Date of any Indebtedness or from the issuance after the Issue Date of any Disqualified Stock, in each case, of the Borrower or any Restricted Subsidiary (other than Indebtedness owed or Disqualified Stock issued to the Borrower or any Restricted Subsidiary) that has been converted into or exchanged for Qualified Capital Stock of the Borrower during the period from and including the day immediately following the Issue Date through and including such time; plus (E) the net cash proceeds received by the Borrower or any Restricted Subsidiary during the period from and including the day immediately following the Issue Date through and including such time in connection with the disposition to any Person (other than the Borrower or any Restricted Subsidiary) of any Investment made pursuant to this clause (2); plus (F) [reserved]; plus (G) an amount equal to the sum of (A) the amount of any Investment by the Borrower or any Restricted Subsidiary pursuant to this clause (2) in any Unrestricted Subsidiary that has been re- designated as a Restricted Subsidiary or has been merged, consolidated or amalgamated with or into, or is liquidated, wound up or dissolved into, the Borrower or any Restricted Subsidiary (equal to the lesser of (1) the Fair Market Value of the Investment of the Borrower and the Restricted Subsidiaries in such Unrestricted Subsidiary at the time of such re- designation or merger, consolidation or amalgamation and (2) the Fair Market Value of the original Investments by the Borrower and the Restricted Subsidiaries in such Unrestricted Subsidiary; provided that, in the case of original Investments made in cash, the Fair Market Value thereof shall be such cash value), (B) the Fair Market Value of the assets of any Unrestricted Subsidiary that have been transferred, conveyed or otherwise distributed to the Borrower or any Restricted Subsidiary to the extent the Investment in such Unrestricted Subsidiary was made after the Issue Date pursuant to this clause (2) and (C) the net proceeds of any disposition of any Unrestricted Subsidiary (including the issuance or sale of the Equity Interests thereof) received by the Borrower or any Restricted Subsidiary, in each case, during the period from and including the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8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897275.26-LACSR02A - MSW immediately following the Issue Date through and including such time; plus (H) to the extent not included in Consolidated Net Income or Consolidated EBITDA and without duplication of any dividends, distributions or other Returns or similar amounts included in the calculation of any basket or other provision of this Agreement (and other than any amount that has previously been applied as an Excluded Contribution), dividends, distributions or other Returns received by the Borrower or any Restricted Subsidiary from an Unrestricted Subsidiary or joint ventures or Investments in entities that are not Restricted Subsidiaries; and provided that, for the avoidance of duplication, any item or amount that increases the amount of Excluded Contributions shall not also increase the amount available under this clause (2); and (3) Immediately after giving effect to such transaction on a pro forma basis, the Borrower could incur $1.00 of additional Indebtedness under Section 6.3(a)(IV). (b) Section 6.1(a) shall not prohibit any of the following: (i) any dividends, payments or distributions related to the Borrower’s publicly announced expected spin-off of its green hydrogen division, referred to by the Borrower as “Zero”; (ii) any payments by the Borrower to repurchase, redeem, retire or otherwise acquire or retire for value the Equity Interests (other than Disqualified Stock) of the Borrower held by any future, present or former employee, director, member of management, officer, manager, member, partner, independent contractor or consultant (or any Immediate Family Member thereof) of the Borrower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 (1) with cash and Cash Equivalents (and including, to the extent constituting a Restricted Payment, amounts paid in respect of Indebtedness issued to evidence any obligation to repurchase, redeem, retire or otherwise acquire or retire for value the Equity Interests of the Borrower held by any future, present or former employee, director, member of management, officer, manager, member, partner, independent contractor or consultant (or any Immediate Family Member of the foregoing) of the Borrower or any Restricted Subsidiary of any of the foregoing), including any Equity Interests rolled over by management, directors, employees or consultants (or any Immediate Family Member of the foregoing) of the Borrower or any of its Restricted Subsidiaries in connection with any corporate transaction; provided that the aggregate amount of all such Restricted Payments made pursuant to this clause (ii)(1) in any fiscal year shall not exceed the greater of $160.0 million and 10.0% of Consolidated EBITDA for the Test Period then most recently ended on or prior to such date of determination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8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897275.26-LACSR02A - MSW the Borrower and its Restricted Subsidiaries, which, if not used in such fiscal year, may be carried forward to succeeding fiscal years in an amount which shall not exceed the greater of $50.0 million and 3.0% of Consolidated EBITDA the Test Period then most recently ended on or prior to such date of determination of the Borrower and its Restricted Subsidiaries; (2) with the proceeds of any sale or issuance of the Equity Interests of the Borrower (to the extent such proceeds have not otherwise been applied to the payment of Restricted Payments by virtue of clause (2) of Section 6.1(a) or are not an Excluded Contribution) to employees, directors, officers or consultants of the Borrower and the Restricted Subsidiaries that occurs after the Closing Date; (3) with the net proceeds of any key-man life insurance policy; or (4) the amount of any cash bonuses otherwise payable to future, present or former employees, directors, members of management, officers, managers, members, partners, independent contractors or consultants (or any Immediate Family Member of the foregoing) of the Borrower or any of its Restricted Subsidiaries that are foregone in exchange for the receipt of Equity Interests of the Borrower pursuant to any compensation arrangement, including any deferred compensation plan; provided further, that cancellation of Indebtedness owing to the Borrower or any Restricted Subsidiary from any future, present or former employees, directors, officers, managers, members, partners, independent contractors or consultants (or their respective Immediate Family Members) of the Borrower or any of its Restricted Subsidiaries in connection with a repurchase of Equity Interests of the Borrower will not be deemed to constitute a Restricted Payment for purposes of this Section 6.1 or any other provision of this Agreement; (iii) Restricted Payments that are made (1) in an amount that does not exceed the aggregate amount of Excluded Contributions received following the Issue Date and (2) without duplication of clause (1), in an amount that does not exceed the aggregate net cash proceeds from any sale, conveyance, transfer or disposition of, or distribution in respect of, Investments acquired after the Issue Date, to the extent the acquisition of such Investments was financed in reliance on clause (1); (iv) Restricted Payments (1)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of the Borrower or any Restricted Subsidiary and (2) consisting of (A) repurchases of Equity Interests in connection with the exercise of warrants, options or other securities convertible with or exchangeable for Equity Interests or upon the vesting of any profits interests, restricted stock units or similar incentive interests, and (B)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Borrower or any Restricted Subsidiary in connection with or in lieu of repurchases described in the foregoing clause (A); (v) repurchases of Equity Interests upon the exercise of warrants, options or other securities convertible into or exchangeable for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8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897275.26-LACSR02A - MSW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as part of a “cashless” exercise upon such exercise or vesting, as applicable; (vi) [reserved]; (vii) the declaration and payment of regular quarterly dividends or distributions, including the initial dividend or distribution following the Closing Date, to holders of the Borrower’s common equity, in each case to the extent approved by the Board of Directors of the Borrower in good faith; (viii) (1) Restricted Payments to (A) redeem, repurchase, retire, defease, discharge or otherwise acquire any Equity Interests (“Treasury Capital Stock”) of the Borrower and/or any Restricted Subsidiary, including any accrued and unpaid dividends thereon, in exchange for, or out of the proceeds of a sale or issuance (other than to the Borrower and/or any Restricted Subsidiary) of, Qualified Capital Stock of the Borrower that is made within 120 days of such sale or issuance to the extent any such proceeds are received by or contributed to the capital of the Borrower and/or any Restricted Subsidiary in respect of Qualified Capital Stock after the Issue Date (“Refunding Capital Stock”) and (B) declare and pay dividends on any Treasury Capital Stock out of the proceeds of such sale (other than to the Borrower or a Restricted Subsidiary) of any Refunding Capital Stock or (2) if immediately prior to the retirement of Treasury Capital Stock, the declaration and payment of dividends thereon was permitted under Section 6.1(b)(xvii), the declaration and payment of dividends on the Refunding Capital Stock in an aggregate amount per fiscal year no greater than the aggregate amount of dividends per annum that were declarable and payable on such Treasury Capital Stock immediately prior to such retirement; (ix) to the extent constituting a Restricted Payment, the making or consummation of any Asset Sale or Disposition not constituting an Asset Sale pursuant to the exclusions from the definition thereof or transaction in accordance with the provisions of Section 6.5(b) (other than pursuant to clause (iv) of such paragraph); (x) so long as no Event of Default under Section 7.1(a)(1), (7) or (8) then exists or would result therefrom, additional Restricted Payments; provided that the aggregate amount of all such Restricted Payments made and then outstanding pursuant to this clause (x) shall not exceed $80.0 million; (xi) so long as no Event of Default under Section 7.1(a)(1), (7) or (8) then exists or would result therefrom, additional Restricted Payments so long as the Consolidated Total Debt Ratio, calculated on a pro forma basis at the time of the determination thereof, would not exceed 2.00 to 1.00; (xii) the distribution, by dividend or otherwise, or other transfer or disposition of Equity Interests of, or Indebtedness owed to the Borrower or a Restricted Subsidiary by, Unrestricted Subsidiaries (or any Restricted Subsidiary that owns one or more Unrestricted Subsidiaries and no other material assets), other than Unrestricted Subsidiaries the primary assets of which are cash and Cash Equivalents; (xiii) payments or distributions (1) to satisfy dissenters’ or appraisal rights and the settlement of any claims or actions (whether actual, contingent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8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897275.26-LACSR02A - MSW potential) with respect thereto (including any accrued interest), (2) made in connection with working capital adjustments or purchase price adjustments or (3) made in connection with the satisfaction of indemnity and other similar obligations, in each case pursuant to or in connection with any acquisition, other Investment, disposition or consolidation, amalgamation, merger or transfer of assets that is not prohibited under this Agreement; (xiv) Restricted Payments constituting fixed dividend payments in respect of Disqualified Stock incurred in accordance with Section 6.3 to the extent such Restricted Payments are included in the calculation of Fixed Charges; (xv) the declaration and payment of regular dividends or distributions to holders of Golar LNG Partners LP’s Preferred Stock for so long as such Preferred Stock is outstanding, provided that the amount of such dividends or distributions are not increased from the amounts of such dividends or distributions in effect on the Closing Date; (xvi) [Reserved]; (xvii) Restricted Payments consisting of (1) the declaration and payment of dividends to holders of any class or series of Designated Preferred Stock (other than Disqualified Stock) issued by the Borrower after the Issue Date, (2) the declaration and payment of dividends on Refunding Capital Stock that is Preferred Stock in excess of the dividends declarable and payable thereon pursuant to Section 6.1(b)(viii); provided, however, that, in the case of each of sub-clause (1) and sub-clause (2) of this clause (xvii), at the date of issuance of such Designated Preferred Stock or the declaration of such dividends on Refunding Capital Stock that is Preferred Stock, after giving effect to such issuance or declaration on a pro forma basis, the Borrower would have had a Fixed Charge Coverage Ratio of at least 2.00 to 1.00; (xviii) [Reserved]; (xix) distributions or payments of Receivables Fees and purchases of receivables in connection with any Permitted Receivables Financing or any repurchase obligation in connection therewith; (xx) [Reserved]; (xxi) [Reserved]; (xxii) 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Section 6.1 (and any Restricted Payment made in reliance on this clause (xxii) shall also be deemed to have been made under such applicable clause, except for the purpose of testing the permissibility of such Restricted Payment on the date it is actually made); (xxiii) the prepayment, redemption, purchase, repurchase, defeasance, discharge or other acquisition or retirement of any Subordinated Indebtedness (1) in accordance with provisions similar to those set forth in Sections 4.10 and 4.14 of the Existing Indentures or (2) after completion of an Asset Sale Offer or Advance Offer,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8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897275.26-LACSR02A - MSW applicable, from any Declined Proceeds (as each term is defined in the Existing Indentures); (xxiv) [Reserved]; (xxv) Restricted Debt Payments made by exchange for, or out of the proceeds of, Refinancing Indebtedness permitted under Section 6.3; (xxvi) any Restricted Debt Payments made as part of an applicable high yield discount obligation catch-up payment; (xxvii) [Reserved]; (xxviii) [Reserved]; (xxix) (1) Restricted Debt Payments in exchange for, or with proceeds of any issuance of, Qualified Capital Stock of the Borrower and/or any capital contribution in respect of Qualified Capital Stock of the Borrower or any Restricted Subsidiary (in each case, other than to or by the Borrower or any Restricted Subsidiary), (2) Restricted Debt Payments as a result of the conversion of all or any portion of any Subordinated Indebtedness into Qualified Capital Stock of the Borrower and (3) to the extent constituting a Restricted Debt Payment, payment-in-kind interest with respect to any Subordinated Indebtedness that is permitted under Section 6.3; (xxx) [Reserved]; (xxxi) Restricted Debt Payments with respect to Subordinated Indebtedness assumed pursuant to Section 6.3(b)(xv) (other than any such Subordinated Indebtedness incurred (x) to provide all or any portion of the funds utilized to consummate the transaction or series of related transactions pursuant to which such Person became a Restricted Subsidiary or was otherwise acquired by the Borrower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 (xxxii) any mandatory redemption, repurchase, retirement, termination or cancellation of Disqualified Stock (to the extent treated as Indebtedness outstanding and/or incurred in compliance with Section 6.3). The amount of all Restricted Payments (other than cash) will be the Fair Market Value on the relevant date of determination, in the case of a Subject Transaction, or the date of the Restricted Payment of the assets or securities proposed to be transferred or issued by the Borrower or any Restricted Subsidiary, as the case may be, pursuant to the Restricted Payment. Notwithstanding anything to the contrary in this Section 6.1, no FLNG2 Subsidiary may declare or pay any dividend or make any payment or distribution on account of its Equity Interests other than pursuant to Section 6.1(a)(i) hereof solely to the extent such dividend, payment or distribution is immediately applied to make a voluntary prepayment of the Term Loans in accordance with Section 2.10. (c) As of the Closing Date, NFE South Power Holdings Limited, a company incorporated under the laws of Jamaica, and each of its Subsidiaries and NFE South Power Buyback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9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897275.26-LACSR02A - MSW Holdings Limited will be Unrestricted Subsidiaries, and all of the Borrower’s other Subsidiaries will be Restricted Subsidiaries. The Borrower shall not permit any Unrestricted Subsidiary to become a Restricted Subsidiary except pursuant to the second and third paragraphs of the definition of “Unrestricted Subsidiary”. Unrestricted Subsidiaries will not be subject to any of the restrictive covenants set forth in this Agreement and will not guarantee the Obligations. No Restricted Subsidiary may be designated as an Unrestricted Subsidiary if, on the date of and after giving effect to such designation, such Unrestricted Subsidiary (or any Subsidiary thereof) would own (or hold an exclusive license with respect to) any Material Intellectual Property or any FLNG2 Collateral, no Material Intellectual Property or any FLNG2 Collateral may be transferred (including by way of an exclusive license) to an existing Unrestricted Subsidiary and no Unrestricted Subsidiary may, at any time, own (or hold an exclusive license with respect to) Material Intellectual Property or any FLNG2 Collateral; provided further the Borrower shall not, and shall not permit any of its Restricted Subsidiaries to, consummate, directly or indirectly, any sale, lease, conveyance, transfer or other disposition whether in a single transaction or a series of related transactions (including by way of an exclusive license), contribution, dividend or other investment of any Material Intellectual Property to any entity other than a Loan Party. (d) Unrestricted Subsidiaries may use value transferred from the Borrower and its Restricted Subsidiaries pursuant to this Section 6.1 or in a Permitted Investment to purchase or otherwise acquire Indebtedness or Equity Interests of the Borrower or any of the Borrower’s Restricted Subsidiaries, and to transfer value to the holders of the Equity Interests of the Borrower or any Restricted Subsidiary or to Affiliates thereof, and such purchase, acquisition, or transfer will not be deemed to be a “direct or indirect” action by the Borrower or its Restricted Subsidiaries. (e) Notwithstanding anything herein to the contrary (for the avoidance of doubt, subject to Permitted Liens permitted pursuant to Section 6.6(d)) and at all times prior to the Completion Date,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FLNG2 Assets or any Reinvested Assets other than Immaterial FLNG2 Maintenance Transactions or (ii) any Equity Interests in any FLNG2 Subsidiaries to any entity other than a Wholly-Owned Restricted Subsidiary that is a Guarantor; provided that such Guarantor satisfies the requirements of Sections 5.10. Each FLNG2 Subsidiary shall be, directly or indirectly, 100% owned by the Borrower. Section 6.2 Dividend and Other Payment Restrictions Affecting Restricted Subsidiaries. (a) The Borrower shall not, and shall not permit any of its Restricted Subsidiaries to, directly or indirectly, create or otherwise cause to become effective any consensual encumbrance or consensual restriction which prohibits or limits the ability of any Restricted Subsidiary that is not a Guarantor to: (i) (1) pay dividends or make any other distributions to the Borrower or any of its Restricted Subsidiaries that is a Guarantor on its Equity Interests or with respect to any other interest or participation in, or measured by, its profits, or (2) pay any Indebtedness owed to the Borrower or any of its Restricted Subsidiaries that is a Guarantor; (ii) make loans or advances to the Borrower or any of its Restricted Subsidiaries that is a Guarantor;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9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897275.26-LACSR02A - MSW (iii) sell, lease or transfer any of its properties or assets to the Borrower or any of its Restricted Subsidiaries that is a Guarantor. (b) The restrictions in Section 6.2(a) shall not apply to encumbrances or restrictions: (i) set forth in any agreement evidencing or governing (1) Indebtedness of a Restricted Subsidiary that is not a Guarantor permitted to be incurred pursuant to Section 6.3 and any corresponding Organizational Documents of any such Restricted Subsidiary structured as a special purpose entity incurring such Indebtedness, (2) Secured Indebtedness permitted to be incurred pursuant to Sections 6.3 and 6.6 if the relevant restriction applies only to the Person obligated under such Indebtedness and its Restricted Subsidiaries or the assets intended to secure such Indebtedness, (3) Indebtedness permitted to be incurred pursuant to Section 6.3(a) and Sections 6.3(b)(i), (ii), (xiv), (xv) and (xvii) (as it relates to Indebtedness in respect of Section 6.3(a) and Sections 6.3(b)(i), (ii), (xiv), (xv), (xviii), (xxi), (xxv), (xli) and/or (xlii)), and Sections 6.3(b)(xv), (xxi), (xxv), (xxxix), (xli) and/or (xlii) and (4) any Permitted Receivables Financing solely with respect to the assets subject to such Permitted Receivables Financing; (ii) arising under customary provisions restricting assignments, subletting or other transfers (including the granting of any Lien) contained in leases, subleases, licenses, sublicenses, joint venture agreements and other agreements entered into in the ordinary course of business; (iii) that are or were created by virtue of any Lien granted upon, transfer of, agreement to transfer or grant of, any option or right with respect to any assets or Equity Interests not otherwise prohibited under this Agreement; (iv) 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 (v) 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 (which, for the avoidance of doubt, shall in no case relate to any of the FLNG2 Collateral); (vi) set forth in provisions in agreements or instruments that prohibit the payment of dividends or the making of other distributions with respect to any class of Equity Interests of a Person other than on a pro rata basis; (vii) imposed by customary provisions in partnership agreements, limited liability company agreements, joint venture agreements, other organizational and governance documents and other similar agreements; (viii) on cash, other deposits or net worth or similar restrictions imposed by any Person under any contract entered into in the ordinary course of business or for whose benefit such cash, other deposits or net worth or similar restrictions exist;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9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897275.26-LACSR02A - MSW (ix) set forth in documents that exist on the Closing Date, including pursuant to the Existing Notes, the Existing Note Guarantees, the Existing Notes Indentures, the Revolving Credit Agreement, the TLB Credit Agreement, the LC Facility, this Agreement and the other Loan Documents and, in each case, related documentation and related Derivative Transactions; (x) (1) arising pursuant to an agreement or instrument relating to any Indebtedness permitted to be incurred after the Closing Date or (2)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Borrower) (A) are not materially less favorable to the holders than the restrictions contained in this Agreement, (B) generally represent market terms at the time of incurrence or structuring, as applicable, taken as a whole, or (C) would not, in the good faith determination of senior management of the Borrower, at the time of incurrence or structuring, as applicable, materially impair the Borrower’s ability to pay the Obligations when due; (xi) arising under or as a result of applicable Requirements of Law or the terms of any license, authorization, concession or permit; (xii) arising in any Hedge Agreement and/or any agreement relating to Banking Services; (xiii) relating to any asset (or all of the assets) of and/or the Equity Interests of the Borrower and/or any Restricted Subsidiary which is imposed pursuant to an agreement entered into in connection with any disposition of such asset (or assets) and/or all or a portion of the Equity Interests of the relevant Person that is not prohibited by the terms of this Agreement; (xiv) set forth in any agreement relating to any Permitted Lien that limits the right of the Borrower or any Restricted Subsidiary to dispose of or encumber the assets subject thereto; (xv) restrictions or conditions contained in any trading, netting, operating, construction, service, supply, purchase, sale or other agreement to which the Borrower or any of its Restricted Subsidiaries is a party entered into in the ordinary course of business, consistent with past practice or consistent with industry norm; provided that such agreement (i) prohibits the encumbrance of solely the property or assets of the Borrower or such Restricted Subsidiary that are subject to such agreements, the payment rights arising thereunder or the proceeds thereof and does not extend to any other asset or property of the Borrower or such Restricted Subsidiary or the assets or property of another Restricted Subsidiary or (ii) would not, in the good faith of the Borrower, at the time such Indebtedness is incurred, materially impair the Borrower’s ability to make payments under the Loan Documents when due; (xvi) 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provided that such agreement was not entered into in anticipation of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9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897275.26-LACSR02A - MSW Unrestricted Subsidiary becoming or being redesignated as a Restricted Subsidiary and any such encumbrance or restriction does not extend to any assets or property of the Borrower or any Restricted Subsidiary other than the assets and property of such Subsidiary and its Subsidiaries; and/or (xvii) imposed by any amendment, modification, restatement, renewal, increase, supplement, refunding, replacement or refinancing of any contract, instrument or obligation referred to in clauses (i) through (xvi) above; provided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 For purposes of determining compliance with this Section 6.2,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Borrower or a Restricted Subsidiary to other Indebtedness incurred by the Borrower or such Restricted Subsidiary shall not be deemed a restriction on the ability to make loans or advances. Section 6.3 Limitation on Incurrence of Indebtedness and Issuance of Disqualified Stock and Preferred Stock. (a) The Borrower shall not, and shall not permit any of its Restricted Subsidiaries to, directly or indirectly, create, incur, issue, assume, guarantee or otherwise become directly or indirectly liable, contingently or otherwise (collectively, “incur” and collectively, an “incurrence”) with respect to any Indebtedness (including Acquired Indebtedness) and the Borrower shall not issue any shares of Disqualified Stock and shall not permit any Restricted Subsidiary to issue any shares of Disqualified Stock or any Restricted Subsidiary that is not a Guarantor to issue Preferred Stock; provided, however, that the Borrower may incur Indebtedness (including Acquired Indebtedness) and issue shares of Disqualified Stock, and any of its Restricted Subsidiaries may incur Indebtedness (including Acquired Indebtedness), and issue shares of Disqualified Stock or Preferred Stock, if (I) with respect to Indebtedness secured by Liens on the Collateral that have Equal Lien Priority relative to the Liens on the Collateral (including the FLNG2 Collateral) securing the Obligations, the Consolidated First Lien Debt Ratio does not exceed 2.65 to 1.00 (whether or not incurred in connection with an acquisition, Investment or other similar transaction), (II) with respect to Indebtedness secured by Liens on the Collateral that have Equal Lien Priority relative to the Liens on the Collateral (excluding the FLNG2 Collateral) securing the Obligations, the Consolidated First Lien Debt Ratio does not exceed 2.90 to 1.00 (whether or not incurred in connection with an acquisition, Investment or other similar transaction), (III) with respect to Indebtedness secured by Liens on the Collateral that have Junior Lien Priority relative to the Liens securing the Liens on the Collateral securing the Obligations, the Consolidated Secured Debt Ratio does not exceed 4.70 to 1.00 (whether or not incurred in connection with an acquisition, Investment or other similar transaction), and (IV) in the case of any such Indebtedness that is unsecured or secured by assets that do not constitute Collateral (assuming, for purposes of this clause (IV) and future ratio calculations for so long as such Indebtedness remains outstanding, that such assets constitute Collateral), the Consolidated Total Debt Ratio does not exceed 4.85 to 1.00 (whether or not incurred in connection with an acquisition, Investment or other similar transaction), in each case, calculated on a pro forma basis, including the application of the proceeds thereof (without “netting” the cash proceeds thereof), and in the case of any revolving Indebtedness, assuming a full drawing of such revolving Indebtedness; provided, that the amount of Indebtedness, Disqualified Stock and Preferred Stock that may be incurred or issued, as applicable, pursuant to the foregoing by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897275.26-LACSR02A - MSW Subsidiaries that are not Guarantors, together with any Refinancing Indebtedness in respect thereof, shall not exceed, in the aggregate, the greater of $485.0 million and 30% of Consolidated EBITDA for the period of four consecutive fiscal quarters then most recently ended, as of the date on which such Indebtedness is incurred (Indebtedness, Disqualified Stock and Preferred Stock incurred pursuant to this clause (a), the “Ratio Debt”); provided, further, that: (i) no Event of Default exists immediately prior to or after giving effect to the Incurrence of such Ratio Debt, (ii) the Weighted Average Life to Maturity applicable to any such Ratio Debt (other than customary bridge loans; provided, that any Indebtedness which is exchanged for or otherwise replaces such bridge loans shall be subject to the requirements of this clause (ii)) that is secured by Liens on the Collateral on a pari passu basis with the Liens on the Collateral securing the Obligations is no shorter than the Weighted Average Life to Maturity of the Initial Term Loans (without giving effect to any amortization or prepayments thereof), (iii) the final maturity date with respect to any such Ratio Debt (other than customary bridge loans; provided, that any Indebtedness which is exchanged for or otherwise replaces such bridge loans shall be subject to the requirements of this clause (iii)) (x) that is secured by Liens on the Collateral on a pari passu basis with the Liens on the Collateral securing the Obligations shall be no earlier than the Maturity Date with respect to the Initial Term Loans and (y) that is unsecured or secured by Liens on the Collateral junior in priority to the Liens on the Collateral securing the Obligations shall be no earlier than the date that is 91 days following the Maturity Date with respect to the Initial Term Loans, (iv) Ratio Debt that is unsecured or secured by Liens on the Collateral junior in priority to the Liens on the Collateral securing the Obligations shall not have any scheduled amortization prior to the date that is 91 days following the Maturity Date with respect to the Initial Term Loans; (v) subject to clauses (ii), (iii) and (iv), may otherwise have an amortization schedule as determined by Borrower and the lenders or holders providing such Ratio Debt; (vi) [reserved], (vii) to the extent such Ratio Debt is secured by a Lien on the Collateral that is pari passu or junior to the Liens on the Collateral securing the Obligations hereunder, a senior representative of such Ratio Debt acting on behalf of the lenders or holders of such Ratio Debt shall have become party to or otherwise subject to the provisions of the Equal Priority Intercreditor Agreement or the Junior Lien Intercreditor Agreement, as applicable; (viii) no such Ratio Debt incurred pursuant to clauses (a)(I), (II) or (III) above may be (x) guaranteed by any person which is not a Loan Party or (y) secured by any assets other than the Collateral; (ix) (x) any Ratio Debt secured by Liens on the Collateral on a pari passu basis with the Liens on the Collateral securing the Initial Term Loans may share ratably or less than ratably (but not more than ratably) in any mandatory prepayments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897275.26-LACSR02A - MSW the Term Loans hereunder, except for prepayments in connection with a refinancing of such Ratio Debt and (y) any Ratio Debt that is unsecured or secured by Liens on the Collateral junior in priority to the Liens on the Collateral securing the Initial Term Loans shall not require any mandatory prepayments except to the extent such prepayments are first offered ratably to holders of the Term Loans hereunder and to holders of any Ratio Debt secured by Liens on the Collateral on a pari passu basis with the Liens on the Collateral securing the Initial Term Loans, except for prepayments in connection with a refinancing of such Ratio Debt. (b) The provisions of Section 6.3(a) shall not apply to: (i) Indebtedness under the Loan Documents; (ii) the Indebtedness represented by (v) the LC Facility up to an amount not to exceed $350,000,000, (w) the Existing Notes (including any Existing Note Guarantee thereof) outstanding on the Closing Date, (x) the Revolving Credit Agreement up to an aggregate principal amount not to exceed $1,000,000,000, (y) the TLB Credit Agreement up to an aggregate principal amount not to exceed (1) $856,000,000 plus (2) the amount of any incremental facility permitted to be incurred under the TLB Credit Agreement in an aggregate principal amount not to exceed the Incremental Cap (as defined in the TLB Credit Agreement as of the date hereof) and (z) Indebtedness with respect to any “Incremental Equivalent Debt” (as defined in the TLB Credit Agreement as of the date hereof) and any “Refinancing Equivalent Debt” (as defined in the TLB Credit Agreement as of the date hereof); (iii) Indebtedness, Disqualified Stock and Preferred Stock of the Borrower issued or owing to any Restricted Subsidiary and/or of any Restricted Subsidiary issued or owing to the Borrower and/or any other Restricted Subsidiary; provided that any such Indebtedness, Disqualified Stock and Preferred Stock of the Borrower or a Guarantor owing to any Restricted Subsidiary that is not a Guarantor is expressly subordinated in right of payment to the Obligations (but only to the extent any such Indebtedness, Disqualified Stock or Preferred Stock is outstanding at any time after the date that is 30 days after the Closing Date and thereafter only to the extent permitted by applicable law and not giving rise to material adverse tax consequences); (iv) Indebtedness in respect of Permitted Receivables Financings in an aggregate amount not to exceed at any one time outstanding the greater of $405,000,000 and 25% of Consolidated EBITDA for the Test Period then most recently ended on or prior to such date of determination; (v) Indebtedness, Disqualified Stock and Preferred Stock (1) arising from any agreement providing for indemnification, adjustment of purchase price, earn out or similar obligations (including contingent earn out obligations), in each case, incurred, issued or assumed in connection with any disposition, any acquisition or Investment permitted under this Agreement or consummated prior to the Closing Date or any other purchase of assets or Equity Interests, and (2) arising from guaranties, letters of credit, bank guaranties, surety bonds, performance bonds, completion bonds or similar instruments securing the performance of the Borrower or any such Restricted Subsidiary pursuant to any such agreement described in the foregoing subclause (1), other than guarantees of Indebtedness incurred by any Person acquiring all or any portion of such business, assets or Subsidiary for the purpose of financing such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9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897275.26-LACSR02A - MSW (vi) Indebtedness, Disqualified Stock and Preferred Stock of the Borrower and/or any Restricted Subsidiary (1) pursuant to tenders, statutory obligations, bids, leases, governmental contracts, trade contracts, surety, completion, stay, customs, appeal, performance and/or return of money bonds or other similar obligations incurred in the ordinary course of business and consistent with past practice or consistent with industry norm (including relating to any litigation not constituting an Event of Default under Section 7.1(a)(6)) and (2) in respect of letters of credit, bank guaranties, surety bonds, performance bonds, completion bonds or similar instruments to support any of the foregoing items; (vii) Indebtedness of the Borrower and/or any Restricted Subsidiary in respect of Banking Services (including Indebtedness owed on a short-term basis to banks and other financial institutions incurred in the ordinary course of business, consistent with past practice or consistent with industry norm that arises in connection with ordinary banking arrangements to manage cash balances of the Borrower and its Restricted Subsidiaries) and incentive, supplier finance or similar programs; (viii) (1) guaranties by the Borrower and/or any Restricted Subsidiary of the obligations of suppliers, customers and licensees in the ordinary course of business, consistent with past practice or consistent with industry norm, (2) Indebtedness incurred in the ordinary course of business and consistent with past practice or consistent with industry norm in respect of obligations of the Borrower and/or any Restricted Subsidiary to pay the deferred purchase price of goods or services or progress payments in connection with such goods and services, and (3) Indebtedness in respect of letters of credit, bankers’ acceptances, bank guaranties or similar instruments supporting trade payables, warehouse receipts or similar facilities entered into in the ordinary course of business, and consistent with past practice or consistent with industry norm; (ix) guarantees of Indebtedness by the Borrower and/or any Restricted Subsidiary of Indebtedness or other obligations of the Borrower or any Restricted Subsidiary with respect to Indebtedness otherwise permitted to be incurred pursuant to the terms of this Agreement or other obligations not prohibited by this Agreement; (x) Indebtedness of the Borrower and/or any Restricted Subsidiary existing, or pursuant to commitments existing on the Closing Date (other than Indebtedness described in clause (i) or (ii) above); (xi) Indebtedness, Disqualified Stock or Preferred Stock of Restricted Subsidiaries that are not Guarantors; provided that, at the time of incurrence or issuance thereof and after giving pro forma effect thereto and the use of the proceeds thereof, the aggregate principal amount of such Indebtedness, Disqualified Stock or Preferred Stock then outstanding pursuant to this clause (xi) (when aggregated with the aggregate principal amount of Refinancing Indebtedness incurred pursuant to Section 6.3(b)(xvii) in respect of such Indebtedness then outstanding) shall not, except as contemplated by Section 6.3(b)(xvii), exceed an amount equal to the greater of $485.0 million and 30.0% of Consolidated EBITDA for the Test Period then most recently ended on or prior to such date of determination; (xii) Indebtedness of the Borrower and/or any Restricted Subsidiary consisting of obligations owing under incentive, supply, license or 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9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897275.26-LACSR02A - MSW agreements entered into in the ordinary course of business, consistent with past practice or consistent with industry norm; (xiii) Indebtedness of the Borrower and/or any Restricted Subsidiary consisting of (1) the financing of insurance premiums, (2) take-or-pay obligations contained in supply arrangements, in each case, in the ordinary course of business consistent with past practice or consistent with industry norm, and/or (3) obligations to reacquire assets or inventory in connection with customer financing arrangements in the ordinary course of business consistent with past practice or consistent with industry norm; (xiv) Indebtedness (including with respect to Financing Leases and purchase money Indebtedness), Disqualified Stock and Preferred Stock of the Borrower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provided that such incurrence or issuance is in the ordinary course of business and consistent with the Borrower’s past practice, used to purchase assets that are used directly or indirectly to produce, transport or deliver liquefied natural gas or power to customers (including tugs, iso containers, turbines, regasification equipment, ancillary equipment useful to ensure the proper functioning of this equipment) and is prior to, at the time of or within 270 days after the completion of such acquisition, construction, lease, expansion, development, installation, repair, replacement, relocation, renewal, maintenance, upgrade or improvement; provided that, at the time of incurrence or issuance thereof and after giving pro forma effect thereto and the use of the proceeds thereof, the aggregate principal amount of such Indebtedness, Disqualified Stock or Preferred Stock incurred in any fiscal year pursuant to this clause (xiv) shall not exceed an amount equal to the greater of $405.0 million and 25.0% of Consolidated EBITDA (measured for the last day of the Test Period then most recently ended at the time of incurrence of such Indebtedness); (xv) (1) Indebtedness, Disqualified Stock or Preferred Stock of the Borrower or a Restricted Subsidiary incurred or issued to finance an acquisition or Investment in an aggregate amount not to exceed at any one time outstanding the greater of $405,000,000 and 25.0% of Consolidated EBITDA for the Test Period then most recently ended on or prior to such date of determination or (2) Indebtedness, Disqualified Stock or Preferred Stock of Persons that are acquired by the Borrower or a Restricted Subsidiary or merged into, amalgamated with or consolidated with the Borrower or a Restricted Subsidiary in accordance with the terms of this Agreement (including designating an Unrestricted Subsidiary as a Restricted Subsidiary) or that are assumed in connection with an acquisition of assets to the extent that such Indebtedness, Disqualified Stock or Preferred Stock were not made in contemplation of such acquisition, merger, amalgamation or consolidation and were in existence on the date of such acquisition, merger, amalgamation or consolidation; (xvi) Indebtedness issued by the Borrower or any Restricted Subsidiary to any shareholder of the Borrower or any future, current or former director, officer, employee, member of management, manager, member, partner, independent contractor or consultant (or any Immediate Family Member of the foregoing)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98"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897275.26-LACSR02A - MSW Borrower or any Subsidiary to finance the purchase or redemption of Equity Interests of the Borrower permitted under Section 6.1; (xvii) the incurrence or issuance by the Borrower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“refinance” with “refinances”, “refinanced” and “refinancing” having a correlative meaning) any Indebtedness (or unutilized commitment in respect of Indebtedness), Disqualified Stock or Preferred Stock incurred or issued as permitted under the first paragraph of this Section 6.3 or any of clauses (i), (ii), (x), (xi), (xiv), (xv), (xvii), (xviii), (xxi), (xxv), (xxxvi), (xli) and (xlii) of this Section 6.3(b) (in any case, including any refinancing Indebtedness incurred in respect thereof, “Refinancing Indebtedness” and such Indebtedness, Disqualified Stock or Preferred Stock being refinanced, the “Refinanced Indebtedness”) and any subsequent Refinancing Indebtedness in respect thereof; provided that: (1) 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 (B) an amount equal to any existing commitments unutilized and letters of credit undrawn thereunder and (C) additional amounts permitted to be incurred pursuant to this Section 6.3 (provided that (1) any additional Indebtedness, Disqualified Stock or Preferred Stock referenced in this clause (C) satisfies the other applicable requirements of this clause (xvii)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Section 6.6); (2) solely in the case of Refinancing Indebtedness with respect to Indebtedness, Disqualified Stock or Preferred Stock incurred or issued under Section 6.3(b)(x),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99"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897275.26-LACSR02A - MSW (3) such Refinancing Indebtedness shall not include: (A) Indebtedness, Disqualified Stock or Preferred Stock of a Subsidiary of the Borrower that is not a Guarantor that refinances Indebtedness or Disqualified Stock of the Borrower; (B) Indebtedness, Disqualified Stock or Preferred Stock of a Subsidiary of the Borrower that is not a Guarantor that refinances Indebtedness, Disqualified Stock or Preferred Stock of a Guarantor; or (C) Indebtedness or Disqualified Stock of the Borrower or Indebtedness, Disqualified Stock or Preferred Stock of a Restricted Subsidiary that refinances Indebtedness, Disqualified Stock or Preferred Stock of an Unrestricted Subsidiary; (4) provided that, Refinancing Indebtedness may include Indebtedness of Restricted Subsidiaries that are not Guarantors so long as any such Refinancing Indebtedness is secured by Liens on the FLNG1 Collateral (as defined in the TLB Credit Agreement), and such Refinancing Indebtedness is used (i) first, to prepay all outstanding Indebtedness under the TLB Credit Agreement and (ii) second, to prepay or offer to repurchase outstanding principal amount of the Term Loans and/or the 2025 Notes; (5) in the case of Refinancing Indebtedness incurred in respect of Indebtedness that is secured by Liens on the Collateral that are equal in priority (without regard to control of remedies) with the Obligations, such Refinancing Indebtedness ranks equal or junior in right of payment with the Obligations and is secured by Liens on the Collateral on an equal or junior priority basis with respect to the Obligations or is unsecured; provided that any such Refinancing Indebtedness that is (A) secured by Liens on the Collateral ranking on an equal priority basis (but without regard to control of remedies) with the Obligations shall be subject to an Equal Priority Intercreditor Agreement or (B) secured by Liens on the Collateral ranking junior in priority to the Liens on the Collateral securing the Obligations shall be subject to a Junior Priority Intercreditor Agreement; provided further, that any Refinancing Indebtedness that is secured shall have the same or junior Lien priority of such Indebtedness that was refinanced by such Refinancing Indebtedness; (xviii) Indebtedness, Disqualified Stock or Preferred Stock of the Borrower and/or any Guarantors; provided that, at the time of incurrence or issuance thereof and after giving pro forma effect thereto and the use of proceeds thereof, the aggregate principal amount of such Indebtedness, Disqualified Stock or Preferred Stock then outstanding pursuant to this clause (xviii) (when aggregated with the aggregate principal amount of Refinancing Indebtedness incurred pursuant to Section 6.3(b)(xvii) in respect of such Indebtedness then outstanding) shall not, except as contemplated by Section 6.3(b)(xvii), exceed an amount equal to 100.0% of the net proceeds received by the Borrower since immediately after the Issue Date from the issue or sale of Equity Interests of the Borrower or cash contributed to the capital of the Borrower (other than proceeds of Disqualified Stock or sales of Equity Interests to the Borrower or any of its Subsidiaries) to the extent such net proceeds have not otherwise been applied to make Restricted Payments pursuant to clause (2) of Section 6.1(a) or to make Permitted Investments (other than Permitted Investments specified in any of clauses (a), (b) and (e) of the definition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00"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897275.26-LACSR02A - MSW (xix) Indebtedness of the Borrower and/or any Restricted Subsidiary under any Derivative Transaction that was, at the time entered into, not for speculative purposes but (A) for the purpose of fixing or hedging interest rate risk with respect to any Indebtedness that is permitted by the terms of this Agreement to be outstanding; (B) for the purpose of fixing or hedging currency exchange rate risk with respect to any currency exchanges; or (C) for the purpose of fixing or hedging commodity price risk with respect to any commodity purchases or sales and, in each case, extensions or replacements thereof; (xx) Indebtedness of the Borrower and/or any Restricted Subsidiary representing (1) deferred compensation to current or former directors, officers, employees, members of management, managers, members, partners, independent contractors and consultants of the Borrower and/or any Restricted Subsidiary in the ordinary course of business and consistent with past practice of the Borrower and/or its Subsidiaries and (2) deferred compensation or other similar arrangements in connection with any Investment or any acquisition permitted under this Agreement; (xxi) Indebtedness, Disqualified Stock or Preferred Stock of the Borrower and/or any Restricted Subsidiary; provided that, at the time of incurrence or issuance thereof and after giving pro forma effect thereto and the use of the proceeds thereof, the aggregate principal amount of such Indebtedness, Disqualified Stock or Preferred Stock then outstanding pursuant to this clause (xxi) (when aggregated with the aggregate principal amount of Refinancing Indebtedness incurred pursuant to Section 6.3(b)(xvii) in respect of such Indebtedness then outstanding) shall not, except as contemplated by Section 6.3(b)(xvii), exceed an amount equal to the greater of $485.0 million and 30.0% of Consolidated EBITDA for the period of four consecutive fiscal quarters then most recently ended, for the Test Period then most recently ended on or prior to such date of determination of the Borrower and its Restricted Subsidiaries; (xxii) [Reserved]; (xxiii) [Reserved]; (xxiv) [Reserved]; (xxv) Indebtedness (including in the form of Financing Leases) of the Borrower and/or any Restricted Subsidiary incurred in connection with Sale and Lease- Back Transactions; (xxvi) [Reserved]; (xxvii) Indebtedness (including obligations in respect of letters of credit, bank guaranties, surety bonds, performance bonds, completion bonds or similar instruments with respect to such Indebtedness) incurred by the Borrower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 (xxviii)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01"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897275.26-LACSR02A - MSW (xxix) [Reserved]; (xxx) Indebtedness of the Borrower or any Restricted Subsidiary supported by any letter of credit, bank guaranty or similar instrument issued in compliance with this Section 6.3 in a principal amount not exceeding the face amount of such instrument; (xxxi) Unfunded pension fund and other employee benefit plan obligations and liabilities incurred by the Borrower and/or any Restricted Subsidiary in the ordinary course of business, consistent with past practice or consistent with industry norm; (xxxii) (i) customer deposits and advance payments (including progress premiums) received in the ordinary course of business consistent with past practice or consistent with industry norm or (ii) obligations to pay, in each case, for goods and services purchased or sold in the ordinary course of business and consistent with past practice; (xxxiii) without duplication of any other Indebtedness, all premiums (if any), accretion or amortization of original issue discount, fees, expenses and charges with respect to Indebtedness of the Borrower and/or any Restricted Subsidiary otherwise permitted under this Agreement; (xxxiv) [Reserved]; (xxxv) [Reserved]; (xxxvi) Indebtedness, Disqualified Stock or Preferred Stock incurred or issued by the Borrower or any Restricted Subsidiary for the benefit of joint ventures; provided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(xxxvi) (when aggregated with the aggregate principal amount of Refinancing Indebtedness incurred pursuant to Section 6.3(b)(xvii) in respect of such Indebtedness then outstanding) shall not, except as contemplated by Section 6.3(b)(xvii), exceed an amount equal to the greater of $160.0 million and 10.0% of Consolidated EBITDA for the Test Period then most recently ended on or prior to such date of determination of the Borrower and its Restricted Subsidiaries; (xxxvii) [Reserved]; (xxxviii) [Reserved]; (xxxix) Indebtedness, Disqualified Stock or Preferred Stock incurred or issued by the Borrower or any Restricted Subsidiary to the extent that the net proceeds thereof are promptly deposited with the applicable trustee in connection with a legal defeasance, covenant defeasance or satisfaction and discharge of any Indebtedness; (xl) Indebtedness of the Borrower or any Restricted Subsidiary incurred through the provision of bonds, guarantees, letters of credit or similar instruments required by any maritime commission or authority or other governmental or regulatory agencies, including, without limitation, customs authorities in connection with ships owned or chartered or ordinary course business conducted by the Borrower or any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02"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897275.26-LACSR02A - MSW Subsidiary, not to exceed the amount required by such governmental or regulatory authority; (xli) the incurrence by the Borrower or any Restricted Subsidiary of Indebtedness in relation to: (i) regular maintenance required to maintain the classification of any of the ships owned or chartered on bareboat terms by the Borrower or any Restricted Subsidiary, (ii) scheduled dry-docking of any of the ships owned by the Borrower or any Restricted Subsidiary for normal maintenance purposes and (iii) any expenditures that will or reasonably may be expected to be recoverable from insurance on such ships; and (xlii) the incurrence by the Borrower or any Restricted Subsidiary of Indebtedness to finance the replacement of a marine vessel, other than any marine vessel owned by, or constituting a part of the FLNG2 Collateral, upon the total loss, destruction, condemnation, confiscation, requisition, seizure or forfeiture of, or other taking of title to or use of, such marine vessel (collectively, a “Total Loss”) in an aggregate principal amount no greater than the amount that is equal to the contract price for such replacement marine vessel less all compensation, damages and other payments (including insurance proceeds other than in respect of business interruption insurance) received by the Borrower or any Restricted Subsidiary from any Person in connection with such Total Loss in excess of amounts actually used to repay Indebtedness secured by the marine vessel subject to such Total Loss. (c) 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 (b)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Section 6.3. (d) For purposes of determining compliance with this Section 6.3, the principal amount of Indebtedness or the liquidation preference of Disqualified Stock or Preferred Stock outstanding under any clause of this Section 6.3 shall be determined after giving effect to the application of proceeds of any such Indebtedness, Disqualified Stock or Preferred Stock to refinance any such other Indebtedness, Disqualified Stock or Preferred Stock. This Agreement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 Section 6.4 Asset Sales. (a) The Borrower shall not, and shall not permit any of its Restricted Subsidiaries to, consummate, directly or indirectly, an Asset Sale unless: (i) the Borrower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03"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897275.26-LACSR02A - MSW (measured at the time of contractually agreeing to such Asset Sale) of the assets sold or otherwise disposed of; and (ii) except in the case of a Permitted Asset Swap, at least 75.0% of the consideration (measured at the time of contractually agreeing to such Asset Sale) for such Asset Sale, together with all other Asset Sales completed or contractually agreed upon since the Issue Date (on a cumulative basis), received (or to be received) by the Borrower or such Restricted Subsidiary, as the case may be, is in the form of cash or Cash Equivalents. (b) For purposes of Section 6.4(a)(ii) (and no other provision), the following shall be deemed to be cash or Cash Equivalents: (i) the greater of the principal amount and the carrying value of any liabilities (as reflected on the most recent balance sheet of the Borrower or such Restricted Subsidiary or in the footnotes thereto, or if incurred, accrued or increased subsequent to the date of such balance sheet, such liabilities that would have been reflected on the balance sheet of the Borrower or such Restricted Subsidiary or in the footnotes thereto if such incurrence, accrual or increase had taken place on or prior to the date of such balance sheet, as determined in good faith by the Borrower) of the Borrower or such Restricted Subsidiary, other than liabilities that are by their terms subordinated in right of payment to the Obligations, that are assumed by the transferee of any such assets (or are otherwise extinguished in connection with the transactions relating to such Asset Sale) pursuant to a written agreement which releases or indemnifies the Borrower or such Restricted Subsidiary from such liabilities; (ii) [Reserved] (iii) 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and (iv) any Designated Non-Cash Consideration received in respect of such Asset Sale having an aggregate Fair Market Value (measured at the time of contractually agreeing to such Asset Sale and without giving effect to subsequent changes in value), taken together with all other Designated Non-Cash Consideration received pursuant to this clause (iv) that is outstanding at such time, not in excess of the greater of $405.0 million and 25.0% of Consolidated EBITDA for the Test Period then most recently ended on or prior to such date of determination of the Borrower and its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04"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897275.26-LACSR02A - MSW Notwithstanding anything herein to the contrary, no assets may be transferred to any Unrestricted Subsidiary other than pursuant to the definition of “Permitted Investments”. Notwithstanding anything herein to the contrary, the Borrower shall not, and shall not permit any of its Restricted Subsidiaries to, consummate, directly or indirectly, any sale, lease, conveyance, transfer or other disposition whether in a single transaction or a series of related transactions (including by way of a Sale and Leaseback Transaction), contribution, dividend or other investment of (i) any assets that constitute FLNG2 Assets or any Reinvested Assets other than Immaterial FLNG2 Maintenance Transactions or (ii) at any time prior to the Completion Date, any Equity Interests in any FLNG2 Subsidiaries, in each case to any entity other than a Wholly- Owned Restricted Subsidiary that is a Guarantor; provided that such Guarantor satisfies the requirements of Sections 5.10. Prior to the Completion Date, each FLNG2 Subsidiary shall be, directly or indirectly, 100% owned by the Borrower. Section 6.5 Transactions with Affiliates. (a) The Borrower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Borrower (each of the foregoing, an “Affiliate Transaction”) involving aggregate payments or consideration in excess of (at the time of the relevant transaction) the greater of $120.0 million and 7.5% of Consolidated EBITDA for the Test Period then most recently ended on or prior to such date of determination or the FLNG2 Collateral, unless: (i) such Affiliate Transaction is on terms, taken as a whole, that are not materially less favorable to the Borrower or the relevant Restricted Subsidiary than those that would have been obtained in a comparable transaction by the Borrower or such Restricted Subsidiary with an unrelated Person on an arm’s-length basis or, if in the good faith judgment of the Borrower, no comparable transaction is available with which to compare such Affiliate Transaction, such Affiliate Transaction is otherwise fair to the Borrower or such Restricted Subsidiary from a financial point of view and when such transaction is taken in its entirety; and (ii) the Borrower delivers to the Administrative Agent with respect to any Affiliate Transaction or series of related Affiliate Transactions involving aggregate payments or consideration in excess of the greater of $245.0 million and 15.0% of Consolidated EBITDA for the Test Period then most recently ended on or prior to such date of determination, a resolution adopted by the Board of Directors of the Borrower approving such Affiliate Transaction. (b) Section 6.5(a) shall not apply to the following unless it relates to the FLNG2 Collateral: (i) any transaction between or among the Borrower, one or more Restricted Subsidiaries and/or one or more joint ventures with respect to which the Borrower or any of its Restricted Subsidiaries holds Equity Interests (or any entity that becomes a Restricted Subsidiary or a joint venture, as applicable, as a result of such transaction) to the extent not prohibited by this Agreement; (ii) any issuance, sale or grant of securities or other payments, awards or grants in cash, securities or otherwise pursuant to, or the funding of, employment arrangements, stock options and stock ownership plans approved by the Board of Directors of the Borrower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05"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897275.26-LACSR02A - MSW (iii) transactions pursuant to the NFE Offtake Agreement; (iv) (1) Restricted Payments not prohibited by Section 6.1 (other than pursuant to Section 6.1(b)(ix)) and the definition of “Permitted Investments” (other than clause (ll) of such definition) and (2) issuances of Equity Interests and issuances and incurrences of Indebtedness, Disqualified Stock and Preferred Stock not restricted by this Agreement; (v) 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 in each case as determined in the good faith judgment of the Board of Directors or the senior management of the Borrower; (vi) 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 (vii) [Reserved]; (viii) [Reserved]; (ix) guarantees not prohibited by Section 6.1, Section 6.3 or the definition of “Permitted Investments”; (x) [Reserved]; (xi) the payment of customary fees and reasonable out-of- pocket costs to, and indemnities provided on behalf of, members of the Board of Directors, officers, employees, members of management, managers, members, partners, consultants and independent contractors (or any Immediate Family Members of the foregoing) of the Borrower and/or any of its Restricted Subsidiaries; (xii) transactions with customers, clients, suppliers, joint ventures, purchasers or sellers of goods or services or providers of employees or other labor entered into in the ordinary course of business and otherwise in compliance with the terms of this Agreement, which are (1) fair to the Borrower and/or its applicable Restricted Subsidiary in the good faith determination of the Board of Directors of the Borrower or the senior management thereof or (2) on terms, taken as a whole, that are not materially less favorable to the Borrower and/or its applicable Restricted Subsidiary as might reasonably have been obtained at such time from a Person other than an Affiliate; (xiii) (1) the existence of, or the performance by the Borrower or any of its Restricted Subsidiaries of its obligations under the terms of, any equityholders agreement, investor rights agreement or the equivalent (including any registration rights agreement or purchase agreement related thereto) to which it is a party as of the Closing Date and any similar agreements which it may enter into thereafter; provided, however, that the existence of, or the performance by the Borrower or any of its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06"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897275.26-LACSR02A - MSW Subsidiaries of obligations under any future amendment to any such existing agreement or under any similar agreement entered into after the Closing Date shall only be permitted by this clause (xiii) to the extent that the terms of any such amendment or new agreement are not otherwise materially disadvantageous in the good faith judgment of the Board of Directors or the senior management of the Borrower to the Borrower when taken as a whole as compared to the applicable agreement as in effect on the Closing Date and (2) the payment of reasonable out-of-pocket costs and expenses relating to registration rights and indemnities provided to equityholders of the Borrower pursuant to any equityholders agreement, investor rights agreement or the equivalent (including any registration rights agreement or purchase agreement related thereto); (xiv) [Reserved]; (xv) any transaction in which the Borrower or any of its Restricted Subsidiaries, as the case may be, delivers to the Administrative Agent a letter from an Independent Financial Advisor stating that such transaction is fair to the Borrower or such Restricted Subsidiary from a financial point of view; (xvi) transactions in connection with any Permitted Receivables Financing; (xvii) (1) Affiliate purchases of the Existing Notes and the loans under the TLB Credit Agreement to the extent permitted under the Existing Indentures or the TLB Credit Agreement, as applicable, the holding of such Existing Notes or loans under the TLB Credit Agreement, as applicable, and the payments and other related transactions in respect thereof (including any payment of out-of-pocket expenses incurred by such Affiliate in connection therewith), (2) other investments by Fortress, its Affiliates or Permitted Holders in securities or loans of the Borrower or any of its Restricted Subsidiaries (and any payment of out-of-pocket expenses incurred by such Permitted Holders in connection therewith), including the Loans, so long as the investment is being offered generally to other investors on the same terms or on terms that are more favorable to the Borrower and (3) payments to Fortress, its Affiliates or Permitted Holders in respect of securities or loans of the Borrower or any of its Restricted Subsidiaries contemplated in the foregoing subclause (2) or that were acquired from Persons other than the Borrower and its Restricted Subsidiaries, in each case, in accordance with the terms of such securities or loans; (xviii) transactions undertaken pursuant to a shared services agreement or pursuant to a membership in a purchasing consortium; (xix) payment to any Permitted Holder of out of pocket expenses incurred by such Permitted Holder in connection with any direct or indirect Investment in the Borrower and its Subsidiaries; (xx) the issuance or transfer of (1) Equity Interests (other than Disqualified Stock) of the Borrower and the granting and performing of customary registration rights and (2) directors’ qualifying shares and shares issued to foreign nationals as required by applicable law; (xxi) transactions with a Person (other than an Unrestricted Subsidiary) that is an Affiliate of the Borrower arising solely because the Borrower or any Restricted Subsidiary owns any Equity Interests in, or controls,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07"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897275.26-LACSR02A - MSW (xxii) any lease entered into between the Borrower or any Restricted Subsidiary, on the one hand, and any Affiliate of the Borrower, on the other hand, which is approved by the Board of Directors of the Borrower or is entered into in the ordinary course of business; (xxiii) intellectual property licenses entered into in the ordinary course of business, consistent with past practice or consistent with industry norm; (xxiv) transactions between the Borrower or any Restricted Subsidiary and any other Person that would constitute an Affiliate solely because a director of such other Person is also a director of the Borrower; provided, however, that such director abstains from voting as a director of the Borrower on any matter including such other Person; (xxv) (1) pledges of Equity Interests of Unrestricted Subsidiaries and (2) in connection with the incurrence of any Indebtedness not prohibited by Section 6.3, pledges of equity interests of a Qualified Liquefaction Development Entity to secure such Indebtedness; (xxvi) any transition services arrangement, supply arrangement or similar arrangement entered into in connection with or in contemplation of the disposition of assets or Equity Interests in any Restricted Subsidiary not in violation of Section 6.4 that the Board of Directors of the Borrower determines is either fair to the Borrower or otherwise on customary terms for such type of arrangements in connection with similar transactions; (xxvii) [Reserved]; (xxviii) payments by the Borrower and its Subsidiaries pursuant to tax sharing agreements among the Borrower and its Subsidiaries on customary terms; provided that such payments shall not exceed the excess (if any) of the amount of taxes that the Borrower and its Subsidiaries would have paid on a stand-alone basis over the amount of such taxes actually paid by the Borrower and its Subsidiaries directly to governmental authorities and provided further that such agreement or arrangement is not materially adverse to the interests of the Lenders; (xxix) payments to and from, and transactions with, any joint ventures or Unrestricted Subsidiary entered into in the ordinary course of business, consistent with past practice or consistent with industry norm (including any cash management activities related thereto); and (xxx) transactions undertaken in good faith (as certified by a responsible financial or accounting officer of the Borrower in an Officer’s Certificate) for the purposes of improving the consolidated tax efficiency of the Borrower and its Subsidiaries and not for the purpose of circumventing any covenant set forth in this Agreement. Section 6.6 Liens. (a) The Borrower shall not, and shall not permit any Restricted Subsidiary to, directly or indirectly, create, incur or assume any Lien (each, a “Subject Lien”) that secures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08"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897275.26-LACSR02A - MSW under any Indebtedness on any asset or property of the Borrower or any Restricted Subsidiary that is not a Permitted Lien. (b) In the event that a Subject Lien is or becomes a Permitted Lien, the Borrower may, at its option and without consent from the Collateral Agent or any other Secured Party, elect to release and discharge any Lien created for the benefit of the Secured Parties pursuant to Section 6.6(a) in respect of such Subject Lien. (c) 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(d) The Borrower shall not, and shall not permit any of its Subsidiaries to directly or indirectly, create, incur or assume any Lien over the FLNG2 Assets (or Reinvested Assets) or over any of the Equity Interests of any FLNG2 Subsidiary other than Permitted Liens of the type described in clauses (a)(i), (a)(ii), (b), (c)(i), (c)(ii), (mm)(I), (rr), (ss) and (uu) of the definition thereof. Section 6.7 Financial Covenants. (a) Debt to Total Capitalization Ratio. Commencing with the first full fiscal quarter ending after the First Initial Term Loan Funding Date, the Borrower shall not permit the Debt to Total Capitalization Ratio (as defined in, and as calculated pursuant to, the Revolving Credit Agreement as of the date hereof) for the Borrower and the Restricted Subsidiaries as of the last day of any Test Period to exceed 0.70 to 1.00. (b) Consolidated First Lien Debt Ratio. Commencing with the first full fiscal quarter ending after the First Initial Term Loan Funding Date, if, as of the last Business Day of any Test Period the Revolving Facility usage (as defined in the Revolving Credit Agreement) is equal to or greater than 50%, the Borrower shall not permit the Consolidated First Lien Debt Ratio (as defined in, and as calculated pursuant to, the Revolving Credit Agreement as of the date hereof) for the Borrower and the Restricted Subsidiaries as of the last day of any Test Period to exceed 4.00 to 1.00. Section 6.8 Capital Expenditures. The Borrower shall not permit any FLNG2 Subsidiary to make or commit to make any Capital Expenditures other than (a) Permitted Capital Expenditures (b) Capital Expenditures that are to be reimbursed by a customer of a Loan Party under a principal lease, service agreement, operating agreement, maintenance agreement, spare parts agreement or other similar agreement relating to the Project pursuant to a Contractual Obligation of such customer to reimburse such expenditures, provided that (i) such Capital Expenditures are not in excess of $10.0 million in the aggregate per calendar year and (ii) the relevant customer is required to reimburse the Loan Party within a period of 12 months and (c) other Capital Expenditures of the FLNG2 Subsidiaries not in excess of $10.0 million in the aggregate per calendar year. Section 6.9 Merger, Consolidation or Sale of All or Substantially All Assets. (a) The Borrower shall not merge, consolidate or amalgamate with or into or wind up into (whether or not the Borrower is the surviving Person), or sell, assign, transfer, lease, convey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09"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897275.26-LACSR02A - MSW or otherwise dispose of all or substantially all of the properties or assets of the Borrower and its Restricted Subsidiaries, taken as a whole, in one or more related transactions, to any Person unless: (i) the Borrower is the surviving Person or the Person formed by or surviving any such merger, consolidation, amalgamation or winding up (if other than the Borrower)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(the Borrower or such Person, as the case may be, being herein called the “Successor Company”); (ii) the Successor Company (if other than the Borrower) expressly assumes all of the obligations of the Borrower under this Agreement, the Equal Priority Intercreditor Agreement, any Junior Priority Intercreditor Agreement and the applicable Security Documents pursuant to joinders hereto and to the applicable Security Documents, the Equal Priority Intercreditor Agreement, any Junior Priority Intercreditor Agreement, or other documents or instruments in form reasonably satisfactory to the Administrative Agent and has provided all documentation and other information required by the Agents and the Lenders under applicable “know your customer” and anti-money laundering rules and regulations, including the PATRIOT Act; (iii) immediately after such transaction, no Event of Default shall have occurred and be continuing; (iv) in the case of the Borrower, immediately after giving pro forma effect to such transaction and any related financing transactions, as if such transactions had occurred at the beginning of the Test Period, either: (1) the Successor Company would be permitted to incur at least $1.00 of additional Indebtedness under a Fixed Charge Coverage Ratio test of at least 2.00 to 1.00, or (2) the Fixed Charge Coverage Ratio immediately after such transaction would be equal to or greater than the Fixed Charge Coverage Ratio of the Borrower immediately prior to such transaction; (v) to the extent any assets of the Person who is merged, consolidated or amalgamated with or into the Successor Company are assets of the type that would constitute Collateral under the Security Documents, the Successor Company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(b) The Successor Company will succeed to and be substituted for the Borrower under this Agreement, the Equal Priority Intercreditor Agreement, any Junior Priority Intercreditor Agreement and the other applicable Loan Documents and the Borrower will automatically be released and discharged from its obligations under this Agreement, the Equal Priority Intercreditor Agreement, any Junior Priority Intercreditor Agreement and the applicable Loan Documents, as applicable. Notwithstanding clauses (iii) and (iv) of Section 6.9(a),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10"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897275.26-LACSR02A - MSW (i) any Restricted Subsidiary may merge, consolidate or amalgamate with or into, wind up into or sell, assign, transfer, lease, convey or otherwise dispose of all or part of its properties and assets to the Borrower or any Restricted Subsidiary, (ii) the Borrower may merge, consolidate or amalgamate with or into or wind up into an Affiliate of the Borrower solely for the purpose of reincorporating the Borrower in the United States, any state or territory thereof or the District of Columbia, and (iii) the Borrower may merge, consolidate or amalgamate with or into, wind up into or sell, assign, transfer, lease convey or otherwise dispose of all or part of its properties and assets to any Guarantor. (c) Subject to the provisions described in this Agreement and the Security Documents governing release of a Guarantee, no Guarantor shall, and the Borrower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 (i) such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“Successor Guarantor”); (ii) the Successor Guarantor, if other than such Guarantor, expressly assumes all the obligations of such Guarantor under this Agreement and such Guarantor’s related Guarantee pursuant to joinders hereto and to the applicable Security Documents and the Equal Priority Intercreditor Agreement, any Junior Priority Intercreditor Agreement or other documents or instruments in form reasonably satisfactory to the Administrative Agent, and has provided all documentation and other information required by the Agents and the Lenders under applicable “know your customer” and anti- money laundering rules and regulations, including the PATRIOT Act; and (iii) 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Agreement or the applicable Security Documents and shall take all reasonably necessary action so that such Lien is perfected to the extent required by the applicable Security Documents; or (iv) the transaction is not prohibited by Section 6.4. (d) The Successor Guarantor will succeed to, and be substituted for, such Guarantor under this Agreement, the Equal Priority Intercreditor Agreement, any Junior Priority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11"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897275.26-LACSR02A - MSW Intercreditor Agreement and the applicable Security Documents and such Guarantor’s Guarantee and such Guarantor will automatically be released and discharged from its obligations under this Agreement, the Equal Priority Intercreditor Agreement, any Junior Priority Intercreditor Agreement and the applicable Security Documents. Notwithstanding the foregoing, any Guarantor may (i) merge, consolidate or amalgamate with or into, wind up into or sell, assign, transfer, lease, convey or otherwise dispose of all or part of its properties or assets to another Guarantor or the Borrower, (ii) merge, consolidate or amalgamate with or into or wind up into the Borrower or an Affiliate of the Borrower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Borrower determines in good faith that such action is in the best interests of the Borrower and is not materially disadvantageous to the Lenders, in each case, without regard to the requirements set forth in Section 6.9(c). Section 6.10 Change in Business; Changes in Fiscal Year or Accounting Policies. The Borrower shall not, nor shall it permit any of the Restricted Subsidiaries to (a) engage in any material line of business other than the businesses engaged in by the Borrower and the Restricted Subsidiaries on the Closing Date and any Similar Business, (b) make or permit, any change in accounting policies or reporting practices, without the consent of the Required Lenders, which consent shall not be unreasonably withheld or delayed, except changes that are permitted in accordance with GAAP (subject in each case to the provisions of Section 1.3) or (c) change its fiscal year-end or fiscal quarter-end dates. Section 6.11 Sale and Leaseback Transactions. The Borrower shall not, nor shall it permit any of the Restricted Subsidiaries to, enter into any Sale and Leaseback Transaction unless, after giving effect thereto, the aggregate outstanding amount of Indebtedness in respect of all Sale and Leaseback Transactions is permitted under Section 6.3 and the Liens in respect thereof are permitted under Section 6.6. Section 6.12 Accounts. The Borrower shall not permit any of the FLNG2 Subsidiaries to establish or maintain any deposit accounts (other than Excluded Accounts) unless, with respect to any such account located in the United States (including one or more accounts with banks selected by the Borrower or such FLNG2 Subsidiary to be funded for purposes of paying Project Costs (any such accounts for such purposes, a “Project Costs Reserve Account”)), the applicable FLNG2 Subsidiary has entered into and delivered to the Collateral Agent a Control Agreement in form and substance reasonably acceptable to the Collateral Agent on or prior to the date that is sixty (60) days after the date such deposit account is established (or such later date as the Collateral Agent may agree in its reasonable discretion). Section 6.13 Amendment or Termination of Material Project Documents; Other Restrictions on Material Project Documents. The Borrower shall not permit any FLNG2 Subsidiary to: (a) amend, modify, supplement or grant a consent, approval or waiver under, or permit or consent to the amendment, modification, supplement, consent, approval or waiver of any provision of any Material Project Document (each such amendment, modification, supplement, consent, approval or waiver, a “Material Project Document Modification”), without the prior written consent of the Required Lenders (unless such Material Project Document Modification would not reasonably be expected to have a Material Adverse Effect);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12"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897275.26-LACSR02A - MSW (b) assign or transfer any interest under any Material Project Document without the prior written consent of the Required Lenders (such consent not to be unreasonably delayed, conditioned or withheld); or (c) consent to any Material Project Counterparty assigning or transferring any interest under any Material Project Document, if such FLNG2 Subsidiary has consent rights under such Material Project Document without the prior written consent of the Required Lenders (such consent not to be unreasonably delayed, conditioned or withheld); or (d) other than upon any expiration or termination upon its expiry in accordance with the terms of such Material Project Document and not as a result of a breach or default thereunder, consent to the full or partial termination of any Material Project Document without the prior written consent of the Required Lenders (such consent not to be unreasonably delayed, conditioned or withheld); or (e) initiate or settle any arbitration, proceedings, claims or disputes under any Material Project Document if the amount in controversy in such arbitration, dispute or settlement is in excess of $50.0 million without the prior written consent of the Required Lenders (such consent not to be unreasonably delayed, conditioned or withheld). Notwithstanding anything to the contrary in this Section 6.13, each assignment of a Material Project Document to the Borrower or any FLNG2 Subsidiary shall be permitted. Section 6.14 Establishment of New Subsidiaries by the FLNG2 Subsidiaries. The Borrower shall not permit the FLNG2 Subsidiaries to establish or have any Subsidiaries that are not also FLNG2 Subsidiaries. Section 6.15 Hazardous Material. Except as could not reasonably be expected to result in, individually or in the aggregate, a Material Adverse Effect, the Borrower shall not and shall not permit the FLNG2 Subsidiaries to Release, or permit the Release of, Hazardous Materials at the Project in violation of Environmental Laws or Required Permits. SECTION 7. EVENTS OF DEFAULT Section 7.1 Events of Default. (a) Each of the following events shall constitute an “Event of Default”: (1) the Borrower shall fail to pay any principal of any Loan when due in accordance with the terms hereof; or the Borrower shall fail to pay any interest on any Loan, or any other amount payable hereunder or under any other Loan Document, within five Business Days after any such interest or other amount becomes due in accordance with the terms hereof or thereof; (2) 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incorrect in any material respect on or as of the date made or deemed made; (3) any Loan Party shall default in the observance or performance of any agreement contained in clause (i) of Section 5.4(a) (with respect to the Borrower only), Section 5.7(a) or Section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13"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897275.26-LACSR02A - MSW (4) any Loan Party shall default in the observance or performance of any other agreement contained in this Agreement or any other Loan Document (other than as provided in paragraphs (1) through (3) of this Section 7.1(a)), and such default shall continue unremedied for a period of 30 days after the earlier of (i) the date on which a Responsible Officer of any Loan Party obtains knowledge of such default and (ii) the date on which the Borrower has received written notice of such default from the Administrative Agent; (5) default under any mortgage, indenture or instrument under which there is issued or by which there is secured or evidenced any Indebtedness for money borrowed by the Borrower or any of its Restricted Subsidiaries or the payment of which is guaranteed by the Borrower or any of its Restricted Subsidiaries (other than (i) Indebtedness owed to the Borrower or a Restricted Subsidiary, (ii) any Permitted Receivables Financing, (iii) with respect to Indebtedness consisting of Hedging Obligations, termination events or equivalent events pursuant to the terms of the relevant Hedge Agreement which are not the result of any default thereunder by the Borrower or any Restricted Subsidiary and (iv) Indebtedness of a Restricted Subsidiary as to which the Borrower delivers to the Administrative Agent an Officer’s Certificate certifying a resolution adopted by the Borrower to the effect that the obligees of such Indebtedness have no recourse to the assets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 (B) 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provided that if any such acceleration is being contested in good faith by appropriate proceedings promptly instituted and diligently concluded, then the Event of Default by reason thereof would not be deemed to have occurred until the conclusion of such proceedings; (6) failure by the Borrower or any Restricted Subsidiary that is a Significant Subsidiary (other than any Receivables Subsidiary) (or group of Restricted Subsidiaries that together (as determined as of the most recent consolidated financial statements of the Borrower for a fiscal quarter end provided as required under Section 5.1)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14"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897275.26-LACSR02A - MSW remain unpaid, undischarged and unstayed for a period of more than 60 days after such judgment becomes final and non-appealable, and, in the event such judgment is covered by insurance, an enforcement proceeding has been commenced by any creditor upon such judgment or decree which is not promptly stayed; (7)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pursuant to or within the meaning of any Bankruptcy Law: (A) commences proceedings to be adjudicated bankrupt or insolvent; (B) consents to the institution of bankruptcy or insolvency proceedings against it, or the filing by it of a petition or answer or consent seeking reorganization or relief under applicable Bankruptcy Law; (C) consents to the appointment of a receiver, liquidator, assignee, trustee, sequestrator or other similar official of it or for all or substantially all of its property; (D) makes a general assignment for the benefit of its creditors; or (E) makes an admission in writing of its inability generally to pay its debts as they become due; (8) a court of competent jurisdiction enters an order or decree under any Bankruptcy Law that: (A) is for relief against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in a proceeding in which the Borrower or any such Significant Subsidiary or any such group of Restricted Subsidiaries that together (as determined as of the most recent consolidated financial statements of the Borrower for a fiscal quarter end provided as required under Section 5.1) would constitute a Significant Subsidiary other than a Receivables Subsidiary, is to be adjudicated bankrupt or insolvent; (B) appoints a receiver, liquidator, assignee, trustee, sequestrator or other similar official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or for all or substantially all of the property of the Borrower or any such Significant Subsidiary or any such group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5"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897275.26-LACSR02A - MSW Restricted Subsidiaries that together (as determined as of the most recent consolidated financial statements of the Borrower for a fiscal quarter end provided as required under Section 5.1) would constitute a Significant Subsidiary other than a Receivables Subsidiary; or (C) orders the winding up or liquidation of the Borrower or any Significant Subsidiary (or any group of Restricted Subsidiaries that together (as determined as of the most recent consolidated financial statements of the Borrower for a fiscal quarter end provided as required under Section 5.1) would constitute a Significant Subsidiary other than a Receivables Subsidiary); and the order or decree remains unstayed and in effect for 60 consecutive days; (9) (i) any Person shall engage in any “prohibited transaction” (as defined in Section 406 of ERISA or Section 4975 of the Code) involving any Pension Plan, (ii) any failure to satisfy the minimum funding standard of Section 412 of the Code and Section 302 of ERISA, whether or not waived, shall exist with respect to any Pension Plan, or any Lien in favor of the PBGC or a Pension Plan shall arise on the assets of the Borrower or any Commonly Controlled Entity, (iii) a Reportable Event shall occur with respect to, or proceedings shall commence to have a trustee appointed, or a trustee shall be appointed, to administer or to terminate, any Pension Plan, which Reportable Event or commencement of proceedings or appointment of a trustee is, in the reasonable opinion of the Required Lenders, likely to result in the termination of such Pension Plan for purposes of Title IV of ERISA, (iv) any Pension Plan shall terminate for purposes of Title IV of ERISA or (v) the Borrower or any Commonly Controlled Entity shall incur any liability in connection with a withdrawal from, or the Insolvency of, a Multiemployer Plan; and in each case in clauses (i) through (v) above, such event or condition results in or could reasonably be expected to result in a Material Adverse Effect; (10) (i) the Liens created by the Security Documents shall at any time not constitute a valid and perfected Lien on any material portion of the Collateral intended to be covered thereby (unless perfection is not required by this Agreement or the Security Documents) other than (A) in accordance with the terms of the relevant Security Document and this Agreement, (B) as a result of the satisfaction of the Termination Conditions or (C) any loss of perfection that results from the failure of the Controlling Authorized Representative or Collateral Agent to maintain possession of certificates delivered to it representing securities pledged under the Security Documents or to file Uniform Commercial Code continuation statements; and (ii) such default continues for 30 days after receipt of written notice given by the Administrative Agent or the Required Lenders; (11) any Guarantee of any Guarantor that is a Significant Subsidiary (or group of Guarantors that together (as determined as of the most recent consolidated financial statements of the Borrower for a fiscal quarter end provided as required under Section 5.1) would constitute a Significant Subsidiary) ceases to be in full force and effect (other than in accordance with the terms of such Guarantee) or such Guarantor or such group of Guarantors denies or disaffirms its obligations under its Guarantee (other than by reason of the satisfaction of the Termination Conditions); (12) the Borrower or any Guarantor that is a Significant Subsidiary (or any group of Guarantors that together (as determined as of the most recent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16"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897275.26-LACSR02A - MSW consolidated financial statements of the Borrower for a fiscal quarter end provided as required under Section 5.1) would constitute a Significant Subsidiary) shall assert, in any pleading in any court of competent jurisdiction, that any security interest in any material Security Document is invalid or unenforceable (other than by reason of the satisfaction of the Termination Conditions, the release of the Guarantee of such Guarantor in accordance with the terms of this Agreement or the release of such security interest in accordance with the terms of this Agreement and the Security Documents); (13) any Change of Control shall occur; or (14) (i) any Material Project Document shall expire or terminate (other than by virtue of the scheduled expiration in accordance with its terms) or shall be declared null and void or (ii) any Material Project Counterparty, within the meaning of any Bankruptcy Law (A) commences proceedings to be adjudicated bankrupt or insolvent, (B) consents to the institution of bankruptcy or insolvency proceedings against it, or the filing by it of a petition or answer or consent seeking reorganization or relief under applicable Bankruptcy Law, (c) consents to the appointment of a receiver, liquidator, assignee, trustee, sequestrator or other similar official of it or for all or substantially all of its property, (D) makes a general assignment for the benefit of its creditors or (E) makes an admission in writing of its inability generally to pay its debts as they become due, or (iii) a court of competent jurisdiction enters an order or decree under any Bankruptcy Law that (A) is for relief against any Material Project Counterparty in a proceeding in which such Material Project Counterparty is to be adjudicated bankrupt or insolvent, (B) appoints a receiver, liquidator, assignee, trustee, sequestrator or other similar official of any Material Project Counterparty, or for all or substantially all of the property of any Material Project Counterparty or (C) orders the winding up or liquidation of any Material Project Counterparty and the order or decree remains unstayed and in effect for 60 consecutive days; provided that, no Event of Default shall occur under this clause (14) if (1) the underlying termination or Bankruptcy event could not reasonably be expected to have a Material Adverse Effect and (2) within 90 days of such underlying termination or Bankruptcy event, the applicable FLNG2 Subsidiary enters into a Replacement Material Project Document, such cure period to be extended to a total of 180 days so long as such FLNG2 Subsidiary is diligently pursuing execution of a Replacement Material Project Document and such additional cure period could not reasonably be expected to result in a Material Adverse Effect. (b) If any Event of Default shall have occurred and be continuing, then, and in any such event, (A) if such event is an Event of Default specified in Section 7.1(a)(7) or Section 7.1(a)(8), with respect to the Borrower, the Commitment of each Lender to make Loans shall automatically terminate, the Loans hereunder (with accrued interest thereon) and all other amounts owing under this Agreement and the other Loan Documents shall automatically and immediately become due and payable, and (B) subject to clause (c) below, if such event is any other Event of Default, with the consent of the Required Lenders, the Administrative Agent may, or upon the request of the Required Lenders, the Administrative Agent shall, by notice to the Borrower, declare (i) the Commitment of each Lender to make Loans to be terminated, whereupon such Commitments shall be terminated and (ii) the Loans hereunder (with accrued interest thereon) and all other amounts owing under this Agreement and the other Loan Documents to be due and payable forthwith, whereupon the same shall immediately become due and payable. (c) In the event of any Event of Default specified in Section 7.1(a)(6), such Event of Default and all consequences thereof (excluding any resulting payment default hereunder, other than as a result of acceleration of the Obligations) shall be annulled, waived and rescinded, automatically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17"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897275.26-LACSR02A - MSW and without any action by the Administrative Agent or any other Credit Party, if within 30 days after such Event of Default arose: (i) the Indebtedness or guarantee that is the basis for such Event of Default has been discharged; or (ii) the requisite holders thereof have rescinded or waived the acceleration, notice or action (as the case may be) giving rise to such Event of Default; or (iii) the default that is the basis for such Event of Default has been cured; provided that the foregoing shall not apply (A) to the failure to provide notice of a Default or Event of Default resulting from taking such prohibited action, (B) following the acceleration of the Loans and all other amounts due under this Agreement pursuant to Section 7.1(b) or (C) following receipt by the Borrower of written notice from the Required Lenders of any Default or Event of Default in respect of which the Required Lenders have expressly reserved their rights. Section 7.2 Application of Proceeds. Subject to the terms of the Equal Priority Intercreditor Agreement, all proceeds collected by the Collateral Agent upon any collection, sale, foreclosure or other realization upon any Collateral (including any distribution pursuant to a plan of reorganization), including any Collateral consisting of cash, shall be applied as follows: FIRST, to the payment of all costs and expenses incurred by the Administrative Agent or the Collateral Agent (in their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or the Collateral Agent hereunder or under any other Loan Document on behalf of any Loan Party and any other costs or expenses incurred in connection with the exercise of any right or remedy hereunder or under any other Loan Document; SECOND, to the payment in full of all Obligations (the amounts so applied to be distributed among the Secured Parties pro rata in accordance with the amounts of the Obligations owed to them on the date of any such distribution); THIRD, to the Loan Parties, their successors or assigns, or as a court of competent jurisdiction may otherwise direct. In addition, in the event that the Collateral Agent receives any non-cash distribution upon any collection, sale, foreclosure or other realization upon any Collateral, such non-cash distribution shall be allocated in the manner described above, with the value of such non-cash distribution being reasonably determined by the Collateral Agent; provided that the Collateral Agent shall apply any cash distribution in accordance with this Section 7.2 prior to application of any such non-cash distribution. 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18"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897275.26-LACSR02A - MSW SECTION 8. THE ADMINISTRATIVE AGENT AND THE COLLATERAL AGENT. Section 8.1 Appointment and Authority. (a) Each of the Lenders hereby irrevocably appoints the entity named as Administrative Agent in the heading of this Agreement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8.1 are solely for the benefit of the Administrative Agent and the Lenders, and none of the Borrower nor any other Loan Party shall have rights as a third party beneficiary of any of such provisions (except as provided in Section 8.6 and 8.14(d) below). (b) MSSF shall also act as the Collateral Agent hereunder and under the other Loan Documents, and each of the Lenders hereby irrevocably appoints and authorizes MSSF act as the Collateral Agent of such Lender for purposes of acquiring, holding and enforcing any and all Liens on Collateral granted by any of the Loan Parties to secure any of the Obligations, together with such powers and discretion as are reasonably incidental thereto. In this connection, the Collateral Agent, and any co- agents, sub-agents and attorneys-in-fact appointed by the Collateral Agent pursuant to Section 8.5 for purposes of holding or enforcing any Lien on the Collateral (or any portion thereof) granted under the Security Documents, or for exercising any rights and remedies thereunder at the direction of the Collateral Agent, shall be entitled to the benefits of all provisions of this Section 8 and Section 9 (including Section 9.5(c), as though such co-agents, sub-agents and attorneys-in-fact were the Collateral Agent under the Loan Documents) as if set forth in full herein with respect thereto. (c) It is understood and agreed that the use of the term “agent” herein or (except as provided in any other Loan Documents) (or any other similar term) with reference to the Agents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Section 8.2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Section 8.3 Exculpatory Provisions. The Agents shall not have any duties or obligations except those expressly set forth herein and in the other Loan Documents, and its duties hereunder shall be administrative in nature. Without limiting the generality of the foregoing, the Agents: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applicable Agent or its Related Parties is required to exercise as directed in writing by the Required Lenders (or such other number or percentage of the Lenders as shall be expressly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19"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897275.26-LACSR02A - MSW for herein or in the other Loan Documents), provided that neither Agent nor any of its Related Parties shall be required to take any action that, in its opinion or the opinion of its counsel, may expose such Agent or such Related Party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provided, further, that the applicable Agent or any of its Related Parties may seek clarification or direction from Required Lenders prior to the exercise of any such instructed action and may refrain from acting until such clarification or direction has been provided; (c)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an Agent or any of its branches or Affiliates in any capacity; (d) shall not be liable for any action taken or not taken by it or its Related Parties under or in connection with this Agreement or the other Loan Documents (i) with the consent or at the request of the Required Lenders (or such other number or percentage of the Lenders as shall be necessary, or as the Agents shall believe in good faith shall be necessary, under the circumstances as provided in Sections 9.1 and 7.1) or (ii) in the absence of its own gross negligence, bad faith or willful misconduct, as determined by a final non-appealable judgment of a court of competent jurisdiction. The Agents shall be deemed not to have knowledge of any Default unless and until notice describing such Default is given to such Agent in writing by the Borrower or a Lender; (e)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perfecting, maintaining, monitoring, preserving or protecting the security interest or Lien (including the priority thereof) granted under this Agreement, any other Loan Document or any agreement or instrument contemplated hereby or thereby, (vii) the filing, re-filing, recording, re-recording or continuing of any document, financing statement, mortgage, assignment, notice, instrument of further assurance or other instrument in any public office at any time or times, (viii) providing, maintaining, monitoring or preserving insurance on or the payment of Taxes with respect to any of the Collateral or (ix) the satisfaction of any condition set forth in Section 3.27(a) or elsewhere herein, other than to confirm receipt of items expressly required to be delivered to the Agents; (f) shall not be required to qualify in any jurisdiction in which it is not presently qualified to perform its obligations as an Agent; (g) shall not be required to (i) expend or risk its own funds or provide indemnities in the performance of any of its duties hereunder or the exercise of any of its rights or powers, or (ii) otherwise incur any financial liability in the performance of its duties hereunder or the exercise of any of its rights or powers, except for such expense, indemnity or liability, if any, arising out of such Agent’s gross negligence, bad faith or willful misconduct in the performance of its duties hereunder or under any other Loan Document, as determined by a final non-appealable judgment of a court of competent jurisdiction;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20"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897275.26-LACSR02A - MSW (h)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No requirement in any Loan Document for a Loan Party to provide evidence, opinion, information, documentation or other material requested or required by any Agent shall be construed to mean that such Agent has any responsibility to request or require such evidence, opinion, information, documentation or other material. No Lender shall assert, and each Lender hereby waives, any claim against the Agents, including any predecessor agent, its sub-agents and their respective Affiliates in respect of any action taken or omitted to be taken by any of them,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Section 8.4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any Lender), independent accountants and other experts, and shall not be liable for any action taken or not taken by it in accordance with the advice of any such counsel, accountants or experts. Section 8.5 Delegation of Duties. Each Agent may perform any and all of its duties and exercise its rights and powers hereunder or under any other Loan Document by or through any one or more sub-agents appointed by such Agent. Each Administrative Agent and any such sub-agent may perform any and all of its duties and exercise its rights and powers by or through their respective Related Parties. The exculpatory provisions of this Section 8 shall apply to any such sub-agent and to the Related Parties of the Agents and any such sub-agent, and shall apply to their respective activities in connection with the syndication of the credit facility provided for herein as well as activities as an Agent. Section 8.6 Resignation of the Agents. The Administrative Agent may at any time give notice of its resignation to the Lenders and the Borrower (and upon any such resignation as Administrative Agent, shall also resign as Collateral Agent). Upon receipt of any such notice of resignation, the Required Lenders shall have the right, with the consent of the Borrower (not to be unreasonably withheld or delayed) unless an Event of Default under Section 7.1(a)(1), (7) or (8) is continuing, to appoint a successor, which shall be a bank with an office in the United States, or an Affiliate of any such bank with an office in the United States (which successor shall act as both Administrative Agent and Collateral Agent). If no such successor shall have been so appointed by the Required Lenders and shall have accepted such appointment within 30 days after the retiring Administrative Agent gives notice of its resignation, then the retiring Administrative Agent may, on behalf of the Lenders, with the consent of the Borrower (not to be unreasonably withheld or delayed) unless an Event of Default under Section 7.1(a)(1), (7) or (8)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21"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897275.26-LACSR02A - MSW continuing,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Collateral Agent on behalf of the Secured Parties under any of the Loan Documents, the retiring Collateral Agent shall continue to hold such collateral security until such time as a successor Collateral Agent is appointed) and (b) except for any indemnity payments or other amounts owed to the retiring Administrative Agent, all payments, communications and determinations provided to be made by, to or through the Administrative Agent shall instead be made by or to each Person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(except for any indemnity payments or other amounts owed to the retiring (or removed)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8 and Section 9.5 shall continue in effect for the benefit of such retiring Administrative Agent, its sub-agents and their respective Related Parties in respect of any actions taken or omitted to be taken by any of them while the retiring Administrative Agent was acting as Administrative Agent. Section 8.7 Non-Reliance on the Agents and Other Lenders, Etc. 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represents and warrants that (i) the Loan Documents set forth the terms of a commercial lending facility and (ii) in participating as a Lender, it is engaged in making, acquiring or holding commercial loans and in providing other facilities set forth herein as may be applicable to such Lender or Issuing Bank, in each case,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federal or state securities laws). Section 8.8 No Other Duties, Etc. Anything herein to the contrary notwithstanding, the Arranger listed on the cover page hereof shall not have any powers, duties or responsibilities under this Agreement or any of the other Loan Documents, except in its capacities, as applicable, as the Administrative Agent or a Lender hereunder. Section 8.9 Administrative Agent May File Proofs of Claim. In case of the pendency of any proceeding under any Bankruptcy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22"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897275.26-LACSR02A - MSW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2.8 and 9.5)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2.8 and 9.5. 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 Section 8.10 Collateral and Guaranty Matters. (a) Each of the Lenders irrevocably authorizes the Collateral Agent to release or evidence the release of any Lien on any property granted to or held by the Collateral Agent under any Loan Document, to release any Guarantor from its obligations under a Guarantee or any Loan Document or to subordinate any Lien on any property granted to or held by the Collateral Agent under any Loan Document, in each case as provided in Section 9.20. (b) Upon request by the Collateral Agent at any time, the Required Lenders will confirm in writing the Collateral Agent’s authority to release or subordinate its interest in particular types or items of property, or to release any Guarantor from its obligations under the Loan Documents pursuant to Section 9.20. Section 8.11 Withholding Taxes.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thirty (30) days after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8.11. The agreements in this Section 8.11 shall survive the resignation and/or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23"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897275.26-LACSR02A - MSW replacement of the Administrative Agent, any assignment of rights by, or the replacement of, a Lender, the termination of the Commitments and the repayment, satisfaction or discharge of all other Obligations. Section 8.12 Intercreditor and Subordination Agreements. Each Lender hereby irrevocably appoints, designates and authorizes the Agents to enter into any intercreditor or subordination agreement pertaining to any permitted subordinated debt or other debt permitted to be secured by the Collateral or any portion thereof on its behalf and to take such action on its behalf under the provisions of any such agreement. Section 8.13 Credit Bidding.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9.1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24"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897275.26-LACSR02A - MSW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8.14 Return of Certain Payments. (a) If the Administrative Agent (x) notifies a Lender or any Person who has received funds on behalf of a Lender (any such Lender or other recipient (and each of their respective successors and assigns), a “Payment Recipient”)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such Erroneous Payment shall at all times remain the property of the Administrative Agent pending its return or repayment as contemplated below in this Section 8.14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(b) 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 (i)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(ii) 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8.14(b). For the avoidance of doubt, the failure to deliver a notice to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25"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897275.26-LACSR02A - MSW pursuant to this Section 8.14(b) shall not have any effect on a Payment Recipient’s obligations pursuant to Section 8.14(a) or on whether or not an Erroneous Payment has been made. (c)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 (d)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“Erroneous Payment Subrogation Rights”) and (y) an Erroneous Payment shall not pay, prepay, repay, discharge or otherwise satisfy any Obligations owed by the Borrower; provided that this Section 8.14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 (e)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Each party’s obligations, agreements and waivers under this Section 8.14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 Section 8.15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 (i)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26"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897275.26-LACSR02A - MSW (ii)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Section 8.16 Posting of Communications (a) The Borrower agrees that the Administrative Agent may, but shall not be obligated to, make any Communications available to the Lenders by posting the Communications on the Platform. (b) Although the Platform and its primary web portal are secured with generally-applicable security procedures and policies implemented or modified by the Administrative Agent from time to time (including, as of the date of this Agreement, a user ID/password authorization system) and the Platform is secured through a per-deal authorization method whereby each user may access the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may be confidentiality and other risks associated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27"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897275.26-LACSR02A - MSW such distribution. Each of the Lenders and the Borrower hereby approves distribution of the Communications through the Platform and understands and assumes the risks of such distribution. (c) THE PLATFORM AND THE COMMUNICATIONS ARE PROVIDED “AS IS” AND “AS AVAILABLE”. THE APPLICABLE PARTIES (AS DEFINED BELOW) DO NOT WARRANT THE ACCURACY OR COMPLETENESS OF THE COMMUNICATIONS, OR THE ADEQUACY OF THE PLATFORM AND EXPRESSLY DISCLAIM LIABILITY FOR ERRORS OR OMISSIONS IN THE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PLATFORM. IN NO EVENT SHALL THE ADMINISTRATIVE AGENT, ANY ARRANGER OR ANY OF THEIR RESPECTIVE RELATED PARTIES (COLLECTIVELY, “APPLICABLE PARTIES”)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PLATFORM. (d) Each Lender agrees that notice to it (as provided in the next sentence) specifying that Communications have been posted to the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 (e) Each of the Lenders and the Borrower agrees that the Administrative Agent may, but (except as may be required by applicable law) shall not be obligated to, store the Communications on the Platform in accordance with the Administrative Agent’s generally applicable document retention procedures and policies. (f) Nothing herein shall prejudice the right of the Administrative Agent or any Lender to give any notice or other communication pursuant to any Loan Document in any other manner specified in such Loan Document. SECTION 9. MISCELLANEOUS Section 9.1 Amendments and Waivers. Except as provided in Section 2.12, neither this Agreement or any other Loan Document, nor any terms hereof or thereof may be amended, supplemented or modified except in accordance with the provisions of this Section 9.1. The Required Lenders, the Borrower and each other Loan Party which is a party to the relevant Loan Document may, or (with the written consent of the Required Lenders) the Administrative Agent, the Borrower and each other Loan Party which is a party to the relevant Loan Document may, from time to time, (a) enter into written amendments, supplements or modifications hereto and to the other Loan Documents (including amendments and restatements hereof or thereof) for the purpose of adding or removing any provisions to this Agreement or the other Loan Documents or changing in any manner the rights and obligations of the Lenders or of the Loan Parties hereunder or thereunder or (b) waive, on such terms and conditions as may be specified in the instrument of waiver, any of the requirements of this Agreement or the other Loan Documents or any Default or Event of Default and its consequences; provided, however, that the Administrative Agent may, with the consent of the Borrower only and without the need to obtain the consent of any Lender, amend, supplement or modify this Agreement or any other Loan Document to cure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28"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897275.26-LACSR02A - MSW ambiguity, omission, defect or inconsistency, so long as such amendment, supplement or modification does not adversely affect the rights of any Lender or the Lenders shall have received at least five Business Days’ prior written notice thereof and Administrative Agent shall not have received, within five Business Days of the date of such notice to the Lenders, a written notice from the Required Lenders stating that the Required Lenders object to such amendment; provided further, however, that no such waiver and no such amendment, supplement or modification shall: (i) forgive the principal amount of any Loan, extend the final scheduled date of maturity or scheduled payment date of any principal of any Loan, reduce the stated rate of any interest, fee or premium payable under this Agreement (except in connection with the waiver of applicability of any post-default increase in interest rates (which waiver shall be effective with the consent of the Required Lenders)) or extend the time for payment of any interest, fees or premium or increase the amount or extend the expiration date of any Commitment of any Lender, in each case without the consent of each Lender directly and adversely affected thereby; (ii) amend, modify or waive any provision of this Section 9.1 or the definition of Required Lenders to reduce any percentage specified in the definition of “Required Lenders” or reduce the consent required under any provision pursuant to which the consent of Required Lenders is necessary, in each case without the consent of each Lender directly affected thereby; provided that certain agreements may be amended without the consent of the Required Lenders as contemplated by the last paragraph of this Section 9.1; (iii) consent to the assignment or transfer by the Borrower of any of its rights and obligations under this Agreement and the other Loan Documents without the consent of each Lender; (iv) amend, modify or waive any provision of Section 8, or any other provision affecting the rights, duties or obligations of the Administrative Agent or the Collateral Agent, without the consent of the Administrative Agent and the Collateral Agent, as applicable; (v) amend, modify or waive any provision of Section 2.14 or Section 7.2 in a manner that would alter the manner in which payments are shared without the consent of each Lender directly affected thereby; (vi) (A) subordinate, or have the effect of subordinating (whether by contract, structurally or otherwise), the right of payment of all or any portion of the Obligations hereunder to any other Indebtedness or liabilities or (B) release (or subordinate (whether by contract, structurally or otherwise) the Lien of the Collateral Agent in) all or substantially all of the Collateral in any transaction or series of related transactions, without the written consent of each Lender, except (x) to the extent the release or subordination of such Collateral is permitted pursuant to Section 9.20 (in which case such release or subordination may be made without the consent of any Lender) or (y) upon satisfaction of the Termination Conditions; or (vii) release all or substantially all of the value of the Guarantees, without the written consent of each Lender, except (A) to the extent the release of any Subsidiary from a Guarantee is permitted pursuant to Section 9.20 (in which case such release may be made without the consent of any Lender) or (B) upon satisfaction of the Termination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29"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 897275.26-LACSR02A - MSW provided, further, that (x) any Loan Document may be waived, amended, supplemented or modified pursuant to an agreement or agreements in writing entered into by the Borrower and the Administrative Agent and/or the Collateral Agent (without the consent of any Lender) solely to grant a new Lien for the benefit of the Secured Parties or extend an existing Lien over additional property, (y) to the extent a waiver or amendment solely affects one Class of Commitments or Loans, such waiver or amendment may be accomplished with only the written consent of the Required Class Lenders of such Class (or such greater amount of such Class if otherwise required above) and without the consent of any other Person and (z) to the extent a waiver or amendment would result in the payment in full of all Loans and other amounts due to, and termination of commitments of, all non-consenting Lenders, substantially concurrently with the effectiveness of such proposed waiver or amendment, such waiver or amendment may be accomplished with only the written consent of the Borrower and the consenting Lenders and without the consent of any other Person. Any such waiver and any such amendment, supplement or modification shall apply equally to each of the Lenders and shall be binding upon the Loan Parties, the Lenders, the Administrative Agent, the Collateral Agent and all future holders of the Loans. In the case of any waiver, the Loan Parties, the Lenders, the Collateral Agent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provided that delivery of an executed signature page of any such instrument by facsimile transmission shall be effective as delivery of a manually executed counterpart thereof. Notwithstanding the foregoing, (A) Security Documents and related documents executed in connection with this Agreement may be in a form reasonably determined by the Collateral Agent and the Administrative Agent and may be, together with this Agreement, amended and waived with the consent of the Administrative Agent, the Collateral Agent and the Borrower only and without the need to obtain the consent of any Lender if such amendment or waiver is delivered solely to the extent necessary to (i) comply with local Law or advice of local counsel or (ii) cause such Guarantee, Security Document or related document to be consistent with this Agreement and the other Loan Documents and (B) no Lender consent is required to effect any amendment or supplement to the Equal Priority Intercreditor Agreement or a Junior Priority Intercreditor Agreement or other intercreditor agreement or arrangement permitted under this Agreement that is for the purpose of adding the holders of Equal Priority Obligations, or Junior Priority Obligations, as expressly contemplated by the terms of such Equal Priority Intercreditor Agreement, such Junior Priority Intercreditor Agreement or such other intercreditor agreement or arrangement permitted under this Agreement, as applicable (it being understood that any such amendment or supplement may make such other changes to the applicable intercreditor agreement are required to effectuate the foregoing and provided that such other changes are not adverse, in any respect, to the interests of the Lenders); provided, further, that no such agreement shall amend, modify or otherwise affect the rights or duties of the Administrative Agent or the Collateral Agent hereunder or under any other Loan Document without the prior written consent of the Administrative Agent or the Collateral Agent. Furthermore, notwithstanding anything to the contrary herein, with the consent of the Administrative Agent at the request of the Borrower (without the need to obtain any consent of any Lender), (i) any Loan Document may be amended to add terms that are favorable to the Lenders (as reasonably determined by the Administrative Agent) including to effect the granting, perfection, protection, expansion or enhancement of any security interest in any Collateral or additional property to become Collateral for the benefit of the Secured Parties and (ii) this Agreement (including by increasing the amount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30"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897275.26-LACSR02A - MSW amortization due and payable with respect to any Class of Term Loans) may be amended in a manner that is favorable to existing Lenders to the extent necessary to create a fungible Class of Term Loans. If the Administrative Agent and the Borrower shall have jointly identified an obvious error (including, but not limited to, an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 or any other relevant Loan Party shall be permitted to amend such provision and such amendment shall become effective without any further action or consent of any other party to any Loan Document (unless the Required Lenders object to such amendment within five Business Days of notification of such amendment to the Lenders). Notification of such amendment shall be made by the Administrative Agent to the Lenders on or prior to five Business Days prior to the amendment becoming effective. Section 9.2 Notices. Except as otherwise provided in Section 2.6(c), all notices, requests and demands to or upon the respective parties hereto to be effective shall be in writing (including by facsimile), and, unless otherwise expressly provided herein, shall be deemed to have been duly given or made when delivered, or three Business Days after being deposited in the mail, postage prepaid, or, in the case of facsimile notice, when received, addressed (a) in the case of the Loan Parties, the Collateral Agent and the Administrative Agent, as follows and (b) in the case of the Lenders, at their primary address set forth below their name on Appendix A or otherwise indicated to Administrative Agent in writing or, in the case of a Lender which becomes a party to this Agreement pursuant to an Assignment and Acceptance, in such Assignment and Acceptance or (c) in the case of any party, to such other address as such party may hereafter notify to the other parties hereto: the Loan Parties: C/o New Fortress Energy Inc. 111 W. 19th Street, 8th Floor New York, NY 10011 Attention: Christopher S. Guinta – Chief Financial Offer Telephone: 516-268-7406 Email: cguinta@newfortressenergy.com with a copy to: Skadden, Arps, Slate, Meagher &amp; Flom LLP Attention: Seth E. Jacobson 155 N. Wacker Drive Chicago, IL 60606 Telephone: (312) 409-0889 Email: seth.jacobson@skadden.com the Administrative Agent: Morgan Stanley Senior Funding, Inc. 1300 Thames Street, 4th Floor Thames Street Wharf Baltimore, MD 21231 Telephone: (917) 260-0588 Email for Borrower: agency.borrowers@morganstanley.com Email for Lenders: msagency@morganstanley.com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31"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897275.26-LACSR02A - MSW and the Collateral Agent: Morgan Stanley Senior Funding, Inc. 1300 Thames Street, 4th Floor Thames Street Wharf Baltimore, MD 21231 Email: docs4loans@morganstanley.com with a copy to, in each case of the Administrative Agent and Collateral Agent: Linklaters LLP Attention: Danelle Le Cren 1290 Avenue of the Americas New York, NY 10104 Email: danelle.le_cren@linklaters.com provided that any notice, request or demand to or upon the Agents or any Lender shall not be effective until received. Notices and other communications to the Lenders hereunder may be delivered or furnished by electronic communications pursuant to procedures approved by the Administrative Agent; provided that the foregoing shall not apply to notices pursuant to Section 2 unless otherwise agreed by the Administrative Agent and the applicable Lender. The Administrative Agent or the Borrower may, in their discretion, agree to accept notices and other communications to it hereunder by electronic communications pursuant to procedures approved by it; provided that approval of such procedures may be limited to particular notices or communications. THE PLATFORM IS PROVIDED “AS IS” AND “AS AVAILABLE.” THE AGENT PARTIES (AS DEFINED BELOW) DO NOT WARRANT THE ACCURACY OR COMPLETENESS OF THE MATERIALS AND/OR INFORMATION PROVIDED BY OR ON BEHALF OF THE BORROWER HEREUNDER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Agents or any of its Related Parties (each, an “Agent Party”) have any liability to the Borrower, any Lender or any other Person for losses, claims, damages, liabilities or expenses of any kind (whether in tort, contract or otherwise) arising out of the Borrower’s or the Agents’ transmission of materials and/or information provided by or on behalf of the Borrower hereunder through the Platform or the Internet, except to the extent that such losses, claims, damages, liabilities or expenses are determined by a court of competent jurisdiction by a final and nonappealable judgment to have resulted from the gross negligence, bad faith or willful misconduct of such Agent Party; provided, however, that in no event shall any Agent Party have any liability to the Borrower, any Lender or any other Person for indirect, special, incidental, consequential or punitive damages (as opposed to direct or actual damages). Section 9.3 No Waiver; Cumulative Remedies.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32"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897275.26-LACSR02A - MSW exercise of any other right, remedy, power or privilege. The rights, remedies, powers and privileges herein provided are cumulative and not exclusive of any rights, remedies, powers and privileges provided by law. Section 9.4 Survival of Representations and Warranties.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 Section 9.5 Payment of Expenses; Indemnification. (a) The Borrower agrees (i) to pay or reimburse each Agent and each Arranger for all their reasonable and documented out-of-pocket costs and expenses incurred in connection with the syndication of the Term Loan Facility and the development, negotiation,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limited in the case of counsel fees to the reasonable and documented fees and disbursements of a single law firm as counsel to the Agents and the Arrangers and one local counsel to the Agents, taken as a whole, in any relevant jurisdiction and the charges of any Platform, (ii) to pay or reimburse the Agents for all their reasonable and documented out-of-pocket costs and expenses incurred in connection with the enforcement or preservation of any rights under this Agreement, the other Loan Documents and any other documents prepared in connection herewith or therewith, including documentary taxes associated with the Term Loan Facility and all costs and expenses incurred during any legal proceeding, including any proceeding under any Bankruptcy Laws, limited in the case of counsel fees to the reasonable and documented fees and disbursements of a single law firm as counsel to the Agents taken as a whole, and one local counsel to the Agents taken as a whole in any relevant material jurisdiction (or, with respect to enforcement, any relevant jurisdiction) and, if a conflict exists among such Persons, one additional primary counsel and, if necessary or advisable, one local counsel in each relevant jurisdiction but excluding, in each case, Taxes except to the extent such Taxes (A) represent liabilities, obligations, penalties, demands, actions, losses, claims or damages arising from a non-Tax claim, (B) constitute Non-Excluded Taxes or (C) are otherwise indemnifiable Taxes under the Loan Documents, (iii) to pay, indemnify, or reimburse the Agents for; and hold the Agent harmless from, any and all reasonable and documented recording and filing fees,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(iv) to pay, indemnify or reimburse each Lender, each Agent, the Arrangers, and their respective affiliates, and their respective officers, directors, members, partners, employees, advisors, agents, controlling persons and other representatives (each, an “Indemnitee”) for, and hold each Indemnitee harmless from and against any and all other liabilities, obligations, losses, damages, penalties, claims (including Environmental Claims), actions, judgments, suits, costs, expenses or disbursements of any kind or nature whatsoever (limited to, in the case of counsel, the reasonable and documented fees and disbursements of a single law firm as counsel to the Indemnitees taken as a whole and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(B) any Loan or the use or proposed use of the proceeds thereof, (C) any actual or alleged presence or Release of Hazardous Materials on, at, under or from any property owned, occupied or operated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33"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 897275.26-LACSR02A - MSW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(all the foregoing in this clause (iv), collectively, the “Indemnified Liabilities”), but excluding, in each case, Taxes other than any Taxes that (A) represent liabilities, obligations, penalties, demands, actions, losses, claims, prepayments, suits, costs, expenses, disbursements or damages arising from a non-Tax claim, (B) constitute Non-Excluded Taxes, or (C) are otherwise indemnifiable Taxes under the Loan Documents; provided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an Agent or the Arranger. No Indemnitee shall be liable for any damages arising from the use by unauthorized persons of information or other materials sent through electronic, telecommunications or other information transmission systems. No Indemnitee shall assert against any Loan Party and no Loan Party shall assert against any Indemnitee, and each Indemnitee and each Loan Party hereby waives, any special, punitive, indirect or consequential or exemplary damages relating to this Agreement or any other Loan Document or arising out of its activities in connection herewith or therewith (whether before or after the Closing Date) provided that nothing contained in this sentence shall limit any Indemnitee’s indemnification and reimbursement obligations to the extent such special, indirect, consequential or punitive damages are included in any third party claim with respect to which such Indemnified Party is entitled to indemnification hereunder.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All amounts due under this Section 9.5 shall be payable not later than 30 days after written demand therefor (with backup documentation supporting such indemnity request). Statements payable by the Borrower pursuant to this Section 9.5 shall be submitted to the Borrower at the address of the Borrower set forth in Section 9.2, or to such other Person or address as may be hereafter designated by the Borrower in a notice to the Administrative Agent. ‘Related Parties’ as used in this clause (a) shall only refer to the Related Parties of an Indemnitee to the extent the Indemnitee is not a natural person. The agreements in this Section 9.5 shall survive the termination of the Commitments and repayment of the Loans and all other amounts payable hereunder. (b) Without duplication of Section 2.17(d) or clause (a) above, Borrower agrees (i) to hold each Lender and each Agent harmless from, any and all reasonable and documented recording and filing fees and any and all reasonable liability with respect to, or from, resulting in any delays in paying Other Taxes, if any, which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hold each Indemnitee harmless from and against any and all other liabilities, obligations, losses, damages, penalties, claims (including Environmental Claims), actions, judgments, suits, and reasonable and documented costs, expenses or disbursements of any kind or nature whatsoever (limited to, in the case of counsel, the reasonable and documented fees and disbursements of a single law firm as counsel to the Indemnitees taken as a whole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34"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897275.26-LACSR02A - MSW one local counsel to the Indemnitees taken as a whole in any relevant jurisdiction and, if a conflict exists among such Persons, one additional primary counsel and, if necessary or advisable, one local counsel (plus if applicable, any additional counsel in the event of a conflict) in each relevant jurisdiction) whether direct, indirect, special or consequential, incurred by an Indemnitee or asserted against any Indemnitee arising out of, in connection with, or as a result of (A) the execution, enforcement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 (B) any Loan or the use or proposed use of the proceeds thereof, (C) any actual or alleged presence or Release of Hazardous Materials on, at, under or from any property owned, occupied or operated by the Borrower or any of its Subsidiaries, or any liability under any Environmental Law related in any way to the Borrower or any of its Subsidiaries or any of their respective properties, or (D) any actual or prospective claim, litigation, investigation or proceeding relating to any of the foregoing, whether based on contract, tort or any other theory, whether brought by any third party or by the Borrower or any other Loan Party or their respective equity holders, affiliates creditors or security holders, and regardless of whether any Indemnitee is a party thereto, but excluding, in each case of this clause (ii), Taxes other than any Taxes that (A) represent liabilities, losses, obligations, penalties, demands, actions, prepayments, suits, costs, expenses, disbursements, claims or damages arising from a non-Tax claim; (B) constitute Non-Excluded Taxes under the Loan Documents, or (C) are otherwise indemnifiable Taxes under the Loan Documents; provided that the Borrower shall have no obligation hereunder to any Indemnitee with respect to Indemnified Liabilities to the extent such Indemnified Liabilities (x) are found by a final and nonappealable decision of a court of competent jurisdiction to have resulted from the gross negligence, bad faith, willful misconduct or material breach of its obligations under this Agreement of such Indemnitee or any of its Related Parties or (y) resulted from any dispute that does not involve an act or omission by the Borrower or any of its affiliates, shareholders, partners or other equity holders and that is brought by an Indemnitee or any of its Related Parties against another Indemnitee or any of its Related Parties other than any claims against an Indemnitee in its capacity or in fulfilling its role as the Administrative Agent, the Collateral Agent or Arranger. (c) Reimbursement by Lenders. To the extent that the Borrower for any reason fails to indefeasibly pay any amount required under subsection (a) of this Section 9.5 to be paid by it to any Agent (or any sub-agent thereof) or any Related Party of any of the foregoing, each Lender severally agrees to pay to such Agent (or any such sub-agent)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(or any such sub-agent) in its capacity as such, or against any Related Party of any of the foregoing acting for such Agent (or any such sub-agent) in connection with such capacity. Section 9.6 Successors and Assigns; Participations and Assignments. (a) This Agreement shall be binding upon and inure to the benefit of the Borrower, the Lenders, the Administrative Agent, the Collateral Agent, the Arranger, all future holders of the Loans and their respective successors and assigns, except that no Loan Party may assign or transfer any of their rights or obligations under this Agreement without the prior written consent of the Administrative Agent and each Lender, and no Lender may assign or otherwise transfer any of its rights or obligations hereunder except as described in this Section 9.6. (b) Any Lender may, without the consent of the Borrower, in accordance with applicable Law, at any time sell to one or more banks, financial institutions or other entities (each, a “Participant”) participating interests in any Loan owing to such Lender or any other interest of such Lender hereunder and under the other Loan Documents; provided, however, that no Lender shall be permitted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35"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 897275.26-LACSR02A - MSW sell any such participating interest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or (iv) any natural person (or a holding company, investment vehicle or trust for, or owned and operated by or for the primary benefit of a natural person).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require the consent of all Lenders pursuant to Section 9.1. The Borrower agrees that if amounts outstanding under this Agreement and the Loans are due or unpaid,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Section 2.14 as fully as if such Participant were a Lender hereunder. The Borrower also agrees that each Participant shall be entitled through the Lender granting the participation to the benefits of Sections 2.15, 2.16 or 2.17 (subject to the requirements and limitations of such Sections, Section 2.18 and 2.19, including the requirements of Section 2.17(f) and (g) (it being agreed that any required forms shall be provided solely to the participating Lender)) with respect to its participation in the Commitments and the Loans outstanding from time to time as if such Participant were a Lender; provided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that entitlement to a greater amount results from a Change in Law that occurs after such Participant acquires the applicable participation, unless such transfer was made with the Borrower’s prior written consent (which consent shall not be unreasonably withheld or delayed). Each Lender that sells a participation shall, acting solely for this purpose as an agent of the Borrower, maintain a register on which it enters the name and address of each Participant and the principal and stated interest amounts of each Participant’s interest in the Loans held by it (the “Participant Register”). The entries in the Participant Register shall be conclusive, absent manifest error, and such Lender shall treat each person whose name is recorded in the Participant Register as the owner of the participation in question for all purposes of this Agreement, notwithstanding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(c) Any Lender (an “Assignor”) may, in accordance with applicable Law and the written consent of the Administrative Agent (which shall not be unreasonably withheld or delayed) and, so long as no Event of Default under Section 7.1(a)(1), (7) or (8) has occurred and is continuing, the Borrower (such consent not to be unreasonably withheld, conditioned or delayed and provided that the Borrower shall be deemed to have consented unless the Borrower shall have objected thereto within ten (10) Business Days after having received written notice thereof), at any time and from time to time assign to any Lender or any affiliate, Related Fund or Control Investment Affiliate thereof, or to an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36"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897275.26-LACSR02A - MSW bank, financial institution or other entity (an “Assignee”) all or any part of its rights and obligations under this Agreement pursuant to an Assignment and Acceptance executed by such Assignee and such Assignor and delivered to the Administrative Agent for its acceptance and recording in the Register; provided that assignments made to any Lender, an affiliate of a Lender or a Related Fund will not be subject to the above described consents of the Administrative Agent or the Borrower provided, further, that no assignment to an Assignee (other than any Lender or any affiliate thereof) of Commitments shall be in an aggregate principal amount of less than $1,000,000 (other than in the case of an assignment of all of a Lender’s interests in the Term Loan Facility under this Agreement) and, after giving effect thereto, the assigning Lender (if it shall retain any Commitment) shall have a Commitment of at least $1,000,000 unless otherwise agreed by the Administrative Agent and the Borrower; provided, however, no Lender shall be permitted to assign all or any part of its rights and obligations under this Agreement to (i) any of the Permitted Holders (other than Permitted Holders described in clause (b) of the definition thereof) or any of their respective Affiliates or any of their respective associated investment funds, (ii) any Person that is a Defaulting Lender or a Disqualified Institution, (iii) the Borrower or any of its Subsidiaries or (iv) any natural person (or a holding company, investment vehicle or trust for, or owned and operated by or for the primary benefit of a natural person). Upon such execution, delivery, acceptance and recording in the Register,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of the interest assigned in such Assignment and Acceptance, be released from its obligations under this Agreement (and, in the case of an Assignment and Acceptance covering all of an Assignor’s rights and obligations under this Agreement, such Assignor shall cease to be a party hereto, except as to Sections 2.16, 2.17 and 9.5 in respect of the period prior to such effective date). For purposes of the minimum assignment amounts set forth in this paragraph, multiple assignments by two or more Related Funds shall be aggregated. (d) Any designation of a Disqualified Institution (x) shall not have retroactive effect to disqualify an entity in respect of any prior assignment, participation, executed trade with respect to the foregoing that has not yet settled or executed commitment advice letter, in respect of any Lender or potential Lender permitted hereunder at the time of such assignment, participation, executed trade or commitment advice letter and (y) shall not take effect until one (1) Business Day after written notice to the Administrative Agent. The Administrative Agent shall not be responsible for monitoring compliance with the Disqualified Institution list and shall have no liability for non-compliance by any Lender. (e) Upon its receipt of an Assignment and Acceptance executed by an Assignor and an Assignee (and, in any case where the consent of any other Person is required by Section 9.6(c), by each such other Person) together with payment to the Administrative Agent of a registration and processing fee of $3,500 (provided, however, that (i) Administrative Agent may, in its sole discretion, elect to waive such processing and recordation fee in the case of any assignment and (ii) no such fee shall be required to be paid in the case of an Assignee which is already a Lender or any affiliate, Related Fund or Control Investment Affiliate thereof), the Administrative Agent shall (A) promptly accept such Assignment and Acceptance and (B) on the effective date determined pursuant thereto record the information contained therein in the Register and give notice of such acceptance and recordation to the Borrower. On or prior to such effective date, the Borrower, at its own expense, upon request, shall execute and deliver to the Administrative Agent (in exchange for the applicable Loan Notes of the assigning Lender) a new Loan Note to such Assignee in an amount equal to the Commitment assumed or acquired by it pursuant to such Assignment and Acceptance and, if the Assignor has retained a Commitment, upon request, a new Loan Note to the Assignor in an amount equal to the Commitment retained by it hereunder. Such new Loan Note or Loan Notes shall otherwise be in the form of the Loan Note or Loan Notes replaced thereby. (f)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37"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897275.26-LACSR02A - MSW (g) [Reserved]. (h) [Reserved]. (i) [Reserved]. (j) [Reserved]. (k) [Reserved]. (l) [Reserved]. (m) [Reserved]. (n) For avoidance of doubt, the parties to this Agreement acknowledge that the provisions of this Section 9.6 concerning assignments of Loans and Loan Notes relate only to absolute assignments and that such provisions do not prohibit assignments creating security interests in Loans and Loan Notes, including any pledge or assignment by a Lender of any Loan or Loan Note to any Federal Reserve Bank in accordance with applicable Law. (o) Notwithstanding anything to the contrary contained herein, any Lender (a “Granting Lender”) may grant to a special purpose funding vehicle (an “SPC”),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provided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Each party hereto also agrees that each SPC shall be entitled to the benefits of Sections 2.15, 2.16 or 2.17 (subject to the requirements and limitations of such Sections, Section 2.18 and 2.19, including the requirements of Section 2.17(f) and (g) (it being agreed that any required forms shall be provided solely to the Granting Lender)) with respect to its granted interest in the Commitments and the Loans outstanding from time to time as if such SPC were a Lender; provided that no SPC shall be entitled to receive any greater amount pursuant to any such Section than the Granting Lender would have been entitled to receive in respect of the amount of the interest granted by such Granting Lender to such SPC had no such grant occurred, except to the extent that entitlement to a greater amount results from a Change in Law that occurs after such interest was granted, unless such transfer was made with the Borrower’s prior written consent (which consent shall not be unreasonably withheld or delayed). In addition, notwithstanding anything to the contrary in this Section 9.6(o), any SPC may (A) with notice to, but without the prior written consent of, the Borrower and the Administrative Agent and with the payment of a processing fee in the amount of $3,500 (which processing fee may be waived by the Administrative Agent in its sole discretion), assign all or a portion of its interests in any Loans to the Granting Lender, or with the prior written consent of the Borrower and the Administrative Agent (which consent shall not be unreasonably withheld) and with the payment of a processing fee in the amount of $3,500 (which processing fee may be waived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38"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897275.26-LACSR02A - MSW in its sole discretion)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provided that non-public information with respect to the Borrower or its Affiliates may be disclosed only with the Borrower’s consent which will not be unreasonably withheld. This Section 9.6(o) may not be amended without the written consent of any SPC with Commitments outstanding at the time of such proposed amendment. To the extent an SPC provides a Loan, the applicable Granting Lender shall, acting solely for this purpose as an agent of the Borrower, maintain a register on which it enters the name and address of each SPC and the principal and stated interest amounts of each SPC’s interest in the Loans held by it (the “SPC Register”). The entries in the SPC Register shall be conclusive, absent manifest error, and such Granting Lender shall treat each person whose name is recorded in the SPC Register as the owner of the participation in question for all purposes of this Agreement, notwithstanding notice to the contrary. No Granting Lender shall have any obligation to disclose all or any portion of a SPC Register (including the identity of any SPC or any information relating to a SPC’s interest in any commitments, loans, letters of credit or its other obligations under any Loan Document) to any Person except to the extent such disclosure is necessary to establish that such commitment, loan, letter of credit or other obligation is in registered form under Section 5f.103-1(c) of the United States Treasury Regulations. Section 9.7 Set-off (a) In addition to any rights and remedies of the Lenders provided by law, upon the occurrence and during the continuation of any Event of Default,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provided that the failure to give such notice shall not affect the validity of such setoff and application. Section 9.8 Counterparts. (a)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 (b) 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39"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 897275.26-LACSR02A - MSW Transactions Act; provided that nothing herein shall require the Administrative Agent to accept electronic signatures in any form or format without its prior written consent. Section 9.9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Section 9.10 Integration. This Agreement and the other Loan Documents, represent the entire agreement of the Borrower, the Administrative Agent, the Collateral Agent and the Lenders with respect to the subject matter hereof and thereof, and there are no promises, undertakings, representations or warranties by the Administrative Agent, the Collateral Agent or any Lender relative to the subject matter hereof not expressly set forth or referred to herein or in the other Loan Documents. Section 9.11 GOVERNING LAW. THIS AGREEMENT AND THE RIGHTS AND OBLIGATIONS OF THE PARTIES UNDER THIS AGREEMENT SHALL BE GOVERNED BY, AND CONSTRUED AND INTERPRETED IN ACCORDANCE WITH, THE LAW OF THE STATE OF NEW YORK. Section 9.12 Submission To Jurisdiction; Waivers. Each party hereto hereby irrevocably and unconditionally: (a)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of America for the Southern District of New York, in each case, in the County of New York, Borough of Manhattan, and appellate courts from any thereof; (b)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(c) agrees that service of process in any such action or proceeding may be effected by mailing a copy thereof by registered or certified mail (or any substantially similar form of mail), postage prepaid, to its address set forth in Section 9.2 or at such other address of which the Administrative Agent (or in the case of the Administrative Agent, the other parties hereto) shall have been notified pursuant thereto; (d) agrees that the Agents and the Lenders retain the right to bring proceedings against any Loan Party in the courts of any other jurisdiction in connection with the exercise of any rights under any Security Document or the enforcement of any judgment; (e) agrees that nothing herein shall affect the right to effect service of process in any other manner permitted by law; and (f) waives, to the maximum extent not prohibited by law, any right it may have to claim or recover in any legal action or proceeding referred to in this Section 9.12 any special, exemplary, punitive or consequential damages.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40"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897275.26-LACSR02A - MSW Section 9.13 Acknowledgments. 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Agents and the Arranger are arm’s-length commercial transactions between the Borrower and its Affiliates, on the one hand, and the Agents and the Arranger, on the other hand, (ii) each of the Borrower and each other Loan Party has consulted its own legal, accounting, regulatory and tax advisors to the extent it has deemed appropriate, and (iii) each of the Borrower and each other Loan Party is capable of evaluating, and understands and accepts, the terms, risks and conditions of the transactions contemplated hereby and by the other Loan Documents; (b)(i) each of the Agents and the Arranger are and have been acting solely as a principal and, except as expressly agreed in writing by the relevant parties, has not been, is not, and will not be acting as an advisor, agent or fiduciary for the Borrower or any of its Affiliates, or any other Person and (ii) none of the Agents nor the Arranger has any obligation to the Borrower or any of its Affiliates with respect to the transactions contemplated hereby except those obligations expressly set forth herein and in the other Loan Documents; (c) the Agents and the Arranger and their respective Affiliates may be engaged in a broad range of transactions that involve interests that differ from those of the Borrower and its Affiliates, and none of the Agents nor the Arranger has any obligation to disclose any of such interests to the Borrower or any of its Affiliates; and (d) each of the Agents and the Arranger (i) is a full service securities or banking firm engaged in securities trading and brokerage activities as well as providing investment banking and other financial services, (ii) in the ordinary course of business,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and (iii) with respect to any securities and/or financial instruments so held by the Agents or the Arranger or any of their respective customers, all rights in respect of such securities and financial instruments, including any voting rights, will be exercised by the holder of the rights, in its sole discretion. To the fullest extent permitted by law, each of the Borrower and each other Loan Party hereby agrees not to assert any claim that any Agent or Arranger owes it any agency, fiduciary or similar duty and agrees no such duty is owed in connection with any aspect of any transaction contemplated hereby. Section 9.14 Confidentiality. Each of Agents and the Lenders agrees to keep confidential all non-public information provided to it by any Loan Party pursuant to this Agreement (“Information”); provided that nothing herein shall prevent any Agent, any Lender from disclosing any such information (a) to any Agent, any other Lender or any affiliate of any thereof, (b) to any Participant or Assignee (each, a “Transferee”) or prospective Transferee that agrees to comply with the provisions of this Section 9.14 or substantially equivalent provisions, (c) to any of its or its affiliates’ employees, directors, agents, attorneys, accountants, other professional advisors and service providers, it being understood and agreed that the Persons to whom such disclosure is made will be informed of the confidential nature of such Information and instructed to keep such Information confidential, (d) to any financial institution that is a direct or indirect contractual counterparty or potential counterparty in swap agreements with the Borrower or any Subsidiary of the Borrower or such contractual counterparty’s or potential counterparty’s professional advisor (so long as such actual or potential contractual counterparty or professional advisor to such actual or potential contractual counterparty agrees to be bound by the provisions of this Section or substantially equivalent provisions), (e) upon the request or demand of any Governmental Authority having jurisdiction over it, (f) to the extent required in response to any order of any court or other Governmental Authority or to the extent otherwise required pursuant to any Requirement of Law, (g) in connection with any litigation or similar proceeding, (h) that has been publicly disclosed other than in breach of this Section 9.14, (i) to the National Association of Insurance Commissioners or any similar organization or any nationally recognized rating agency that requires access to information about a Lender’s investment portfolio in connection with ratings issued with respect to such Lender, (j) to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41"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 897275.26-LACSR02A - MSW party hereto, (k) with the consent of the Borrower or (l) in connection with the exercise of any remedy hereunder or under any other Loan Document; provided that, in the event a Lender receives a summons or subpoena to disclose confidential information to any party, such Lender shall, if legally permitted and practicable, endeavor to notify the Borrower thereof as soon as possible after receipt of such request, summons or subpoena and to afford the Loan Parties an opportunity to seek protective orders, or such other confidential treatment of such disclosed information, as the Loan Parties may deem reasonable. In addition, the Agents and the lenders may disclose the existence of this Agreement and information with respect thereto to market data collectors, such as league table, or other similar service providers to the lending industry. Any Person required to maintain the confidentiality of Information as provided in this Section 9.14 shall be considered to have complied with its obligation to do so if such Person has exercised the same degree of care to maintain the confidentiality of such Information as such Person would accord to its own confidential information. Section 9.15 [Reserved.] Section 9.16 WAIVERS OF JURY TRIAL. EACH LOAN PARTY, THE AGENTS AND THE LENDERS HEREBY IRREVOCABLY AND UNCONDITIONALLY WAIVE TRIAL BY JURY IN ANY LEGAL ACTION OR PROCEEDING RELATING TO THIS AGREEMENT OR ANY OTHER LOAN DOCUMENT AND FOR ANY COUNTERCLAIM THEREIN. Section 9.17 Conversion of Currencies.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(b) The obligations of the Borrower in respect of any sum due to any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9.17 shall survive the termination of this Agreement and the payment of all other amounts owing hereunder. Section 9.18 USA PATRIOT ACT. Each Lender that is subject to the PATRIOT Act and each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Agents, as applicable, to identify each Loan Party in accordance with the Patriot Act. The Borrower shall, promptly following a request by any Agent or any Lender, provide all documentation and other information that such Agent or such Lender requests in order to comply with its ongoing obligations under applicable “know your customer” and anti-money laundering rules and regulations, including the PATRIOT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42"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897275.26-LACSR02A - MSW Section 9.19 Payments Set Aside.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Bankruptcy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Agents upon demand its applicable share (without duplication) of any amount so recovered from or repaid by the Agents,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 Section 9.20 Releases of Collateral and Guarantees. Each of the Lenders irrevocably authorizes the Collateral Agent to be the agent for and representative of the Lenders with respect to the Collateral and the Security Documents, and the Collateral Agent agrees that: (a) The Collateral Agent’s Lien on any Property granted to or held by the Collateral Agent under any Loan Document shall be automatically and fully released (i) upon satisfaction of the Termination Conditions, (ii) at the time the Property subject to such Lien is sold, transferred or otherwise disposed of (other than to any other Loan Party or other Person that would be required pursuant to any Security Document to grant a Lien on such Collateral to the Collateral Agent for the benefit of the Secured Parties after giving effect to such Disposition) as part of or in connection with any Disposition permitted hereunder or under any other Loan Document, (iii) if the Property subject to such Lien is owned by a Guarantor, upon the release of such Guarantor from its obligations under its Guarantee pursuant to clause (b) below, (iv) to the extent (and only for so long as) such property constitutes an Excluded Asset or (v) if approved, authorized or ratified in writing in accordance with Section 9.1. (b) The Guarantee of a Guarantor shall be automatically and unconditionally released, and no further action by such Guarantor or the Administrative Agent is required for the release of such Guarantor’s Guarantee under this Agreement or any other Loan Document, if: (i) in connection with any sale, exchange, transfer or other disposition of all or substantially all the assets of that Guarantor (including by way of merger, consolidation or dissolution) to a Person that is not the Borrower or a Guarantor, if the sale, exchange, transfer or other disposition does not violate this Agreement; (ii) in connection with any sale, transfer or other disposition of Capital Stock of that Guarantor to a Person that is not the Borrower or a Restricted Subsidiary and that results in such Guarantor ceasing to be a Restricted Subsidiary, if the sale, transfer or other disposition does not violate this Agreement; (iii) the Borrower designates any Restricted Subsidiary that is a Guarantor to be an Unrestricted Subsidiary in accordance with the provisions set forth under Section 6.1(c) and the definition of “Unrestricted Subsidiary” in this Agreement, or upon such Guarantor becoming (A) a Qualified Liquefaction Development Entity, (B) a Receivables Subsidiary, (C) an Immaterial Subsidiary, (D) a Captive Insurance Subsidiary, (E) a not-for-profit or special purpose Subsidiary, (F) an FLNG1 Subsidiary (as defined in the TLB Credit Agreement as of the date hereof) or (G) a Subsidiary with respect to which a guarantee would result in material adverse tax consequences, as reasonably determined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43"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 897275.26-LACSR02A - MSW by the Borrower, in each case in compliance with the applicable provisions of this Agreement; (iv) upon the merger, amalgamation, consolidation or winding up of such Guarantor with and into the Borrower or another Guarantor that is the surviving Person in such merger, amalgamation, consolidation or winding up, or upon the liquidation of such Guarantor; or (v) in accordance with the provisions of any Equal Priority Intercreditor Agreement. (c) In addition, any Lien on any Collateral may be subordinated to the holder of any Lien on such Collateral that is created, incurred, or assumed pursuant to clauses (c), (d), (e), (f), (g), (i), (j), (l), (m) (with respect to any assets subject to such Sale and Lease-Back Transaction), (n) (solely to the extent such Lien related to Indebtedness incurred under Section 6.3(b)(xiv)), (o) (other than any Lien on the Equity Interests of any Guarantor), (p), (r), (u) (to the extent the relevant Lien is of the type to which the Lien of the Collateral Agent is otherwise required or, if requested by the Borrower, permitted to be subordinated pursuant to any of the other exceptions included in this clause (c)), (w), (x), (y), (z)(i), (bb), (cc), (dd) (in the case of subclause (dd)(ii), to the extent the relevant Lien covers cash collateral posted to secure the relevant obligation), (ee), (ff), (gg), (hh), (ii), (jj), (kk), (ll), (oo), (rr) and/or (ss)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 (d) Notwithstanding anything to the contrary contained herein, (i) no Lien on any Property shall be released pursuant to clause (a) above unless any Lien on such Property securing the Secured Notes Obligations, any other Equal Priority Obligations and, if applicable, the Super Priority Obligations, is also being released substantially concurrently, (ii) no Guarantor shall be released pursuant to clause (b) above unless such Guarantor is also released substantially concurrently from any guarantee obligations of the Secured Notes Obligations, any other Equal Priority Obligations and, if applicable, the Super Priority Obligations, and (ii) no Lien on any Collateral shall be subordinated pursuant to clause (c) above unless any Lien on such Collateral securing the Secured Notes Obligations, any other Equal Priority Obligations and, if applicable, the Super Priority Obligations, is also being subordinated by the holders of such obligations substantially concurrently. (e) On the date that the Termination Conditions are satisfied, the Collateral shall be released from the Liens created by the Security Documents, and the Security Documents and all obligations (other than those expressly stated to survive such termination) of the Collateral Agent and each Loan Party under the Security Documents shall terminate, all without the need to deliver any instrument or performance of any act by any Person. (f) It will promptly execute, authorize or file such documentation as may be reasonably requested by any Loan Party to release, or evidence the release (in registrable form, if applicable), its Liens with respect to any Collateral or the guarantee obligations of any Guarantor as set forth in this Section 9.20; provided that the foregoing shall be at the Borrower’s expense and in form and substance reasonably satisfactory to the Collateral Agent. Section 9.21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44" descr=""/>
                    <pic:cNvPicPr>
                      <a:picLocks noChangeAspect="1" noChangeArrowheads="1"/>
                    </pic:cNvPicPr>
                  </pic:nvPicPr>
                  <pic:blipFill>
                    <a:blip r:embed="rId2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897275.26-LACSR02A - MSW unsecured, may be subject to the Write-Down and Conversion Powers of an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applicable Resolution Authority. Section 9.22 [Reserved]. Section 9.23 Intercreditor Agreement. This Agreement is subject to the terms and provisions of the Equal Priority Intercreditor Agreement. In the event of a conflict between the terms hereof and the terms of the Equal Priority Intercreditor Agreement, the terms of the Equal Priority Intercreditor Agreement shall govern and control. Section 9.24 No Fiduciary Duty. 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 Section 9.25 Interest Rate Limitation. Notwithstanding anything herein to the contrary, if at any time the applicable interest rate, together with all fees and charges that are treated as interest under applicable law, as provided for herein or in any other document executed in connection herewith, or otherwise contracted for, charged, received, taken or reserved by any Lender, shall exceed the maximum lawful rate (the “Maximum Rate”) that may be contracted for, charged, taken, received or reserved by such Lender in accordance with applicable law, the rate of interest payable hereunder, together with all fees and charges that are treated as interest under applicable law payable to such Lender, shall be limited to the Maximum Rate, provided, that such excess amount shall be paid to such Lender on subsequent payment dates to the extent not exceeding the legal limitation. Section 9.26 Net Short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45" descr=""/>
                    <pic:cNvPicPr>
                      <a:picLocks noChangeAspect="1" noChangeArrowheads="1"/>
                    </pic:cNvPicPr>
                  </pic:nvPicPr>
                  <pic:blipFill>
                    <a:blip r:embed="rId2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195 897275.26-LACSR02A - MSW (a) Notwithstanding anything to the contrary herein, in connection with any determination as to whether the requisite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any Lender that is a Regulated Bank)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other Loan Parties or any instrument issued or guaranteed by the Borrower or other Loan Parties shall not be deemed to create a short position with respect to the Loans and/or Commitments, so long as (x) such index is not created, designed, administered or requested by such Lender and (y) the Borrower and other Loan Parties and any instrument issued or guaranteed by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(x) a short position with respect to the Loans and/or Commitments if such Lender is a protection buyer or the equivalent thereof for such derivative transaction and (y) a long position with respect to the Loans and/or Commitments if such Lender is a protection seller or the equivalent thereof for such derivative transaction and, in each case, (1)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(2) the Loans or the Commitments would be a “Deliverable Obligation” under the terms of such derivative transaction or (3) the Borrower or other Loan Parties (or its successor) is designated as a “Reference Entity” under the terms of such derivative transactions, (v) credit derivative transactions or other derivatives transactions not documented using the ISDA CDS Definitions shall be deemed to create (x) a short position with respect to the Loans and/or Commitments if such transactions are functionally equivalent to a transaction that offers the Lender protection in respect of the Loans or the Commitments, or as to the credit quality of the Borrower or other Loan Parties and (y) a long position with respect to the Loans and/or Commitments if such transactions are functionally equivalent to a transaction pursuant to which the Lender provides protection in respect of the Loans or the Commitments, or as to the credit quality of the Borrower or other Loan Parties, other than, in each case, as part of an index so long as (1) such index is not created, designed, administered or requested by such Lender and (2) the Borrower and other Loan Parties and any instrument issued or guaranteed by the Borrower or other Loan Parties, collectively, shall represent less than 5% of the components of such index, (vi) any bond, loan or other credit instrument issued or guaranteed by the Borrower or other Loan Parties and held by the relevant Lender shall be deemed to create a long position equal to the outstanding principal balance in respect of such instrument, and (vii) any ownership interest in the equity of the Borrower or other Loan Parties held by the relevant Lender shall be deemed to create a long position equal to the higher of (x) the current market value and (y) the price at which the Lender purchased such equity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46" descr=""/>
                    <pic:cNvPicPr>
                      <a:picLocks noChangeAspect="1" noChangeArrowheads="1"/>
                    </pic:cNvPicPr>
                  </pic:nvPicPr>
                  <pic:blipFill>
                    <a:blip r:embed="rId2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897275.26-LACSR02A - MSW (b) In connection with any such determination, each Lender that is not a Regulated Bank shall promptly notify the Administrative Agent in writing that it is a Net Short Lender, or, in the absence of any such written notification to the Administrative Agent prior to the date of such determination,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 In no event shall the Administrative Agent be obligated to ascertain, monitor or inquire as to whether (x) any Lender is a Net Short Lender or (y) any prospective assignee pursuant to Section 9.6(a) is a Net Short Lender or have any liability in connection therewith. Section 9.27 Additional Borrowers. So long as no Event of Default has occurred and is continuing or would result therefrom, the Borrower may cause any direct or indirect Domestic Subsidiary or Foreign Subsidiary that is a Restricted Subsidiary of the Borrower to become a Borrower (provided that, in the case of any Additional Borrower that is a Foreign Subsidiary and not already a Guarantor of the Obligations (a) the Administrative Agent consents to such Foreign Subsidiary (it being understood that the Administrative Agent may decline to consent to a Foreign Subsidiary in its sole discretion including without limitation due to tax reasons applicable to itself or any Lender or any change in Guarantors and/or Collateral that may result from any such Foreign Subsidiary becoming an Additional Borrower), and (b) no Lender shall be obligated to make Loans to such Foreign Subsidiary in violation of such Lender’s internal policies or any applicable Laws applicable to such Lender) hereunder by (i) executing a joinder agreement to this Agreement, in form and substance satisfactory to the Administrative Agent (which, for the avoidance of doubt, will include the agreement that the obligations of the Borrower and the Additional Borrower will be joint and several), (ii) executing and delivering such documents described in Section 5.10 (without regard to time periods set forth therein), (iii) delivering an opinion of counsel to such Subsidiary addressed to the Administrative Agent and each Lender in form and substance reasonably satisfactory to the Administrative Agent, (iv) delivering a certificate from such Domestic Subsidiary of the type described in Section 4.01(f) in form and substance reasonably satisfactory to the Administrative Agent, (v) delivering good standing certificates (or equivalent evidence) and bring-down letters or facsimiles, if any, for such Domestic Subsidiary which the Administrative Agent reasonably may have requested, or, in the case of a Foreign Subsidiary, similar documents and certificates as may be reasonably requested in the jurisdiction of organization of such Person, (vi) agreeing to any related amendments to this Agreement or any other Loan Document, and (vii) (x) furnishing to the Administrative Agent and the Lenders all documentation and other information that they reasonably determine is required by United States regulatory authorities under applicable “know your customer” and anti-money laundering rules and regulations, including the Patriot Act, at least five Business Days prior to the effectiveness of the joinder of such Subsidiary, and (y) delivering, at least five (5) Business Days prior to the effectiveness of the joinder of such Subsidiary, for any Subsidiary that qualifies as a “legal entity customer” under the Beneficial Ownership Regulation, a Beneficial Ownership Certification in relation to such Subsidiary; provided that New Fortress Energy Inc., as a Borrower, shall not be released from any of its Obligations hereunder or any other Loan Documents, all of which shall be deemed affirmed and confirmed after giving effect to such designation. Section 9.28 Release of Additional Borrowers. If, in compliance with the terms and provisions of the Loan Documents, all of the Equity Interests of any Additional Borrower are sold or otherwise transferred to a Person or Persons none of which is (x) a Loan Party or (y) an Affiliate of Borrower (other than any sale or transfer to an Affiliate of Borrower for a bona fide business purpose of Borrower and its Restricted Subsidiaries (the primary purpose of which is not to evade the Guarantor requirements of the Loan Documents)) and the Borrower has delivered written notice to the Administrative Agent specifying in reasonable detail to such effect, and each other Borrower shall have confirmed and reaffirmed its continuing obligations with respect to the Loans and other Obligations of such Additional Borrower, after giving effect to such release then such Additional Borrower shall be automatically released from its obligations under this Agreement and all other Loan Documents (including its obligations to pledge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47" descr=""/>
                    <pic:cNvPicPr>
                      <a:picLocks noChangeAspect="1" noChangeArrowheads="1"/>
                    </pic:cNvPicPr>
                  </pic:nvPicPr>
                  <pic:blipFill>
                    <a:blip r:embed="rId2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897275.26-LACSR02A - MSW grant any Collateral owned by it pursuant to any Collateral Document) without further action by any person, and the Administrative Agent shall at the sole expense of the Borrowers execute and deliver without recourse, representation or warranty all releases or other documents as are reasonably requested by the Borrowers and necessary or desirable to effect and/or evidence such release, so long as the Borrowers shall have provided the Agents such certifications or documents as the Administrative Agent shall reasonably request in order to demonstrate compliance with this Agreement. Section 9.29 Acknowledgement Regarding Any Supported QFCs. To the extent that the Loan Documents provide support, through a guarantee or otherwise, for Swap Contracts or any other agreement or instrument that is a QFC (such support, “QFC Credit Support” and each such QFC a “Supported QFC”), the parties acknowledge and agree that, with respect to the resolution power of the Federal Deposit Insurance Corporation under the Federal Deposit Insurance Act and Title II of the Dodd- Frank Wall Street Reform and Consumer Protection Act (together with the regulations promulgated thereunder, the “U.S. Special Resolution Regimes”) in respect of such Supported QFC and QFC Credit Support (with the following provisions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SECTION 10.GUARANTEES. Subject to this Section 10, each of the Guarantors hereby, jointly and severally, fully and unconditionally guarantees, as primary obligor and not merely as surety, to the Collateral Agent for the benefit of the Secured Parties, irrespective of the validity and enforceability of this Agreement, the Loans or the Borrower Obligations, that: (a) the Borrower Obligations shall be promptly paid in full when due, whether at maturity, by acceleration, redemption or otherwise, and interest on the overdue principal of and interest on the Loans, if any, if lawful, and all other Borrower Obligations shall be promptly paid in full or performed, all in accordance with the terms hereof; and (b) in case of any extension of time of payment or renewal of any Loans or any of such other Borrower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 The Guarantors hereby agree that their obligations hereunder shall be unconditional, irrespective of the validity, regularity or enforceability of the Loan Documents, the absence of any action to enforce the same, any waiver or consent by the Administrative Agent with respect to any provisions hereof or thereof, the recovery of any judgment against the Borrower, any action to enforce the same or any other circumstance which might otherwise constitute a legal or equitable discharge or defense of a guarantor.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48" descr=""/>
                    <pic:cNvPicPr>
                      <a:picLocks noChangeAspect="1" noChangeArrowheads="1"/>
                    </pic:cNvPicPr>
                  </pic:nvPicPr>
                  <pic:blipFill>
                    <a:blip r:embed="rId2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897275.26-LACSR02A - MSW Each Guarantor hereby waives (to the extent permitted by law) diligence, presentment, demand of payment, filing of claims with a court in the event of insolvency or bankruptcy of the Borrower, any right to require a proceeding first against the Borrower, protest, notice and all demands whatsoever and covenants that this Guarantee shall not be discharged except pursuant to Section 9.20, and any rights of orden and excusión it may have by virtue of law or otherwise, as provided in Articles 2812 (two thousand eight hundred and twelve), 2814 (two thousand eight hundred and fourteen) and 2816 (two thousand eight hundred and sixteen) of the Mexican Federal Civil Code, and its relative articles of the civil code of any state of Mexico. This Section 10 shall continue to be effective or be reinstated, as the case may be, if at any time any payment of any of the Obligations is rescinded or must otherwise be returned by Secured Parties or any other Person upon the insolvency, bankruptcy or reorganization of the Borrower or otherwise, all as though such payment had not been made. Each Guarantee shall remain in full force and effect and continue to be effective should any petition be filed by or against the Borrower for liquidation or reorganization, should the Borrower become insolvent or make an assignment for the benefit of creditors or should a receiver or trustee be appointed for all or any significant part of the Borrower’s assets, and shall, to the fullest extent permitted by law, continue to be effective or be reinstated, as the case may be, if at any time payment and performance of the Obligations are, pursuant to applicable law, rescinded or reduced in amount, or must otherwise be restored or returned by any obligee on the Obligations, whether as a “voidable preference”, “fraudulent transfer” or otherwise, all as though such payment or performance had not been made. In the event that any payment, or any part thereof, is rescinded, reduced, restored or returned, the Obligations shall, to the fullest extent permitted by law, be reinstated and deemed reduced only by such amount paid and not so rescinded, reduced, restored or returned. In case any provision of this Guarantee shall be invalid, illegal or unenforceable, the validity, legality, and enforceability of the remaining provisions shall not in any way be affected or impaired thereby. This Guarantee issued by any Guarantor shall be a general senior obligation of such Guarantor and shall be equal in right of payment with all existing and future Senior Indebtedness of such Guarantor, including the 2025 Note Guarantees, the 2026 Note Guarantees and the 2029 Note Guarantees of such Guarantor. Each payment to be made by a Guarantor in respect of its Guarantee shall be made without set-off, counterclaim, reduction or diminution of any kind or nature. Each Guarantor, the Administrative Agent and each Lender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Administrative Agent, each Lender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Section 10, result in the obligations of such Guarantor under its Guarantee not constituting unlawful financial assistance, a fraudulent conveyance or fraudulent transfer under applicable law. Each Guarantor that makes a payment under its Guarantee shall be entitled upon payment in full of all guaranteed Obligations under this Agreement to a contribution from each other Guarantor in an amount equal to such other Guarantor’s pro rata portion of such payment based on the respective net assets of all the Guarantors at the time of such payment determined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49" descr=""/>
                    <pic:cNvPicPr>
                      <a:picLocks noChangeAspect="1" noChangeArrowheads="1"/>
                    </pic:cNvPicPr>
                  </pic:nvPicPr>
                  <pic:blipFill>
                    <a:blip r:embed="rId3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 897275.26-LACSR02A - MSW Any Guarantee of a Guarantor incorporated under the laws of England and Wales shall not apply to the extent that it would result in such Guarantee constituting unlawful financial assistance within the meaning of sections 678 or 679 of the Companies Act 2006. Any Guarantee of a Guarantor incorporated under the laws of Ireland shall not apply to the extent that it would result in such Guarantee constituting financial assistance as prohibited by section 82 of the Irish Companies Act 2014. No Guarantor will exercise any rights that it may now or hereafter acquire against any Loan Party or any other guarantor that arise from the existence, payment, performance or enforcement of such Guarantor’s obligations under this Section 10,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the Termination Conditions have been satisfied. If any amount shall be paid to any Guarantor in violation of the immediately preceding sentence at any time prior to the later of the date the Termination Conditions are satisfied and the Maturity Date, such amount shall be held in trust for the benefit of the Secured Parties and shall forthwith be paid to the Secured Parties to be credited and applied to the Obligations and all other amounts payable under this Section 10, whether matured or unmatured, in accordance with the terms of this Agreement, or to be held as Collateral for any Obligations or other amounts payable under this Section 10 thereafter arising. If (i) any Guarantor shall make payment to the Secured Parties of all or any part of the Obligations, (ii) the Termination Conditions have been satisfied and (iii) the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Obligations resulting from such payment by such Guarantor. For purposes of this Section 10, each Guarantor incorporated or formed under the laws of Mexico (each a “Mexican Guarantor”), specifically for the purpose of receiving legal and/or judicial service of process in the United States of America in connection with this Section 10, independently from the Lenders’ right to make and deliver services of process to the Mexican Guarantors in any other way or form which is legally valid, hereby designates the following agent and attorney-in-fact for such purposes in the United States of America (the “Mexican Process Agent”): NFE Management LLC The Corporation Trust Company, Corporation Trust Center, 1209 Orange Street, Wilmington, New Castle County, Delaware 19801 United States of America Each Mexican Guarantor represents and warrants to the Lenders that on the date on which such entity joins this Agreement as a Guarantor (each, an “Accession Date”), it has received evidence of the acceptance by the Mexican Process Agent of its appointment as such by the Mexican Guarantors. Additionally, each Mexican Guarantor covenants and agrees that it will take all necessary and appropriate action in order to grant in favor of the Mexican Process Agent, and within the fifteen (15) calendar days immediately following the applicable Accession Date, a document of authority or power of attorney granted by each Mexican Guarantor in favor of the Mexican Process Agent in full compliance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50" descr=""/>
                    <pic:cNvPicPr>
                      <a:picLocks noChangeAspect="1" noChangeArrowheads="1"/>
                    </pic:cNvPicPr>
                  </pic:nvPicPr>
                  <pic:blipFill>
                    <a:blip r:embed="rId3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897275.26-LACSR02A - MSW Mexican law and duly formalized for its validity in Mexico, through such corporate actions as may be required by each Mexican Guarantor’s incorporation documents and bylaws in order to fully and duly formalize the designation of the Mexican Process Agent as each Mexican Guarantor’s agent for service of process in the United States of America in accordance with Mexican law. Each Mexican Guarantor hereby agrees to provide a copy of the formalization of the designation of the Mexican Process Agent within the twenty-five (25) Business Day immediately following the Accession Date of such Mexican Guarantor.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51" descr=""/>
                    <pic:cNvPicPr>
                      <a:picLocks noChangeAspect="1" noChangeArrowheads="1"/>
                    </pic:cNvPicPr>
                  </pic:nvPicPr>
                  <pic:blipFill>
                    <a:blip r:embed="rId3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IN WITNESS WHEREOF, the parties hereto have caused this Agreement to be duly executed and delivered by their proper and duly authorized officers as of the day and year first above written. NEW FORTRESS ENERGY INC., as the Borrower By: /s/Christopher S. Guinta Name: Christopher S. Guinta Title: Chief Financial Officer NEW FORTRESS INTERMEDIATE LLC By: /s/Christopher S. Guinta Name: Christopher S. Guinta Title: Chief Financial Officer NFE ATLANTIC HOLDINGS LLC By: /s/Christopher S. Guinta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52" descr=""/>
                    <pic:cNvPicPr>
                      <a:picLocks noChangeAspect="1" noChangeArrowheads="1"/>
                    </pic:cNvPicPr>
                  </pic:nvPicPr>
                  <pic:blipFill>
                    <a:blip r:embed="rId3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AMERICAN ENERGY LOGISTICS SOLUTIONS LLC ATLANTIC ENERGY HOLDINGS LLC BRADFORD COUNTY DEVELOPMENT HOLDINGS LLC BRADFORD COUNTY GPF HOLDINGS LLC BRADFORD COUNTY GPF PARTNERS LLC BRADFORD COUNTY POWER HOLDINGS LLC BRADFORD COUNTY POWER PARTNERS LLC BRADFORD COUNTY TRANSPORT HOLDINGS LLC BRADFORD COUNTY TRANSPORT PARTNERS LLC ISLAND LNG LLC LA DEVELOPMENT HOLDINGS LLC LA REAL ESTATE HOLDINGS LLC LA REAL ESTATE PARTNERS LLC LNG HOLDINGS LLC NFE FLNG 2 LLC NEW FORTRESS ENERGY MARKETING LLC NEW FORTRESS ENERGY HOLDINGS LLC NFE ANDROMEDA CHARTERING LLC NFE ANGOLA HOLDINGS LLC NFE BCS HOLDINGS (A) LLC NFE BCS HOLDINGS (B) LLC NFE EQUIPMENT HOLDINGS LLC NFE EQUIPMENT PARTNERS LLC NFE GHANA HOLDINGS LLC NFE GHANA PARTNERS LLC NFE GLOBAL SHIPPING LLC NFE GRAND SHIPPING LLC NFE HONDURAS HOLDINGS LLC NFE INTERNATIONAL LLC NFE INTERNATIONAL SHIPPING LLC NFE ISO HOLDINGS LLC NFE ISO PARTNERS LLC NFE JAMAICA GP LLC NFE LOGISTICS HOLDINGS LLC NFE MANAGEMENT LLC NFE NICARAGUA DEVELOPMENT PARTNERS LLC NFE NICARAGUA HOLDINGS LLC By: /s/Christopher S. Guinta _________________________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9"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53" descr=""/>
                    <pic:cNvPicPr>
                      <a:picLocks noChangeAspect="1" noChangeArrowheads="1"/>
                    </pic:cNvPicPr>
                  </pic:nvPicPr>
                  <pic:blipFill>
                    <a:blip r:embed="rId3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NFE NORTH TRADING LLC NFE PLANT DEVELOPMENT HOLDINGS LLC NFE SOUTH POWER HOLDINGS LLC NFE SUB LLC NFE TRANSPORT HOLDINGS LLC NFE TRANSPORT PARTNERS LLC NFE US HOLDINGS LLC PA DEVELOPMENT HOLDINGS LLC PA REAL ESTATE HOLDINGS LLC PA REAL ESTATE PARTNERS LLC TICO DEVELOPMENT PARTNERS HOLDINGS LLC TICO DEVELOPMENT PARTNERS LLC By: /s/Christopher S. Guinta ___________________________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0"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54" descr=""/>
                    <pic:cNvPicPr>
                      <a:picLocks noChangeAspect="1" noChangeArrowheads="1"/>
                    </pic:cNvPicPr>
                  </pic:nvPicPr>
                  <pic:blipFill>
                    <a:blip r:embed="rId3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AMERICAN LNG MARKETING LLC LNG HOLDINGS (FLORIDA) LLC By: /s/Christopher S. Guinta ____________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55" descr=""/>
                    <pic:cNvPicPr>
                      <a:picLocks noChangeAspect="1" noChangeArrowheads="1"/>
                    </pic:cNvPicPr>
                  </pic:nvPicPr>
                  <pic:blipFill>
                    <a:blip r:embed="rId3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ATLANTIC DISTRIBUTION HOLDINGS SRL ATLANTIC POWER HOLDINGS SRL ATLANTIC ENERGY INFRASTRUCTURE HOLDINGS SRL ATLANTIC PIPELINE HOLDINGS SRL ATLANTIC TERMINAL INFRASTRUCTURE HOLDINGS SRL By: /s/Christopher S. Guinta Name: Christopher S. Guinta Title: Manager ATLANTIC POWER HOLDINGS LIMITED NFE BERMUDA HOLDINGS LIMITED NFE INTERNATIONAL HOLDINGS LIMITED* NFE NORTH HOLDINGS LIMITED NFE SOUTH HOLDINGS LIMITED By: /s/Christopher S. Guinta Name: Christopher S. Guinta Title: Director *organized under Bermuda law NFE SHANNON HOLDINGS LIMITED By: /s/Christopher S. Guinta Name: Christopher S. Guinta Title: Director NFE NORTH DISTRIBUTION LIMITED NFE NORTH HOLDINGS LIMITED NFE NORTH TRANSPORT LIMITED NFE SOUTH HOLDINGS LIMITED NFE SOUTH POWER TRADING LIMITED By: /s/Christopher S. Guinta Name: Christopher S. Guinta Title: Director AMAUNET, S. DE R.L. DE C.V. MEXICO FLNG ONSHORE, S. de R.L. de C.V. NFENERGIA MEXICO, S. DE R.L. DE C.V. NFENERGIA GN DE BCS, S. DE R.L. DE C.V. NFE PACIFICO LAP, S. DE R.L. DE C.V. NFE ALTAMIRA ONSHORE, S. de R.L. de C.V. NFE BCS MEXICO HOLDINGS, S. DE R.L. DE C.V. By: /s/Christopher S. Guinta Name: Christopher S. Guinta Title: Legal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56" descr=""/>
                    <pic:cNvPicPr>
                      <a:picLocks noChangeAspect="1" noChangeArrowheads="1"/>
                    </pic:cNvPicPr>
                  </pic:nvPicPr>
                  <pic:blipFill>
                    <a:blip r:embed="rId3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NFENERGÍA LLC SOLUCIONES DE ENERGIA LIMPIA PR LLC NFE POWER PR LLC ENCANTO EAST LLC ENCANTO WEST LLC ENCANTO POWER WEST LLC By: /s/Christopher S. Guinta Name: Christopher S. Guinta Title: Authorized Signatory NFE MEXICO HOLDINGS S.À R.L. NFE MEXICO HOLDINGS PARENT S.À R.L. By: /s/Christopher S. Guinta Name: Christopher S. Guinta Title: Authorized Signatory NFE NICARAGUA DEVELOPMENT PARTNERS LLC, SUCURSAL NICARAGUA By: /s/Christopher S. Guinta Name: Christopher S. Guinta Title: Chief Financial Officer NFE GP LLC By: /s/Christopher S. Guinta Name: Christopher S. Guinta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57" descr=""/>
                    <pic:cNvPicPr>
                      <a:picLocks noChangeAspect="1" noChangeArrowheads="1"/>
                    </pic:cNvPicPr>
                  </pic:nvPicPr>
                  <pic:blipFill>
                    <a:blip r:embed="rId3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NFE GLOBAL HOLDINGS LIMITED By: /s/Christopher S. Guinta Name: Christopher S. Guinta Title: Director NFE INTERNATIONAL HOLDINGS LIMITED* By: /s/Christopher S. Guinta Name: Christopher S. Guinta Title: Director *incorporated under the laws of England and Wales NFE MEXICO POWER HOLDINGS LIMITED By: /s/Christopher S. Guinta Name: Christopher S. Guinta Title: Director NFE MEXICO TERMINAL HOLDINGS LIMITED By: /s/Christopher S. Guinta Name: Christopher S. Guinta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4"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58" descr=""/>
                    <pic:cNvPicPr>
                      <a:picLocks noChangeAspect="1" noChangeArrowheads="1"/>
                    </pic:cNvPicPr>
                  </pic:nvPicPr>
                  <pic:blipFill>
                    <a:blip r:embed="rId3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NFE UK HOLDINGS LIMITED By: /s/Christopher S. Guinta Name: Christopher S. Guinta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59" descr=""/>
                    <pic:cNvPicPr>
                      <a:picLocks noChangeAspect="1" noChangeArrowheads="1"/>
                    </pic:cNvPicPr>
                  </pic:nvPicPr>
                  <pic:blipFill>
                    <a:blip r:embed="rId3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MORGAN STANLEY SENIOR FUNDING, INC., as the Administrative Agent, the Collateral Agent, and a Lender By: /s/Jennifer DeFazio Name: Jennifer DeFazio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60" descr=""/>
                    <pic:cNvPicPr>
                      <a:picLocks noChangeAspect="1" noChangeArrowheads="1"/>
                    </pic:cNvPicPr>
                  </pic:nvPicPr>
                  <pic:blipFill>
                    <a:blip r:embed="rId3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JPMORGAN CHASE BANK, N.A., as a Lender By: /s/Arina Mavilian Name: Arina Mavilian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7"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61" descr=""/>
                    <pic:cNvPicPr>
                      <a:picLocks noChangeAspect="1" noChangeArrowheads="1"/>
                    </pic:cNvPicPr>
                  </pic:nvPicPr>
                  <pic:blipFill>
                    <a:blip r:embed="rId3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MUFG BANK, LTD., as a Lender By: /s/Kevin Sparks Name: Kevin Sparks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8"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62" descr=""/>
                    <pic:cNvPicPr>
                      <a:picLocks noChangeAspect="1" noChangeArrowheads="1"/>
                    </pic:cNvPicPr>
                  </pic:nvPicPr>
                  <pic:blipFill>
                    <a:blip r:embed="rId3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NATIXIS, NEW YORK BRANCH, as a Lender By: /s/Reza Watts Name: Reza Watts Title: Managing Director By: /s/Yash Anand Name: Yash Anand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9"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63" descr=""/>
                    <pic:cNvPicPr>
                      <a:picLocks noChangeAspect="1" noChangeArrowheads="1"/>
                    </pic:cNvPicPr>
                  </pic:nvPicPr>
                  <pic:blipFill>
                    <a:blip r:embed="rId3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BANCO SANTANDER, S.A., NEW YORK BRANCH, as a Lender By: /s/Andres Barbosa Name: Andres Barbosa Title: Managing Director By: /s/Michael Leonardos Name: Michael Leonardos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64" descr=""/>
                    <pic:cNvPicPr>
                      <a:picLocks noChangeAspect="1" noChangeArrowheads="1"/>
                    </pic:cNvPicPr>
                  </pic:nvPicPr>
                  <pic:blipFill>
                    <a:blip r:embed="rId3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YORKSHIRE INVESTMENTS V, LLC, as a Lender By: /s/Sandra Rutova Name: Sandra Rutova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65" descr=""/>
                    <pic:cNvPicPr>
                      <a:picLocks noChangeAspect="1" noChangeArrowheads="1"/>
                    </pic:cNvPicPr>
                  </pic:nvPicPr>
                  <pic:blipFill>
                    <a:blip r:embed="rId3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OCM AB HOLDINGS I, LLC By: Oaktree Fund GP, LLC, its Manager By: Oaktree Fund GP I, L.P., Its Managing Member, as a Lender By: /s/Allen Li Name: Allen Li Title: Authorized Signatory By: /s/Jordan Mikes Name: Jordan Mikes Title: Authorized Signatory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Wesley R. Edens,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(the “report”) of New Fortress Energy Inc. (the “registrant”);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3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72"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S. Guinta,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(the “report”) of New Fortress Energy Inc. (the “registrant”);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7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New Fortress Energy Inc. (the “Company”) for the quarter ended June 30, 2024,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43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7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New Fortress Energy Inc. (the “Company”) for the quarter ended June 30, 2024,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9723/000114036120017367/brhc10013767_ex99-2.htm" TargetMode="External"/><Relationship Id="rId3" Type="http://schemas.openxmlformats.org/officeDocument/2006/relationships/hyperlink" Target="https://www.sec.gov/Archives/edgar/data/1749723/000114036120017367/brhc10013767_ex99-3.htm" TargetMode="External"/><Relationship Id="rId4" Type="http://schemas.openxmlformats.org/officeDocument/2006/relationships/hyperlink" Target="https://www.sec.gov/Archives/edgar/data/1749723/000174972324000022/nfe-certificateofdesigna.htm" TargetMode="External"/><Relationship Id="rId5" Type="http://schemas.openxmlformats.org/officeDocument/2006/relationships/hyperlink" Target="https://www.sec.gov/Archives/edgar/data/1749723/000114036120017367/brhc10013767_ex99-4.htm" TargetMode="External"/><Relationship Id="rId6" Type="http://schemas.openxmlformats.org/officeDocument/2006/relationships/hyperlink" Target="https://www.sec.gov/Archives/edgar/data/1749723/000114036118045661/s002392x8_ex10-4.htm" TargetMode="External"/><Relationship Id="rId7" Type="http://schemas.openxmlformats.org/officeDocument/2006/relationships/hyperlink" Target="https://www.sec.gov/Archives/edgar/data/1749723/000174972322000028/exhibit6_psu.htm" TargetMode="External"/><Relationship Id="rId8" Type="http://schemas.openxmlformats.org/officeDocument/2006/relationships/hyperlink" Target="https://www.sec.gov/Archives/edgar/data/1749723/000114036119002493/s002392x20_ex4-1.htm" TargetMode="External"/><Relationship Id="rId9" Type="http://schemas.openxmlformats.org/officeDocument/2006/relationships/hyperlink" Target="https://www.sec.gov/Archives/edgar/data/1749723/000114036119002493/s002392x20_ex10-3.htm" TargetMode="External"/><Relationship Id="rId10" Type="http://schemas.openxmlformats.org/officeDocument/2006/relationships/hyperlink" Target="https://www.sec.gov/Archives/edgar/data/1749723/000114036119002493/s002392x20_ex10-4.htm" TargetMode="External"/><Relationship Id="rId11" Type="http://schemas.openxmlformats.org/officeDocument/2006/relationships/hyperlink" Target="https://www.sec.gov/Archives/edgar/data/1749723/000114036119002493/s002392x20_ex10-5.htm" TargetMode="External"/><Relationship Id="rId12" Type="http://schemas.openxmlformats.org/officeDocument/2006/relationships/hyperlink" Target="https://www.sec.gov/Archives/edgar/data/1749723/000114036119002493/s002392x20_ex10-7.htm" TargetMode="External"/><Relationship Id="rId13" Type="http://schemas.openxmlformats.org/officeDocument/2006/relationships/hyperlink" Target="https://www.sec.gov/Archives/edgar/data/1749723/000114036119002493/s002392x20_ex10-8.htm" TargetMode="External"/><Relationship Id="rId14" Type="http://schemas.openxmlformats.org/officeDocument/2006/relationships/hyperlink" Target="https://www.sec.gov/Archives/edgar/data/1749723/000114036119002493/s002392x20_ex10-9.htm" TargetMode="External"/><Relationship Id="rId15" Type="http://schemas.openxmlformats.org/officeDocument/2006/relationships/hyperlink" Target="https://www.sec.gov/Archives/edgar/data/1749723/000114036119002493/s002392x20_ex10-10.htm" TargetMode="External"/><Relationship Id="rId16" Type="http://schemas.openxmlformats.org/officeDocument/2006/relationships/hyperlink" Target="https://www.sec.gov/Archives/edgar/data/1749723/000114036119002493/s002392x20_ex10-11.htm" TargetMode="External"/><Relationship Id="rId17" Type="http://schemas.openxmlformats.org/officeDocument/2006/relationships/hyperlink" Target="https://www.sec.gov/Archives/edgar/data/1749723/000114036119002493/s002392x20_ex10-12.htm" TargetMode="External"/><Relationship Id="rId18" Type="http://schemas.openxmlformats.org/officeDocument/2006/relationships/hyperlink" Target="https://www.sec.gov/Archives/edgar/data/1749723/000174972323000030/indemnificationagreement.htm" TargetMode="External"/><Relationship Id="rId19" Type="http://schemas.openxmlformats.org/officeDocument/2006/relationships/hyperlink" Target="https://www.sec.gov/Archives/edgar/data/1749723/000114036119005657/s002752x1_ex10-29.htm" TargetMode="External"/><Relationship Id="rId20" Type="http://schemas.openxmlformats.org/officeDocument/2006/relationships/hyperlink" Target="https://www.sec.gov/Archives/edgar/data/0001749723/000114036120010751/ex10_3.htm" TargetMode="External"/><Relationship Id="rId21" Type="http://schemas.openxmlformats.org/officeDocument/2006/relationships/hyperlink" Target="https://www.sec.gov/Archives/edgar/data/1749723/000174972323000010/a1017-christopherguintaxof.htm" TargetMode="External"/><Relationship Id="rId22" Type="http://schemas.openxmlformats.org/officeDocument/2006/relationships/hyperlink" Target="https://www.sec.gov/Archives/edgar/data/0001749723/000114036120019661/nc10014821x1_ex4-1.htm" TargetMode="External"/><Relationship Id="rId23" Type="http://schemas.openxmlformats.org/officeDocument/2006/relationships/hyperlink" Target="https://www.sec.gov/Archives/edgar/data/0001749723/000114036120019661/nc10014821x1_ex4-2.htm" TargetMode="External"/><Relationship Id="rId24" Type="http://schemas.openxmlformats.org/officeDocument/2006/relationships/hyperlink" Target="https://www.sec.gov/Archives/edgar/data/0001749723/000114036120028859/nt10017907x7_ex4-1.htm" TargetMode="External"/><Relationship Id="rId25" Type="http://schemas.openxmlformats.org/officeDocument/2006/relationships/hyperlink" Target="https://www.sec.gov/Archives/edgar/data/1749723/000174972323000010/a1021-2025notesxsecondsupp.htm" TargetMode="External"/><Relationship Id="rId26" Type="http://schemas.openxmlformats.org/officeDocument/2006/relationships/hyperlink" Target="https://www.sec.gov/Archives/edgar/data/1749723/000174972323000010/a1022-2025notesxthirdsuppl.htm" TargetMode="External"/><Relationship Id="rId27" Type="http://schemas.openxmlformats.org/officeDocument/2006/relationships/hyperlink" Target="https://www.sec.gov/Archives/edgar/data/1749723/000174972323000010/a1023-fourth_supplementalx.htm" TargetMode="External"/><Relationship Id="rId28" Type="http://schemas.openxmlformats.org/officeDocument/2006/relationships/hyperlink" Target="https://www.sec.gov/Archives/edgar/data/1749723/000174972323000010/a1024-2025notesxfifthsuppl.htm" TargetMode="External"/><Relationship Id="rId29" Type="http://schemas.openxmlformats.org/officeDocument/2006/relationships/hyperlink" Target="https://www.sec.gov/Archives/edgar/data/1749723/000174972323000010/a1025-2025notesxsixthsuppl.htm" TargetMode="External"/><Relationship Id="rId30" Type="http://schemas.openxmlformats.org/officeDocument/2006/relationships/hyperlink" Target="https://www.sec.gov/Archives/edgar/data/1749723/000174972323000010/a1026-2025notesxseventhsup.htm" TargetMode="External"/><Relationship Id="rId31" Type="http://schemas.openxmlformats.org/officeDocument/2006/relationships/hyperlink" Target="https://www.sec.gov/Archives/edgar/data/0001749723/000114036121012455/brhc10022997_ex4-1.htm" TargetMode="External"/><Relationship Id="rId32" Type="http://schemas.openxmlformats.org/officeDocument/2006/relationships/hyperlink" Target="https://www.sec.gov/Archives/edgar/data/0001749723/000114036121012455/brhc10022997_ex4-2.htm" TargetMode="External"/><Relationship Id="rId33" Type="http://schemas.openxmlformats.org/officeDocument/2006/relationships/hyperlink" Target="https://www.sec.gov/Archives/edgar/data/1749723/000174972323000010/a1029-2026notesxfirstsuppl.htm" TargetMode="External"/><Relationship Id="rId34" Type="http://schemas.openxmlformats.org/officeDocument/2006/relationships/hyperlink" Target="https://www.sec.gov/Archives/edgar/data/1749723/000174972323000010/a1030-2026notesxsecondsupp.htm" TargetMode="External"/><Relationship Id="rId35" Type="http://schemas.openxmlformats.org/officeDocument/2006/relationships/hyperlink" Target="https://www.sec.gov/Archives/edgar/data/1749723/000174972323000010/a1031-2026notesxthirdsuppl.htm" TargetMode="External"/><Relationship Id="rId36" Type="http://schemas.openxmlformats.org/officeDocument/2006/relationships/hyperlink" Target="https://www.sec.gov/Archives/edgar/data/1749723/000174972323000010/a1032-2026notesxfourthsupp.htm" TargetMode="External"/><Relationship Id="rId37" Type="http://schemas.openxmlformats.org/officeDocument/2006/relationships/hyperlink" Target="https://www.sec.gov/Archives/edgar/data/1749723/000174972323000010/a1033-2026notesxfifthsuppl.htm" TargetMode="External"/><Relationship Id="rId38" Type="http://schemas.openxmlformats.org/officeDocument/2006/relationships/hyperlink" Target="https://www.sec.gov/Archives/edgar/data/0001749723/000114036121013692/brhc10023371_ex10-2.htm" TargetMode="External"/><Relationship Id="rId39" Type="http://schemas.openxmlformats.org/officeDocument/2006/relationships/hyperlink" Target="https://www.sec.gov/Archives/edgar/data/0001749723/000114036122007364/brhc10034476_ex10-30.htm" TargetMode="External"/><Relationship Id="rId40" Type="http://schemas.openxmlformats.org/officeDocument/2006/relationships/hyperlink" Target="https://www.sec.gov/Archives/edgar/data/0001749723/000114036122007364/brhc10034476_ex10-31.htm" TargetMode="External"/><Relationship Id="rId41" Type="http://schemas.openxmlformats.org/officeDocument/2006/relationships/hyperlink" Target="https://www.sec.gov/Archives/edgar/data/0001749723/000174972322000010/third_amendmentxtoxrcfxcre.htm" TargetMode="External"/><Relationship Id="rId42" Type="http://schemas.openxmlformats.org/officeDocument/2006/relationships/hyperlink" Target="https://www.sec.gov/Archives/edgar/data/1749723/000174972323000010/a1038-fourthamendmenttorcf.htm" TargetMode="External"/><Relationship Id="rId43" Type="http://schemas.openxmlformats.org/officeDocument/2006/relationships/hyperlink" Target="https://www.sec.gov/Archives/edgar/data/1749723/000174972323000057/a001-amendmentno5torcf10.htm" TargetMode="External"/><Relationship Id="rId44" Type="http://schemas.openxmlformats.org/officeDocument/2006/relationships/hyperlink" Target="https://www.sec.gov/Archives/edgar/data/1749723/000174972324000011/rcfupsize-sixthamendment.htm" TargetMode="External"/><Relationship Id="rId45" Type="http://schemas.openxmlformats.org/officeDocument/2006/relationships/hyperlink" Target="https://www.sec.gov/Archives/edgar/data/1749723/000174972322000028/exhibit40_apolloepca.htm" TargetMode="External"/><Relationship Id="rId46" Type="http://schemas.openxmlformats.org/officeDocument/2006/relationships/hyperlink" Target="https://www.sec.gov/Archives/edgar/data/1749723/000174972322000028/exhibit41_natixisamendme.htm" TargetMode="External"/><Relationship Id="rId47" Type="http://schemas.openxmlformats.org/officeDocument/2006/relationships/hyperlink" Target="https://www.sec.gov/Archives/edgar/data/1749723/000174972323000010/a1045-incrementaljoinderto.htm" TargetMode="External"/><Relationship Id="rId48" Type="http://schemas.openxmlformats.org/officeDocument/2006/relationships/hyperlink" Target="https://www.sec.gov/Archives/edgar/data/1749723/000174972324000011/nfeincrementaljoindertou.htm" TargetMode="External"/><Relationship Id="rId49" Type="http://schemas.openxmlformats.org/officeDocument/2006/relationships/hyperlink" Target="https://www.sec.gov/Archives/edgar/data/1749723/000174972324000011/nfe-tlbxcreditagreemente.htm" TargetMode="External"/><Relationship Id="rId50" Type="http://schemas.openxmlformats.org/officeDocument/2006/relationships/hyperlink" Target="https://www.sec.gov/Archives/edgar/data/1749723/000174972324000019/nfe-indenture.htm" TargetMode="External"/><Relationship Id="rId51" Type="http://schemas.openxmlformats.org/officeDocument/2006/relationships/hyperlink" Target="https://www.sec.gov/Archives/edgar/data/1749723/000174972324000019/nfe-2029bondsxpledgeands.htm" TargetMode="External"/><Relationship Id="rId52" Type="http://schemas.openxmlformats.org/officeDocument/2006/relationships/image" Target="media/image1.jpeg"/><Relationship Id="rId53" Type="http://schemas.openxmlformats.org/officeDocument/2006/relationships/image" Target="media/image2.jpeg"/><Relationship Id="rId54" Type="http://schemas.openxmlformats.org/officeDocument/2006/relationships/image" Target="media/image3.jpeg"/><Relationship Id="rId55" Type="http://schemas.openxmlformats.org/officeDocument/2006/relationships/image" Target="media/image4.jpeg"/><Relationship Id="rId56" Type="http://schemas.openxmlformats.org/officeDocument/2006/relationships/image" Target="media/image5.jpeg"/><Relationship Id="rId57" Type="http://schemas.openxmlformats.org/officeDocument/2006/relationships/image" Target="media/image6.jpeg"/><Relationship Id="rId58" Type="http://schemas.openxmlformats.org/officeDocument/2006/relationships/image" Target="media/image7.jpeg"/><Relationship Id="rId59" Type="http://schemas.openxmlformats.org/officeDocument/2006/relationships/image" Target="media/image8.jpeg"/><Relationship Id="rId60" Type="http://schemas.openxmlformats.org/officeDocument/2006/relationships/image" Target="media/image9.jpeg"/><Relationship Id="rId61" Type="http://schemas.openxmlformats.org/officeDocument/2006/relationships/image" Target="media/image10.jpeg"/><Relationship Id="rId62" Type="http://schemas.openxmlformats.org/officeDocument/2006/relationships/image" Target="media/image11.jpeg"/><Relationship Id="rId63" Type="http://schemas.openxmlformats.org/officeDocument/2006/relationships/image" Target="media/image12.jpeg"/><Relationship Id="rId64" Type="http://schemas.openxmlformats.org/officeDocument/2006/relationships/image" Target="media/image13.jpeg"/><Relationship Id="rId65" Type="http://schemas.openxmlformats.org/officeDocument/2006/relationships/image" Target="media/image14.jpeg"/><Relationship Id="rId66" Type="http://schemas.openxmlformats.org/officeDocument/2006/relationships/image" Target="media/image15.jpeg"/><Relationship Id="rId67" Type="http://schemas.openxmlformats.org/officeDocument/2006/relationships/image" Target="media/image16.jpeg"/><Relationship Id="rId68" Type="http://schemas.openxmlformats.org/officeDocument/2006/relationships/image" Target="media/image17.jpeg"/><Relationship Id="rId69" Type="http://schemas.openxmlformats.org/officeDocument/2006/relationships/image" Target="media/image18.jpeg"/><Relationship Id="rId70" Type="http://schemas.openxmlformats.org/officeDocument/2006/relationships/image" Target="media/image19.jpeg"/><Relationship Id="rId71" Type="http://schemas.openxmlformats.org/officeDocument/2006/relationships/image" Target="media/image20.jpeg"/><Relationship Id="rId72" Type="http://schemas.openxmlformats.org/officeDocument/2006/relationships/image" Target="media/image21.jpeg"/><Relationship Id="rId73" Type="http://schemas.openxmlformats.org/officeDocument/2006/relationships/image" Target="media/image22.jpeg"/><Relationship Id="rId74" Type="http://schemas.openxmlformats.org/officeDocument/2006/relationships/image" Target="media/image23.jpeg"/><Relationship Id="rId75" Type="http://schemas.openxmlformats.org/officeDocument/2006/relationships/image" Target="media/image24.jpeg"/><Relationship Id="rId76" Type="http://schemas.openxmlformats.org/officeDocument/2006/relationships/image" Target="media/image25.jpeg"/><Relationship Id="rId77" Type="http://schemas.openxmlformats.org/officeDocument/2006/relationships/image" Target="media/image26.jpeg"/><Relationship Id="rId78" Type="http://schemas.openxmlformats.org/officeDocument/2006/relationships/image" Target="media/image27.jpeg"/><Relationship Id="rId79" Type="http://schemas.openxmlformats.org/officeDocument/2006/relationships/image" Target="media/image28.jpeg"/><Relationship Id="rId80" Type="http://schemas.openxmlformats.org/officeDocument/2006/relationships/image" Target="media/image29.jpeg"/><Relationship Id="rId81" Type="http://schemas.openxmlformats.org/officeDocument/2006/relationships/image" Target="media/image30.jpeg"/><Relationship Id="rId82" Type="http://schemas.openxmlformats.org/officeDocument/2006/relationships/image" Target="media/image31.jpeg"/><Relationship Id="rId83" Type="http://schemas.openxmlformats.org/officeDocument/2006/relationships/image" Target="media/image32.jpeg"/><Relationship Id="rId84" Type="http://schemas.openxmlformats.org/officeDocument/2006/relationships/image" Target="media/image33.jpeg"/><Relationship Id="rId85" Type="http://schemas.openxmlformats.org/officeDocument/2006/relationships/image" Target="media/image34.jpeg"/><Relationship Id="rId86" Type="http://schemas.openxmlformats.org/officeDocument/2006/relationships/image" Target="media/image35.jpeg"/><Relationship Id="rId87" Type="http://schemas.openxmlformats.org/officeDocument/2006/relationships/image" Target="media/image36.jpeg"/><Relationship Id="rId88" Type="http://schemas.openxmlformats.org/officeDocument/2006/relationships/image" Target="media/image37.jpeg"/><Relationship Id="rId89" Type="http://schemas.openxmlformats.org/officeDocument/2006/relationships/image" Target="media/image38.jpeg"/><Relationship Id="rId90" Type="http://schemas.openxmlformats.org/officeDocument/2006/relationships/image" Target="media/image39.jpeg"/><Relationship Id="rId91" Type="http://schemas.openxmlformats.org/officeDocument/2006/relationships/image" Target="media/image40.jpeg"/><Relationship Id="rId92" Type="http://schemas.openxmlformats.org/officeDocument/2006/relationships/image" Target="media/image41.jpeg"/><Relationship Id="rId93" Type="http://schemas.openxmlformats.org/officeDocument/2006/relationships/image" Target="media/image42.jpeg"/><Relationship Id="rId94" Type="http://schemas.openxmlformats.org/officeDocument/2006/relationships/image" Target="media/image43.jpeg"/><Relationship Id="rId95" Type="http://schemas.openxmlformats.org/officeDocument/2006/relationships/image" Target="media/image44.jpeg"/><Relationship Id="rId96" Type="http://schemas.openxmlformats.org/officeDocument/2006/relationships/image" Target="media/image45.jpeg"/><Relationship Id="rId97" Type="http://schemas.openxmlformats.org/officeDocument/2006/relationships/image" Target="media/image46.jpeg"/><Relationship Id="rId98" Type="http://schemas.openxmlformats.org/officeDocument/2006/relationships/image" Target="media/image47.jpeg"/><Relationship Id="rId99" Type="http://schemas.openxmlformats.org/officeDocument/2006/relationships/image" Target="media/image48.jpeg"/><Relationship Id="rId100" Type="http://schemas.openxmlformats.org/officeDocument/2006/relationships/image" Target="media/image49.jpeg"/><Relationship Id="rId101" Type="http://schemas.openxmlformats.org/officeDocument/2006/relationships/image" Target="media/image50.jpeg"/><Relationship Id="rId102" Type="http://schemas.openxmlformats.org/officeDocument/2006/relationships/image" Target="media/image51.jpeg"/><Relationship Id="rId103" Type="http://schemas.openxmlformats.org/officeDocument/2006/relationships/image" Target="media/image52.jpeg"/><Relationship Id="rId104" Type="http://schemas.openxmlformats.org/officeDocument/2006/relationships/image" Target="media/image53.jpeg"/><Relationship Id="rId105" Type="http://schemas.openxmlformats.org/officeDocument/2006/relationships/image" Target="media/image54.jpeg"/><Relationship Id="rId106" Type="http://schemas.openxmlformats.org/officeDocument/2006/relationships/image" Target="media/image55.jpeg"/><Relationship Id="rId107" Type="http://schemas.openxmlformats.org/officeDocument/2006/relationships/image" Target="media/image56.jpeg"/><Relationship Id="rId108" Type="http://schemas.openxmlformats.org/officeDocument/2006/relationships/image" Target="media/image57.jpeg"/><Relationship Id="rId109" Type="http://schemas.openxmlformats.org/officeDocument/2006/relationships/image" Target="media/image58.jpeg"/><Relationship Id="rId110" Type="http://schemas.openxmlformats.org/officeDocument/2006/relationships/image" Target="media/image59.jpeg"/><Relationship Id="rId111" Type="http://schemas.openxmlformats.org/officeDocument/2006/relationships/image" Target="media/image60.jpeg"/><Relationship Id="rId112" Type="http://schemas.openxmlformats.org/officeDocument/2006/relationships/image" Target="media/image61.jpeg"/><Relationship Id="rId113" Type="http://schemas.openxmlformats.org/officeDocument/2006/relationships/image" Target="media/image62.jpeg"/><Relationship Id="rId114" Type="http://schemas.openxmlformats.org/officeDocument/2006/relationships/image" Target="media/image63.jpeg"/><Relationship Id="rId115" Type="http://schemas.openxmlformats.org/officeDocument/2006/relationships/image" Target="media/image64.jpeg"/><Relationship Id="rId116" Type="http://schemas.openxmlformats.org/officeDocument/2006/relationships/image" Target="media/image65.jpeg"/><Relationship Id="rId117" Type="http://schemas.openxmlformats.org/officeDocument/2006/relationships/image" Target="media/image66.jpeg"/><Relationship Id="rId118" Type="http://schemas.openxmlformats.org/officeDocument/2006/relationships/image" Target="media/image67.jpeg"/><Relationship Id="rId119" Type="http://schemas.openxmlformats.org/officeDocument/2006/relationships/image" Target="media/image68.jpeg"/><Relationship Id="rId120" Type="http://schemas.openxmlformats.org/officeDocument/2006/relationships/image" Target="media/image69.jpeg"/><Relationship Id="rId121" Type="http://schemas.openxmlformats.org/officeDocument/2006/relationships/image" Target="media/image70.jpeg"/><Relationship Id="rId122" Type="http://schemas.openxmlformats.org/officeDocument/2006/relationships/image" Target="media/image71.jpeg"/><Relationship Id="rId123" Type="http://schemas.openxmlformats.org/officeDocument/2006/relationships/image" Target="media/image72.jpeg"/><Relationship Id="rId124" Type="http://schemas.openxmlformats.org/officeDocument/2006/relationships/image" Target="media/image73.jpeg"/><Relationship Id="rId125" Type="http://schemas.openxmlformats.org/officeDocument/2006/relationships/image" Target="media/image74.jpeg"/><Relationship Id="rId126" Type="http://schemas.openxmlformats.org/officeDocument/2006/relationships/image" Target="media/image75.jpeg"/><Relationship Id="rId127" Type="http://schemas.openxmlformats.org/officeDocument/2006/relationships/image" Target="media/image76.jpeg"/><Relationship Id="rId128" Type="http://schemas.openxmlformats.org/officeDocument/2006/relationships/image" Target="media/image77.jpeg"/><Relationship Id="rId129" Type="http://schemas.openxmlformats.org/officeDocument/2006/relationships/image" Target="media/image78.jpeg"/><Relationship Id="rId130" Type="http://schemas.openxmlformats.org/officeDocument/2006/relationships/image" Target="media/image79.jpeg"/><Relationship Id="rId131" Type="http://schemas.openxmlformats.org/officeDocument/2006/relationships/image" Target="media/image80.jpeg"/><Relationship Id="rId132" Type="http://schemas.openxmlformats.org/officeDocument/2006/relationships/image" Target="media/image81.jpeg"/><Relationship Id="rId133" Type="http://schemas.openxmlformats.org/officeDocument/2006/relationships/image" Target="media/image82.jpeg"/><Relationship Id="rId134" Type="http://schemas.openxmlformats.org/officeDocument/2006/relationships/image" Target="media/image83.jpeg"/><Relationship Id="rId135" Type="http://schemas.openxmlformats.org/officeDocument/2006/relationships/image" Target="media/image84.jpeg"/><Relationship Id="rId136" Type="http://schemas.openxmlformats.org/officeDocument/2006/relationships/image" Target="media/image85.jpeg"/><Relationship Id="rId137" Type="http://schemas.openxmlformats.org/officeDocument/2006/relationships/image" Target="media/image86.jpeg"/><Relationship Id="rId138" Type="http://schemas.openxmlformats.org/officeDocument/2006/relationships/image" Target="media/image87.jpeg"/><Relationship Id="rId139" Type="http://schemas.openxmlformats.org/officeDocument/2006/relationships/image" Target="media/image88.jpeg"/><Relationship Id="rId140" Type="http://schemas.openxmlformats.org/officeDocument/2006/relationships/image" Target="media/image89.jpeg"/><Relationship Id="rId141" Type="http://schemas.openxmlformats.org/officeDocument/2006/relationships/image" Target="media/image90.jpeg"/><Relationship Id="rId142" Type="http://schemas.openxmlformats.org/officeDocument/2006/relationships/image" Target="media/image91.jpeg"/><Relationship Id="rId143" Type="http://schemas.openxmlformats.org/officeDocument/2006/relationships/image" Target="media/image92.jpeg"/><Relationship Id="rId144" Type="http://schemas.openxmlformats.org/officeDocument/2006/relationships/image" Target="media/image93.jpeg"/><Relationship Id="rId145" Type="http://schemas.openxmlformats.org/officeDocument/2006/relationships/image" Target="media/image94.jpeg"/><Relationship Id="rId146" Type="http://schemas.openxmlformats.org/officeDocument/2006/relationships/image" Target="media/image95.jpeg"/><Relationship Id="rId147" Type="http://schemas.openxmlformats.org/officeDocument/2006/relationships/image" Target="media/image96.jpeg"/><Relationship Id="rId148" Type="http://schemas.openxmlformats.org/officeDocument/2006/relationships/image" Target="media/image97.jpeg"/><Relationship Id="rId149" Type="http://schemas.openxmlformats.org/officeDocument/2006/relationships/image" Target="media/image98.jpeg"/><Relationship Id="rId150" Type="http://schemas.openxmlformats.org/officeDocument/2006/relationships/image" Target="media/image99.jpeg"/><Relationship Id="rId151" Type="http://schemas.openxmlformats.org/officeDocument/2006/relationships/image" Target="media/image100.jpeg"/><Relationship Id="rId152" Type="http://schemas.openxmlformats.org/officeDocument/2006/relationships/image" Target="media/image101.jpeg"/><Relationship Id="rId153" Type="http://schemas.openxmlformats.org/officeDocument/2006/relationships/image" Target="media/image102.jpeg"/><Relationship Id="rId154" Type="http://schemas.openxmlformats.org/officeDocument/2006/relationships/image" Target="media/image103.jpeg"/><Relationship Id="rId155" Type="http://schemas.openxmlformats.org/officeDocument/2006/relationships/image" Target="media/image104.jpeg"/><Relationship Id="rId156" Type="http://schemas.openxmlformats.org/officeDocument/2006/relationships/image" Target="media/image105.jpeg"/><Relationship Id="rId157" Type="http://schemas.openxmlformats.org/officeDocument/2006/relationships/image" Target="media/image106.jpeg"/><Relationship Id="rId158" Type="http://schemas.openxmlformats.org/officeDocument/2006/relationships/image" Target="media/image107.jpeg"/><Relationship Id="rId159" Type="http://schemas.openxmlformats.org/officeDocument/2006/relationships/image" Target="media/image108.jpeg"/><Relationship Id="rId160" Type="http://schemas.openxmlformats.org/officeDocument/2006/relationships/image" Target="media/image109.jpeg"/><Relationship Id="rId161" Type="http://schemas.openxmlformats.org/officeDocument/2006/relationships/image" Target="media/image110.jpeg"/><Relationship Id="rId162" Type="http://schemas.openxmlformats.org/officeDocument/2006/relationships/image" Target="media/image111.jpeg"/><Relationship Id="rId163" Type="http://schemas.openxmlformats.org/officeDocument/2006/relationships/image" Target="media/image112.jpeg"/><Relationship Id="rId164" Type="http://schemas.openxmlformats.org/officeDocument/2006/relationships/image" Target="media/image113.jpeg"/><Relationship Id="rId165" Type="http://schemas.openxmlformats.org/officeDocument/2006/relationships/image" Target="media/image114.jpeg"/><Relationship Id="rId166" Type="http://schemas.openxmlformats.org/officeDocument/2006/relationships/image" Target="media/image115.jpeg"/><Relationship Id="rId167" Type="http://schemas.openxmlformats.org/officeDocument/2006/relationships/image" Target="media/image116.jpeg"/><Relationship Id="rId168" Type="http://schemas.openxmlformats.org/officeDocument/2006/relationships/image" Target="media/image117.jpeg"/><Relationship Id="rId169" Type="http://schemas.openxmlformats.org/officeDocument/2006/relationships/image" Target="media/image118.jpeg"/><Relationship Id="rId170" Type="http://schemas.openxmlformats.org/officeDocument/2006/relationships/image" Target="media/image119.jpeg"/><Relationship Id="rId171" Type="http://schemas.openxmlformats.org/officeDocument/2006/relationships/image" Target="media/image120.jpeg"/><Relationship Id="rId172" Type="http://schemas.openxmlformats.org/officeDocument/2006/relationships/image" Target="media/image121.jpeg"/><Relationship Id="rId173" Type="http://schemas.openxmlformats.org/officeDocument/2006/relationships/image" Target="media/image122.jpeg"/><Relationship Id="rId174" Type="http://schemas.openxmlformats.org/officeDocument/2006/relationships/image" Target="media/image123.jpeg"/><Relationship Id="rId175" Type="http://schemas.openxmlformats.org/officeDocument/2006/relationships/image" Target="media/image124.jpeg"/><Relationship Id="rId176" Type="http://schemas.openxmlformats.org/officeDocument/2006/relationships/image" Target="media/image125.jpeg"/><Relationship Id="rId177" Type="http://schemas.openxmlformats.org/officeDocument/2006/relationships/image" Target="media/image126.jpeg"/><Relationship Id="rId178" Type="http://schemas.openxmlformats.org/officeDocument/2006/relationships/image" Target="media/image127.jpeg"/><Relationship Id="rId179" Type="http://schemas.openxmlformats.org/officeDocument/2006/relationships/image" Target="media/image128.jpeg"/><Relationship Id="rId180" Type="http://schemas.openxmlformats.org/officeDocument/2006/relationships/image" Target="media/image129.jpeg"/><Relationship Id="rId181" Type="http://schemas.openxmlformats.org/officeDocument/2006/relationships/image" Target="media/image130.jpeg"/><Relationship Id="rId182" Type="http://schemas.openxmlformats.org/officeDocument/2006/relationships/image" Target="media/image131.jpeg"/><Relationship Id="rId183" Type="http://schemas.openxmlformats.org/officeDocument/2006/relationships/image" Target="media/image132.jpeg"/><Relationship Id="rId184" Type="http://schemas.openxmlformats.org/officeDocument/2006/relationships/image" Target="media/image133.jpeg"/><Relationship Id="rId185" Type="http://schemas.openxmlformats.org/officeDocument/2006/relationships/image" Target="media/image134.jpeg"/><Relationship Id="rId186" Type="http://schemas.openxmlformats.org/officeDocument/2006/relationships/image" Target="media/image135.jpeg"/><Relationship Id="rId187" Type="http://schemas.openxmlformats.org/officeDocument/2006/relationships/image" Target="media/image136.jpeg"/><Relationship Id="rId188" Type="http://schemas.openxmlformats.org/officeDocument/2006/relationships/image" Target="media/image137.jpeg"/><Relationship Id="rId189" Type="http://schemas.openxmlformats.org/officeDocument/2006/relationships/image" Target="media/image138.jpeg"/><Relationship Id="rId190" Type="http://schemas.openxmlformats.org/officeDocument/2006/relationships/image" Target="media/image139.jpeg"/><Relationship Id="rId191" Type="http://schemas.openxmlformats.org/officeDocument/2006/relationships/image" Target="media/image140.jpeg"/><Relationship Id="rId192" Type="http://schemas.openxmlformats.org/officeDocument/2006/relationships/image" Target="media/image141.jpeg"/><Relationship Id="rId193" Type="http://schemas.openxmlformats.org/officeDocument/2006/relationships/image" Target="media/image142.jpeg"/><Relationship Id="rId194" Type="http://schemas.openxmlformats.org/officeDocument/2006/relationships/image" Target="media/image143.jpeg"/><Relationship Id="rId195" Type="http://schemas.openxmlformats.org/officeDocument/2006/relationships/image" Target="media/image144.jpeg"/><Relationship Id="rId196" Type="http://schemas.openxmlformats.org/officeDocument/2006/relationships/image" Target="media/image145.jpeg"/><Relationship Id="rId197" Type="http://schemas.openxmlformats.org/officeDocument/2006/relationships/image" Target="media/image146.jpeg"/><Relationship Id="rId198" Type="http://schemas.openxmlformats.org/officeDocument/2006/relationships/image" Target="media/image147.jpeg"/><Relationship Id="rId199" Type="http://schemas.openxmlformats.org/officeDocument/2006/relationships/image" Target="media/image148.jpeg"/><Relationship Id="rId200" Type="http://schemas.openxmlformats.org/officeDocument/2006/relationships/image" Target="media/image149.jpeg"/><Relationship Id="rId201" Type="http://schemas.openxmlformats.org/officeDocument/2006/relationships/image" Target="media/image150.jpeg"/><Relationship Id="rId202" Type="http://schemas.openxmlformats.org/officeDocument/2006/relationships/image" Target="media/image151.jpeg"/><Relationship Id="rId203" Type="http://schemas.openxmlformats.org/officeDocument/2006/relationships/image" Target="media/image152.jpeg"/><Relationship Id="rId204" Type="http://schemas.openxmlformats.org/officeDocument/2006/relationships/image" Target="media/image153.jpeg"/><Relationship Id="rId205" Type="http://schemas.openxmlformats.org/officeDocument/2006/relationships/image" Target="media/image154.jpeg"/><Relationship Id="rId206" Type="http://schemas.openxmlformats.org/officeDocument/2006/relationships/image" Target="media/image155.jpeg"/><Relationship Id="rId207" Type="http://schemas.openxmlformats.org/officeDocument/2006/relationships/image" Target="media/image156.jpeg"/><Relationship Id="rId208" Type="http://schemas.openxmlformats.org/officeDocument/2006/relationships/image" Target="media/image157.jpeg"/><Relationship Id="rId209" Type="http://schemas.openxmlformats.org/officeDocument/2006/relationships/image" Target="media/image158.jpeg"/><Relationship Id="rId210" Type="http://schemas.openxmlformats.org/officeDocument/2006/relationships/image" Target="media/image159.jpeg"/><Relationship Id="rId211" Type="http://schemas.openxmlformats.org/officeDocument/2006/relationships/image" Target="media/image160.jpeg"/><Relationship Id="rId212" Type="http://schemas.openxmlformats.org/officeDocument/2006/relationships/image" Target="media/image161.jpeg"/><Relationship Id="rId213" Type="http://schemas.openxmlformats.org/officeDocument/2006/relationships/image" Target="media/image162.jpeg"/><Relationship Id="rId214" Type="http://schemas.openxmlformats.org/officeDocument/2006/relationships/image" Target="media/image163.jpeg"/><Relationship Id="rId215" Type="http://schemas.openxmlformats.org/officeDocument/2006/relationships/image" Target="media/image164.jpeg"/><Relationship Id="rId216" Type="http://schemas.openxmlformats.org/officeDocument/2006/relationships/image" Target="media/image165.jpeg"/><Relationship Id="rId217" Type="http://schemas.openxmlformats.org/officeDocument/2006/relationships/image" Target="media/image166.jpeg"/><Relationship Id="rId218" Type="http://schemas.openxmlformats.org/officeDocument/2006/relationships/image" Target="media/image167.jpeg"/><Relationship Id="rId219" Type="http://schemas.openxmlformats.org/officeDocument/2006/relationships/image" Target="media/image168.jpeg"/><Relationship Id="rId220" Type="http://schemas.openxmlformats.org/officeDocument/2006/relationships/image" Target="media/image169.jpeg"/><Relationship Id="rId221" Type="http://schemas.openxmlformats.org/officeDocument/2006/relationships/image" Target="media/image170.jpeg"/><Relationship Id="rId222" Type="http://schemas.openxmlformats.org/officeDocument/2006/relationships/image" Target="media/image171.jpeg"/><Relationship Id="rId223" Type="http://schemas.openxmlformats.org/officeDocument/2006/relationships/image" Target="media/image172.jpeg"/><Relationship Id="rId224" Type="http://schemas.openxmlformats.org/officeDocument/2006/relationships/image" Target="media/image173.jpeg"/><Relationship Id="rId225" Type="http://schemas.openxmlformats.org/officeDocument/2006/relationships/image" Target="media/image174.jpeg"/><Relationship Id="rId226" Type="http://schemas.openxmlformats.org/officeDocument/2006/relationships/image" Target="media/image175.jpeg"/><Relationship Id="rId227" Type="http://schemas.openxmlformats.org/officeDocument/2006/relationships/image" Target="media/image176.jpeg"/><Relationship Id="rId228" Type="http://schemas.openxmlformats.org/officeDocument/2006/relationships/image" Target="media/image177.jpeg"/><Relationship Id="rId229" Type="http://schemas.openxmlformats.org/officeDocument/2006/relationships/image" Target="media/image178.jpeg"/><Relationship Id="rId230" Type="http://schemas.openxmlformats.org/officeDocument/2006/relationships/image" Target="media/image179.jpeg"/><Relationship Id="rId231" Type="http://schemas.openxmlformats.org/officeDocument/2006/relationships/image" Target="media/image180.jpeg"/><Relationship Id="rId232" Type="http://schemas.openxmlformats.org/officeDocument/2006/relationships/image" Target="media/image181.jpeg"/><Relationship Id="rId233" Type="http://schemas.openxmlformats.org/officeDocument/2006/relationships/image" Target="media/image182.jpeg"/><Relationship Id="rId234" Type="http://schemas.openxmlformats.org/officeDocument/2006/relationships/image" Target="media/image183.jpeg"/><Relationship Id="rId235" Type="http://schemas.openxmlformats.org/officeDocument/2006/relationships/image" Target="media/image184.jpeg"/><Relationship Id="rId236" Type="http://schemas.openxmlformats.org/officeDocument/2006/relationships/image" Target="media/image185.jpeg"/><Relationship Id="rId237" Type="http://schemas.openxmlformats.org/officeDocument/2006/relationships/image" Target="media/image186.jpeg"/><Relationship Id="rId238" Type="http://schemas.openxmlformats.org/officeDocument/2006/relationships/image" Target="media/image187.jpeg"/><Relationship Id="rId239" Type="http://schemas.openxmlformats.org/officeDocument/2006/relationships/image" Target="media/image188.jpeg"/><Relationship Id="rId240" Type="http://schemas.openxmlformats.org/officeDocument/2006/relationships/image" Target="media/image189.jpeg"/><Relationship Id="rId241" Type="http://schemas.openxmlformats.org/officeDocument/2006/relationships/image" Target="media/image190.jpeg"/><Relationship Id="rId242" Type="http://schemas.openxmlformats.org/officeDocument/2006/relationships/image" Target="media/image191.jpeg"/><Relationship Id="rId243" Type="http://schemas.openxmlformats.org/officeDocument/2006/relationships/image" Target="media/image192.jpeg"/><Relationship Id="rId244" Type="http://schemas.openxmlformats.org/officeDocument/2006/relationships/image" Target="media/image193.jpeg"/><Relationship Id="rId245" Type="http://schemas.openxmlformats.org/officeDocument/2006/relationships/image" Target="media/image194.jpeg"/><Relationship Id="rId246" Type="http://schemas.openxmlformats.org/officeDocument/2006/relationships/image" Target="media/image195.jpeg"/><Relationship Id="rId247" Type="http://schemas.openxmlformats.org/officeDocument/2006/relationships/image" Target="media/image196.jpeg"/><Relationship Id="rId248" Type="http://schemas.openxmlformats.org/officeDocument/2006/relationships/image" Target="media/image197.jpeg"/><Relationship Id="rId249" Type="http://schemas.openxmlformats.org/officeDocument/2006/relationships/image" Target="media/image198.jpeg"/><Relationship Id="rId250" Type="http://schemas.openxmlformats.org/officeDocument/2006/relationships/image" Target="media/image199.jpeg"/><Relationship Id="rId251" Type="http://schemas.openxmlformats.org/officeDocument/2006/relationships/image" Target="media/image200.jpeg"/><Relationship Id="rId252" Type="http://schemas.openxmlformats.org/officeDocument/2006/relationships/image" Target="media/image201.jpeg"/><Relationship Id="rId253" Type="http://schemas.openxmlformats.org/officeDocument/2006/relationships/image" Target="media/image202.jpeg"/><Relationship Id="rId254" Type="http://schemas.openxmlformats.org/officeDocument/2006/relationships/image" Target="media/image203.jpeg"/><Relationship Id="rId255" Type="http://schemas.openxmlformats.org/officeDocument/2006/relationships/image" Target="media/image204.jpeg"/><Relationship Id="rId256" Type="http://schemas.openxmlformats.org/officeDocument/2006/relationships/image" Target="media/image205.jpeg"/><Relationship Id="rId257" Type="http://schemas.openxmlformats.org/officeDocument/2006/relationships/image" Target="media/image206.jpeg"/><Relationship Id="rId258" Type="http://schemas.openxmlformats.org/officeDocument/2006/relationships/image" Target="media/image207.jpeg"/><Relationship Id="rId259" Type="http://schemas.openxmlformats.org/officeDocument/2006/relationships/image" Target="media/image208.jpeg"/><Relationship Id="rId260" Type="http://schemas.openxmlformats.org/officeDocument/2006/relationships/image" Target="media/image209.jpeg"/><Relationship Id="rId261" Type="http://schemas.openxmlformats.org/officeDocument/2006/relationships/image" Target="media/image210.jpeg"/><Relationship Id="rId262" Type="http://schemas.openxmlformats.org/officeDocument/2006/relationships/image" Target="media/image211.jpeg"/><Relationship Id="rId263" Type="http://schemas.openxmlformats.org/officeDocument/2006/relationships/image" Target="media/image212.jpeg"/><Relationship Id="rId264" Type="http://schemas.openxmlformats.org/officeDocument/2006/relationships/image" Target="media/image213.jpeg"/><Relationship Id="rId265" Type="http://schemas.openxmlformats.org/officeDocument/2006/relationships/image" Target="media/image214.jpeg"/><Relationship Id="rId266" Type="http://schemas.openxmlformats.org/officeDocument/2006/relationships/image" Target="media/image215.jpeg"/><Relationship Id="rId267" Type="http://schemas.openxmlformats.org/officeDocument/2006/relationships/image" Target="media/image216.jpeg"/><Relationship Id="rId268" Type="http://schemas.openxmlformats.org/officeDocument/2006/relationships/image" Target="media/image217.jpeg"/><Relationship Id="rId269" Type="http://schemas.openxmlformats.org/officeDocument/2006/relationships/image" Target="media/image218.jpeg"/><Relationship Id="rId270" Type="http://schemas.openxmlformats.org/officeDocument/2006/relationships/image" Target="media/image219.jpeg"/><Relationship Id="rId271" Type="http://schemas.openxmlformats.org/officeDocument/2006/relationships/image" Target="media/image220.jpeg"/><Relationship Id="rId272" Type="http://schemas.openxmlformats.org/officeDocument/2006/relationships/image" Target="media/image221.jpeg"/><Relationship Id="rId273" Type="http://schemas.openxmlformats.org/officeDocument/2006/relationships/image" Target="media/image222.jpeg"/><Relationship Id="rId274" Type="http://schemas.openxmlformats.org/officeDocument/2006/relationships/image" Target="media/image223.jpeg"/><Relationship Id="rId275" Type="http://schemas.openxmlformats.org/officeDocument/2006/relationships/image" Target="media/image224.jpeg"/><Relationship Id="rId276" Type="http://schemas.openxmlformats.org/officeDocument/2006/relationships/image" Target="media/image225.jpeg"/><Relationship Id="rId277" Type="http://schemas.openxmlformats.org/officeDocument/2006/relationships/image" Target="media/image226.jpeg"/><Relationship Id="rId278" Type="http://schemas.openxmlformats.org/officeDocument/2006/relationships/image" Target="media/image227.jpeg"/><Relationship Id="rId279" Type="http://schemas.openxmlformats.org/officeDocument/2006/relationships/image" Target="media/image228.jpeg"/><Relationship Id="rId280" Type="http://schemas.openxmlformats.org/officeDocument/2006/relationships/image" Target="media/image229.jpeg"/><Relationship Id="rId281" Type="http://schemas.openxmlformats.org/officeDocument/2006/relationships/image" Target="media/image230.jpeg"/><Relationship Id="rId282" Type="http://schemas.openxmlformats.org/officeDocument/2006/relationships/image" Target="media/image231.jpeg"/><Relationship Id="rId283" Type="http://schemas.openxmlformats.org/officeDocument/2006/relationships/image" Target="media/image232.jpeg"/><Relationship Id="rId284" Type="http://schemas.openxmlformats.org/officeDocument/2006/relationships/image" Target="media/image233.jpeg"/><Relationship Id="rId285" Type="http://schemas.openxmlformats.org/officeDocument/2006/relationships/image" Target="media/image234.jpeg"/><Relationship Id="rId286" Type="http://schemas.openxmlformats.org/officeDocument/2006/relationships/image" Target="media/image235.jpeg"/><Relationship Id="rId287" Type="http://schemas.openxmlformats.org/officeDocument/2006/relationships/image" Target="media/image236.jpeg"/><Relationship Id="rId288" Type="http://schemas.openxmlformats.org/officeDocument/2006/relationships/image" Target="media/image237.jpeg"/><Relationship Id="rId289" Type="http://schemas.openxmlformats.org/officeDocument/2006/relationships/image" Target="media/image238.jpeg"/><Relationship Id="rId290" Type="http://schemas.openxmlformats.org/officeDocument/2006/relationships/image" Target="media/image239.jpeg"/><Relationship Id="rId291" Type="http://schemas.openxmlformats.org/officeDocument/2006/relationships/image" Target="media/image240.jpeg"/><Relationship Id="rId292" Type="http://schemas.openxmlformats.org/officeDocument/2006/relationships/image" Target="media/image241.jpeg"/><Relationship Id="rId293" Type="http://schemas.openxmlformats.org/officeDocument/2006/relationships/image" Target="media/image242.jpeg"/><Relationship Id="rId294" Type="http://schemas.openxmlformats.org/officeDocument/2006/relationships/image" Target="media/image243.jpeg"/><Relationship Id="rId295" Type="http://schemas.openxmlformats.org/officeDocument/2006/relationships/image" Target="media/image244.jpeg"/><Relationship Id="rId296" Type="http://schemas.openxmlformats.org/officeDocument/2006/relationships/image" Target="media/image245.jpeg"/><Relationship Id="rId297" Type="http://schemas.openxmlformats.org/officeDocument/2006/relationships/image" Target="media/image246.jpeg"/><Relationship Id="rId298" Type="http://schemas.openxmlformats.org/officeDocument/2006/relationships/image" Target="media/image247.jpeg"/><Relationship Id="rId299" Type="http://schemas.openxmlformats.org/officeDocument/2006/relationships/image" Target="media/image248.jpeg"/><Relationship Id="rId300" Type="http://schemas.openxmlformats.org/officeDocument/2006/relationships/image" Target="media/image249.jpeg"/><Relationship Id="rId301" Type="http://schemas.openxmlformats.org/officeDocument/2006/relationships/image" Target="media/image250.jpeg"/><Relationship Id="rId302" Type="http://schemas.openxmlformats.org/officeDocument/2006/relationships/image" Target="media/image251.jpeg"/><Relationship Id="rId303" Type="http://schemas.openxmlformats.org/officeDocument/2006/relationships/image" Target="media/image252.jpeg"/><Relationship Id="rId304" Type="http://schemas.openxmlformats.org/officeDocument/2006/relationships/image" Target="media/image253.jpeg"/><Relationship Id="rId305" Type="http://schemas.openxmlformats.org/officeDocument/2006/relationships/image" Target="media/image254.jpeg"/><Relationship Id="rId306" Type="http://schemas.openxmlformats.org/officeDocument/2006/relationships/image" Target="media/image255.jpeg"/><Relationship Id="rId307" Type="http://schemas.openxmlformats.org/officeDocument/2006/relationships/image" Target="media/image256.jpeg"/><Relationship Id="rId308" Type="http://schemas.openxmlformats.org/officeDocument/2006/relationships/image" Target="media/image257.jpeg"/><Relationship Id="rId309" Type="http://schemas.openxmlformats.org/officeDocument/2006/relationships/image" Target="media/image258.jpeg"/><Relationship Id="rId310" Type="http://schemas.openxmlformats.org/officeDocument/2006/relationships/image" Target="media/image259.jpeg"/><Relationship Id="rId311" Type="http://schemas.openxmlformats.org/officeDocument/2006/relationships/image" Target="media/image260.jpeg"/><Relationship Id="rId312" Type="http://schemas.openxmlformats.org/officeDocument/2006/relationships/image" Target="media/image261.jpeg"/><Relationship Id="rId313" Type="http://schemas.openxmlformats.org/officeDocument/2006/relationships/image" Target="media/image262.jpeg"/><Relationship Id="rId314" Type="http://schemas.openxmlformats.org/officeDocument/2006/relationships/image" Target="media/image263.jpeg"/><Relationship Id="rId315" Type="http://schemas.openxmlformats.org/officeDocument/2006/relationships/image" Target="media/image264.jpeg"/><Relationship Id="rId316" Type="http://schemas.openxmlformats.org/officeDocument/2006/relationships/image" Target="media/image265.jpeg"/><Relationship Id="rId317" Type="http://schemas.openxmlformats.org/officeDocument/2006/relationships/fontTable" Target="fontTable.xml"/><Relationship Id="rId3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197580</Words>
  <Characters>1086701</Characters>
  <CharactersWithSpaces>1282497</CharactersWithSpaces>
  <Paragraphs>4887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a001-nfexflng2creditagre</dc:title>
</cp:coreProperties>
</file>