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644393 100</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(CUSIP Number)</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Wesley R. Edens</w:t>
      </w:r>
    </w:p>
    <w:p>
      <w:pPr>
        <w:jc w:val="center"/>
        <w:ind w:right="-19"/>
        <w:spacing w:after="0" w:line="184" w:lineRule="auto"/>
        <w:rPr>
          <w:sz w:val="20"/>
          <w:szCs w:val="20"/>
          <w:color w:val="auto"/>
        </w:rPr>
      </w:pPr>
      <w:r>
        <w:rPr>
          <w:rFonts w:ascii="Arial" w:cs="Arial" w:eastAsia="Arial" w:hAnsi="Arial"/>
          <w:sz w:val="19"/>
          <w:szCs w:val="19"/>
          <w:b w:val="1"/>
          <w:bCs w:val="1"/>
          <w:color w:val="auto"/>
        </w:rPr>
        <w:t>111 W. 19</w:t>
      </w:r>
      <w:r>
        <w:rPr>
          <w:rFonts w:ascii="Arial" w:cs="Arial" w:eastAsia="Arial" w:hAnsi="Arial"/>
          <w:sz w:val="29"/>
          <w:szCs w:val="29"/>
          <w:b w:val="1"/>
          <w:bCs w:val="1"/>
          <w:color w:val="auto"/>
          <w:vertAlign w:val="superscript"/>
        </w:rPr>
        <w:t>th</w:t>
      </w:r>
      <w:r>
        <w:rPr>
          <w:rFonts w:ascii="Arial" w:cs="Arial" w:eastAsia="Arial" w:hAnsi="Arial"/>
          <w:sz w:val="19"/>
          <w:szCs w:val="19"/>
          <w:b w:val="1"/>
          <w:bCs w:val="1"/>
          <w:color w:val="auto"/>
        </w:rPr>
        <w:t xml:space="preserve"> St., 8</w:t>
      </w:r>
      <w:r>
        <w:rPr>
          <w:rFonts w:ascii="Arial" w:cs="Arial" w:eastAsia="Arial" w:hAnsi="Arial"/>
          <w:sz w:val="29"/>
          <w:szCs w:val="29"/>
          <w:b w:val="1"/>
          <w:bCs w:val="1"/>
          <w:color w:val="auto"/>
          <w:vertAlign w:val="superscript"/>
        </w:rPr>
        <w:t>th</w:t>
      </w:r>
      <w:r>
        <w:rPr>
          <w:rFonts w:ascii="Arial" w:cs="Arial" w:eastAsia="Arial" w:hAnsi="Arial"/>
          <w:sz w:val="19"/>
          <w:szCs w:val="19"/>
          <w:b w:val="1"/>
          <w:bCs w:val="1"/>
          <w:color w:val="auto"/>
        </w:rPr>
        <w:t xml:space="preserve"> Floor</w:t>
      </w:r>
    </w:p>
    <w:p>
      <w:pPr>
        <w:jc w:val="center"/>
        <w:ind w:right="-19"/>
        <w:spacing w:after="0" w:line="236" w:lineRule="auto"/>
        <w:rPr>
          <w:sz w:val="20"/>
          <w:szCs w:val="20"/>
          <w:color w:val="auto"/>
        </w:rPr>
      </w:pPr>
      <w:r>
        <w:rPr>
          <w:rFonts w:ascii="Arial" w:cs="Arial" w:eastAsia="Arial" w:hAnsi="Arial"/>
          <w:sz w:val="22"/>
          <w:szCs w:val="22"/>
          <w:b w:val="1"/>
          <w:bCs w:val="1"/>
          <w:color w:val="auto"/>
        </w:rPr>
        <w:t>New York, NY 10011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ind w:right="80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ind w:right="240"/>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202" w:lineRule="exact"/>
        <w:rPr>
          <w:sz w:val="24"/>
          <w:szCs w:val="24"/>
          <w:color w:val="auto"/>
        </w:rPr>
      </w:pPr>
    </w:p>
    <w:p>
      <w:pPr>
        <w:ind w:firstLine="8"/>
        <w:spacing w:after="0"/>
        <w:tabs>
          <w:tab w:leader="none" w:pos="644"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ind w:right="22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(the “</w:t>
      </w:r>
      <w:r>
        <w:rPr>
          <w:rFonts w:ascii="Arial" w:cs="Arial" w:eastAsia="Arial" w:hAnsi="Arial"/>
          <w:sz w:val="22"/>
          <w:szCs w:val="22"/>
          <w:i w:val="1"/>
          <w:iCs w:val="1"/>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 D</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CUSIP No. 644393 100</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460" w:type="dxa"/>
            <w:vAlign w:val="bottom"/>
            <w:tcBorders>
              <w:top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6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91"/>
              </w:rPr>
              <w:t>Wesley R. Edens</w:t>
            </w:r>
          </w:p>
        </w:tc>
        <w:tc>
          <w:tcPr>
            <w:tcW w:w="81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46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7"/>
        </w:trPr>
        <w:tc>
          <w:tcPr>
            <w:tcW w:w="126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812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Arial" w:cs="Arial" w:eastAsia="Arial" w:hAnsi="Arial"/>
                <w:sz w:val="16"/>
                <w:szCs w:val="16"/>
                <w:b w:val="1"/>
                <w:bCs w:val="1"/>
                <w:color w:val="auto"/>
              </w:rPr>
              <w:t>SEC USE ONLY</w:t>
            </w:r>
          </w:p>
        </w:tc>
        <w:tc>
          <w:tcPr>
            <w:tcW w:w="812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00" w:type="dxa"/>
            <w:vAlign w:val="bottom"/>
            <w:tcBorders>
              <w:right w:val="single" w:sz="8" w:color="BFBFBF"/>
            </w:tcBorders>
            <w:shd w:val="clear" w:color="auto" w:fill="BFBFBF"/>
          </w:tcPr>
          <w:p>
            <w:pPr>
              <w:spacing w:after="0"/>
              <w:rPr>
                <w:sz w:val="24"/>
                <w:szCs w:val="24"/>
                <w:color w:val="auto"/>
              </w:rPr>
            </w:pPr>
          </w:p>
        </w:tc>
        <w:tc>
          <w:tcPr>
            <w:tcW w:w="812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6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12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60" w:type="dxa"/>
            <w:vAlign w:val="bottom"/>
            <w:tcBorders>
              <w:left w:val="single" w:sz="8" w:color="auto"/>
              <w:right w:val="single" w:sz="8" w:color="auto"/>
            </w:tcBorders>
            <w:vMerge w:val="continue"/>
          </w:tcPr>
          <w:p>
            <w:pPr>
              <w:spacing w:after="0"/>
              <w:rPr>
                <w:sz w:val="24"/>
                <w:szCs w:val="24"/>
                <w:color w:val="auto"/>
              </w:rPr>
            </w:pPr>
          </w:p>
        </w:tc>
        <w:tc>
          <w:tcPr>
            <w:tcW w:w="9460" w:type="dxa"/>
            <w:vAlign w:val="bottom"/>
            <w:gridSpan w:val="4"/>
          </w:tcPr>
          <w:p>
            <w:pPr>
              <w:ind w:left="40"/>
              <w:spacing w:after="0"/>
              <w:rPr>
                <w:sz w:val="20"/>
                <w:szCs w:val="20"/>
                <w:color w:val="auto"/>
              </w:rPr>
            </w:pPr>
            <w:r>
              <w:rPr>
                <w:rFonts w:ascii="Arial" w:cs="Arial" w:eastAsia="Arial" w:hAnsi="Arial"/>
                <w:sz w:val="18"/>
                <w:szCs w:val="18"/>
                <w:color w:val="auto"/>
              </w:rPr>
              <w:t>N/A (please see Item 3)</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46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60" w:type="dxa"/>
            <w:vAlign w:val="bottom"/>
            <w:tcBorders>
              <w:left w:val="single" w:sz="8" w:color="auto"/>
              <w:bottom w:val="single" w:sz="8" w:color="auto"/>
              <w:right w:val="single" w:sz="8" w:color="auto"/>
            </w:tcBorders>
          </w:tcPr>
          <w:p>
            <w:pPr>
              <w:spacing w:after="0"/>
              <w:rPr>
                <w:sz w:val="16"/>
                <w:szCs w:val="16"/>
                <w:color w:val="auto"/>
              </w:rPr>
            </w:pPr>
          </w:p>
        </w:tc>
        <w:tc>
          <w:tcPr>
            <w:tcW w:w="946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6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81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47,540,925</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8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80" w:type="dxa"/>
            <w:vAlign w:val="bottom"/>
          </w:tcPr>
          <w:p>
            <w:pPr>
              <w:spacing w:after="0"/>
              <w:rPr>
                <w:sz w:val="16"/>
                <w:szCs w:val="16"/>
                <w:color w:val="auto"/>
              </w:rPr>
            </w:pPr>
          </w:p>
        </w:tc>
        <w:tc>
          <w:tcPr>
            <w:tcW w:w="600" w:type="dxa"/>
            <w:vAlign w:val="bottom"/>
            <w:tcBorders>
              <w:right w:val="single" w:sz="8" w:color="auto"/>
            </w:tcBorders>
            <w:vMerge w:val="continue"/>
          </w:tcPr>
          <w:p>
            <w:pPr>
              <w:spacing w:after="0"/>
              <w:rPr>
                <w:sz w:val="16"/>
                <w:szCs w:val="16"/>
                <w:color w:val="auto"/>
              </w:rPr>
            </w:pPr>
          </w:p>
        </w:tc>
        <w:tc>
          <w:tcPr>
            <w:tcW w:w="8120" w:type="dxa"/>
            <w:vAlign w:val="bottom"/>
          </w:tcPr>
          <w:p>
            <w:pPr>
              <w:ind w:left="20"/>
              <w:spacing w:after="0"/>
              <w:rPr>
                <w:sz w:val="20"/>
                <w:szCs w:val="20"/>
                <w:color w:val="auto"/>
              </w:rPr>
            </w:pPr>
            <w:r>
              <w:rPr>
                <w:rFonts w:ascii="Arial" w:cs="Arial" w:eastAsia="Arial" w:hAnsi="Arial"/>
                <w:sz w:val="16"/>
                <w:szCs w:val="16"/>
                <w:color w:val="auto"/>
              </w:rPr>
              <w:t>0</w:t>
            </w:r>
          </w:p>
        </w:tc>
        <w:tc>
          <w:tcPr>
            <w:tcW w:w="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920" w:type="dxa"/>
            <w:vAlign w:val="bottom"/>
            <w:tcBorders>
              <w:left w:val="single" w:sz="8" w:color="auto"/>
              <w:right w:val="single" w:sz="8" w:color="auto"/>
            </w:tcBorders>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812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812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8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REPORTING PERSON</w:t>
            </w:r>
          </w:p>
        </w:tc>
        <w:tc>
          <w:tcPr>
            <w:tcW w:w="80" w:type="dxa"/>
            <w:vAlign w:val="bottom"/>
          </w:tcPr>
          <w:p>
            <w:pPr>
              <w:spacing w:after="0"/>
              <w:rPr>
                <w:sz w:val="12"/>
                <w:szCs w:val="12"/>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12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20" w:type="dxa"/>
            <w:vAlign w:val="bottom"/>
            <w:tcBorders>
              <w:left w:val="single" w:sz="8" w:color="auto"/>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81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6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8120" w:type="dxa"/>
            <w:vAlign w:val="bottom"/>
            <w:vMerge w:val="restart"/>
          </w:tcPr>
          <w:p>
            <w:pPr>
              <w:ind w:left="20"/>
              <w:spacing w:after="0"/>
              <w:rPr>
                <w:sz w:val="20"/>
                <w:szCs w:val="20"/>
                <w:color w:val="auto"/>
              </w:rPr>
            </w:pPr>
            <w:r>
              <w:rPr>
                <w:rFonts w:ascii="Arial" w:cs="Arial" w:eastAsia="Arial" w:hAnsi="Arial"/>
                <w:sz w:val="18"/>
                <w:szCs w:val="18"/>
                <w:color w:val="auto"/>
              </w:rPr>
              <w:t>47,540,925</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26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right w:val="single" w:sz="8" w:color="auto"/>
            </w:tcBorders>
            <w:vMerge w:val="continue"/>
          </w:tcPr>
          <w:p>
            <w:pPr>
              <w:spacing w:after="0"/>
              <w:rPr>
                <w:sz w:val="11"/>
                <w:szCs w:val="11"/>
                <w:color w:val="auto"/>
              </w:rPr>
            </w:pPr>
          </w:p>
        </w:tc>
        <w:tc>
          <w:tcPr>
            <w:tcW w:w="8120" w:type="dxa"/>
            <w:vAlign w:val="bottom"/>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8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120" w:type="dxa"/>
            <w:vAlign w:val="bottom"/>
          </w:tcPr>
          <w:p>
            <w:pPr>
              <w:ind w:left="80"/>
              <w:spacing w:after="0"/>
              <w:rPr>
                <w:sz w:val="20"/>
                <w:szCs w:val="20"/>
                <w:color w:val="auto"/>
              </w:rPr>
            </w:pPr>
            <w:r>
              <w:rPr>
                <w:rFonts w:ascii="Arial" w:cs="Arial" w:eastAsia="Arial" w:hAnsi="Arial"/>
                <w:sz w:val="16"/>
                <w:szCs w:val="16"/>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6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12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6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47,540,925</w:t>
            </w:r>
          </w:p>
        </w:tc>
        <w:tc>
          <w:tcPr>
            <w:tcW w:w="81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6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812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6"/>
        </w:trPr>
        <w:tc>
          <w:tcPr>
            <w:tcW w:w="126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1"/>
              </w:rPr>
              <w:t>23.0%</w:t>
            </w:r>
            <w:r>
              <w:rPr>
                <w:rFonts w:ascii="Arial" w:cs="Arial" w:eastAsia="Arial" w:hAnsi="Arial"/>
                <w:sz w:val="29"/>
                <w:szCs w:val="29"/>
                <w:color w:val="auto"/>
                <w:w w:val="91"/>
                <w:vertAlign w:val="superscript"/>
              </w:rPr>
              <w:t>(1)</w:t>
            </w:r>
          </w:p>
        </w:tc>
        <w:tc>
          <w:tcPr>
            <w:tcW w:w="60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60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340" w:hanging="412"/>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Calculations are based upon a total of 206,698,564 Class A Shares outstanding as of May 3, 2021, as reported by the Issuer in its Form 10-Q filed with the Securities and Exchange Commission on 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filing constitutes Amendment No. 4 (this “</w:t>
      </w:r>
      <w:r>
        <w:rPr>
          <w:rFonts w:ascii="Arial" w:cs="Arial" w:eastAsia="Arial" w:hAnsi="Arial"/>
          <w:sz w:val="21"/>
          <w:szCs w:val="21"/>
          <w:i w:val="1"/>
          <w:iCs w:val="1"/>
          <w:color w:val="auto"/>
        </w:rPr>
        <w:t>Amendment</w:t>
      </w:r>
      <w:r>
        <w:rPr>
          <w:rFonts w:ascii="Arial" w:cs="Arial" w:eastAsia="Arial" w:hAnsi="Arial"/>
          <w:sz w:val="21"/>
          <w:szCs w:val="21"/>
          <w:color w:val="auto"/>
        </w:rPr>
        <w:t>”) to the Schedule 13D filed by Wesley R. Edens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Reporting Person</w:t>
      </w:r>
      <w:r>
        <w:rPr>
          <w:rFonts w:ascii="Arial" w:cs="Arial" w:eastAsia="Arial" w:hAnsi="Arial"/>
          <w:sz w:val="19"/>
          <w:szCs w:val="19"/>
          <w:color w:val="auto"/>
        </w:rPr>
        <w:t>”) with the Securities and Exchange Commission (the “</w:t>
      </w:r>
      <w:r>
        <w:rPr>
          <w:rFonts w:ascii="Arial" w:cs="Arial" w:eastAsia="Arial" w:hAnsi="Arial"/>
          <w:sz w:val="19"/>
          <w:szCs w:val="19"/>
          <w:i w:val="1"/>
          <w:iCs w:val="1"/>
          <w:color w:val="auto"/>
        </w:rPr>
        <w:t>SEC</w:t>
      </w:r>
      <w:r>
        <w:rPr>
          <w:rFonts w:ascii="Arial" w:cs="Arial" w:eastAsia="Arial" w:hAnsi="Arial"/>
          <w:sz w:val="19"/>
          <w:szCs w:val="19"/>
          <w:color w:val="auto"/>
        </w:rPr>
        <w:t>”) on February 4, 2019 (the “</w:t>
      </w:r>
      <w:r>
        <w:rPr>
          <w:rFonts w:ascii="Arial" w:cs="Arial" w:eastAsia="Arial" w:hAnsi="Arial"/>
          <w:sz w:val="19"/>
          <w:szCs w:val="19"/>
          <w:i w:val="1"/>
          <w:iCs w:val="1"/>
          <w:color w:val="auto"/>
        </w:rPr>
        <w:t>Original Schedule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13D</w:t>
      </w:r>
      <w:r>
        <w:rPr>
          <w:rFonts w:ascii="Arial" w:cs="Arial" w:eastAsia="Arial" w:hAnsi="Arial"/>
          <w:sz w:val="19"/>
          <w:szCs w:val="19"/>
          <w:color w:val="auto"/>
        </w:rPr>
        <w:t>”), as amended by Amendment No. 1 filed with the SEC on March 28, 2019, by Amendment No. 2 filed with the SEC on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June 11, 2020 and by Amendment No. 3 filed with the SEC on March 18, 2021 (the Original Schedule 13D, as previously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amended and as further amended and supplemented by this Amendment, the “</w:t>
      </w:r>
      <w:r>
        <w:rPr>
          <w:rFonts w:ascii="Arial" w:cs="Arial" w:eastAsia="Arial" w:hAnsi="Arial"/>
          <w:sz w:val="19"/>
          <w:szCs w:val="19"/>
          <w:i w:val="1"/>
          <w:iCs w:val="1"/>
          <w:color w:val="auto"/>
        </w:rPr>
        <w:t>Schedule 13D</w:t>
      </w:r>
      <w:r>
        <w:rPr>
          <w:rFonts w:ascii="Arial" w:cs="Arial" w:eastAsia="Arial" w:hAnsi="Arial"/>
          <w:sz w:val="19"/>
          <w:szCs w:val="19"/>
          <w:color w:val="auto"/>
        </w:rPr>
        <w:t>”) with respect to the shares of Class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A common stock (“</w:t>
      </w:r>
      <w:r>
        <w:rPr>
          <w:rFonts w:ascii="Arial" w:cs="Arial" w:eastAsia="Arial" w:hAnsi="Arial"/>
          <w:sz w:val="21"/>
          <w:szCs w:val="21"/>
          <w:i w:val="1"/>
          <w:iCs w:val="1"/>
          <w:color w:val="auto"/>
        </w:rPr>
        <w:t>Class A Shares</w:t>
      </w:r>
      <w:r>
        <w:rPr>
          <w:rFonts w:ascii="Arial" w:cs="Arial" w:eastAsia="Arial" w:hAnsi="Arial"/>
          <w:sz w:val="21"/>
          <w:szCs w:val="21"/>
          <w:color w:val="auto"/>
        </w:rPr>
        <w:t>”) of New Fortress Energy Inc., a Delaware corporation (the “</w:t>
      </w:r>
      <w:r>
        <w:rPr>
          <w:rFonts w:ascii="Arial" w:cs="Arial" w:eastAsia="Arial" w:hAnsi="Arial"/>
          <w:sz w:val="21"/>
          <w:szCs w:val="21"/>
          <w:i w:val="1"/>
          <w:iCs w:val="1"/>
          <w:color w:val="auto"/>
        </w:rPr>
        <w:t>Issuer</w:t>
      </w:r>
      <w:r>
        <w:rPr>
          <w:rFonts w:ascii="Arial" w:cs="Arial" w:eastAsia="Arial" w:hAnsi="Arial"/>
          <w:sz w:val="21"/>
          <w:szCs w:val="21"/>
          <w:color w:val="auto"/>
        </w:rPr>
        <w:t>”). As previously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disclosed, on March 12, 2021, the Reporting Person formed Edens Family Holdings LLC, a Delaware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Family LLC</w:t>
      </w:r>
      <w:r>
        <w:rPr>
          <w:rFonts w:ascii="Arial" w:cs="Arial" w:eastAsia="Arial" w:hAnsi="Arial"/>
          <w:sz w:val="19"/>
          <w:szCs w:val="19"/>
          <w:color w:val="auto"/>
        </w:rPr>
        <w:t>”), and, on March 16, 2021, contributed 25,086,851 Class A Shares and certain other securities to it. The Reporting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Person is filing this Amendment to disclose that, on June 11, 2021, the Reporting Person transferred all of the Family LLC</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common limited liability company interests to Lynn M. Edens for no consideration and Ms. Edens became the manager of Family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LLC.</w:t>
      </w:r>
    </w:p>
    <w:p>
      <w:pPr>
        <w:spacing w:after="0" w:line="215" w:lineRule="exact"/>
        <w:rPr>
          <w:sz w:val="20"/>
          <w:szCs w:val="20"/>
          <w:color w:val="auto"/>
        </w:rPr>
      </w:pPr>
    </w:p>
    <w:p>
      <w:pPr>
        <w:ind w:right="620" w:firstLine="648"/>
        <w:spacing w:after="0"/>
        <w:rPr>
          <w:sz w:val="20"/>
          <w:szCs w:val="20"/>
          <w:color w:val="auto"/>
        </w:rPr>
      </w:pPr>
      <w:r>
        <w:rPr>
          <w:rFonts w:ascii="Arial" w:cs="Arial" w:eastAsia="Arial" w:hAnsi="Arial"/>
          <w:sz w:val="22"/>
          <w:szCs w:val="22"/>
          <w:color w:val="auto"/>
        </w:rPr>
        <w:t>Unless set forth below, all previous Items of the Original Schedule 13D, as previously amended, are unchanged. Capitalized terms used in this Amendment and not otherwise defined shall have the same meanings ascribed to them in the Original Schedule 13D, as previously amended.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Identity and Background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2 to the Schedule 13D is hereby amended and restated as follows:</w:t>
      </w:r>
    </w:p>
    <w:p>
      <w:pPr>
        <w:spacing w:after="0" w:line="233" w:lineRule="exact"/>
        <w:rPr>
          <w:sz w:val="20"/>
          <w:szCs w:val="20"/>
          <w:color w:val="auto"/>
        </w:rPr>
      </w:pPr>
    </w:p>
    <w:p>
      <w:pPr>
        <w:ind w:left="1100" w:hanging="444"/>
        <w:spacing w:after="0"/>
        <w:tabs>
          <w:tab w:leader="none" w:pos="110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Schedule 13D is being filed on behalf of Wesley R. Edens.</w:t>
      </w:r>
    </w:p>
    <w:p>
      <w:pPr>
        <w:spacing w:after="0" w:line="226" w:lineRule="exact"/>
        <w:rPr>
          <w:rFonts w:ascii="Arial" w:cs="Arial" w:eastAsia="Arial" w:hAnsi="Arial"/>
          <w:sz w:val="22"/>
          <w:szCs w:val="22"/>
          <w:color w:val="auto"/>
        </w:rPr>
      </w:pPr>
    </w:p>
    <w:p>
      <w:pPr>
        <w:ind w:left="1120" w:hanging="464"/>
        <w:spacing w:after="0"/>
        <w:tabs>
          <w:tab w:leader="none" w:pos="112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principal business address of the Reporting Person is 111 W. 19</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St., 8</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Floor, New York, NY 10011.</w:t>
      </w:r>
    </w:p>
    <w:p>
      <w:pPr>
        <w:spacing w:after="0" w:line="101" w:lineRule="exact"/>
        <w:rPr>
          <w:rFonts w:ascii="Arial" w:cs="Arial" w:eastAsia="Arial" w:hAnsi="Arial"/>
          <w:sz w:val="21"/>
          <w:szCs w:val="21"/>
          <w:color w:val="auto"/>
        </w:rPr>
      </w:pPr>
    </w:p>
    <w:p>
      <w:pPr>
        <w:ind w:right="40" w:firstLine="656"/>
        <w:spacing w:after="0" w:line="250" w:lineRule="auto"/>
        <w:tabs>
          <w:tab w:leader="none" w:pos="110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present principal occupation of the Reporting Person is Chairman of the Board of Directors and Chief Executive Officer of the Issuer, which is a global energy infrastructure company.</w:t>
      </w:r>
    </w:p>
    <w:p>
      <w:pPr>
        <w:spacing w:after="0" w:line="201" w:lineRule="exact"/>
        <w:rPr>
          <w:rFonts w:ascii="Arial" w:cs="Arial" w:eastAsia="Arial" w:hAnsi="Arial"/>
          <w:sz w:val="22"/>
          <w:szCs w:val="22"/>
          <w:color w:val="auto"/>
        </w:rPr>
      </w:pPr>
    </w:p>
    <w:p>
      <w:pPr>
        <w:ind w:right="640" w:firstLine="656"/>
        <w:spacing w:after="0" w:line="250" w:lineRule="auto"/>
        <w:tabs>
          <w:tab w:leader="none" w:pos="1116"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past five years, the Reporting Person has not been convicted in a criminal proceeding (excluding traffic violations or similar misdemeanors).</w:t>
      </w:r>
    </w:p>
    <w:p>
      <w:pPr>
        <w:spacing w:after="0" w:line="201" w:lineRule="exact"/>
        <w:rPr>
          <w:rFonts w:ascii="Arial" w:cs="Arial" w:eastAsia="Arial" w:hAnsi="Arial"/>
          <w:sz w:val="22"/>
          <w:szCs w:val="22"/>
          <w:color w:val="auto"/>
        </w:rPr>
      </w:pPr>
    </w:p>
    <w:p>
      <w:pPr>
        <w:jc w:val="both"/>
        <w:ind w:right="120" w:firstLine="656"/>
        <w:spacing w:after="0" w:line="297" w:lineRule="auto"/>
        <w:tabs>
          <w:tab w:leader="none" w:pos="1104" w:val="left"/>
        </w:tabs>
        <w:numPr>
          <w:ilvl w:val="0"/>
          <w:numId w:val="3"/>
        </w:numPr>
        <w:rPr>
          <w:rFonts w:ascii="Arial" w:cs="Arial" w:eastAsia="Arial" w:hAnsi="Arial"/>
          <w:sz w:val="19"/>
          <w:szCs w:val="19"/>
          <w:color w:val="auto"/>
        </w:rPr>
      </w:pPr>
      <w:r>
        <w:rPr>
          <w:rFonts w:ascii="Arial" w:cs="Arial" w:eastAsia="Arial" w:hAnsi="Arial"/>
          <w:sz w:val="19"/>
          <w:szCs w:val="19"/>
          <w:color w:val="auto"/>
        </w:rPr>
        <w:t>In the past five years, the Reporting Person has not been a party to a civil proceeding of a judicial or administrative body of competent jurisdiction that has resulted in a judgment, decree or final order enjoining future violations of, or prohibiting or mandating activities subject to, federal or state securities laws or finding any violations with respect to such laws.</w:t>
      </w:r>
    </w:p>
    <w:p>
      <w:pPr>
        <w:spacing w:after="0" w:line="160" w:lineRule="exact"/>
        <w:rPr>
          <w:rFonts w:ascii="Arial" w:cs="Arial" w:eastAsia="Arial" w:hAnsi="Arial"/>
          <w:sz w:val="19"/>
          <w:szCs w:val="19"/>
          <w:color w:val="auto"/>
        </w:rPr>
      </w:pPr>
    </w:p>
    <w:p>
      <w:pPr>
        <w:ind w:left="1140" w:hanging="484"/>
        <w:spacing w:after="0"/>
        <w:tabs>
          <w:tab w:leader="none" w:pos="1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Reporting Person is a citizen of the United States.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Source and Amount of Funds or Other Consideration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3 to the Schedule 13D is hereby amended by the addition of the following text:</w:t>
      </w:r>
    </w:p>
    <w:p>
      <w:pPr>
        <w:spacing w:after="0" w:line="233" w:lineRule="exact"/>
        <w:rPr>
          <w:sz w:val="20"/>
          <w:szCs w:val="20"/>
          <w:color w:val="auto"/>
        </w:rPr>
      </w:pPr>
    </w:p>
    <w:p>
      <w:pPr>
        <w:ind w:right="160" w:firstLine="648"/>
        <w:spacing w:after="0" w:line="249" w:lineRule="auto"/>
        <w:rPr>
          <w:sz w:val="20"/>
          <w:szCs w:val="20"/>
          <w:color w:val="auto"/>
        </w:rPr>
      </w:pPr>
      <w:r>
        <w:rPr>
          <w:rFonts w:ascii="Arial" w:cs="Arial" w:eastAsia="Arial" w:hAnsi="Arial"/>
          <w:sz w:val="21"/>
          <w:szCs w:val="21"/>
          <w:color w:val="auto"/>
        </w:rPr>
        <w:t>As previously disclosed, on March 12, 2021, the Reporting Person formed Family LLC and, on March 16, 2021, contributed 25,086,851 Class A Shares and certain other securities to it. The Reporting Person is filing this Amendment to disclose that, on June 11, 2021, the Reporting Person transferred all of the Family LLC common limited liability company interests to Lynn M. Edens for no consideration. Ms. Edens is the manager of Family LLC and holds sole voting and investment power and beneficial ownership in respect of the Class A Shares owned by Family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Item 5. Interest in Securities of the Issuer</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5 is hereby amended and restated as follows:</w:t>
      </w:r>
    </w:p>
    <w:p>
      <w:pPr>
        <w:spacing w:after="0" w:line="233" w:lineRule="exact"/>
        <w:rPr>
          <w:sz w:val="20"/>
          <w:szCs w:val="20"/>
          <w:color w:val="auto"/>
        </w:rPr>
      </w:pPr>
    </w:p>
    <w:p>
      <w:pPr>
        <w:ind w:right="40" w:firstLine="656"/>
        <w:spacing w:after="0" w:line="276" w:lineRule="auto"/>
        <w:tabs>
          <w:tab w:leader="none" w:pos="942" w:val="left"/>
        </w:tabs>
        <w:numPr>
          <w:ilvl w:val="0"/>
          <w:numId w:val="4"/>
        </w:numPr>
        <w:rPr>
          <w:rFonts w:ascii="Arial" w:cs="Arial" w:eastAsia="Arial" w:hAnsi="Arial"/>
          <w:sz w:val="19"/>
          <w:szCs w:val="19"/>
          <w:color w:val="auto"/>
        </w:rPr>
      </w:pPr>
      <w:r>
        <w:rPr>
          <w:rFonts w:ascii="Arial" w:cs="Arial" w:eastAsia="Arial" w:hAnsi="Arial"/>
          <w:sz w:val="19"/>
          <w:szCs w:val="19"/>
          <w:color w:val="auto"/>
        </w:rPr>
        <w:t>— (b) The aggregate number and percentage of Class A Shares beneficially owned by the Reporting Person (on the basis of a total of 206,698,564 Class A Shares issued and outstanding as of May 3, 2021, as reported by the Issuer in its Form</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10-Q filed with the Securities and Exchange Commission on May 7, 2021) are as follows: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Amount beneficially owned: 47,540,925</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Percentage:</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Number of shares to which the Reporting Person has:</w:t>
            </w:r>
          </w:p>
        </w:tc>
        <w:tc>
          <w:tcPr>
            <w:tcW w:w="2720" w:type="dxa"/>
            <w:vAlign w:val="bottom"/>
          </w:tcPr>
          <w:p>
            <w:pPr>
              <w:spacing w:after="0"/>
              <w:rPr>
                <w:sz w:val="18"/>
                <w:szCs w:val="18"/>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 Sole power to vote or to direct the vote:</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47,540,925</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ii. Shared power to vote or to direct the vote:</w:t>
            </w:r>
          </w:p>
        </w:tc>
        <w:tc>
          <w:tcPr>
            <w:tcW w:w="27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iii. Sole power to dispose or to direct the disposition of:</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47,540,925</w:t>
            </w: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iv. Shared power to dispose or to direct the disposition of:</w:t>
            </w:r>
          </w:p>
        </w:tc>
        <w:tc>
          <w:tcPr>
            <w:tcW w:w="27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7" w:lineRule="exact"/>
        <w:rPr>
          <w:sz w:val="20"/>
          <w:szCs w:val="20"/>
          <w:color w:val="auto"/>
        </w:rPr>
      </w:pPr>
    </w:p>
    <w:p>
      <w:pPr>
        <w:ind w:right="160" w:firstLine="656"/>
        <w:spacing w:after="0" w:line="274" w:lineRule="auto"/>
        <w:tabs>
          <w:tab w:leader="none" w:pos="1424"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information contained in Item 3 above is incorporated herein by reference. Except as described therein, the Reporting Person has not effected any transactions in the Class A Shares during the past 60 days.</w:t>
      </w:r>
    </w:p>
    <w:p>
      <w:pPr>
        <w:spacing w:after="0" w:line="177" w:lineRule="exact"/>
        <w:rPr>
          <w:rFonts w:ascii="Arial" w:cs="Arial" w:eastAsia="Arial" w:hAnsi="Arial"/>
          <w:sz w:val="21"/>
          <w:szCs w:val="21"/>
          <w:color w:val="auto"/>
        </w:rPr>
      </w:pPr>
    </w:p>
    <w:p>
      <w:pPr>
        <w:ind w:firstLine="656"/>
        <w:spacing w:after="0" w:line="236" w:lineRule="auto"/>
        <w:tabs>
          <w:tab w:leader="none" w:pos="1436"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Reporting Person holds certain Class A Shares through WRE 2012 Trust LLC, an entity controlled by the Reporting Person, but has the sole right to receive or direct the receipt of dividends on and the proceeds from the sale of the Class A Shares reported on the cover page of this Schedule 13D and in this Item 5. No other person is known by the Reporting Person to have the right to receive or the power to direct the receipt of dividends on or the proceeds from the sale of the Class A Shares beneficially owned by the Reporting Person.</w:t>
      </w:r>
    </w:p>
    <w:p>
      <w:pPr>
        <w:spacing w:after="0" w:line="214" w:lineRule="exact"/>
        <w:rPr>
          <w:rFonts w:ascii="Arial" w:cs="Arial" w:eastAsia="Arial" w:hAnsi="Arial"/>
          <w:sz w:val="22"/>
          <w:szCs w:val="22"/>
          <w:color w:val="auto"/>
        </w:rPr>
      </w:pPr>
    </w:p>
    <w:p>
      <w:pPr>
        <w:ind w:left="1440" w:hanging="784"/>
        <w:spacing w:after="0"/>
        <w:tabs>
          <w:tab w:leader="none" w:pos="14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 w:name="page5"/>
    <w:bookmarkEnd w:id="4"/>
    <w:p>
      <w:pPr>
        <w:jc w:val="center"/>
        <w:ind w:right="-39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as of June 14, 2021</w:t>
      </w:r>
    </w:p>
    <w:p>
      <w:pPr>
        <w:spacing w:after="0" w:line="240" w:lineRule="exact"/>
        <w:rPr>
          <w:sz w:val="20"/>
          <w:szCs w:val="20"/>
          <w:color w:val="auto"/>
        </w:rPr>
      </w:pPr>
    </w:p>
    <w:tbl>
      <w:tblPr>
        <w:tblLayout w:type="fixed"/>
        <w:tblInd w:w="5640" w:type="dxa"/>
        <w:tblCellMar>
          <w:top w:w="0" w:type="dxa"/>
          <w:left w:w="0" w:type="dxa"/>
          <w:bottom w:w="0" w:type="dxa"/>
          <w:right w:w="0" w:type="dxa"/>
        </w:tblCellMar>
      </w:tblP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R. Edens</w:t>
            </w:r>
          </w:p>
        </w:tc>
      </w:tr>
      <w:tr>
        <w:trPr>
          <w:trHeight w:val="230"/>
        </w:trPr>
        <w:tc>
          <w:tcPr>
            <w:tcW w:w="56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Wesley R. Edens</w:t>
            </w:r>
          </w:p>
        </w:tc>
      </w:tr>
    </w:tbl>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40"/>
      </w:cols>
      <w:pgMar w:left="320" w:top="112"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2021-06-15T05:35:55Z</dcterms:created>
  <dcterms:modified xsi:type="dcterms:W3CDTF">2021-06-15T05:35:55Z</dcterms:modified>
</cp:coreProperties>
</file>