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4, 2019</w:t>
      </w:r>
    </w:p>
    <w:p>
      <w:pPr>
        <w:spacing w:after="0" w:line="25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940"/>
        <w:spacing w:after="0"/>
        <w:rPr>
          <w:sz w:val="20"/>
          <w:szCs w:val="20"/>
          <w:color w:val="auto"/>
        </w:rPr>
      </w:pPr>
      <w:r>
        <w:rPr>
          <w:rFonts w:ascii="Arial" w:cs="Arial" w:eastAsia="Arial" w:hAnsi="Arial"/>
          <w:sz w:val="18"/>
          <w:szCs w:val="18"/>
          <w:b w:val="1"/>
          <w:bCs w:val="1"/>
          <w:color w:val="auto"/>
        </w:rPr>
        <w:t>_________________</w:t>
      </w:r>
    </w:p>
    <w:p>
      <w:pPr>
        <w:spacing w:after="0" w:line="182"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b w:val="1"/>
          <w:bCs w:val="1"/>
          <w:color w:val="auto"/>
        </w:rPr>
        <w:t>FORM S</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8</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_________________</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New Fortress Energy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2400" w:type="dxa"/>
            <w:vAlign w:val="bottom"/>
          </w:tcPr>
          <w:p>
            <w:pPr>
              <w:ind w:left="680"/>
              <w:spacing w:after="0"/>
              <w:rPr>
                <w:sz w:val="20"/>
                <w:szCs w:val="20"/>
                <w:color w:val="auto"/>
              </w:rPr>
            </w:pPr>
            <w:r>
              <w:rPr>
                <w:rFonts w:ascii="Arial" w:cs="Arial" w:eastAsia="Arial" w:hAnsi="Arial"/>
                <w:sz w:val="18"/>
                <w:szCs w:val="18"/>
                <w:b w:val="1"/>
                <w:bCs w:val="1"/>
                <w:color w:val="auto"/>
              </w:rPr>
              <w:t>Delaware</w:t>
            </w:r>
          </w:p>
        </w:tc>
        <w:tc>
          <w:tcPr>
            <w:tcW w:w="7260" w:type="dxa"/>
            <w:vAlign w:val="bottom"/>
          </w:tcPr>
          <w:p>
            <w:pPr>
              <w:jc w:val="center"/>
              <w:ind w:left="5491"/>
              <w:spacing w:after="0"/>
              <w:rPr>
                <w:sz w:val="20"/>
                <w:szCs w:val="20"/>
                <w:color w:val="auto"/>
              </w:rPr>
            </w:pPr>
            <w:r>
              <w:rPr>
                <w:rFonts w:ascii="Arial" w:cs="Arial" w:eastAsia="Arial" w:hAnsi="Arial"/>
                <w:sz w:val="18"/>
                <w:szCs w:val="18"/>
                <w:b w:val="1"/>
                <w:bCs w:val="1"/>
                <w:color w:val="auto"/>
                <w:w w:val="91"/>
              </w:rPr>
              <w:t>83-1482060</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7260" w:type="dxa"/>
            <w:vAlign w:val="bottom"/>
          </w:tcPr>
          <w:p>
            <w:pPr>
              <w:jc w:val="center"/>
              <w:ind w:left="5491"/>
              <w:spacing w:after="0"/>
              <w:rPr>
                <w:sz w:val="20"/>
                <w:szCs w:val="20"/>
                <w:color w:val="auto"/>
              </w:rPr>
            </w:pPr>
            <w:r>
              <w:rPr>
                <w:rFonts w:ascii="Arial" w:cs="Arial" w:eastAsia="Arial" w:hAnsi="Arial"/>
                <w:sz w:val="18"/>
                <w:szCs w:val="18"/>
                <w:color w:val="auto"/>
                <w:w w:val="93"/>
              </w:rPr>
              <w:t>(I.R.S. Employer</w:t>
            </w:r>
          </w:p>
        </w:tc>
      </w:tr>
      <w:tr>
        <w:trPr>
          <w:trHeight w:val="202"/>
        </w:trPr>
        <w:tc>
          <w:tcPr>
            <w:tcW w:w="2400" w:type="dxa"/>
            <w:vAlign w:val="bottom"/>
          </w:tcPr>
          <w:p>
            <w:pPr>
              <w:spacing w:after="0" w:line="202" w:lineRule="exact"/>
              <w:rPr>
                <w:sz w:val="20"/>
                <w:szCs w:val="20"/>
                <w:color w:val="auto"/>
              </w:rPr>
            </w:pPr>
            <w:r>
              <w:rPr>
                <w:rFonts w:ascii="Arial" w:cs="Arial" w:eastAsia="Arial" w:hAnsi="Arial"/>
                <w:sz w:val="18"/>
                <w:szCs w:val="18"/>
                <w:color w:val="auto"/>
              </w:rPr>
              <w:t>incorporation or organization)</w:t>
            </w:r>
          </w:p>
        </w:tc>
        <w:tc>
          <w:tcPr>
            <w:tcW w:w="7260" w:type="dxa"/>
            <w:vAlign w:val="bottom"/>
          </w:tcPr>
          <w:p>
            <w:pPr>
              <w:jc w:val="center"/>
              <w:ind w:left="5511"/>
              <w:spacing w:after="0" w:line="202" w:lineRule="exact"/>
              <w:rPr>
                <w:sz w:val="20"/>
                <w:szCs w:val="20"/>
                <w:color w:val="auto"/>
              </w:rPr>
            </w:pPr>
            <w:r>
              <w:rPr>
                <w:rFonts w:ascii="Arial" w:cs="Arial" w:eastAsia="Arial" w:hAnsi="Arial"/>
                <w:sz w:val="18"/>
                <w:szCs w:val="18"/>
                <w:color w:val="auto"/>
                <w:w w:val="94"/>
              </w:rPr>
              <w:t>Identification Number)</w:t>
            </w:r>
          </w:p>
        </w:tc>
      </w:tr>
      <w:tr>
        <w:trPr>
          <w:trHeight w:val="226"/>
        </w:trPr>
        <w:tc>
          <w:tcPr>
            <w:tcW w:w="2400" w:type="dxa"/>
            <w:vAlign w:val="bottom"/>
          </w:tcPr>
          <w:p>
            <w:pPr>
              <w:spacing w:after="0"/>
              <w:rPr>
                <w:sz w:val="19"/>
                <w:szCs w:val="19"/>
                <w:color w:val="auto"/>
              </w:rPr>
            </w:pPr>
          </w:p>
        </w:tc>
        <w:tc>
          <w:tcPr>
            <w:tcW w:w="7260" w:type="dxa"/>
            <w:vAlign w:val="bottom"/>
          </w:tcPr>
          <w:p>
            <w:pPr>
              <w:jc w:val="center"/>
              <w:ind w:right="2071"/>
              <w:spacing w:after="0" w:line="226" w:lineRule="exact"/>
              <w:rPr>
                <w:sz w:val="20"/>
                <w:szCs w:val="20"/>
                <w:color w:val="auto"/>
              </w:rPr>
            </w:pPr>
            <w:r>
              <w:rPr>
                <w:rFonts w:ascii="Arial" w:cs="Arial" w:eastAsia="Arial" w:hAnsi="Arial"/>
                <w:sz w:val="16"/>
                <w:szCs w:val="16"/>
                <w:b w:val="1"/>
                <w:bCs w:val="1"/>
                <w:color w:val="auto"/>
                <w:w w:val="98"/>
              </w:rPr>
              <w:t>111 W. 19</w:t>
            </w:r>
            <w:r>
              <w:rPr>
                <w:rFonts w:ascii="Arial" w:cs="Arial" w:eastAsia="Arial" w:hAnsi="Arial"/>
                <w:sz w:val="26"/>
                <w:szCs w:val="26"/>
                <w:b w:val="1"/>
                <w:bCs w:val="1"/>
                <w:color w:val="auto"/>
                <w:w w:val="98"/>
                <w:vertAlign w:val="superscript"/>
              </w:rPr>
              <w:t>th</w:t>
            </w:r>
            <w:r>
              <w:rPr>
                <w:rFonts w:ascii="Arial" w:cs="Arial" w:eastAsia="Arial" w:hAnsi="Arial"/>
                <w:sz w:val="16"/>
                <w:szCs w:val="16"/>
                <w:b w:val="1"/>
                <w:bCs w:val="1"/>
                <w:color w:val="auto"/>
                <w:w w:val="98"/>
              </w:rPr>
              <w:t xml:space="preserve"> Street, 8</w:t>
            </w:r>
            <w:r>
              <w:rPr>
                <w:rFonts w:ascii="Arial" w:cs="Arial" w:eastAsia="Arial" w:hAnsi="Arial"/>
                <w:sz w:val="26"/>
                <w:szCs w:val="26"/>
                <w:b w:val="1"/>
                <w:bCs w:val="1"/>
                <w:color w:val="auto"/>
                <w:w w:val="98"/>
                <w:vertAlign w:val="superscript"/>
              </w:rPr>
              <w:t>th</w:t>
            </w:r>
            <w:r>
              <w:rPr>
                <w:rFonts w:ascii="Arial" w:cs="Arial" w:eastAsia="Arial" w:hAnsi="Arial"/>
                <w:sz w:val="16"/>
                <w:szCs w:val="16"/>
                <w:b w:val="1"/>
                <w:bCs w:val="1"/>
                <w:color w:val="auto"/>
                <w:w w:val="98"/>
              </w:rPr>
              <w:t xml:space="preserve"> Floor</w:t>
            </w:r>
          </w:p>
        </w:tc>
      </w:tr>
      <w:tr>
        <w:trPr>
          <w:trHeight w:val="216"/>
        </w:trPr>
        <w:tc>
          <w:tcPr>
            <w:tcW w:w="2400" w:type="dxa"/>
            <w:vAlign w:val="bottom"/>
          </w:tcPr>
          <w:p>
            <w:pPr>
              <w:spacing w:after="0"/>
              <w:rPr>
                <w:sz w:val="18"/>
                <w:szCs w:val="18"/>
                <w:color w:val="auto"/>
              </w:rPr>
            </w:pPr>
          </w:p>
        </w:tc>
        <w:tc>
          <w:tcPr>
            <w:tcW w:w="7260" w:type="dxa"/>
            <w:vAlign w:val="bottom"/>
          </w:tcPr>
          <w:p>
            <w:pPr>
              <w:jc w:val="center"/>
              <w:ind w:right="2091"/>
              <w:spacing w:after="0"/>
              <w:rPr>
                <w:sz w:val="20"/>
                <w:szCs w:val="20"/>
                <w:color w:val="auto"/>
              </w:rPr>
            </w:pPr>
            <w:r>
              <w:rPr>
                <w:rFonts w:ascii="Arial" w:cs="Arial" w:eastAsia="Arial" w:hAnsi="Arial"/>
                <w:sz w:val="18"/>
                <w:szCs w:val="18"/>
                <w:b w:val="1"/>
                <w:bCs w:val="1"/>
                <w:color w:val="auto"/>
                <w:w w:val="92"/>
              </w:rPr>
              <w:t>New York, NY 10011</w:t>
            </w:r>
          </w:p>
        </w:tc>
      </w:tr>
      <w:tr>
        <w:trPr>
          <w:trHeight w:val="220"/>
        </w:trPr>
        <w:tc>
          <w:tcPr>
            <w:tcW w:w="2400" w:type="dxa"/>
            <w:vAlign w:val="bottom"/>
          </w:tcPr>
          <w:p>
            <w:pPr>
              <w:spacing w:after="0"/>
              <w:rPr>
                <w:sz w:val="19"/>
                <w:szCs w:val="19"/>
                <w:color w:val="auto"/>
              </w:rPr>
            </w:pPr>
          </w:p>
        </w:tc>
        <w:tc>
          <w:tcPr>
            <w:tcW w:w="7260" w:type="dxa"/>
            <w:vAlign w:val="bottom"/>
          </w:tcPr>
          <w:p>
            <w:pPr>
              <w:jc w:val="right"/>
              <w:ind w:right="4071"/>
              <w:spacing w:after="0"/>
              <w:rPr>
                <w:sz w:val="20"/>
                <w:szCs w:val="20"/>
                <w:color w:val="auto"/>
              </w:rPr>
            </w:pPr>
            <w:r>
              <w:rPr>
                <w:rFonts w:ascii="Arial" w:cs="Arial" w:eastAsia="Arial" w:hAnsi="Arial"/>
                <w:sz w:val="18"/>
                <w:szCs w:val="18"/>
                <w:b w:val="1"/>
                <w:bCs w:val="1"/>
                <w:color w:val="auto"/>
              </w:rPr>
              <w:t>(516) 268-7400</w:t>
            </w:r>
          </w:p>
        </w:tc>
      </w:tr>
      <w:tr>
        <w:trPr>
          <w:trHeight w:val="216"/>
        </w:trPr>
        <w:tc>
          <w:tcPr>
            <w:tcW w:w="2400" w:type="dxa"/>
            <w:vAlign w:val="bottom"/>
          </w:tcPr>
          <w:p>
            <w:pPr>
              <w:spacing w:after="0"/>
              <w:rPr>
                <w:sz w:val="18"/>
                <w:szCs w:val="18"/>
                <w:color w:val="auto"/>
              </w:rPr>
            </w:pPr>
          </w:p>
        </w:tc>
        <w:tc>
          <w:tcPr>
            <w:tcW w:w="7260" w:type="dxa"/>
            <w:vAlign w:val="bottom"/>
          </w:tcPr>
          <w:p>
            <w:pPr>
              <w:jc w:val="center"/>
              <w:ind w:right="2091"/>
              <w:spacing w:after="0"/>
              <w:rPr>
                <w:sz w:val="20"/>
                <w:szCs w:val="20"/>
                <w:color w:val="auto"/>
              </w:rPr>
            </w:pPr>
            <w:r>
              <w:rPr>
                <w:rFonts w:ascii="Arial" w:cs="Arial" w:eastAsia="Arial" w:hAnsi="Arial"/>
                <w:sz w:val="18"/>
                <w:szCs w:val="18"/>
                <w:color w:val="auto"/>
                <w:w w:val="90"/>
              </w:rPr>
              <w:t>(Address, including zip code, and telephone number,</w:t>
            </w:r>
          </w:p>
        </w:tc>
      </w:tr>
      <w:tr>
        <w:trPr>
          <w:trHeight w:val="230"/>
        </w:trPr>
        <w:tc>
          <w:tcPr>
            <w:tcW w:w="2400" w:type="dxa"/>
            <w:vAlign w:val="bottom"/>
          </w:tcPr>
          <w:p>
            <w:pPr>
              <w:spacing w:after="0"/>
              <w:rPr>
                <w:sz w:val="20"/>
                <w:szCs w:val="20"/>
                <w:color w:val="auto"/>
              </w:rPr>
            </w:pPr>
          </w:p>
        </w:tc>
        <w:tc>
          <w:tcPr>
            <w:tcW w:w="7260" w:type="dxa"/>
            <w:vAlign w:val="bottom"/>
          </w:tcPr>
          <w:p>
            <w:pPr>
              <w:jc w:val="center"/>
              <w:ind w:right="2091"/>
              <w:spacing w:after="0"/>
              <w:rPr>
                <w:sz w:val="20"/>
                <w:szCs w:val="20"/>
                <w:color w:val="auto"/>
              </w:rPr>
            </w:pPr>
            <w:r>
              <w:rPr>
                <w:rFonts w:ascii="Arial" w:cs="Arial" w:eastAsia="Arial" w:hAnsi="Arial"/>
                <w:sz w:val="18"/>
                <w:szCs w:val="18"/>
                <w:color w:val="auto"/>
                <w:w w:val="91"/>
              </w:rPr>
              <w:t>including area code, of Registrant’s principal executive offices)</w:t>
            </w:r>
          </w:p>
        </w:tc>
      </w:tr>
      <w:tr>
        <w:trPr>
          <w:trHeight w:val="414"/>
        </w:trPr>
        <w:tc>
          <w:tcPr>
            <w:tcW w:w="2400" w:type="dxa"/>
            <w:vAlign w:val="bottom"/>
          </w:tcPr>
          <w:p>
            <w:pPr>
              <w:spacing w:after="0"/>
              <w:rPr>
                <w:sz w:val="24"/>
                <w:szCs w:val="24"/>
                <w:color w:val="auto"/>
              </w:rPr>
            </w:pPr>
          </w:p>
        </w:tc>
        <w:tc>
          <w:tcPr>
            <w:tcW w:w="7260" w:type="dxa"/>
            <w:vAlign w:val="bottom"/>
          </w:tcPr>
          <w:p>
            <w:pPr>
              <w:jc w:val="center"/>
              <w:ind w:right="2091"/>
              <w:spacing w:after="0"/>
              <w:rPr>
                <w:sz w:val="20"/>
                <w:szCs w:val="20"/>
                <w:color w:val="auto"/>
              </w:rPr>
            </w:pPr>
            <w:r>
              <w:rPr>
                <w:rFonts w:ascii="Arial" w:cs="Arial" w:eastAsia="Arial" w:hAnsi="Arial"/>
                <w:sz w:val="18"/>
                <w:szCs w:val="18"/>
                <w:b w:val="1"/>
                <w:bCs w:val="1"/>
                <w:color w:val="auto"/>
                <w:w w:val="92"/>
              </w:rPr>
              <w:t>New Fortress Energy LLC</w:t>
            </w:r>
          </w:p>
        </w:tc>
      </w:tr>
      <w:tr>
        <w:trPr>
          <w:trHeight w:val="220"/>
        </w:trPr>
        <w:tc>
          <w:tcPr>
            <w:tcW w:w="2400" w:type="dxa"/>
            <w:vAlign w:val="bottom"/>
          </w:tcPr>
          <w:p>
            <w:pPr>
              <w:spacing w:after="0"/>
              <w:rPr>
                <w:sz w:val="19"/>
                <w:szCs w:val="19"/>
                <w:color w:val="auto"/>
              </w:rPr>
            </w:pPr>
          </w:p>
        </w:tc>
        <w:tc>
          <w:tcPr>
            <w:tcW w:w="7260" w:type="dxa"/>
            <w:vAlign w:val="bottom"/>
          </w:tcPr>
          <w:p>
            <w:pPr>
              <w:jc w:val="center"/>
              <w:ind w:right="2111"/>
              <w:spacing w:after="0"/>
              <w:rPr>
                <w:sz w:val="20"/>
                <w:szCs w:val="20"/>
                <w:color w:val="auto"/>
              </w:rPr>
            </w:pPr>
            <w:r>
              <w:rPr>
                <w:rFonts w:ascii="Arial" w:cs="Arial" w:eastAsia="Arial" w:hAnsi="Arial"/>
                <w:sz w:val="18"/>
                <w:szCs w:val="18"/>
                <w:b w:val="1"/>
                <w:bCs w:val="1"/>
                <w:color w:val="auto"/>
                <w:w w:val="90"/>
              </w:rPr>
              <w:t>2019 Omnibus Incentive Plan</w:t>
            </w:r>
          </w:p>
        </w:tc>
      </w:tr>
      <w:tr>
        <w:trPr>
          <w:trHeight w:val="230"/>
        </w:trPr>
        <w:tc>
          <w:tcPr>
            <w:tcW w:w="2400" w:type="dxa"/>
            <w:vAlign w:val="bottom"/>
          </w:tcPr>
          <w:p>
            <w:pPr>
              <w:spacing w:after="0"/>
              <w:rPr>
                <w:sz w:val="20"/>
                <w:szCs w:val="20"/>
                <w:color w:val="auto"/>
              </w:rPr>
            </w:pPr>
          </w:p>
        </w:tc>
        <w:tc>
          <w:tcPr>
            <w:tcW w:w="7260" w:type="dxa"/>
            <w:vAlign w:val="bottom"/>
          </w:tcPr>
          <w:p>
            <w:pPr>
              <w:jc w:val="center"/>
              <w:ind w:right="2111"/>
              <w:spacing w:after="0"/>
              <w:rPr>
                <w:sz w:val="20"/>
                <w:szCs w:val="20"/>
                <w:color w:val="auto"/>
              </w:rPr>
            </w:pPr>
            <w:r>
              <w:rPr>
                <w:rFonts w:ascii="Arial" w:cs="Arial" w:eastAsia="Arial" w:hAnsi="Arial"/>
                <w:sz w:val="18"/>
                <w:szCs w:val="18"/>
                <w:color w:val="auto"/>
                <w:w w:val="94"/>
              </w:rPr>
              <w:t>(Full title of the plan)</w:t>
            </w:r>
          </w:p>
        </w:tc>
      </w:tr>
      <w:tr>
        <w:trPr>
          <w:trHeight w:val="414"/>
        </w:trPr>
        <w:tc>
          <w:tcPr>
            <w:tcW w:w="2400" w:type="dxa"/>
            <w:vAlign w:val="bottom"/>
          </w:tcPr>
          <w:p>
            <w:pPr>
              <w:spacing w:after="0"/>
              <w:rPr>
                <w:sz w:val="24"/>
                <w:szCs w:val="24"/>
                <w:color w:val="auto"/>
              </w:rPr>
            </w:pPr>
          </w:p>
        </w:tc>
        <w:tc>
          <w:tcPr>
            <w:tcW w:w="7260" w:type="dxa"/>
            <w:vAlign w:val="bottom"/>
          </w:tcPr>
          <w:p>
            <w:pPr>
              <w:jc w:val="center"/>
              <w:ind w:right="2111"/>
              <w:spacing w:after="0"/>
              <w:rPr>
                <w:sz w:val="20"/>
                <w:szCs w:val="20"/>
                <w:color w:val="auto"/>
              </w:rPr>
            </w:pPr>
            <w:r>
              <w:rPr>
                <w:rFonts w:ascii="Arial" w:cs="Arial" w:eastAsia="Arial" w:hAnsi="Arial"/>
                <w:sz w:val="18"/>
                <w:szCs w:val="18"/>
                <w:b w:val="1"/>
                <w:bCs w:val="1"/>
                <w:color w:val="auto"/>
                <w:w w:val="91"/>
              </w:rPr>
              <w:t>Cameron D. MacDougall, Esq.</w:t>
            </w:r>
          </w:p>
        </w:tc>
      </w:tr>
      <w:tr>
        <w:trPr>
          <w:trHeight w:val="216"/>
        </w:trPr>
        <w:tc>
          <w:tcPr>
            <w:tcW w:w="2400" w:type="dxa"/>
            <w:vAlign w:val="bottom"/>
          </w:tcPr>
          <w:p>
            <w:pPr>
              <w:spacing w:after="0"/>
              <w:rPr>
                <w:sz w:val="18"/>
                <w:szCs w:val="18"/>
                <w:color w:val="auto"/>
              </w:rPr>
            </w:pPr>
          </w:p>
        </w:tc>
        <w:tc>
          <w:tcPr>
            <w:tcW w:w="7260" w:type="dxa"/>
            <w:vAlign w:val="bottom"/>
          </w:tcPr>
          <w:p>
            <w:pPr>
              <w:jc w:val="center"/>
              <w:ind w:right="2091"/>
              <w:spacing w:after="0"/>
              <w:rPr>
                <w:sz w:val="20"/>
                <w:szCs w:val="20"/>
                <w:color w:val="auto"/>
              </w:rPr>
            </w:pPr>
            <w:r>
              <w:rPr>
                <w:rFonts w:ascii="Arial" w:cs="Arial" w:eastAsia="Arial" w:hAnsi="Arial"/>
                <w:sz w:val="18"/>
                <w:szCs w:val="18"/>
                <w:b w:val="1"/>
                <w:bCs w:val="1"/>
                <w:color w:val="auto"/>
                <w:w w:val="89"/>
              </w:rPr>
              <w:t>General Counsel and Secretary</w:t>
            </w:r>
          </w:p>
        </w:tc>
      </w:tr>
      <w:tr>
        <w:trPr>
          <w:trHeight w:val="206"/>
        </w:trPr>
        <w:tc>
          <w:tcPr>
            <w:tcW w:w="2400" w:type="dxa"/>
            <w:vAlign w:val="bottom"/>
          </w:tcPr>
          <w:p>
            <w:pPr>
              <w:spacing w:after="0"/>
              <w:rPr>
                <w:sz w:val="17"/>
                <w:szCs w:val="17"/>
                <w:color w:val="auto"/>
              </w:rPr>
            </w:pPr>
          </w:p>
        </w:tc>
        <w:tc>
          <w:tcPr>
            <w:tcW w:w="7260" w:type="dxa"/>
            <w:vAlign w:val="bottom"/>
          </w:tcPr>
          <w:p>
            <w:pPr>
              <w:jc w:val="center"/>
              <w:ind w:right="2091"/>
              <w:spacing w:after="0"/>
              <w:rPr>
                <w:sz w:val="20"/>
                <w:szCs w:val="20"/>
                <w:color w:val="auto"/>
              </w:rPr>
            </w:pPr>
            <w:r>
              <w:rPr>
                <w:rFonts w:ascii="Arial" w:cs="Arial" w:eastAsia="Arial" w:hAnsi="Arial"/>
                <w:sz w:val="18"/>
                <w:szCs w:val="18"/>
                <w:b w:val="1"/>
                <w:bCs w:val="1"/>
                <w:color w:val="auto"/>
                <w:w w:val="92"/>
              </w:rPr>
              <w:t>New Fortress Energy LLC</w:t>
            </w:r>
          </w:p>
        </w:tc>
      </w:tr>
      <w:tr>
        <w:trPr>
          <w:trHeight w:val="226"/>
        </w:trPr>
        <w:tc>
          <w:tcPr>
            <w:tcW w:w="2400" w:type="dxa"/>
            <w:vAlign w:val="bottom"/>
          </w:tcPr>
          <w:p>
            <w:pPr>
              <w:spacing w:after="0"/>
              <w:rPr>
                <w:sz w:val="19"/>
                <w:szCs w:val="19"/>
                <w:color w:val="auto"/>
              </w:rPr>
            </w:pPr>
          </w:p>
        </w:tc>
        <w:tc>
          <w:tcPr>
            <w:tcW w:w="7260" w:type="dxa"/>
            <w:vAlign w:val="bottom"/>
          </w:tcPr>
          <w:p>
            <w:pPr>
              <w:jc w:val="center"/>
              <w:ind w:right="2111"/>
              <w:spacing w:after="0" w:line="226" w:lineRule="exact"/>
              <w:rPr>
                <w:sz w:val="20"/>
                <w:szCs w:val="20"/>
                <w:color w:val="auto"/>
              </w:rPr>
            </w:pPr>
            <w:r>
              <w:rPr>
                <w:rFonts w:ascii="Arial" w:cs="Arial" w:eastAsia="Arial" w:hAnsi="Arial"/>
                <w:sz w:val="16"/>
                <w:szCs w:val="16"/>
                <w:b w:val="1"/>
                <w:bCs w:val="1"/>
                <w:color w:val="auto"/>
                <w:w w:val="98"/>
              </w:rPr>
              <w:t>111 W. 19</w:t>
            </w:r>
            <w:r>
              <w:rPr>
                <w:rFonts w:ascii="Arial" w:cs="Arial" w:eastAsia="Arial" w:hAnsi="Arial"/>
                <w:sz w:val="26"/>
                <w:szCs w:val="26"/>
                <w:b w:val="1"/>
                <w:bCs w:val="1"/>
                <w:color w:val="auto"/>
                <w:w w:val="98"/>
                <w:vertAlign w:val="superscript"/>
              </w:rPr>
              <w:t>th</w:t>
            </w:r>
            <w:r>
              <w:rPr>
                <w:rFonts w:ascii="Arial" w:cs="Arial" w:eastAsia="Arial" w:hAnsi="Arial"/>
                <w:sz w:val="16"/>
                <w:szCs w:val="16"/>
                <w:b w:val="1"/>
                <w:bCs w:val="1"/>
                <w:color w:val="auto"/>
                <w:w w:val="98"/>
              </w:rPr>
              <w:t xml:space="preserve"> Street, 8</w:t>
            </w:r>
            <w:r>
              <w:rPr>
                <w:rFonts w:ascii="Arial" w:cs="Arial" w:eastAsia="Arial" w:hAnsi="Arial"/>
                <w:sz w:val="26"/>
                <w:szCs w:val="26"/>
                <w:b w:val="1"/>
                <w:bCs w:val="1"/>
                <w:color w:val="auto"/>
                <w:w w:val="98"/>
                <w:vertAlign w:val="superscript"/>
              </w:rPr>
              <w:t>th</w:t>
            </w:r>
            <w:r>
              <w:rPr>
                <w:rFonts w:ascii="Arial" w:cs="Arial" w:eastAsia="Arial" w:hAnsi="Arial"/>
                <w:sz w:val="16"/>
                <w:szCs w:val="16"/>
                <w:b w:val="1"/>
                <w:bCs w:val="1"/>
                <w:color w:val="auto"/>
                <w:w w:val="98"/>
              </w:rPr>
              <w:t xml:space="preserve"> Floor</w:t>
            </w:r>
          </w:p>
        </w:tc>
      </w:tr>
      <w:tr>
        <w:trPr>
          <w:trHeight w:val="216"/>
        </w:trPr>
        <w:tc>
          <w:tcPr>
            <w:tcW w:w="2400" w:type="dxa"/>
            <w:vAlign w:val="bottom"/>
          </w:tcPr>
          <w:p>
            <w:pPr>
              <w:spacing w:after="0"/>
              <w:rPr>
                <w:sz w:val="18"/>
                <w:szCs w:val="18"/>
                <w:color w:val="auto"/>
              </w:rPr>
            </w:pPr>
          </w:p>
        </w:tc>
        <w:tc>
          <w:tcPr>
            <w:tcW w:w="7260" w:type="dxa"/>
            <w:vAlign w:val="bottom"/>
          </w:tcPr>
          <w:p>
            <w:pPr>
              <w:jc w:val="center"/>
              <w:ind w:right="2091"/>
              <w:spacing w:after="0"/>
              <w:rPr>
                <w:sz w:val="20"/>
                <w:szCs w:val="20"/>
                <w:color w:val="auto"/>
              </w:rPr>
            </w:pPr>
            <w:r>
              <w:rPr>
                <w:rFonts w:ascii="Arial" w:cs="Arial" w:eastAsia="Arial" w:hAnsi="Arial"/>
                <w:sz w:val="18"/>
                <w:szCs w:val="18"/>
                <w:b w:val="1"/>
                <w:bCs w:val="1"/>
                <w:color w:val="auto"/>
                <w:w w:val="92"/>
              </w:rPr>
              <w:t>New York, NY 10011</w:t>
            </w:r>
          </w:p>
        </w:tc>
      </w:tr>
      <w:tr>
        <w:trPr>
          <w:trHeight w:val="220"/>
        </w:trPr>
        <w:tc>
          <w:tcPr>
            <w:tcW w:w="2400" w:type="dxa"/>
            <w:vAlign w:val="bottom"/>
          </w:tcPr>
          <w:p>
            <w:pPr>
              <w:spacing w:after="0"/>
              <w:rPr>
                <w:sz w:val="19"/>
                <w:szCs w:val="19"/>
                <w:color w:val="auto"/>
              </w:rPr>
            </w:pPr>
          </w:p>
        </w:tc>
        <w:tc>
          <w:tcPr>
            <w:tcW w:w="7260" w:type="dxa"/>
            <w:vAlign w:val="bottom"/>
          </w:tcPr>
          <w:p>
            <w:pPr>
              <w:jc w:val="right"/>
              <w:ind w:right="4071"/>
              <w:spacing w:after="0"/>
              <w:rPr>
                <w:sz w:val="20"/>
                <w:szCs w:val="20"/>
                <w:color w:val="auto"/>
              </w:rPr>
            </w:pPr>
            <w:r>
              <w:rPr>
                <w:rFonts w:ascii="Arial" w:cs="Arial" w:eastAsia="Arial" w:hAnsi="Arial"/>
                <w:sz w:val="18"/>
                <w:szCs w:val="18"/>
                <w:b w:val="1"/>
                <w:bCs w:val="1"/>
                <w:color w:val="auto"/>
              </w:rPr>
              <w:t>(516) 268-7400</w:t>
            </w:r>
          </w:p>
        </w:tc>
      </w:tr>
      <w:tr>
        <w:trPr>
          <w:trHeight w:val="216"/>
        </w:trPr>
        <w:tc>
          <w:tcPr>
            <w:tcW w:w="2400" w:type="dxa"/>
            <w:vAlign w:val="bottom"/>
          </w:tcPr>
          <w:p>
            <w:pPr>
              <w:spacing w:after="0"/>
              <w:rPr>
                <w:sz w:val="18"/>
                <w:szCs w:val="18"/>
                <w:color w:val="auto"/>
              </w:rPr>
            </w:pPr>
          </w:p>
        </w:tc>
        <w:tc>
          <w:tcPr>
            <w:tcW w:w="7260" w:type="dxa"/>
            <w:vAlign w:val="bottom"/>
          </w:tcPr>
          <w:p>
            <w:pPr>
              <w:jc w:val="center"/>
              <w:ind w:right="2111"/>
              <w:spacing w:after="0"/>
              <w:rPr>
                <w:sz w:val="20"/>
                <w:szCs w:val="20"/>
                <w:color w:val="auto"/>
              </w:rPr>
            </w:pPr>
            <w:r>
              <w:rPr>
                <w:rFonts w:ascii="Arial" w:cs="Arial" w:eastAsia="Arial" w:hAnsi="Arial"/>
                <w:sz w:val="18"/>
                <w:szCs w:val="18"/>
                <w:color w:val="auto"/>
                <w:w w:val="89"/>
              </w:rPr>
              <w:t>(Name, address, including zip code, and telephone number,</w:t>
            </w:r>
          </w:p>
        </w:tc>
      </w:tr>
      <w:tr>
        <w:trPr>
          <w:trHeight w:val="230"/>
        </w:trPr>
        <w:tc>
          <w:tcPr>
            <w:tcW w:w="2400" w:type="dxa"/>
            <w:vAlign w:val="bottom"/>
          </w:tcPr>
          <w:p>
            <w:pPr>
              <w:spacing w:after="0"/>
              <w:rPr>
                <w:sz w:val="20"/>
                <w:szCs w:val="20"/>
                <w:color w:val="auto"/>
              </w:rPr>
            </w:pPr>
          </w:p>
        </w:tc>
        <w:tc>
          <w:tcPr>
            <w:tcW w:w="7260" w:type="dxa"/>
            <w:vAlign w:val="bottom"/>
          </w:tcPr>
          <w:p>
            <w:pPr>
              <w:jc w:val="center"/>
              <w:ind w:right="2091"/>
              <w:spacing w:after="0"/>
              <w:rPr>
                <w:sz w:val="20"/>
                <w:szCs w:val="20"/>
                <w:color w:val="auto"/>
              </w:rPr>
            </w:pPr>
            <w:r>
              <w:rPr>
                <w:rFonts w:ascii="Arial" w:cs="Arial" w:eastAsia="Arial" w:hAnsi="Arial"/>
                <w:sz w:val="18"/>
                <w:szCs w:val="18"/>
                <w:color w:val="auto"/>
                <w:w w:val="91"/>
              </w:rPr>
              <w:t>including area code, of agent for service)</w:t>
            </w:r>
          </w:p>
        </w:tc>
      </w:tr>
      <w:tr>
        <w:trPr>
          <w:trHeight w:val="432"/>
        </w:trPr>
        <w:tc>
          <w:tcPr>
            <w:tcW w:w="2400" w:type="dxa"/>
            <w:vAlign w:val="bottom"/>
          </w:tcPr>
          <w:p>
            <w:pPr>
              <w:spacing w:after="0"/>
              <w:rPr>
                <w:sz w:val="24"/>
                <w:szCs w:val="24"/>
                <w:color w:val="auto"/>
              </w:rPr>
            </w:pPr>
          </w:p>
        </w:tc>
        <w:tc>
          <w:tcPr>
            <w:tcW w:w="7260" w:type="dxa"/>
            <w:vAlign w:val="bottom"/>
          </w:tcPr>
          <w:p>
            <w:pPr>
              <w:jc w:val="right"/>
              <w:ind w:right="3871"/>
              <w:spacing w:after="0"/>
              <w:rPr>
                <w:sz w:val="20"/>
                <w:szCs w:val="20"/>
                <w:color w:val="auto"/>
              </w:rPr>
            </w:pPr>
            <w:r>
              <w:rPr>
                <w:rFonts w:ascii="Arial" w:cs="Arial" w:eastAsia="Arial" w:hAnsi="Arial"/>
                <w:sz w:val="18"/>
                <w:szCs w:val="18"/>
                <w:b w:val="1"/>
                <w:bCs w:val="1"/>
                <w:color w:val="auto"/>
              </w:rPr>
              <w:t>_________________</w:t>
            </w: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“Exchange Act”).</w:t>
      </w:r>
    </w:p>
    <w:p>
      <w:pPr>
        <w:sectPr>
          <w:pgSz w:w="11900" w:h="16904" w:orient="portrait"/>
          <w:cols w:equalWidth="0" w:num="1">
            <w:col w:w="11420"/>
          </w:cols>
          <w:pgMar w:left="240" w:top="229" w:right="239" w:bottom="0" w:gutter="0" w:footer="0" w:header="0"/>
        </w:sectPr>
      </w:pPr>
    </w:p>
    <w:p>
      <w:pPr>
        <w:spacing w:after="0" w:line="177" w:lineRule="exact"/>
        <w:rPr>
          <w:sz w:val="24"/>
          <w:szCs w:val="24"/>
          <w:color w:val="auto"/>
        </w:rPr>
      </w:pPr>
    </w:p>
    <w:p>
      <w:pPr>
        <w:spacing w:after="0" w:line="314" w:lineRule="auto"/>
        <w:rPr>
          <w:sz w:val="20"/>
          <w:szCs w:val="20"/>
          <w:color w:val="auto"/>
        </w:rPr>
      </w:pPr>
      <w:r>
        <w:rPr>
          <w:rFonts w:ascii="Arial" w:cs="Arial" w:eastAsia="Arial" w:hAnsi="Arial"/>
          <w:sz w:val="16"/>
          <w:szCs w:val="16"/>
          <w:b w:val="1"/>
          <w:bCs w:val="1"/>
          <w:color w:val="auto"/>
        </w:rPr>
        <w:t>Large accelerated filer Non-accelerated filer Emerging Growth 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tabs>
          <w:tab w:leader="none" w:pos="710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highlight w:val="black"/>
        </w:rPr>
        <w:t>☐</w:t>
      </w:r>
    </w:p>
    <w:p>
      <w:pPr>
        <w:spacing w:after="0" w:line="74" w:lineRule="exact"/>
        <w:rPr>
          <w:sz w:val="24"/>
          <w:szCs w:val="24"/>
          <w:color w:val="auto"/>
        </w:rPr>
      </w:pPr>
    </w:p>
    <w:p>
      <w:pPr>
        <w:spacing w:after="0" w:line="207" w:lineRule="exact"/>
        <w:tabs>
          <w:tab w:leader="none" w:pos="61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Do not check if smaller reporting company)</w:t>
      </w:r>
      <w:r>
        <w:rPr>
          <w:sz w:val="20"/>
          <w:szCs w:val="20"/>
          <w:color w:val="auto"/>
        </w:rPr>
        <w:tab/>
      </w:r>
      <w:r>
        <w:rPr>
          <w:rFonts w:ascii="Arial" w:cs="Arial" w:eastAsia="Arial" w:hAnsi="Arial"/>
          <w:sz w:val="16"/>
          <w:szCs w:val="16"/>
          <w:b w:val="1"/>
          <w:bCs w:val="1"/>
          <w:color w:val="auto"/>
        </w:rPr>
        <w:t xml:space="preserve">Smaller Reporting Company </w:t>
      </w:r>
      <w:r>
        <w:rPr>
          <w:rFonts w:ascii="MS PGothic" w:cs="MS PGothic" w:eastAsia="MS PGothic" w:hAnsi="MS PGothic"/>
          <w:sz w:val="16"/>
          <w:szCs w:val="16"/>
          <w:color w:val="auto"/>
          <w:highlight w:val="black"/>
        </w:rPr>
        <w:t>☐</w:t>
      </w:r>
    </w:p>
    <w:p>
      <w:pPr>
        <w:spacing w:after="0" w:line="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Do not check if smaller reporting company)</w:t>
      </w:r>
    </w:p>
    <w:p>
      <w:pPr>
        <w:spacing w:after="0" w:line="211" w:lineRule="exact"/>
        <w:rPr>
          <w:sz w:val="24"/>
          <w:szCs w:val="24"/>
          <w:color w:val="auto"/>
        </w:rPr>
      </w:pPr>
    </w:p>
    <w:p>
      <w:pPr>
        <w:sectPr>
          <w:pgSz w:w="11900" w:h="16904" w:orient="portrait"/>
          <w:cols w:equalWidth="0" w:num="2">
            <w:col w:w="2200" w:space="620"/>
            <w:col w:w="8600"/>
          </w:cols>
          <w:pgMar w:left="240" w:top="229" w:right="239" w:bottom="0" w:gutter="0" w:footer="0" w:header="0"/>
          <w:type w:val="continuous"/>
        </w:sectPr>
      </w:pPr>
    </w:p>
    <w:p>
      <w:pPr>
        <w:jc w:val="both"/>
        <w:spacing w:after="0" w:line="247"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as amended (the “Securities Act”). </w:t>
      </w:r>
      <w:r>
        <w:rPr>
          <w:rFonts w:ascii="MS PGothic" w:cs="MS PGothic" w:eastAsia="MS PGothic" w:hAnsi="MS PGothic"/>
          <w:sz w:val="21"/>
          <w:szCs w:val="21"/>
          <w:color w:val="auto"/>
          <w:highlight w:val="black"/>
        </w:rPr>
        <w:t>☐</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400" w:type="dxa"/>
            <w:vAlign w:val="bottom"/>
            <w:tcBorders>
              <w:top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Proposed</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88"/>
              </w:rPr>
              <w:t>Proposed</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Title of securities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Amount to be</w:t>
            </w:r>
          </w:p>
        </w:tc>
        <w:tc>
          <w:tcPr>
            <w:tcW w:w="15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9"/>
              </w:rPr>
              <w:t>maximum offering</w:t>
            </w:r>
          </w:p>
        </w:tc>
        <w:tc>
          <w:tcPr>
            <w:tcW w:w="17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maximum aggregate</w:t>
            </w:r>
          </w:p>
        </w:tc>
        <w:tc>
          <w:tcPr>
            <w:tcW w:w="24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color w:val="auto"/>
                <w:w w:val="95"/>
              </w:rPr>
              <w:t>Amount of</w:t>
            </w:r>
          </w:p>
        </w:tc>
      </w:tr>
      <w:tr>
        <w:trPr>
          <w:trHeight w:val="237"/>
        </w:trPr>
        <w:tc>
          <w:tcPr>
            <w:tcW w:w="20" w:type="dxa"/>
            <w:vAlign w:val="bottom"/>
          </w:tcPr>
          <w:p>
            <w:pPr>
              <w:spacing w:after="0"/>
              <w:rPr>
                <w:sz w:val="20"/>
                <w:szCs w:val="20"/>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 be registered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registered (1)(2)</w:t>
            </w:r>
          </w:p>
        </w:tc>
        <w:tc>
          <w:tcPr>
            <w:tcW w:w="1560" w:type="dxa"/>
            <w:vAlign w:val="bottom"/>
            <w:tcBorders>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w w:val="95"/>
              </w:rPr>
              <w:t>price per share (3)</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4"/>
              </w:rPr>
              <w:t>offering price (3)</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registration fee</w:t>
            </w:r>
          </w:p>
        </w:tc>
      </w:tr>
      <w:tr>
        <w:trPr>
          <w:trHeight w:val="223"/>
        </w:trPr>
        <w:tc>
          <w:tcPr>
            <w:tcW w:w="20" w:type="dxa"/>
            <w:vAlign w:val="bottom"/>
          </w:tcPr>
          <w:p>
            <w:pPr>
              <w:spacing w:after="0"/>
              <w:rPr>
                <w:sz w:val="19"/>
                <w:szCs w:val="19"/>
                <w:color w:val="auto"/>
              </w:rPr>
            </w:pPr>
          </w:p>
        </w:tc>
        <w:tc>
          <w:tcPr>
            <w:tcW w:w="54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 shares representing limited liability company interests</w:t>
            </w: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18,376,471</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245,142,124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29,712</w:t>
            </w:r>
          </w:p>
        </w:tc>
      </w:tr>
    </w:tbl>
    <w:p>
      <w:pPr>
        <w:spacing w:after="0" w:line="229" w:lineRule="exact"/>
        <w:rPr>
          <w:sz w:val="24"/>
          <w:szCs w:val="24"/>
          <w:color w:val="auto"/>
        </w:rPr>
      </w:pPr>
    </w:p>
    <w:p>
      <w:pPr>
        <w:ind w:left="660" w:hanging="652"/>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(as defined below) registers 18,376,471 Class A shares, representing limited liability company interests (the “Shares”) of New Fortress Energy LLC (the “Registrant”) that may be delivered with respect to awards under the New Fortress Energy LLC 2019 Omnibus Incentive Plan (the “Plan”), which number of Shares consists of (a) 16,705,882 Shares reserved and available for delivery with respect to awards under the Plan and (b) 1,670,589 Shares related to awards granted under the Plan that expire or are canceled, forfeited, exchanged, settled in cash or otherwise terminated without issuance of Shares and that again become available for the issuance of awards under the Plan in accordance with the terms and conditions of the Plan.</w:t>
      </w:r>
    </w:p>
    <w:p>
      <w:pPr>
        <w:spacing w:after="0" w:line="220"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under the Securities Act, this Registration Statement on Form S-8 (this “Registration Statement”) shall be deemed to cover an indeterminate number of additional Shares that may become issuable pursuant to the adjustment provisions of the Plan.</w:t>
      </w:r>
    </w:p>
    <w:p>
      <w:pPr>
        <w:spacing w:after="0" w:line="173" w:lineRule="exact"/>
        <w:rPr>
          <w:rFonts w:ascii="Arial" w:cs="Arial" w:eastAsia="Arial" w:hAnsi="Arial"/>
          <w:sz w:val="17"/>
          <w:szCs w:val="17"/>
          <w:color w:val="auto"/>
        </w:rPr>
      </w:pPr>
    </w:p>
    <w:p>
      <w:pPr>
        <w:ind w:left="660" w:right="30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in accordance with Rule 457(h) under the Securities Act. The price for the Shares being registered hereby is based on a price of $13.34 per Share, which is the average of the high and low prices of the Shares as reported by the Nasdaq Global Select Market on January 31, 2019.</w:t>
      </w:r>
    </w:p>
    <w:p>
      <w:pPr>
        <w:sectPr>
          <w:pgSz w:w="11900" w:h="16904" w:orient="portrait"/>
          <w:cols w:equalWidth="0" w:num="1">
            <w:col w:w="11420"/>
          </w:cols>
          <w:pgMar w:left="240" w:top="229" w:right="239" w:bottom="0" w:gutter="0" w:footer="0" w:header="0"/>
          <w:type w:val="continuous"/>
        </w:sectPr>
      </w:pPr>
    </w:p>
    <w:bookmarkStart w:id="1" w:name="page2"/>
    <w:bookmarkEnd w:id="1"/>
    <w:p>
      <w:pPr>
        <w:spacing w:after="0" w:line="264"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Registrant will send or give to all participants in the Plan document(s) containing the information required by Part I of Form S-8, as specified in Rule 428(b)(1) promulgated by the Securities and Exchange Commission (the “Commission”) under the Securities Act. In accordance with Rule 428, the Registrant has not filed such document(s) with the Commission, but such documents (along with the documents incorporated by reference into this Registration Statement pursuant to Item 3 of Part II hereof) shall constitute a prospectus that meets the requirements of Section 10(a) of the Securities Act.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to the extent that information is deemed furnished and not filed pursuant to securities laws and regulations, the Registrant hereby incorporates by reference into this Registration Statement the following documents:</w:t>
      </w:r>
    </w:p>
    <w:p>
      <w:pPr>
        <w:spacing w:after="0" w:line="170" w:lineRule="exact"/>
        <w:rPr>
          <w:sz w:val="20"/>
          <w:szCs w:val="20"/>
          <w:color w:val="auto"/>
        </w:rPr>
      </w:pPr>
    </w:p>
    <w:p>
      <w:pPr>
        <w:ind w:left="1620" w:hanging="640"/>
        <w:spacing w:after="0" w:line="308" w:lineRule="auto"/>
        <w:tabs>
          <w:tab w:leader="none" w:pos="1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prospectus filed pursuant to Rule 424(b) under the Securities Act on January 31, 2019 relating to the Registrant’s Registration Statement on Form S-1 (File No. 333-228339), originally filed with the Commission on November 9, 2018;</w:t>
      </w:r>
    </w:p>
    <w:p>
      <w:pPr>
        <w:spacing w:after="0" w:line="173" w:lineRule="exact"/>
        <w:rPr>
          <w:rFonts w:ascii="Arial" w:cs="Arial" w:eastAsia="Arial" w:hAnsi="Arial"/>
          <w:sz w:val="17"/>
          <w:szCs w:val="17"/>
          <w:color w:val="auto"/>
        </w:rPr>
      </w:pPr>
    </w:p>
    <w:p>
      <w:pPr>
        <w:ind w:left="1620" w:hanging="640"/>
        <w:spacing w:after="0" w:line="277"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registration document referred to in (a) above; and</w:t>
      </w:r>
    </w:p>
    <w:p>
      <w:pPr>
        <w:spacing w:after="0" w:line="197" w:lineRule="exact"/>
        <w:rPr>
          <w:rFonts w:ascii="Arial" w:cs="Arial" w:eastAsia="Arial" w:hAnsi="Arial"/>
          <w:sz w:val="18"/>
          <w:szCs w:val="18"/>
          <w:color w:val="auto"/>
        </w:rPr>
      </w:pPr>
    </w:p>
    <w:p>
      <w:pPr>
        <w:jc w:val="both"/>
        <w:ind w:left="1620" w:hanging="640"/>
        <w:spacing w:after="0" w:line="302" w:lineRule="auto"/>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Class A shares included under the captions “Summary” and “Description of Shares” contained in the prospectus forming part of the Registrant’s Registration Statement on Form S-1 (File No. 333-228339), which description has been incorporated by reference in Item 1 of the Registrant’s Registration Statement on Form 8-A (File No. 001-38790), filed pursuant to Section 12 of the Exchange Act, on January 30, 2019 including any amendment or report filed for the purpose of updating such description.</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Except to the extent that information is deemed furnished and not filed pursuant to securities laws and regulations, all documents filed by the Registrant pursuant to Sections 13(a), 13(c), 14 and 15(d) of the Exchange Act and all reports on Form 8-K subsequent to the date hereof and prior to the filing of a post-effective amendment that indicates that all securities offered have been sold or that deregisters all securities then remaining unsold shall also be deemed to be incorporated by reference herein and to be a part hereof from the dates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18-108 of the Delaware Limited Liability Company Act (the “Delaware LLC Act”) empowers a Delaware limited liability company to indemnify and hold harmless any member or manager from and against all claims and demands whatsoever.</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Registrant’s operating agreement provides that it will indemnify, to the fullest extent permitted by the Delaware LLC Act, each person who was or is made a party or is threatened to be made a party in any legal proceeding by reason of the fact that he or she is or was the Registrant’s or the Registrant’s subsidiary’s director or officer. However, such indemnification is permitted only if such person acted in good faith and lawfully. Indemnification is authorized on a case-by-case basis by (1) the Registrant’s board of directors by a majority vote of disinterested directors, (2) a committee of the disinterested directors,</w:t>
      </w:r>
    </w:p>
    <w:p>
      <w:pPr>
        <w:spacing w:after="0" w:line="2" w:lineRule="exact"/>
        <w:rPr>
          <w:sz w:val="20"/>
          <w:szCs w:val="20"/>
          <w:color w:val="auto"/>
        </w:rPr>
      </w:pPr>
    </w:p>
    <w:p>
      <w:pPr>
        <w:jc w:val="both"/>
        <w:ind w:firstLine="8"/>
        <w:spacing w:after="0" w:line="273" w:lineRule="auto"/>
        <w:tabs>
          <w:tab w:leader="none" w:pos="26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independent legal counsel in a written opinion if (1) and (2) are not available, or if disinterested directors so direct, or (4) the Registrant’s shareholders. Indemnification of former directors or officers shall be determined by any person authorized to act on the matter on the Registrant’s behalf. Expenses incurred by a director or officer in defending against such legal proceedings are payable before the final disposition of the action, provided that the director or officer undertakes to repay the Registrant if it is later determined that he or she is not entitled to indemnification.</w:t>
      </w:r>
    </w:p>
    <w:p>
      <w:pPr>
        <w:spacing w:after="0" w:line="17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Registrant’s operating agreement provides that it may indemnify any person who is or was a director, officer, employee or agent of us to the fullest extent permitted by Delaware law. The indemnification provisions contained in the Registrant’s operating agreement are not exclusive of any other rights to which a person may be entitled by law, agreement, vote of shareholders or disinterested directors or otherwise. In addition, the Registrant has entered into separate indemnification agreements with each of its directors and executive officers, which are broader than the specific indemnification provisions contained in the Delaware LLC Act. These indemnification agreements require the Registrant, among other things, to indemnify its directors and officers against liabilities that may arise by reason of their status or service as directors or officers, other than liabilities arising from willful misconduct.</w:t>
      </w:r>
    </w:p>
    <w:p>
      <w:pPr>
        <w:spacing w:after="0" w:line="16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Registrant will purchase insurance covering its officers and directors against liabilities asserted and expenses incurred in connection with their activities as its officers and directors or any of its direct or indirect subsidiaries.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Registrant plans to enter into an underwriting agreement which provides that the underwriters are obligated, under some circumstances, to indemnify the Registrant’s directors, officers and controlling persons against specified liabilities, including liabilities under the Securities Act.</w:t>
      </w:r>
    </w:p>
    <w:p>
      <w:pPr>
        <w:spacing w:after="0" w:line="1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Plan provides that no member of the committee that administers the Plan, nor any officer or employee of the Registrant or any subsidiary of the Registrant acting on behalf of the committee, shall be personally liable for any action, omission, determination, or interpretation taken or made in good faith with respect to the Plan, and all members of the committee and each and any officer or employee of the Registrant and of any subsidiary of the Registrant acting on their behalf shall, to the maximum extent permitted by law, be fully indemnified and protected by the Registrant in respect of any such action, omission, determination or interpretation.</w:t>
      </w:r>
    </w:p>
    <w:p>
      <w:pPr>
        <w:spacing w:after="0" w:line="23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Unless otherwise indicated below as being incorporated by reference to another filing of the Registrant with the Commission, each of the following exhibits is filed herewith:</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6"/>
          </w:tcPr>
          <w:p>
            <w:pPr>
              <w:spacing w:after="0"/>
              <w:rPr>
                <w:sz w:val="20"/>
                <w:szCs w:val="20"/>
                <w:color w:val="auto"/>
              </w:rPr>
            </w:pPr>
            <w:r>
              <w:rPr>
                <w:rFonts w:ascii="Arial" w:cs="Arial" w:eastAsia="Arial" w:hAnsi="Arial"/>
                <w:sz w:val="18"/>
                <w:szCs w:val="18"/>
                <w:color w:val="auto"/>
              </w:rPr>
              <w:t>Exhibit</w:t>
            </w:r>
          </w:p>
        </w:tc>
        <w:tc>
          <w:tcPr>
            <w:tcW w:w="10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160" w:type="dxa"/>
            <w:vAlign w:val="bottom"/>
            <w:gridSpan w:val="6"/>
          </w:tcPr>
          <w:p>
            <w:pPr>
              <w:spacing w:after="0"/>
              <w:rPr>
                <w:sz w:val="20"/>
                <w:szCs w:val="20"/>
                <w:color w:val="auto"/>
              </w:rPr>
            </w:pPr>
            <w:r>
              <w:rPr>
                <w:rFonts w:ascii="Arial" w:cs="Arial" w:eastAsia="Arial" w:hAnsi="Arial"/>
                <w:sz w:val="18"/>
                <w:szCs w:val="18"/>
                <w:color w:val="auto"/>
              </w:rPr>
              <w:t>Number</w:t>
            </w:r>
          </w:p>
        </w:tc>
        <w:tc>
          <w:tcPr>
            <w:tcW w:w="102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176"/>
        </w:trPr>
        <w:tc>
          <w:tcPr>
            <w:tcW w:w="20" w:type="dxa"/>
            <w:vAlign w:val="bottom"/>
          </w:tcPr>
          <w:p>
            <w:pPr>
              <w:spacing w:after="0"/>
              <w:rPr>
                <w:sz w:val="15"/>
                <w:szCs w:val="15"/>
                <w:color w:val="auto"/>
              </w:rPr>
            </w:pPr>
          </w:p>
        </w:tc>
        <w:tc>
          <w:tcPr>
            <w:tcW w:w="300" w:type="dxa"/>
            <w:vAlign w:val="bottom"/>
            <w:tcBorders>
              <w:top w:val="single" w:sz="8" w:color="auto"/>
            </w:tcBorders>
            <w:gridSpan w:val="2"/>
          </w:tcPr>
          <w:p>
            <w:pPr>
              <w:spacing w:after="0" w:line="176" w:lineRule="exact"/>
              <w:rPr>
                <w:rFonts w:ascii="Arial" w:cs="Arial" w:eastAsia="Arial" w:hAnsi="Arial"/>
                <w:sz w:val="18"/>
                <w:szCs w:val="18"/>
                <w:color w:val="0000EE"/>
              </w:rPr>
            </w:pPr>
            <w:hyperlink r:id="rId12">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2"/>
              </w:rPr>
              <w:t>Certificate of Formation of New Fortress Energy LLC (incorporated by reference to Exhibit 3.1 to the Registrant’s Registration Statement on</w:t>
            </w:r>
          </w:p>
        </w:tc>
        <w:tc>
          <w:tcPr>
            <w:tcW w:w="2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Form S-1 (File No. 333-228339), filed with the Commission on November 9, 2018).</w:t>
            </w:r>
          </w:p>
        </w:tc>
      </w:tr>
      <w:tr>
        <w:trPr>
          <w:trHeight w:val="392"/>
        </w:trPr>
        <w:tc>
          <w:tcPr>
            <w:tcW w:w="320" w:type="dxa"/>
            <w:vAlign w:val="bottom"/>
            <w:gridSpan w:val="3"/>
          </w:tcPr>
          <w:p>
            <w:pPr>
              <w:spacing w:after="0"/>
              <w:rPr>
                <w:rFonts w:ascii="Arial" w:cs="Arial" w:eastAsia="Arial" w:hAnsi="Arial"/>
                <w:sz w:val="18"/>
                <w:szCs w:val="18"/>
                <w:color w:val="0000EE"/>
              </w:rPr>
            </w:pPr>
            <w:hyperlink r:id="rId13">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Certificate of Amendment to Certificate of Formation of New Fortress Energy LLC (incorporated by reference to Exhibit 3.2 to the</w:t>
            </w: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Registrant’s Registration Statement on Form S-1 (File No. 333-228339), filed with the Commission on November 9, 2018).</w:t>
            </w:r>
          </w:p>
        </w:tc>
      </w:tr>
      <w:tr>
        <w:trPr>
          <w:trHeight w:val="392"/>
        </w:trPr>
        <w:tc>
          <w:tcPr>
            <w:tcW w:w="320" w:type="dxa"/>
            <w:vAlign w:val="bottom"/>
            <w:gridSpan w:val="3"/>
          </w:tcPr>
          <w:p>
            <w:pPr>
              <w:spacing w:after="0"/>
              <w:rPr>
                <w:rFonts w:ascii="Arial" w:cs="Arial" w:eastAsia="Arial" w:hAnsi="Arial"/>
                <w:sz w:val="18"/>
                <w:szCs w:val="18"/>
                <w:color w:val="0000EE"/>
              </w:rPr>
            </w:pPr>
            <w:hyperlink r:id="rId14">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6"/>
              </w:rPr>
              <w:t>Form of First Amended and Restated Limited Liability Company Agreement of New Fortress Energy LLC (incorporated by reference to</w:t>
            </w: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1"/>
              </w:rPr>
              <w:t>Exhibit 3.3 to the Registrant’s Registration Statement on Form S-1/A (File No. 333-228339), filed with the Commission on January 14, 2019).</w:t>
            </w:r>
          </w:p>
        </w:tc>
      </w:tr>
      <w:tr>
        <w:trPr>
          <w:trHeight w:val="392"/>
        </w:trPr>
        <w:tc>
          <w:tcPr>
            <w:tcW w:w="3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4.</w:t>
              </w:r>
              <w:r>
                <w:rPr>
                  <w:rFonts w:ascii="Arial" w:cs="Arial" w:eastAsia="Arial" w:hAnsi="Arial"/>
                  <w:sz w:val="18"/>
                  <w:szCs w:val="18"/>
                  <w:u w:val="single" w:color="auto"/>
                  <w:color w:val="0000EE"/>
                  <w:w w:val="93"/>
                </w:rPr>
                <w:t>4*</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New Fortress Energy LLC 2019 Omnibus Incentive Plan.</w:t>
            </w:r>
          </w:p>
        </w:tc>
      </w:tr>
      <w:tr>
        <w:trPr>
          <w:trHeight w:val="412"/>
        </w:trPr>
        <w:tc>
          <w:tcPr>
            <w:tcW w:w="320" w:type="dxa"/>
            <w:vAlign w:val="bottom"/>
            <w:gridSpan w:val="3"/>
          </w:tcPr>
          <w:p>
            <w:pPr>
              <w:spacing w:after="0"/>
              <w:rPr>
                <w:rFonts w:ascii="Arial" w:cs="Arial" w:eastAsia="Arial" w:hAnsi="Arial"/>
                <w:sz w:val="18"/>
                <w:szCs w:val="18"/>
                <w:color w:val="0000EE"/>
              </w:rPr>
            </w:pPr>
            <w:hyperlink r:id="rId15">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8"/>
              </w:rPr>
              <w:t>Form of Director Restricted Share Unit Award Agreement (incorporated by reference to Exhibit 10.4 to the Registrant’s Registration</w:t>
            </w: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Statement on Form S-1/A (File No. 333-228339), filed with the Commission on December 24, 2018).</w:t>
            </w:r>
          </w:p>
        </w:tc>
      </w:tr>
      <w:tr>
        <w:trPr>
          <w:trHeight w:val="392"/>
        </w:trPr>
        <w:tc>
          <w:tcPr>
            <w:tcW w:w="3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5.</w:t>
              </w:r>
              <w:r>
                <w:rPr>
                  <w:rFonts w:ascii="Arial" w:cs="Arial" w:eastAsia="Arial" w:hAnsi="Arial"/>
                  <w:sz w:val="18"/>
                  <w:szCs w:val="18"/>
                  <w:u w:val="single" w:color="auto"/>
                  <w:color w:val="0000EE"/>
                  <w:w w:val="93"/>
                </w:rPr>
                <w:t>1*</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Opinion of Vinson &amp; Elkins LLP as to the legality of the securities being registered.</w:t>
            </w: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hyperlink>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Consent of Vinson &amp; Elkins LLP (contained in Exhibit 5.1).</w:t>
            </w: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hyperlink>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24.</w:t>
              </w:r>
              <w:r>
                <w:rPr>
                  <w:rFonts w:ascii="Arial" w:cs="Arial" w:eastAsia="Arial" w:hAnsi="Arial"/>
                  <w:sz w:val="18"/>
                  <w:szCs w:val="18"/>
                  <w:u w:val="single" w:color="auto"/>
                  <w:color w:val="0000EE"/>
                  <w:w w:val="95"/>
                </w:rPr>
                <w:t>1*</w:t>
              </w:r>
            </w:hyperlink>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bl>
    <w:p>
      <w:pPr>
        <w:spacing w:after="0" w:line="256"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5" w:name="page6"/>
    <w:bookmarkEnd w:id="5"/>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63" w:lineRule="exact"/>
        <w:rPr>
          <w:rFonts w:ascii="Arial" w:cs="Arial" w:eastAsia="Arial" w:hAnsi="Arial"/>
          <w:sz w:val="17"/>
          <w:szCs w:val="17"/>
          <w:color w:val="auto"/>
        </w:rPr>
      </w:pPr>
    </w:p>
    <w:p>
      <w:pPr>
        <w:ind w:left="2600" w:hanging="647"/>
        <w:spacing w:after="0"/>
        <w:tabs>
          <w:tab w:leader="none" w:pos="26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52" w:lineRule="exact"/>
        <w:rPr>
          <w:rFonts w:ascii="Arial" w:cs="Arial" w:eastAsia="Arial" w:hAnsi="Arial"/>
          <w:sz w:val="18"/>
          <w:szCs w:val="18"/>
          <w:color w:val="auto"/>
        </w:rPr>
      </w:pPr>
    </w:p>
    <w:p>
      <w:pPr>
        <w:jc w:val="both"/>
        <w:ind w:left="2600" w:hanging="647"/>
        <w:spacing w:after="0" w:line="271" w:lineRule="auto"/>
        <w:tabs>
          <w:tab w:leader="none" w:pos="2600" w:val="left"/>
        </w:tabs>
        <w:numPr>
          <w:ilvl w:val="2"/>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05" w:lineRule="exact"/>
        <w:rPr>
          <w:rFonts w:ascii="Arial" w:cs="Arial" w:eastAsia="Arial" w:hAnsi="Arial"/>
          <w:sz w:val="17"/>
          <w:szCs w:val="17"/>
          <w:color w:val="auto"/>
        </w:rPr>
      </w:pPr>
    </w:p>
    <w:p>
      <w:pPr>
        <w:ind w:left="2600" w:hanging="647"/>
        <w:spacing w:after="0" w:line="277" w:lineRule="auto"/>
        <w:tabs>
          <w:tab w:leader="none" w:pos="26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Section 15(d) of the Exchange Act that are incorporated by reference in this Registration Statement.</w:t>
      </w:r>
    </w:p>
    <w:p>
      <w:pPr>
        <w:spacing w:after="0" w:line="181" w:lineRule="exact"/>
        <w:rPr>
          <w:sz w:val="20"/>
          <w:szCs w:val="20"/>
          <w:color w:val="auto"/>
        </w:rPr>
      </w:pPr>
    </w:p>
    <w:p>
      <w:pPr>
        <w:jc w:val="both"/>
        <w:ind w:left="1960" w:hanging="655"/>
        <w:spacing w:after="0" w:line="264" w:lineRule="auto"/>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8"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jc w:val="both"/>
        <w:ind w:left="1620" w:hanging="640"/>
        <w:spacing w:after="0" w:line="276" w:lineRule="auto"/>
        <w:tabs>
          <w:tab w:leader="none" w:pos="1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200" w:lineRule="exact"/>
        <w:rPr>
          <w:sz w:val="20"/>
          <w:szCs w:val="20"/>
          <w:color w:val="auto"/>
        </w:rPr>
      </w:pPr>
    </w:p>
    <w:p>
      <w:pPr>
        <w:jc w:val="both"/>
        <w:ind w:left="1620" w:hanging="640"/>
        <w:spacing w:after="0" w:line="253"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New York City, State of New York on February 4, 2019.</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FORTRESS ENERGY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56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Name: Christopher S. Guinta</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Wesley R. Edens , and Christopher S. Guinta, and each of them, his true and lawful attorneys-in-fact and agents, with full power of 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and to all intents and purposes as they might or could not in person, hereby ratifying and confirming all that said attorneys-in-fact and agents or any of them, or their or his substitute or substitutes may lawfully do or cause to be done by virtue hereof.</w:t>
      </w:r>
    </w:p>
    <w:p>
      <w:pPr>
        <w:spacing w:after="0" w:line="17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February 4, 2019.</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91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23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9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16"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Wesley R. Edens</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5591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Christopher S. Guinta</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/s/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5591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2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Randal A. Nardone</w:t>
      </w:r>
    </w:p>
    <w:p>
      <w:pPr>
        <w:spacing w:after="0" w:line="22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 C. William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91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16"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C. William Griffin</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 John J.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91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John J. Mack</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 Matthew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91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16"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Matthew Wilkinson</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 David J. Grain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91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1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David J. Grain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 Desmond Iain Catterall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5591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9"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Desmond Iain Catterall</w:t>
      </w:r>
    </w:p>
    <w:p>
      <w:pPr>
        <w:spacing w:after="0" w:line="237"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/s/ Katherine E. Wanner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5591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Katherine E. Wanner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17145</wp:posOffset>
            </wp:positionV>
            <wp:extent cx="35502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jc w:val="center"/>
        <w:ind w:right="520"/>
        <w:spacing w:after="0"/>
        <w:rPr>
          <w:sz w:val="20"/>
          <w:szCs w:val="20"/>
          <w:color w:val="auto"/>
        </w:rPr>
      </w:pPr>
      <w:r>
        <w:rPr>
          <w:rFonts w:ascii="Arial" w:cs="Arial" w:eastAsia="Arial" w:hAnsi="Arial"/>
          <w:sz w:val="17"/>
          <w:szCs w:val="17"/>
          <w:i w:val="1"/>
          <w:iCs w:val="1"/>
          <w:color w:val="auto"/>
        </w:rPr>
        <w:t>(Principal Financial Officer and Principal Accounting Officer)</w:t>
      </w:r>
    </w:p>
    <w:p>
      <w:pPr>
        <w:spacing w:after="0" w:line="25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383540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5620" w:space="720"/>
            <w:col w:w="5080"/>
          </w:cols>
          <w:pgMar w:left="240" w:top="121" w:right="2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4.4</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FORTRESS ENERGY LLC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OMNIBUS INCENTIVE PLAN</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Purpose of Plan.</w:t>
      </w:r>
    </w:p>
    <w:p>
      <w:pPr>
        <w:spacing w:after="0" w:line="202" w:lineRule="exact"/>
        <w:rPr>
          <w:sz w:val="20"/>
          <w:szCs w:val="20"/>
          <w:color w:val="auto"/>
        </w:rPr>
      </w:pPr>
    </w:p>
    <w:p>
      <w:pPr>
        <w:ind w:right="40" w:firstLine="1297"/>
        <w:spacing w:after="0" w:line="255" w:lineRule="auto"/>
        <w:rPr>
          <w:sz w:val="20"/>
          <w:szCs w:val="20"/>
          <w:color w:val="auto"/>
        </w:rPr>
      </w:pPr>
      <w:r>
        <w:rPr>
          <w:rFonts w:ascii="Arial" w:cs="Arial" w:eastAsia="Arial" w:hAnsi="Arial"/>
          <w:sz w:val="17"/>
          <w:szCs w:val="17"/>
          <w:color w:val="auto"/>
        </w:rPr>
        <w:t>The name of the Plan is the New Fortress Energy LLC 2019 Omnibus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The purposes of the Plan are to provide an additional incentive to selected officers, employees, non-employee directors, independent contractors, and consultants of the Company or its Affiliates (as hereinafter defined) whose contributions are essential to the growth and success of the business of the Company and its Affiliates, in order to strengthen the commitment of such persons to the Company and its Affiliates, motivate such persons to faithfully and diligently perform their responsibilities and attract and retain competent and dedicated persons whose efforts will result in the long-term growth and profitability of the Company and its Affiliates. To accomplish such purposes, the Plan provides that the Company may grant Options, Share Appreciation Rights, Restricted Shares, Restricted Share Units, Share Bonuses, Other Share-Based Awards, Cash Awards or any combination of the foregoing.</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Definitions.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if and to the extent the Board does not administer the Plan, the Committee in accordance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3 hereof.</w:t>
      </w:r>
    </w:p>
    <w:p>
      <w:pPr>
        <w:spacing w:after="0" w:line="182" w:lineRule="exact"/>
        <w:rPr>
          <w:sz w:val="20"/>
          <w:szCs w:val="20"/>
          <w:color w:val="auto"/>
        </w:rPr>
      </w:pPr>
    </w:p>
    <w:p>
      <w:pPr>
        <w:ind w:right="320" w:firstLine="1305"/>
        <w:spacing w:after="0" w:line="291" w:lineRule="auto"/>
        <w:tabs>
          <w:tab w:leader="none" w:pos="1551"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(i) a Person that directly, or indirectly through one or more intermediaries, controls, or is controlled by, or is under common control with, the Person specified or (ii) solely for purposes of the Plan, Fortress Investment Group LLC and its Subsidiaries.</w:t>
      </w:r>
    </w:p>
    <w:p>
      <w:pPr>
        <w:spacing w:after="0" w:line="133" w:lineRule="exact"/>
        <w:rPr>
          <w:rFonts w:ascii="Arial" w:cs="Arial" w:eastAsia="Arial" w:hAnsi="Arial"/>
          <w:sz w:val="17"/>
          <w:szCs w:val="17"/>
          <w:color w:val="auto"/>
        </w:rPr>
      </w:pPr>
    </w:p>
    <w:p>
      <w:pPr>
        <w:ind w:right="520" w:firstLine="1305"/>
        <w:spacing w:after="0" w:line="262" w:lineRule="auto"/>
        <w:tabs>
          <w:tab w:leader="none" w:pos="1541"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any Option, Share Appreciation Right, Restricted Shares, Restricted Share Unit, Share Bonus, Other Share-Based Award or Cash Award granted under the Plan.</w:t>
      </w:r>
    </w:p>
    <w:p>
      <w:pPr>
        <w:spacing w:after="0" w:line="155" w:lineRule="exact"/>
        <w:rPr>
          <w:rFonts w:ascii="Arial" w:cs="Arial" w:eastAsia="Arial" w:hAnsi="Arial"/>
          <w:sz w:val="18"/>
          <w:szCs w:val="18"/>
          <w:color w:val="auto"/>
        </w:rPr>
      </w:pPr>
    </w:p>
    <w:p>
      <w:pPr>
        <w:ind w:right="40" w:firstLine="1305"/>
        <w:spacing w:after="0" w:line="243" w:lineRule="auto"/>
        <w:tabs>
          <w:tab w:leader="none" w:pos="1551"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any written agreement, contract or other instrument or document evidencing an Award, including through electronic medium, which shall contain such terms and conditions with respect to an Award as the Administrator shall determine, consistent with the Plan. Each Participant who is granted an Award shall enter into an Award Agreement with the Company, containing such terms and conditions as the Administrator shall determine, in its sole discretion.</w:t>
      </w:r>
    </w:p>
    <w:p>
      <w:pPr>
        <w:spacing w:after="0" w:line="174" w:lineRule="exact"/>
        <w:rPr>
          <w:rFonts w:ascii="Arial" w:cs="Arial" w:eastAsia="Arial" w:hAnsi="Arial"/>
          <w:sz w:val="18"/>
          <w:szCs w:val="18"/>
          <w:color w:val="auto"/>
        </w:rPr>
      </w:pPr>
    </w:p>
    <w:p>
      <w:pPr>
        <w:ind w:left="1540" w:hanging="235"/>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Price</w:t>
      </w:r>
      <w:r>
        <w:rPr>
          <w:rFonts w:ascii="Arial" w:cs="Arial" w:eastAsia="Arial" w:hAnsi="Arial"/>
          <w:sz w:val="18"/>
          <w:szCs w:val="18"/>
          <w:color w:val="auto"/>
        </w:rPr>
        <w:t>” has the meaning set forth in Section 8(b) hereof.</w:t>
      </w:r>
    </w:p>
    <w:p>
      <w:pPr>
        <w:spacing w:after="0" w:line="198" w:lineRule="exact"/>
        <w:rPr>
          <w:rFonts w:ascii="Arial" w:cs="Arial" w:eastAsia="Arial" w:hAnsi="Arial"/>
          <w:sz w:val="18"/>
          <w:szCs w:val="18"/>
          <w:color w:val="auto"/>
        </w:rPr>
      </w:pPr>
    </w:p>
    <w:p>
      <w:pPr>
        <w:ind w:left="1520" w:hanging="215"/>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(or any variant thereof) has the meaning defined in Rule 13d-3 under the Exchange Act.</w:t>
      </w:r>
    </w:p>
    <w:p>
      <w:pPr>
        <w:spacing w:after="0" w:line="198" w:lineRule="exact"/>
        <w:rPr>
          <w:rFonts w:ascii="Arial" w:cs="Arial" w:eastAsia="Arial" w:hAnsi="Arial"/>
          <w:sz w:val="18"/>
          <w:szCs w:val="18"/>
          <w:color w:val="auto"/>
        </w:rPr>
      </w:pPr>
    </w:p>
    <w:p>
      <w:pPr>
        <w:ind w:left="1560" w:hanging="255"/>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8" w:name="page9"/>
    <w:bookmarkEnd w:id="8"/>
    <w:p>
      <w:pPr>
        <w:ind w:left="1540" w:hanging="255"/>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Award</w:t>
      </w:r>
      <w:r>
        <w:rPr>
          <w:rFonts w:ascii="Arial" w:cs="Arial" w:eastAsia="Arial" w:hAnsi="Arial"/>
          <w:sz w:val="18"/>
          <w:szCs w:val="18"/>
          <w:color w:val="auto"/>
        </w:rPr>
        <w:t>” means an Award granted pursuant to Section 12 hereof.</w:t>
      </w:r>
    </w:p>
    <w:p>
      <w:pPr>
        <w:spacing w:after="0" w:line="198" w:lineRule="exact"/>
        <w:rPr>
          <w:rFonts w:ascii="Arial" w:cs="Arial" w:eastAsia="Arial" w:hAnsi="Arial"/>
          <w:sz w:val="18"/>
          <w:szCs w:val="18"/>
          <w:color w:val="auto"/>
        </w:rPr>
      </w:pPr>
    </w:p>
    <w:p>
      <w:pPr>
        <w:ind w:left="-20" w:firstLine="1305"/>
        <w:spacing w:after="0" w:line="268" w:lineRule="auto"/>
        <w:tabs>
          <w:tab w:leader="none" w:pos="1491"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has the meaning assigned to such term in the Award Agreement or in any individual employment or severance agreement with the Participant or, if any such agreement does not define “Cause,” Cause means (i) the commission of an act of fraud or dishonesty by the Participant in the course of the Participant’s employment or service; (ii) the indictment of, or conviction of, or entering of a plea of guilty or nolo contendere by, the Participant for a crime constituting a felony or in respect of any act of fraud or dishonesty; (iii) the commission of an act by the Participant which would make the Participant or the Company (including any of its Subsidiaries or Affiliates) subject to being enjoined, suspended, barred or otherwise disciplined for violation of federal or state securities laws, rules or regulations, including a statutory disqualification; (iv) gross negligence or willful misconduct in connection with the Participant’s performance of his or her duties in connection with the Participant’s employment by or service with the Company (including any Subsidiary or Affiliate for whom the Participant may be employed by or providing services to at the time) or the Participant’s failure to comply with any of the restrictive covenants to which the Participant is subject; (v) the Participant’s willful failure to comply with any material policies or procedures of the Company as in effect from time to time, provided that the Participant shall have been delivered a copy of such policies or notice that they have been posted on a Company website prior to such compliance failure; or (vi) the Participant’s failure to perform the material duties in connection with the Participant’s position, unless the Participant remedies the failure referenced in this clause (vi) no later than ten (10) days following delivery to the Participant of a written notice from the Company (including any of its Subsidiaries or Affiliates) describing such failure in reasonable detail (provided that the Participant shall not be given more than one opportunity in the aggregate to remedy failures described in this clause (vi)).</w:t>
      </w:r>
    </w:p>
    <w:p>
      <w:pPr>
        <w:spacing w:after="0" w:line="162" w:lineRule="exact"/>
        <w:rPr>
          <w:rFonts w:ascii="Arial" w:cs="Arial" w:eastAsia="Arial" w:hAnsi="Arial"/>
          <w:sz w:val="16"/>
          <w:szCs w:val="16"/>
          <w:color w:val="auto"/>
        </w:rPr>
      </w:pPr>
    </w:p>
    <w:p>
      <w:pPr>
        <w:ind w:left="-20" w:firstLine="1305"/>
        <w:spacing w:after="0" w:line="241" w:lineRule="auto"/>
        <w:tabs>
          <w:tab w:leader="none" w:pos="14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Capitalization</w:t>
      </w:r>
      <w:r>
        <w:rPr>
          <w:rFonts w:ascii="Arial" w:cs="Arial" w:eastAsia="Arial" w:hAnsi="Arial"/>
          <w:sz w:val="18"/>
          <w:szCs w:val="18"/>
          <w:color w:val="auto"/>
        </w:rPr>
        <w:t>” means any (1) merger, consolidation, reclassification, recapitalization, spin-off, spin-out, repurchase or other reorganization or corporate transaction or event, (2) special or extraordinary dividend or other extraordinary distribution (whether in the form of cash, Class A Shares, or other property), share split, reverse share split, subdivision or consolidation, (3) combination or exchange of shares, or (4) other change in corporate structure, which, in any such case, the Administrator determines, in its sole discretion, affects the Class A Shares such that an adjustment pursuant to Section 5 hereof is appropriate.</w:t>
      </w:r>
    </w:p>
    <w:p>
      <w:pPr>
        <w:spacing w:after="0" w:line="176" w:lineRule="exact"/>
        <w:rPr>
          <w:rFonts w:ascii="Arial" w:cs="Arial" w:eastAsia="Arial" w:hAnsi="Arial"/>
          <w:sz w:val="18"/>
          <w:szCs w:val="18"/>
          <w:color w:val="auto"/>
        </w:rPr>
      </w:pPr>
    </w:p>
    <w:p>
      <w:pPr>
        <w:jc w:val="both"/>
        <w:ind w:left="-20" w:right="260" w:firstLine="1305"/>
        <w:spacing w:after="0" w:line="248" w:lineRule="auto"/>
        <w:tabs>
          <w:tab w:leader="none" w:pos="15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shall mean an event or series of events after which Fortress Entities collectively directly or indirectly legally or beneficially own less than 40% of the voting shares (or other voting equity interests)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“Change in Control” shall not be deemed to occur upon the occurrence of either of the following events: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25" w:right="259" w:bottom="1440" w:gutter="0" w:footer="0" w:header="0"/>
        </w:sectPr>
      </w:pPr>
    </w:p>
    <w:bookmarkStart w:id="9" w:name="page10"/>
    <w:bookmarkEnd w:id="9"/>
    <w:p>
      <w:pPr>
        <w:ind w:right="60" w:firstLine="1953"/>
        <w:spacing w:after="0" w:line="257" w:lineRule="auto"/>
        <w:tabs>
          <w:tab w:leader="none" w:pos="2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acquisition, merger, continuation into another jurisdiction or other business combination involving the Company, including the sale of all or substantially all of the assets of the Company (each,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if one or more Fortress Entities collectively (x) directly or indirectly legally or Beneficially Own at least 30% of the voting shares (or other voting equity interests) of the Company or the surviving/acquiring entity, as the case may be, and (y) continue to be the largest shareholder (or other holder of equity) of the Company or the surviving/acquiring entity, as the case may be, following such Business Combination; and a “Change in Control” will not result after any such Business Combination so long as (but only so long as) the conditions set forth in clause (x) and clause (y) continue to be satisfied; or</w:t>
      </w:r>
    </w:p>
    <w:p>
      <w:pPr>
        <w:spacing w:after="0" w:line="162" w:lineRule="exact"/>
        <w:rPr>
          <w:rFonts w:ascii="Arial" w:cs="Arial" w:eastAsia="Arial" w:hAnsi="Arial"/>
          <w:sz w:val="17"/>
          <w:szCs w:val="17"/>
          <w:color w:val="auto"/>
        </w:rPr>
      </w:pPr>
    </w:p>
    <w:p>
      <w:pPr>
        <w:ind w:right="60" w:firstLine="1953"/>
        <w:spacing w:after="0"/>
        <w:tabs>
          <w:tab w:leader="none" w:pos="2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(x) upon an initial public offering of the voting shares or other equity interests of the Company or any direct or indirect parent of the Company (without regard to the percentage of voting shares or other equity interests of the Company or such other entity directly or indirectly legally or beneficially owned by the Fortress Entities immediately after such offering) or (y) without limiting clause (x), if at any time following such initial public offering, one or more Fortress Entities collectively directly or indirectly legally or beneficially own at least 30% of the voting shares (or other voting equity interests) of the Company or such direct or indirect parent and are the largest shareholder (or other holder of equity) of the Company or such direct or indirect parent.</w:t>
      </w:r>
    </w:p>
    <w:p>
      <w:pPr>
        <w:spacing w:after="0" w:line="17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Notwithstanding the foregoing, for each Award that constitutes deferred compensation under Section 409A of the Code, and to the extent required to avoid accelerated taxation and/or tax penalties under Section 409A of the Code, a Change in Control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 of the Code.</w:t>
      </w:r>
    </w:p>
    <w:p>
      <w:pPr>
        <w:spacing w:after="0" w:line="175" w:lineRule="exact"/>
        <w:rPr>
          <w:sz w:val="20"/>
          <w:szCs w:val="20"/>
          <w:color w:val="auto"/>
        </w:rPr>
      </w:pPr>
    </w:p>
    <w:p>
      <w:pPr>
        <w:ind w:left="1520" w:hanging="215"/>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Shares</w:t>
      </w:r>
      <w:r>
        <w:rPr>
          <w:rFonts w:ascii="Arial" w:cs="Arial" w:eastAsia="Arial" w:hAnsi="Arial"/>
          <w:sz w:val="18"/>
          <w:szCs w:val="18"/>
          <w:color w:val="auto"/>
        </w:rPr>
        <w:t>” means Class A shares of the Company representing limited liability company interests.</w:t>
      </w:r>
    </w:p>
    <w:p>
      <w:pPr>
        <w:spacing w:after="0" w:line="198" w:lineRule="exact"/>
        <w:rPr>
          <w:rFonts w:ascii="Arial" w:cs="Arial" w:eastAsia="Arial" w:hAnsi="Arial"/>
          <w:sz w:val="18"/>
          <w:szCs w:val="18"/>
          <w:color w:val="auto"/>
        </w:rPr>
      </w:pPr>
    </w:p>
    <w:p>
      <w:pPr>
        <w:ind w:left="1600" w:hanging="295"/>
        <w:spacing w:after="0"/>
        <w:tabs>
          <w:tab w:leader="none" w:pos="1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Shares</w:t>
      </w:r>
      <w:r>
        <w:rPr>
          <w:rFonts w:ascii="Arial" w:cs="Arial" w:eastAsia="Arial" w:hAnsi="Arial"/>
          <w:sz w:val="18"/>
          <w:szCs w:val="18"/>
          <w:color w:val="auto"/>
        </w:rPr>
        <w:t>” means Class B shares of the Company representing limited liability company interests.</w:t>
      </w:r>
    </w:p>
    <w:p>
      <w:pPr>
        <w:spacing w:after="0" w:line="198" w:lineRule="exact"/>
        <w:rPr>
          <w:rFonts w:ascii="Arial" w:cs="Arial" w:eastAsia="Arial" w:hAnsi="Arial"/>
          <w:sz w:val="18"/>
          <w:szCs w:val="18"/>
          <w:color w:val="auto"/>
        </w:rPr>
      </w:pPr>
    </w:p>
    <w:p>
      <w:pPr>
        <w:ind w:left="1560" w:hanging="255"/>
        <w:spacing w:after="0"/>
        <w:tabs>
          <w:tab w:leader="none" w:pos="1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or any successor thereto.</w:t>
      </w:r>
    </w:p>
    <w:p>
      <w:pPr>
        <w:spacing w:after="0" w:line="198" w:lineRule="exact"/>
        <w:rPr>
          <w:rFonts w:ascii="Arial" w:cs="Arial" w:eastAsia="Arial" w:hAnsi="Arial"/>
          <w:sz w:val="18"/>
          <w:szCs w:val="18"/>
          <w:color w:val="auto"/>
        </w:rPr>
      </w:pPr>
    </w:p>
    <w:p>
      <w:pPr>
        <w:ind w:firstLine="1305"/>
        <w:spacing w:after="0" w:line="257" w:lineRule="auto"/>
        <w:tabs>
          <w:tab w:leader="none" w:pos="1551"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any committee or subcommittee the Board may appoint to administer the Plan. Subject to the discretion of the Board, the Committee shall be composed entirely of individuals who meet the qualifications of (i) a “non-employee director” within the meaning of Rule 16b-3 and (ii) any other qualifications required by the applicable stock exchange on which the Class A Shares are traded. If at any time or to any extent the Board shall not administer the Plan, then the functions of the Administrator specified in the Plan shall be exercised by the Committee. Except as otherwise provided in the organizational documents of the Company, any action of the Committee with respect to the administration of the Plan shall be taken by a majority vote at a meeting at which a quorum is duly constituted or unanimous written consent of the Committee’s members.</w:t>
      </w:r>
    </w:p>
    <w:p>
      <w:pPr>
        <w:spacing w:after="0" w:line="162" w:lineRule="exact"/>
        <w:rPr>
          <w:rFonts w:ascii="Arial" w:cs="Arial" w:eastAsia="Arial" w:hAnsi="Arial"/>
          <w:sz w:val="17"/>
          <w:szCs w:val="17"/>
          <w:color w:val="auto"/>
        </w:rPr>
      </w:pPr>
    </w:p>
    <w:p>
      <w:pPr>
        <w:ind w:left="1560" w:hanging="255"/>
        <w:spacing w:after="0"/>
        <w:tabs>
          <w:tab w:leader="none" w:pos="1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New Fortress Energy LLC, a Delaware limited liability company or any successor company.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left="-20" w:firstLine="1305"/>
        <w:spacing w:after="0" w:line="255" w:lineRule="auto"/>
        <w:tabs>
          <w:tab w:leader="none" w:pos="1531"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has the meaning assigned to such term in the Award Agreement or in any individual employment or severance agreement with the Participant or, if any such agreement does not define “Disability,” Disability means, with respect to any Participant, that such Participant (i) as determined by the Administrator in its sole discretion,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spacing w:after="0" w:line="166" w:lineRule="exact"/>
        <w:rPr>
          <w:rFonts w:ascii="Arial" w:cs="Arial" w:eastAsia="Arial" w:hAnsi="Arial"/>
          <w:sz w:val="17"/>
          <w:szCs w:val="17"/>
          <w:color w:val="auto"/>
        </w:rPr>
      </w:pPr>
    </w:p>
    <w:p>
      <w:pPr>
        <w:ind w:left="1500" w:hanging="215"/>
        <w:spacing w:after="0"/>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Section 20 hereof.</w:t>
      </w:r>
    </w:p>
    <w:p>
      <w:pPr>
        <w:spacing w:after="0" w:line="198" w:lineRule="exact"/>
        <w:rPr>
          <w:rFonts w:ascii="Arial" w:cs="Arial" w:eastAsia="Arial" w:hAnsi="Arial"/>
          <w:sz w:val="18"/>
          <w:szCs w:val="18"/>
          <w:color w:val="auto"/>
        </w:rPr>
      </w:pPr>
    </w:p>
    <w:p>
      <w:pPr>
        <w:ind w:left="-20" w:right="20" w:firstLine="1305"/>
        <w:spacing w:after="0" w:line="239" w:lineRule="auto"/>
        <w:tabs>
          <w:tab w:leader="none" w:pos="15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Recipient</w:t>
      </w:r>
      <w:r>
        <w:rPr>
          <w:rFonts w:ascii="Arial" w:cs="Arial" w:eastAsia="Arial" w:hAnsi="Arial"/>
          <w:sz w:val="18"/>
          <w:szCs w:val="18"/>
          <w:color w:val="auto"/>
        </w:rPr>
        <w:t xml:space="preserve">” means an officer, employee, non-employee director, independent contractor or consultant of the Company or any Affiliate of the Company who has been selected as an eligible participant by the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to the extent required to avoid accelerated taxation and/or tax penalties under Section 409A of the Code, an Eligible Recipient of an Option or a Share Appreciation Right means an employee, non-employee director, independent contractor or consultant of the Company or any Affiliate of the Company with respect to whom the Company is an “eligible issuer of service recipient stock” within the meaning of Section 409A of the Code;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 Eligible Recipient must be an “employee” of the Company or any of its parents or subsidiaries within the meaning of General Instruction A.1(a) to Form S-8 if such individual is granted an Award that may be settled in Class A Shares.</w:t>
      </w:r>
    </w:p>
    <w:p>
      <w:pPr>
        <w:spacing w:after="0" w:line="177" w:lineRule="exact"/>
        <w:rPr>
          <w:rFonts w:ascii="Arial" w:cs="Arial" w:eastAsia="Arial" w:hAnsi="Arial"/>
          <w:sz w:val="18"/>
          <w:szCs w:val="18"/>
          <w:color w:val="auto"/>
        </w:rPr>
      </w:pPr>
    </w:p>
    <w:p>
      <w:pPr>
        <w:ind w:left="1500" w:hanging="215"/>
        <w:spacing w:after="0"/>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198" w:lineRule="exact"/>
        <w:rPr>
          <w:rFonts w:ascii="Arial" w:cs="Arial" w:eastAsia="Arial" w:hAnsi="Arial"/>
          <w:sz w:val="18"/>
          <w:szCs w:val="18"/>
          <w:color w:val="auto"/>
        </w:rPr>
      </w:pPr>
    </w:p>
    <w:p>
      <w:pPr>
        <w:ind w:left="-20" w:right="300" w:firstLine="1305"/>
        <w:spacing w:after="0" w:line="262" w:lineRule="auto"/>
        <w:tabs>
          <w:tab w:leader="none" w:pos="15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with respect to any Option, the per share price at which a holder of such Option may purchase such Class A Shares issuable upon the exercise of such Option.</w:t>
      </w:r>
    </w:p>
    <w:p>
      <w:pPr>
        <w:spacing w:after="0" w:line="155" w:lineRule="exact"/>
        <w:rPr>
          <w:rFonts w:ascii="Arial" w:cs="Arial" w:eastAsia="Arial" w:hAnsi="Arial"/>
          <w:sz w:val="18"/>
          <w:szCs w:val="18"/>
          <w:color w:val="auto"/>
        </w:rPr>
      </w:pPr>
    </w:p>
    <w:p>
      <w:pPr>
        <w:ind w:left="-20" w:firstLine="1305"/>
        <w:spacing w:after="0" w:line="257" w:lineRule="auto"/>
        <w:tabs>
          <w:tab w:leader="none" w:pos="1531"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of Class A Shares or another security as of a particular date shall mean the fair market value as determined by the Administrator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 if the Class A Shares or other security are admitted to trading on a national securities exchange, the fair market value on any date shall be the closing sale price reported on such date, or if no Class A Shares were traded on such date, on the last preceding date for which there was a sale of a Class A Share on such exchange, or (ii) if the Class A Shares or other security are then traded in an over-the-counter market, the fair market value on any date shall be the average of the closing bid and asked prices for such share in such over-the-counter market for the last preceding date on which there was a sale of such share in such market.</w:t>
      </w:r>
    </w:p>
    <w:p>
      <w:pPr>
        <w:spacing w:after="0" w:line="162" w:lineRule="exact"/>
        <w:rPr>
          <w:rFonts w:ascii="Arial" w:cs="Arial" w:eastAsia="Arial" w:hAnsi="Arial"/>
          <w:sz w:val="17"/>
          <w:szCs w:val="17"/>
          <w:color w:val="auto"/>
        </w:rPr>
      </w:pPr>
    </w:p>
    <w:p>
      <w:pPr>
        <w:ind w:left="1580" w:hanging="295"/>
        <w:spacing w:after="0"/>
        <w:tabs>
          <w:tab w:leader="none" w:pos="1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Fortress Entities</w:t>
      </w:r>
      <w:r>
        <w:rPr>
          <w:rFonts w:ascii="Arial" w:cs="Arial" w:eastAsia="Arial" w:hAnsi="Arial"/>
          <w:sz w:val="17"/>
          <w:szCs w:val="17"/>
          <w:color w:val="auto"/>
        </w:rPr>
        <w:t>” means Fortress Equity Partners (A) LP, New Fortress Energy Holdings LLC and their respective Affiliates.</w:t>
      </w:r>
    </w:p>
    <w:p>
      <w:pPr>
        <w:spacing w:after="0" w:line="209" w:lineRule="exact"/>
        <w:rPr>
          <w:rFonts w:ascii="Arial" w:cs="Arial" w:eastAsia="Arial" w:hAnsi="Arial"/>
          <w:sz w:val="17"/>
          <w:szCs w:val="17"/>
          <w:color w:val="auto"/>
        </w:rPr>
      </w:pPr>
    </w:p>
    <w:p>
      <w:pPr>
        <w:ind w:left="1540" w:hanging="255"/>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Standing Right</w:t>
      </w:r>
      <w:r>
        <w:rPr>
          <w:rFonts w:ascii="Arial" w:cs="Arial" w:eastAsia="Arial" w:hAnsi="Arial"/>
          <w:sz w:val="18"/>
          <w:szCs w:val="18"/>
          <w:color w:val="auto"/>
        </w:rPr>
        <w:t>” has the meaning set forth in Section 8(a) hereof.</w:t>
      </w:r>
    </w:p>
    <w:p>
      <w:pPr>
        <w:spacing w:after="0" w:line="198" w:lineRule="exact"/>
        <w:rPr>
          <w:rFonts w:ascii="Arial" w:cs="Arial" w:eastAsia="Arial" w:hAnsi="Arial"/>
          <w:sz w:val="18"/>
          <w:szCs w:val="18"/>
          <w:color w:val="auto"/>
        </w:rPr>
      </w:pPr>
    </w:p>
    <w:p>
      <w:pPr>
        <w:ind w:left="-20" w:right="340" w:firstLine="1305"/>
        <w:spacing w:after="0" w:line="248" w:lineRule="auto"/>
        <w:tabs>
          <w:tab w:leader="none" w:pos="15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has the meaning assigned to such term in the Award Agreement or in any individual employment or severance agreement with the Participant or, if any such agreement does not define “Good Reason,” Good Reason and any provision of this Plan that refers to Good Reason shall not be applicable to such Participant.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25" w:right="259" w:bottom="1440" w:gutter="0" w:footer="0" w:header="0"/>
        </w:sectPr>
      </w:pPr>
    </w:p>
    <w:bookmarkStart w:id="11" w:name="page12"/>
    <w:bookmarkEnd w:id="11"/>
    <w:p>
      <w:pPr>
        <w:ind w:left="1480" w:hanging="235"/>
        <w:spacing w:after="0"/>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ISO</w:t>
      </w:r>
      <w:r>
        <w:rPr>
          <w:rFonts w:ascii="Arial" w:cs="Arial" w:eastAsia="Arial" w:hAnsi="Arial"/>
          <w:sz w:val="16"/>
          <w:szCs w:val="16"/>
          <w:color w:val="auto"/>
        </w:rPr>
        <w:t>” means an Option intended to be and designated as an “incentive stock option” within the meaning of Section 422 of the Code.</w:t>
      </w:r>
    </w:p>
    <w:p>
      <w:pPr>
        <w:spacing w:after="0" w:line="221" w:lineRule="exact"/>
        <w:rPr>
          <w:rFonts w:ascii="Arial" w:cs="Arial" w:eastAsia="Arial" w:hAnsi="Arial"/>
          <w:sz w:val="16"/>
          <w:szCs w:val="16"/>
          <w:color w:val="auto"/>
        </w:rPr>
      </w:pPr>
    </w:p>
    <w:p>
      <w:pPr>
        <w:ind w:left="1560" w:hanging="315"/>
        <w:spacing w:after="0"/>
        <w:tabs>
          <w:tab w:leader="none" w:pos="1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Nonqualified Share Option</w:t>
      </w:r>
      <w:r>
        <w:rPr>
          <w:rFonts w:ascii="Arial" w:cs="Arial" w:eastAsia="Arial" w:hAnsi="Arial"/>
          <w:sz w:val="17"/>
          <w:szCs w:val="17"/>
          <w:color w:val="auto"/>
        </w:rPr>
        <w:t>” means an Option that is not designated as an ISO.</w:t>
      </w:r>
    </w:p>
    <w:p>
      <w:pPr>
        <w:spacing w:after="0" w:line="210" w:lineRule="exact"/>
        <w:rPr>
          <w:sz w:val="20"/>
          <w:szCs w:val="20"/>
          <w:color w:val="auto"/>
        </w:rPr>
      </w:pPr>
    </w:p>
    <w:p>
      <w:pPr>
        <w:ind w:left="-60" w:right="280" w:firstLine="1305"/>
        <w:spacing w:after="0" w:line="262" w:lineRule="auto"/>
        <w:tabs>
          <w:tab w:leader="none" w:pos="1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Class A Shares granted pursuant to Section 7 hereof. The term “Option” as used in the Plan includes the terms “Nonqualified Share Option” and “ISO.”</w:t>
      </w:r>
    </w:p>
    <w:p>
      <w:pPr>
        <w:spacing w:after="0" w:line="155" w:lineRule="exact"/>
        <w:rPr>
          <w:rFonts w:ascii="Arial" w:cs="Arial" w:eastAsia="Arial" w:hAnsi="Arial"/>
          <w:sz w:val="18"/>
          <w:szCs w:val="18"/>
          <w:color w:val="auto"/>
        </w:rPr>
      </w:pPr>
    </w:p>
    <w:p>
      <w:pPr>
        <w:ind w:left="1560" w:hanging="315"/>
        <w:spacing w:after="0"/>
        <w:tabs>
          <w:tab w:leader="none" w:pos="1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Share-Based Award</w:t>
      </w:r>
      <w:r>
        <w:rPr>
          <w:rFonts w:ascii="Arial" w:cs="Arial" w:eastAsia="Arial" w:hAnsi="Arial"/>
          <w:sz w:val="18"/>
          <w:szCs w:val="18"/>
          <w:color w:val="auto"/>
        </w:rPr>
        <w:t>” means an Award granted pursuant to Section 10 hereof.</w:t>
      </w:r>
    </w:p>
    <w:p>
      <w:pPr>
        <w:spacing w:after="0" w:line="198" w:lineRule="exact"/>
        <w:rPr>
          <w:rFonts w:ascii="Arial" w:cs="Arial" w:eastAsia="Arial" w:hAnsi="Arial"/>
          <w:sz w:val="18"/>
          <w:szCs w:val="18"/>
          <w:color w:val="auto"/>
        </w:rPr>
      </w:pPr>
    </w:p>
    <w:p>
      <w:pPr>
        <w:ind w:left="-60" w:right="280" w:firstLine="1305"/>
        <w:spacing w:after="0" w:line="324" w:lineRule="auto"/>
        <w:tabs>
          <w:tab w:leader="none" w:pos="15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any Eligible Recipient selected by the Administrator, pursuant to the Administrator’s authority provided for in Section 3 hereof, to receive grants of Awards, and, upon his or her death, his or her successors, heirs, executors and administrators, as the case may be.</w:t>
      </w:r>
    </w:p>
    <w:p>
      <w:pPr>
        <w:spacing w:after="0" w:line="110" w:lineRule="exact"/>
        <w:rPr>
          <w:rFonts w:ascii="Arial" w:cs="Arial" w:eastAsia="Arial" w:hAnsi="Arial"/>
          <w:sz w:val="16"/>
          <w:szCs w:val="16"/>
          <w:color w:val="auto"/>
        </w:rPr>
      </w:pPr>
    </w:p>
    <w:p>
      <w:pPr>
        <w:ind w:left="-60" w:firstLine="1305"/>
        <w:spacing w:after="0" w:line="272" w:lineRule="auto"/>
        <w:tabs>
          <w:tab w:leader="none" w:pos="1561"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Goals</w:t>
      </w:r>
      <w:r>
        <w:rPr>
          <w:rFonts w:ascii="Arial" w:cs="Arial" w:eastAsia="Arial" w:hAnsi="Arial"/>
          <w:sz w:val="16"/>
          <w:szCs w:val="16"/>
          <w:color w:val="auto"/>
        </w:rPr>
        <w:t>” means performance goals based on criteria selected by the Administrator in its sole discretion. Where applicable, the Performance Goals may be expressed in terms of attaining a specified level of the particular criteria or the attainment of a percentage increase or decrease in the particular criteria, and may be applied to one or more of the Company or any Affiliate thereof, or a division or strategic business unit of the Company or any Affiliate thereof,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 The Administrator shall have the authority to make equitable adjustments to the Performance Goals as may be determined by the Administrator, in its sole discretion.</w:t>
      </w:r>
    </w:p>
    <w:p>
      <w:pPr>
        <w:spacing w:after="0" w:line="155" w:lineRule="exact"/>
        <w:rPr>
          <w:rFonts w:ascii="Arial" w:cs="Arial" w:eastAsia="Arial" w:hAnsi="Arial"/>
          <w:sz w:val="16"/>
          <w:szCs w:val="16"/>
          <w:color w:val="auto"/>
        </w:rPr>
      </w:pPr>
    </w:p>
    <w:p>
      <w:pPr>
        <w:ind w:left="1520" w:hanging="275"/>
        <w:spacing w:after="0"/>
        <w:tabs>
          <w:tab w:leader="none" w:pos="1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has the meaning given in Section 3(a)(9) of the Exchange Act, as modified and used in Sections 13(d) and 14(d) thereof.</w:t>
      </w:r>
    </w:p>
    <w:p>
      <w:pPr>
        <w:spacing w:after="0" w:line="209" w:lineRule="exact"/>
        <w:rPr>
          <w:rFonts w:ascii="Arial" w:cs="Arial" w:eastAsia="Arial" w:hAnsi="Arial"/>
          <w:sz w:val="17"/>
          <w:szCs w:val="17"/>
          <w:color w:val="auto"/>
        </w:rPr>
      </w:pPr>
    </w:p>
    <w:p>
      <w:pPr>
        <w:ind w:left="1580" w:hanging="335"/>
        <w:spacing w:after="0"/>
        <w:tabs>
          <w:tab w:leader="none" w:pos="1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has the meaning set forth in Section 1 hereof.</w:t>
      </w:r>
    </w:p>
    <w:p>
      <w:pPr>
        <w:spacing w:after="0" w:line="198" w:lineRule="exact"/>
        <w:rPr>
          <w:rFonts w:ascii="Arial" w:cs="Arial" w:eastAsia="Arial" w:hAnsi="Arial"/>
          <w:sz w:val="18"/>
          <w:szCs w:val="18"/>
          <w:color w:val="auto"/>
        </w:rPr>
      </w:pPr>
    </w:p>
    <w:p>
      <w:pPr>
        <w:ind w:left="1580" w:hanging="335"/>
        <w:spacing w:after="0"/>
        <w:tabs>
          <w:tab w:leader="none" w:pos="1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Right</w:t>
      </w:r>
      <w:r>
        <w:rPr>
          <w:rFonts w:ascii="Arial" w:cs="Arial" w:eastAsia="Arial" w:hAnsi="Arial"/>
          <w:sz w:val="18"/>
          <w:szCs w:val="18"/>
          <w:color w:val="auto"/>
        </w:rPr>
        <w:t>” has the meaning set forth in Section 8(a) hereof.</w:t>
      </w:r>
    </w:p>
    <w:p>
      <w:pPr>
        <w:spacing w:after="0" w:line="198" w:lineRule="exact"/>
        <w:rPr>
          <w:rFonts w:ascii="Arial" w:cs="Arial" w:eastAsia="Arial" w:hAnsi="Arial"/>
          <w:sz w:val="18"/>
          <w:szCs w:val="18"/>
          <w:color w:val="auto"/>
        </w:rPr>
      </w:pPr>
    </w:p>
    <w:p>
      <w:pPr>
        <w:ind w:left="-60" w:right="160" w:firstLine="1305"/>
        <w:spacing w:after="0" w:line="262" w:lineRule="auto"/>
        <w:tabs>
          <w:tab w:leader="none" w:pos="15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Class A Shares granted pursuant to Section 9 hereof subject to certain restrictions that lapse at the end of a specified period or periods.</w:t>
      </w:r>
    </w:p>
    <w:p>
      <w:pPr>
        <w:spacing w:after="0" w:line="155" w:lineRule="exact"/>
        <w:rPr>
          <w:rFonts w:ascii="Arial" w:cs="Arial" w:eastAsia="Arial" w:hAnsi="Arial"/>
          <w:sz w:val="18"/>
          <w:szCs w:val="18"/>
          <w:color w:val="auto"/>
        </w:rPr>
      </w:pPr>
    </w:p>
    <w:p>
      <w:pPr>
        <w:ind w:left="-60" w:right="180" w:firstLine="1305"/>
        <w:spacing w:after="0" w:line="324" w:lineRule="auto"/>
        <w:tabs>
          <w:tab w:leader="none" w:pos="15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Share Unit</w:t>
      </w:r>
      <w:r>
        <w:rPr>
          <w:rFonts w:ascii="Arial" w:cs="Arial" w:eastAsia="Arial" w:hAnsi="Arial"/>
          <w:sz w:val="16"/>
          <w:szCs w:val="16"/>
          <w:color w:val="auto"/>
        </w:rPr>
        <w:t>” means the right, granted pursuant to Section 9 hereof, to receive an amount in cash or Class A Shares (or any combination thereof) equal to the Fair Market Value of a Class A Share subject to certain restrictions that lapse at the end of a specified period or periods.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 w:name="page13"/>
    <w:bookmarkEnd w:id="12"/>
    <w:p>
      <w:pPr>
        <w:ind w:left="1640" w:hanging="335"/>
        <w:spacing w:after="0"/>
        <w:tabs>
          <w:tab w:leader="none" w:pos="1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has the meaning set forth in Section 3(a) hereof.</w:t>
      </w:r>
    </w:p>
    <w:p>
      <w:pPr>
        <w:spacing w:after="0" w:line="198" w:lineRule="exact"/>
        <w:rPr>
          <w:rFonts w:ascii="Arial" w:cs="Arial" w:eastAsia="Arial" w:hAnsi="Arial"/>
          <w:sz w:val="18"/>
          <w:szCs w:val="18"/>
          <w:color w:val="auto"/>
        </w:rPr>
      </w:pPr>
    </w:p>
    <w:p>
      <w:pPr>
        <w:ind w:left="1560" w:hanging="255"/>
        <w:spacing w:after="0"/>
        <w:tabs>
          <w:tab w:leader="none" w:pos="15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 Appreciation Right</w:t>
      </w:r>
      <w:r>
        <w:rPr>
          <w:rFonts w:ascii="Arial" w:cs="Arial" w:eastAsia="Arial" w:hAnsi="Arial"/>
          <w:sz w:val="17"/>
          <w:szCs w:val="17"/>
          <w:color w:val="auto"/>
        </w:rPr>
        <w:t>” means the right to receive, upon exercise of the right, the applicable amounts as described in Section 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182" w:lineRule="exact"/>
        <w:rPr>
          <w:sz w:val="20"/>
          <w:szCs w:val="20"/>
          <w:color w:val="auto"/>
        </w:rPr>
      </w:pPr>
    </w:p>
    <w:p>
      <w:pPr>
        <w:ind w:left="1740" w:hanging="435"/>
        <w:spacing w:after="0"/>
        <w:tabs>
          <w:tab w:leader="none" w:pos="1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Bonus</w:t>
      </w:r>
      <w:r>
        <w:rPr>
          <w:rFonts w:ascii="Arial" w:cs="Arial" w:eastAsia="Arial" w:hAnsi="Arial"/>
          <w:sz w:val="18"/>
          <w:szCs w:val="18"/>
          <w:color w:val="auto"/>
        </w:rPr>
        <w:t>” means a bonus payable in fully vested Class A Shares granted pursuant to Section 11 hereof.</w:t>
      </w:r>
    </w:p>
    <w:p>
      <w:pPr>
        <w:spacing w:after="0" w:line="198" w:lineRule="exact"/>
        <w:rPr>
          <w:rFonts w:ascii="Arial" w:cs="Arial" w:eastAsia="Arial" w:hAnsi="Arial"/>
          <w:sz w:val="18"/>
          <w:szCs w:val="18"/>
          <w:color w:val="auto"/>
        </w:rPr>
      </w:pPr>
    </w:p>
    <w:p>
      <w:pPr>
        <w:ind w:right="120" w:firstLine="1305"/>
        <w:spacing w:after="0" w:line="248" w:lineRule="auto"/>
        <w:tabs>
          <w:tab w:leader="none" w:pos="16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as of any date of determination, any other Person as to which such first Person owns or otherwise controls, directly or indirectly, more than 50% of the voting shares or other similar interests or a sole general partner interest or managing member or similar interest of such other Person.</w:t>
      </w:r>
    </w:p>
    <w:p>
      <w:pPr>
        <w:spacing w:after="0" w:line="168" w:lineRule="exact"/>
        <w:rPr>
          <w:rFonts w:ascii="Arial" w:cs="Arial" w:eastAsia="Arial" w:hAnsi="Arial"/>
          <w:sz w:val="18"/>
          <w:szCs w:val="18"/>
          <w:color w:val="auto"/>
        </w:rPr>
      </w:pPr>
    </w:p>
    <w:p>
      <w:pPr>
        <w:ind w:left="1640" w:hanging="335"/>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has the meaning set forth in Section 18 hereof.</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Administration.</w:t>
      </w:r>
    </w:p>
    <w:p>
      <w:pPr>
        <w:spacing w:after="0" w:line="202" w:lineRule="exact"/>
        <w:rPr>
          <w:sz w:val="20"/>
          <w:szCs w:val="20"/>
          <w:color w:val="auto"/>
        </w:rPr>
      </w:pPr>
    </w:p>
    <w:p>
      <w:pPr>
        <w:ind w:right="20" w:firstLine="1305"/>
        <w:spacing w:after="0" w:line="262" w:lineRule="auto"/>
        <w:tabs>
          <w:tab w:leader="none" w:pos="154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Plan shall be administered by the Administrator and shall be administered in accordance with the requirements of Rule 16b-3 under the Exchange Act (“</w:t>
      </w:r>
      <w:r>
        <w:rPr>
          <w:rFonts w:ascii="Arial" w:cs="Arial" w:eastAsia="Arial" w:hAnsi="Arial"/>
          <w:sz w:val="18"/>
          <w:szCs w:val="18"/>
          <w:u w:val="single" w:color="auto"/>
          <w:color w:val="auto"/>
        </w:rPr>
        <w:t>Rule 16b-3</w:t>
      </w:r>
      <w:r>
        <w:rPr>
          <w:rFonts w:ascii="Arial" w:cs="Arial" w:eastAsia="Arial" w:hAnsi="Arial"/>
          <w:sz w:val="18"/>
          <w:szCs w:val="18"/>
          <w:color w:val="auto"/>
        </w:rPr>
        <w:t>”), to the extent applicable.</w:t>
      </w:r>
    </w:p>
    <w:p>
      <w:pPr>
        <w:spacing w:after="0" w:line="155" w:lineRule="exact"/>
        <w:rPr>
          <w:rFonts w:ascii="Arial" w:cs="Arial" w:eastAsia="Arial" w:hAnsi="Arial"/>
          <w:sz w:val="18"/>
          <w:szCs w:val="18"/>
          <w:color w:val="auto"/>
        </w:rPr>
      </w:pPr>
    </w:p>
    <w:p>
      <w:pPr>
        <w:ind w:firstLine="1305"/>
        <w:spacing w:after="0" w:line="262" w:lineRule="auto"/>
        <w:tabs>
          <w:tab w:leader="none" w:pos="15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the terms of the Plan, the Administrator, subject, in the case of any Committee, to any restrictions on the authority delegated to it by the Board, shall have the power and authority, without limitation:</w:t>
      </w:r>
    </w:p>
    <w:p>
      <w:pPr>
        <w:spacing w:after="0" w:line="155" w:lineRule="exact"/>
        <w:rPr>
          <w:rFonts w:ascii="Arial" w:cs="Arial" w:eastAsia="Arial" w:hAnsi="Arial"/>
          <w:sz w:val="18"/>
          <w:szCs w:val="18"/>
          <w:color w:val="auto"/>
        </w:rPr>
      </w:pPr>
    </w:p>
    <w:p>
      <w:pPr>
        <w:ind w:left="2200" w:hanging="247"/>
        <w:spacing w:after="0"/>
        <w:tabs>
          <w:tab w:leader="none" w:pos="2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select those Eligible Recipients who shall be Participants;</w:t>
      </w:r>
    </w:p>
    <w:p>
      <w:pPr>
        <w:spacing w:after="0" w:line="198" w:lineRule="exact"/>
        <w:rPr>
          <w:rFonts w:ascii="Arial" w:cs="Arial" w:eastAsia="Arial" w:hAnsi="Arial"/>
          <w:sz w:val="18"/>
          <w:szCs w:val="18"/>
          <w:color w:val="auto"/>
        </w:rPr>
      </w:pPr>
    </w:p>
    <w:p>
      <w:pPr>
        <w:ind w:left="2200" w:hanging="247"/>
        <w:spacing w:after="0"/>
        <w:tabs>
          <w:tab w:leader="none" w:pos="2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determine whether and to what extent Awards are to be granted hereunder to Participants;</w:t>
      </w:r>
    </w:p>
    <w:p>
      <w:pPr>
        <w:spacing w:after="0" w:line="198" w:lineRule="exact"/>
        <w:rPr>
          <w:rFonts w:ascii="Arial" w:cs="Arial" w:eastAsia="Arial" w:hAnsi="Arial"/>
          <w:sz w:val="18"/>
          <w:szCs w:val="18"/>
          <w:color w:val="auto"/>
        </w:rPr>
      </w:pPr>
    </w:p>
    <w:p>
      <w:pPr>
        <w:ind w:left="2200" w:hanging="247"/>
        <w:spacing w:after="0"/>
        <w:tabs>
          <w:tab w:leader="none" w:pos="2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determine the number of Class A Shares to be covered by each Award granted hereunder;</w:t>
      </w:r>
    </w:p>
    <w:p>
      <w:pPr>
        <w:spacing w:after="0" w:line="198" w:lineRule="exact"/>
        <w:rPr>
          <w:rFonts w:ascii="Arial" w:cs="Arial" w:eastAsia="Arial" w:hAnsi="Arial"/>
          <w:sz w:val="18"/>
          <w:szCs w:val="18"/>
          <w:color w:val="auto"/>
        </w:rPr>
      </w:pPr>
    </w:p>
    <w:p>
      <w:pPr>
        <w:ind w:firstLine="1953"/>
        <w:spacing w:after="0" w:line="255" w:lineRule="auto"/>
        <w:tabs>
          <w:tab w:leader="none" w:pos="22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each Award granted hereunder (including, but not limited to, (i) the restrictions applicable to Restricted Shares or Restricted Share Units and the conditions under which restrictions applicable to such Restricted Shares or Restricted Share Units shall lapse, (ii) the Performance Goals and periods applicable to Awards, (iii) the Exercise Price of each Option and the Base Price of each Share Appreciation Right, (iv) the vesting schedule applicable to each Award, subject to Section 4(d) hereof, (v) the number of Class A Shares or amount of cash or other property subject to each Award and (vi) subject to the requirements of Section 409A of the Code (to the extent applicable), any amendments to the terms and conditions of outstanding Awards, including, but not limited to, extending the exercise period of such Awards and accelerating the vesting schedule of such Awards);</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3" w:name="page14"/>
    <w:bookmarkEnd w:id="13"/>
    <w:p>
      <w:pPr>
        <w:ind w:left="1960"/>
        <w:spacing w:after="0"/>
        <w:rPr>
          <w:sz w:val="20"/>
          <w:szCs w:val="20"/>
          <w:color w:val="auto"/>
        </w:rPr>
      </w:pPr>
      <w:r>
        <w:rPr>
          <w:rFonts w:ascii="Arial" w:cs="Arial" w:eastAsia="Arial" w:hAnsi="Arial"/>
          <w:sz w:val="16"/>
          <w:szCs w:val="16"/>
          <w:color w:val="auto"/>
        </w:rPr>
        <w:t>(5) to determine the terms and conditions, not inconsistent with the terms of the Plan, which shall govern all written instruments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evidencing Awards;</w:t>
      </w:r>
    </w:p>
    <w:p>
      <w:pPr>
        <w:spacing w:after="0" w:line="182" w:lineRule="exact"/>
        <w:rPr>
          <w:sz w:val="20"/>
          <w:szCs w:val="20"/>
          <w:color w:val="auto"/>
        </w:rPr>
      </w:pPr>
    </w:p>
    <w:p>
      <w:pPr>
        <w:ind w:left="2200" w:hanging="247"/>
        <w:spacing w:after="0"/>
        <w:tabs>
          <w:tab w:leader="none" w:pos="2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determine the Fair Market Value in accordance with the terms of the Plan;</w:t>
      </w:r>
    </w:p>
    <w:p>
      <w:pPr>
        <w:spacing w:after="0" w:line="198" w:lineRule="exact"/>
        <w:rPr>
          <w:rFonts w:ascii="Arial" w:cs="Arial" w:eastAsia="Arial" w:hAnsi="Arial"/>
          <w:sz w:val="18"/>
          <w:szCs w:val="18"/>
          <w:color w:val="auto"/>
        </w:rPr>
      </w:pPr>
    </w:p>
    <w:p>
      <w:pPr>
        <w:ind w:right="720" w:firstLine="1953"/>
        <w:spacing w:after="0" w:line="262" w:lineRule="auto"/>
        <w:tabs>
          <w:tab w:leader="none" w:pos="2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determine the duration and purpose of leaves of absence which may be granted to a Participant without constituting termination of the Participant’s employment or service for purposes of Awards granted under the Plan;</w:t>
      </w:r>
    </w:p>
    <w:p>
      <w:pPr>
        <w:spacing w:after="0" w:line="155" w:lineRule="exact"/>
        <w:rPr>
          <w:rFonts w:ascii="Arial" w:cs="Arial" w:eastAsia="Arial" w:hAnsi="Arial"/>
          <w:sz w:val="18"/>
          <w:szCs w:val="18"/>
          <w:color w:val="auto"/>
        </w:rPr>
      </w:pPr>
    </w:p>
    <w:p>
      <w:pPr>
        <w:ind w:left="2200" w:hanging="247"/>
        <w:spacing w:after="0"/>
        <w:tabs>
          <w:tab w:leader="none" w:pos="22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to adopt, alter and repeal such administrative rules, guidelines and practices governing the Plan as it shall from time to time</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deem advisable; and</w:t>
      </w:r>
    </w:p>
    <w:p>
      <w:pPr>
        <w:spacing w:after="0" w:line="182" w:lineRule="exact"/>
        <w:rPr>
          <w:rFonts w:ascii="Arial" w:cs="Arial" w:eastAsia="Arial" w:hAnsi="Arial"/>
          <w:sz w:val="16"/>
          <w:szCs w:val="16"/>
          <w:color w:val="auto"/>
        </w:rPr>
      </w:pPr>
    </w:p>
    <w:p>
      <w:pPr>
        <w:ind w:right="160" w:firstLine="1953"/>
        <w:spacing w:after="0" w:line="248" w:lineRule="auto"/>
        <w:tabs>
          <w:tab w:leader="none" w:pos="22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sub-plans established for the purpose of satisfying applicable foreign laws or qualifying for favorable tax treatment under applicable foreign laws, which rules and regulations may be set forth in an appendix or appendices to the Plan; and</w:t>
      </w:r>
    </w:p>
    <w:p>
      <w:pPr>
        <w:spacing w:after="0" w:line="168" w:lineRule="exact"/>
        <w:rPr>
          <w:rFonts w:ascii="Arial" w:cs="Arial" w:eastAsia="Arial" w:hAnsi="Arial"/>
          <w:sz w:val="18"/>
          <w:szCs w:val="18"/>
          <w:color w:val="auto"/>
        </w:rPr>
      </w:pPr>
    </w:p>
    <w:p>
      <w:pPr>
        <w:ind w:right="300" w:firstLine="1953"/>
        <w:spacing w:after="0" w:line="248" w:lineRule="auto"/>
        <w:tabs>
          <w:tab w:leader="none" w:pos="2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spacing w:after="0" w:line="168" w:lineRule="exact"/>
        <w:rPr>
          <w:rFonts w:ascii="Arial" w:cs="Arial" w:eastAsia="Arial" w:hAnsi="Arial"/>
          <w:sz w:val="18"/>
          <w:szCs w:val="18"/>
          <w:color w:val="auto"/>
        </w:rPr>
      </w:pPr>
    </w:p>
    <w:p>
      <w:pPr>
        <w:ind w:right="60" w:firstLine="1305"/>
        <w:spacing w:after="0"/>
        <w:tabs>
          <w:tab w:leader="none" w:pos="154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decisions made by the Administrator pursuant to the provisions of the Plan shall be final, conclusive and binding on all persons, including the Company and the Participants. No member of the Board or the Committee, nor any officer or employee of the Company or any Subsidiary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Subsidiary thereof acting on their behalf shall, to the maximum extent permitted by law, be fully indemnified and protected by the Company in respect of any such action, omission, determination or interpretation.</w:t>
      </w:r>
    </w:p>
    <w:p>
      <w:pPr>
        <w:spacing w:after="0" w:line="176" w:lineRule="exact"/>
        <w:rPr>
          <w:rFonts w:ascii="Arial" w:cs="Arial" w:eastAsia="Arial" w:hAnsi="Arial"/>
          <w:sz w:val="18"/>
          <w:szCs w:val="18"/>
          <w:color w:val="auto"/>
        </w:rPr>
      </w:pPr>
    </w:p>
    <w:p>
      <w:pPr>
        <w:ind w:right="180" w:firstLine="1305"/>
        <w:spacing w:after="0" w:line="243" w:lineRule="auto"/>
        <w:tabs>
          <w:tab w:leader="none" w:pos="155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Administrator may, in its sole discretion, delegate its authority, in whole or in part, under this Section 3 (including, but not limited to, its authority to grant Awards under the Plan, other than its authority to grant Awards under the Plan to any Participant who is subject to reporting under Section 16 of the Exchange Act) to one or more officers of the Company, subject to the requirements of applicable law or any stock exchange on which the Class A Shares are traded.</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Class A Shares Reserved for Issuance; Certain Limitations.</w:t>
      </w:r>
    </w:p>
    <w:p>
      <w:pPr>
        <w:spacing w:after="0" w:line="202" w:lineRule="exact"/>
        <w:rPr>
          <w:sz w:val="20"/>
          <w:szCs w:val="20"/>
          <w:color w:val="auto"/>
        </w:rPr>
      </w:pPr>
    </w:p>
    <w:p>
      <w:pPr>
        <w:ind w:firstLine="1305"/>
        <w:spacing w:after="0" w:line="257" w:lineRule="auto"/>
        <w:tabs>
          <w:tab w:leader="none" w:pos="154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maximum number of Class A Shares reserved for issuance under the Plan shall be 16,705,882 shares (subject to adjustment as provided in Section 5), as increased on the first day of each fiscal year of the Company beginning in calendar year 2020 by a number of Class A Shares equal to the excess, if any, of (x) 10% of the aggregate number of outstanding Class A Shares and Class B Shares on the last day of the immediately preceding fiscal year, over (y) the number of Class A Shares reserved and available for issuance in respect of future grants of Awards under the Plan as of the last day of the immediately preceding fiscal year. Notwithstanding the number of Class A Shares available under the Plan, no more than 16,705,882 Class A Shares will be available for issuance in connection with ISOs under the Plan.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ind w:right="40" w:firstLine="1305"/>
        <w:spacing w:after="0" w:line="268" w:lineRule="auto"/>
        <w:tabs>
          <w:tab w:leader="none" w:pos="1551" w:val="left"/>
        </w:tabs>
        <w:numPr>
          <w:ilvl w:val="0"/>
          <w:numId w:val="22"/>
        </w:numPr>
        <w:rPr>
          <w:rFonts w:ascii="Arial" w:cs="Arial" w:eastAsia="Arial" w:hAnsi="Arial"/>
          <w:sz w:val="16"/>
          <w:szCs w:val="16"/>
          <w:color w:val="auto"/>
        </w:rPr>
      </w:pPr>
      <w:r>
        <w:rPr>
          <w:rFonts w:ascii="Arial" w:cs="Arial" w:eastAsia="Arial" w:hAnsi="Arial"/>
          <w:sz w:val="16"/>
          <w:szCs w:val="16"/>
          <w:color w:val="auto"/>
        </w:rPr>
        <w:t>Class A Shares issued under the Plan may, in whole or in part, be authorized but unissued Class A Shares or Class A Shares that shall have been or may be reacquired by the Company in the open market, in private transactions or otherwise. If any Class A Shares subject to an Award are forfeited, cancelled, exchanged or surrendered or if an Award otherwise terminates or expires without a distribution of Class A Shares to the Participant, the Class A Shares with respect to such Award shall, to the extent of any such forfeiture, cancellation, exchange, surrender, termination or expiration, again be available for Awards under the Plan. Additionally, Class A Shares that are exchanged by a Participant or withheld by the Company as full or partial payment in connection with the exercise of any Option or Stock Appreciation Right under the Plan or the payment of any purchase price with respect to any other Award under the Plan, as well as any Class A Shares exchanged by a Participant or withheld by the Company or any Subsidiary to satisfy the tax withholding obligations related to any Award under the Plan, shall also be available for subsequent Awards under the Plan. Upon the exercise of any Award granted in tandem with any other Awards, such related Awards shall be cancelled to the extent of the number of Class A Shares as to which the Award is exercised and, notwithstanding the foregoing, such number of Class A Shares shall no longer be available for Awards under the Plan. Class A Shares, if any, that are repurchased by the Company using the proceeds received by the Company from the exercise of any Option or Stock Appreciation Right or from the payment of any purchase price with respect to any other Award shall not be added to the aggregate number of Class A Shares available for Awards under the Plan. In addition, (i) to the extent an Award is denominated in Class A Shares, but paid or settled in cash, the number of Class A Shares with respect to which such payment or settlement is made shall again be available for grants of Awards pursuant to the Plan and (ii) Class A Shares underlying Awards that can only be settled in cash shall not be counted against the aggregate number of Class A Shares available for Awards under the Plan.</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Equitable Adjustments.</w:t>
      </w:r>
    </w:p>
    <w:p>
      <w:pPr>
        <w:spacing w:after="0" w:line="202" w:lineRule="exact"/>
        <w:rPr>
          <w:sz w:val="20"/>
          <w:szCs w:val="20"/>
          <w:color w:val="auto"/>
        </w:rPr>
      </w:pPr>
    </w:p>
    <w:p>
      <w:pPr>
        <w:ind w:firstLine="1305"/>
        <w:spacing w:after="0" w:line="272" w:lineRule="auto"/>
        <w:tabs>
          <w:tab w:leader="none" w:pos="1541"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In the event of any Change in Capitalization, an equitable substitution or proportionate adjustment shall be made, in each case, as may be determined by the Administrator, in its sole discretion, in (i) the aggregate number of Class A Shares reserved for issuance under the Plan and the maximum number of Class A Shares or cash that may be subject to Awards granted to any Participant in any calendar year, (ii) the kind and number of securities subject to, and the Exercise Price or Base Price of, any outstanding Options and Share Appreciation Rights granted under the Plan, (iii) the kind, number and purchase price of Class A Shares, or the amount of cash or amount or type of other property, subject to outstanding Restricted Shares, Restricted Share Units, Share Bonuses and Other Share-Based Awards granted under the Plan or (iv) the Performance Goals and performance periods applicable to any Awards granted under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fractional Class A Shares resulting from the adjustment shall be eliminated. Such other equitable substitutions or adjustments shall be made as may be determined by the Administrator, in its sole discretion.</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 w:name="page16"/>
    <w:bookmarkEnd w:id="15"/>
    <w:p>
      <w:pPr>
        <w:ind w:firstLine="1305"/>
        <w:spacing w:after="0" w:line="257" w:lineRule="auto"/>
        <w:tabs>
          <w:tab w:leader="none" w:pos="1551"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the foregoing, in connection with a Change in Capitalization, the Administrator may provide, in its sole discretion, but subject in all events to the requirements of Section 409A of the Code, for the cancellation of any outstanding Award in exchange for payment in cash or other property having an aggregate Fair Market Value equal to the Fair Market Value of the Class A Shares, cash or other property covered by such Award, reduced by the aggregate Exercise Price or Base Price thereof, if 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Exercise Price or Base Price of any outstanding Award is equal to or greater than the Fair Market Value of the Class A Shares, cash or other property covered by such Award, the Board may cancel such Award without the payment of any consideration to the Participant.</w:t>
      </w:r>
    </w:p>
    <w:p>
      <w:pPr>
        <w:spacing w:after="0" w:line="162" w:lineRule="exact"/>
        <w:rPr>
          <w:rFonts w:ascii="Arial" w:cs="Arial" w:eastAsia="Arial" w:hAnsi="Arial"/>
          <w:sz w:val="17"/>
          <w:szCs w:val="17"/>
          <w:color w:val="auto"/>
        </w:rPr>
      </w:pPr>
    </w:p>
    <w:p>
      <w:pPr>
        <w:ind w:left="1540" w:hanging="235"/>
        <w:spacing w:after="0"/>
        <w:tabs>
          <w:tab w:leader="none" w:pos="1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determinations made by the Administrator or the Board, as applicable, pursuant to this Section 5 shall be final, binding and</w:t>
      </w:r>
    </w:p>
    <w:p>
      <w:pPr>
        <w:spacing w:after="0" w:line="2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conclusive.</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Eligibility.</w:t>
      </w:r>
    </w:p>
    <w:p>
      <w:pPr>
        <w:spacing w:after="0" w:line="202" w:lineRule="exact"/>
        <w:rPr>
          <w:sz w:val="20"/>
          <w:szCs w:val="20"/>
          <w:color w:val="auto"/>
        </w:rPr>
      </w:pPr>
    </w:p>
    <w:p>
      <w:pPr>
        <w:ind w:right="220" w:firstLine="1297"/>
        <w:spacing w:after="0" w:line="262" w:lineRule="auto"/>
        <w:rPr>
          <w:sz w:val="20"/>
          <w:szCs w:val="20"/>
          <w:color w:val="auto"/>
        </w:rPr>
      </w:pPr>
      <w:r>
        <w:rPr>
          <w:rFonts w:ascii="Arial" w:cs="Arial" w:eastAsia="Arial" w:hAnsi="Arial"/>
          <w:sz w:val="18"/>
          <w:szCs w:val="18"/>
          <w:color w:val="auto"/>
        </w:rPr>
        <w:t>The Participants under the Plan shall be selected from time to time by the Administrator, in its sole discretion, from those individuals that qualify as Eligible Recipients.</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Options.</w:t>
      </w:r>
    </w:p>
    <w:p>
      <w:pPr>
        <w:spacing w:after="0" w:line="202" w:lineRule="exact"/>
        <w:rPr>
          <w:sz w:val="20"/>
          <w:szCs w:val="20"/>
          <w:color w:val="auto"/>
        </w:rPr>
      </w:pPr>
    </w:p>
    <w:p>
      <w:pPr>
        <w:ind w:right="40" w:firstLine="1305"/>
        <w:spacing w:after="0" w:line="274" w:lineRule="auto"/>
        <w:tabs>
          <w:tab w:leader="none" w:pos="1541"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Each Participant who is granted an Option shall enter into an Award Agreement with the Company, containing such terms and conditions as the Administrator shall determine, in its sole discretion, which Award Agreement shall set forth, among other things, the Exercise Price of the Option, the term of the Option and provisions regarding exercisability of the Option, and whether the Option is intended to be an ISO or a Nonqualified Share Option (and in the event the Award Agreement has no such designation, the Option shall be a Nonqualified Share Option).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spacing w:after="0" w:line="150" w:lineRule="exact"/>
        <w:rPr>
          <w:rFonts w:ascii="Arial" w:cs="Arial" w:eastAsia="Arial" w:hAnsi="Arial"/>
          <w:sz w:val="16"/>
          <w:szCs w:val="16"/>
          <w:color w:val="auto"/>
        </w:rPr>
      </w:pPr>
    </w:p>
    <w:p>
      <w:pPr>
        <w:ind w:right="140" w:firstLine="1305"/>
        <w:spacing w:after="0" w:line="248" w:lineRule="auto"/>
        <w:tabs>
          <w:tab w:leader="none" w:pos="1551"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Class A Shares purchasable under an Option shall be determined by the Administrator in its sole discretion at the time of grant, but in no event shall the exercise price of an Option be less than one hundred percent (100%) of the Fair Market Value of the related Class A Shares on the date of grant.</w:t>
      </w:r>
    </w:p>
    <w:p>
      <w:pPr>
        <w:spacing w:after="0" w:line="168" w:lineRule="exact"/>
        <w:rPr>
          <w:rFonts w:ascii="Arial" w:cs="Arial" w:eastAsia="Arial" w:hAnsi="Arial"/>
          <w:sz w:val="18"/>
          <w:szCs w:val="18"/>
          <w:color w:val="auto"/>
        </w:rPr>
      </w:pPr>
    </w:p>
    <w:p>
      <w:pPr>
        <w:ind w:left="1540" w:hanging="235"/>
        <w:spacing w:after="0"/>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The maximum term of each Option shall be fixed by the Administrator, but no Option shall be exercisable more than ten</w:t>
      </w:r>
    </w:p>
    <w:p>
      <w:pPr>
        <w:spacing w:after="0" w:line="34" w:lineRule="exact"/>
        <w:rPr>
          <w:rFonts w:ascii="Arial" w:cs="Arial" w:eastAsia="Arial" w:hAnsi="Arial"/>
          <w:sz w:val="16"/>
          <w:szCs w:val="16"/>
          <w:color w:val="auto"/>
        </w:rPr>
      </w:pPr>
    </w:p>
    <w:p>
      <w:pPr>
        <w:ind w:right="240" w:firstLine="8"/>
        <w:spacing w:after="0" w:line="243" w:lineRule="auto"/>
        <w:tabs>
          <w:tab w:leader="none" w:pos="3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years after the date such Option is granted. Each Option’s term is subject to earlier expiration pursuant to the applicable provisions in the Plan and the Award Agreement.</w:t>
      </w:r>
    </w:p>
    <w:p>
      <w:pPr>
        <w:spacing w:after="0" w:line="172" w:lineRule="exact"/>
        <w:rPr>
          <w:rFonts w:ascii="Arial" w:cs="Arial" w:eastAsia="Arial" w:hAnsi="Arial"/>
          <w:sz w:val="18"/>
          <w:szCs w:val="18"/>
          <w:color w:val="auto"/>
        </w:rPr>
      </w:pPr>
    </w:p>
    <w:p>
      <w:pPr>
        <w:jc w:val="both"/>
        <w:ind w:right="20" w:firstLine="1305"/>
        <w:spacing w:after="0" w:line="241" w:lineRule="auto"/>
        <w:tabs>
          <w:tab w:leader="none" w:pos="1551"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Class A Share.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left="-20" w:right="60" w:firstLine="1305"/>
        <w:spacing w:after="0" w:line="238" w:lineRule="auto"/>
        <w:tabs>
          <w:tab w:leader="none" w:pos="152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Options may be exercised in whole or in part by giving written notice of exercise to the Company specifying the number of whole Class A Shares to be purchased, accompanied by payment in full of the aggregate Exercise Price of the Class A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Class A Shares otherwise issuable upon exercise), (ii) in the form of unrestricted Class A Shares already owned by the Participant which have a Fair Market Value on the date of surrender equal to the aggregate exercise price of the Class A Shares as to which such Option shall be exercised, (iii) any other form of consideration approved by the Administrator and permitted by applicable law or (iv) any combination of the foregoing.</w:t>
      </w:r>
    </w:p>
    <w:p>
      <w:pPr>
        <w:spacing w:after="0" w:line="181" w:lineRule="exact"/>
        <w:rPr>
          <w:rFonts w:ascii="Arial" w:cs="Arial" w:eastAsia="Arial" w:hAnsi="Arial"/>
          <w:sz w:val="18"/>
          <w:szCs w:val="18"/>
          <w:color w:val="auto"/>
        </w:rPr>
      </w:pPr>
    </w:p>
    <w:p>
      <w:pPr>
        <w:ind w:left="-20" w:firstLine="1305"/>
        <w:spacing w:after="0" w:line="243" w:lineRule="auto"/>
        <w:tabs>
          <w:tab w:leader="none" w:pos="150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ISOs</w:t>
      </w:r>
      <w:r>
        <w:rPr>
          <w:rFonts w:ascii="Arial" w:cs="Arial" w:eastAsia="Arial" w:hAnsi="Arial"/>
          <w:sz w:val="18"/>
          <w:szCs w:val="18"/>
          <w:color w:val="auto"/>
        </w:rPr>
        <w:t>. The terms and conditions of ISOs granted hereunder shall be subject to the provisions of Section 422 of the Code and the terms, conditions, limitations and administrative procedures established by the Administrator from time to time in accordance with the Plan. At the discretion of the Administrator, ISOs may be granted only to an employee of the Company, its “parent corporation” (as such term is defined in Section 424(e) of the Code) or a Subsidiary of the Company.</w:t>
      </w:r>
    </w:p>
    <w:p>
      <w:pPr>
        <w:spacing w:after="0" w:line="174" w:lineRule="exact"/>
        <w:rPr>
          <w:rFonts w:ascii="Arial" w:cs="Arial" w:eastAsia="Arial" w:hAnsi="Arial"/>
          <w:sz w:val="18"/>
          <w:szCs w:val="18"/>
          <w:color w:val="auto"/>
        </w:rPr>
      </w:pPr>
    </w:p>
    <w:p>
      <w:pPr>
        <w:ind w:left="-20" w:right="40" w:firstLine="1953"/>
        <w:spacing w:after="0" w:line="284" w:lineRule="auto"/>
        <w:tabs>
          <w:tab w:leader="none" w:pos="214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ISO Grants to 10% Shareholders</w:t>
      </w:r>
      <w:r>
        <w:rPr>
          <w:rFonts w:ascii="Arial" w:cs="Arial" w:eastAsia="Arial" w:hAnsi="Arial"/>
          <w:sz w:val="16"/>
          <w:szCs w:val="16"/>
          <w:color w:val="auto"/>
        </w:rPr>
        <w:t>. Notwithstanding anything to the contrary in the Plan, if an ISO is granted to a Participant who owns shares representing more than ten percent (10%) of the voting power of all classes of shares of the Company, its “parent corporation” (as such term is defined in Section 424(e) of the Code) or a Subsidiary of the Company, the term of the ISO shall not exceed five (5) years from the time of grant of such ISO and the Exercise Price shall be at least one hundred and ten percent (110%) of the Fair Market Value of the Class A Shares on the date of grant.</w:t>
      </w:r>
    </w:p>
    <w:p>
      <w:pPr>
        <w:spacing w:after="0" w:line="142" w:lineRule="exact"/>
        <w:rPr>
          <w:rFonts w:ascii="Arial" w:cs="Arial" w:eastAsia="Arial" w:hAnsi="Arial"/>
          <w:sz w:val="16"/>
          <w:szCs w:val="16"/>
          <w:color w:val="auto"/>
        </w:rPr>
      </w:pPr>
    </w:p>
    <w:p>
      <w:pPr>
        <w:ind w:left="-20" w:right="40" w:firstLine="1953"/>
        <w:spacing w:after="0" w:line="248" w:lineRule="auto"/>
        <w:tabs>
          <w:tab w:leader="none" w:pos="219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$100,000 Per Year Limitation For ISOs</w:t>
      </w:r>
      <w:r>
        <w:rPr>
          <w:rFonts w:ascii="Arial" w:cs="Arial" w:eastAsia="Arial" w:hAnsi="Arial"/>
          <w:sz w:val="18"/>
          <w:szCs w:val="18"/>
          <w:color w:val="auto"/>
        </w:rPr>
        <w:t>. To the extent the aggregate Fair Market Value (determined on the date of grant) of the Class A Shares for which ISOs are exercisable for the first time by any Participant during any calendar year (under all plans of the Company) exceeds $100,000, such excess ISOs shall be treated as Nonqualified Share Options.</w:t>
      </w:r>
    </w:p>
    <w:p>
      <w:pPr>
        <w:spacing w:after="0" w:line="168" w:lineRule="exact"/>
        <w:rPr>
          <w:rFonts w:ascii="Arial" w:cs="Arial" w:eastAsia="Arial" w:hAnsi="Arial"/>
          <w:sz w:val="18"/>
          <w:szCs w:val="18"/>
          <w:color w:val="auto"/>
        </w:rPr>
      </w:pPr>
    </w:p>
    <w:p>
      <w:pPr>
        <w:ind w:left="-20" w:right="40" w:firstLine="1953"/>
        <w:spacing w:after="0" w:line="239" w:lineRule="auto"/>
        <w:tabs>
          <w:tab w:leader="none" w:pos="224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Disqualifying Dispositions</w:t>
      </w:r>
      <w:r>
        <w:rPr>
          <w:rFonts w:ascii="Arial" w:cs="Arial" w:eastAsia="Arial" w:hAnsi="Arial"/>
          <w:sz w:val="18"/>
          <w:szCs w:val="18"/>
          <w:color w:val="auto"/>
        </w:rPr>
        <w:t>. Each Participant awarded an ISO under the Plan shall notify the Company in writing immediately after the date the Participant makes a “disqualifying disposition” of any Class A Share acquired pursuant to the exercise of such ISO. A “disqualifying disposition” is any disposition (including any sale) of such Class A Shares before the later of (i) two years after the date of grant of the ISO and (ii) one year after the date the Participant acquired the Class A Shares by exercising the ISO. The Company may, if determined by the Administrator and in accordance with procedures established by it, retain possession of any Class A Shares acquired pursuant to the exercise of an ISO as agent for the applicable Participant until the end of the period described in the preceding sentence, subject to complying with any instructions from such Participant as to the sale of such Class A Shares.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17" w:name="page18"/>
    <w:bookmarkEnd w:id="17"/>
    <w:p>
      <w:pPr>
        <w:ind w:right="240" w:firstLine="1305"/>
        <w:spacing w:after="0" w:line="248" w:lineRule="auto"/>
        <w:tabs>
          <w:tab w:leader="none" w:pos="155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 A Participant shall have no rights to dividends, dividend equivalents or distributions or any other rights of a shareholder with respect to the Class A Shares subject to an Option until the Participant has given written notice of the exercise thereof, has paid in full for such Class A Shares and has satisfied the requirements of Section 17 hereof.</w:t>
      </w:r>
    </w:p>
    <w:p>
      <w:pPr>
        <w:spacing w:after="0" w:line="168" w:lineRule="exact"/>
        <w:rPr>
          <w:rFonts w:ascii="Arial" w:cs="Arial" w:eastAsia="Arial" w:hAnsi="Arial"/>
          <w:sz w:val="18"/>
          <w:szCs w:val="18"/>
          <w:color w:val="auto"/>
        </w:rPr>
      </w:pPr>
    </w:p>
    <w:p>
      <w:pPr>
        <w:ind w:right="180" w:firstLine="1305"/>
        <w:spacing w:after="0" w:line="248" w:lineRule="auto"/>
        <w:tabs>
          <w:tab w:leader="none" w:pos="155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In the event of the termination of employment or service with the Company and all Affiliates thereof of a Participant who has been granted one or more Options, such Options shall be exercisable at such time or times and subject to such terms and conditions as set forth in the Award Agreement.</w:t>
      </w:r>
    </w:p>
    <w:p>
      <w:pPr>
        <w:spacing w:after="0" w:line="168" w:lineRule="exact"/>
        <w:rPr>
          <w:rFonts w:ascii="Arial" w:cs="Arial" w:eastAsia="Arial" w:hAnsi="Arial"/>
          <w:sz w:val="18"/>
          <w:szCs w:val="18"/>
          <w:color w:val="auto"/>
        </w:rPr>
      </w:pPr>
    </w:p>
    <w:p>
      <w:pPr>
        <w:jc w:val="both"/>
        <w:ind w:right="160" w:firstLine="1305"/>
        <w:spacing w:after="0" w:line="248" w:lineRule="auto"/>
        <w:tabs>
          <w:tab w:leader="none" w:pos="151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Other Change in Employment or Service Status</w:t>
      </w:r>
      <w:r>
        <w:rPr>
          <w:rFonts w:ascii="Arial" w:cs="Arial" w:eastAsia="Arial" w:hAnsi="Arial"/>
          <w:sz w:val="18"/>
          <w:szCs w:val="18"/>
          <w:color w:val="auto"/>
        </w:rPr>
        <w:t>. An Option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Share Appreciation Rights.</w:t>
      </w:r>
    </w:p>
    <w:p>
      <w:pPr>
        <w:spacing w:after="0" w:line="202" w:lineRule="exact"/>
        <w:rPr>
          <w:sz w:val="20"/>
          <w:szCs w:val="20"/>
          <w:color w:val="auto"/>
        </w:rPr>
      </w:pPr>
    </w:p>
    <w:p>
      <w:pPr>
        <w:ind w:firstLine="1305"/>
        <w:spacing w:after="0" w:line="238" w:lineRule="auto"/>
        <w:tabs>
          <w:tab w:leader="none" w:pos="154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Share Appreciation Rights may be granted either alone (“</w:t>
      </w:r>
      <w:r>
        <w:rPr>
          <w:rFonts w:ascii="Arial" w:cs="Arial" w:eastAsia="Arial" w:hAnsi="Arial"/>
          <w:sz w:val="18"/>
          <w:szCs w:val="18"/>
          <w:u w:val="single" w:color="auto"/>
          <w:color w:val="auto"/>
        </w:rPr>
        <w:t>Free Standing Rights</w:t>
      </w:r>
      <w:r>
        <w:rPr>
          <w:rFonts w:ascii="Arial" w:cs="Arial" w:eastAsia="Arial" w:hAnsi="Arial"/>
          <w:sz w:val="18"/>
          <w:szCs w:val="18"/>
          <w:color w:val="auto"/>
        </w:rPr>
        <w:t>”) or in conjunction with all or part of any Option granted under the Plan (“</w:t>
      </w:r>
      <w:r>
        <w:rPr>
          <w:rFonts w:ascii="Arial" w:cs="Arial" w:eastAsia="Arial" w:hAnsi="Arial"/>
          <w:sz w:val="18"/>
          <w:szCs w:val="18"/>
          <w:u w:val="single" w:color="auto"/>
          <w:color w:val="auto"/>
        </w:rPr>
        <w:t>Related Rights</w:t>
      </w:r>
      <w:r>
        <w:rPr>
          <w:rFonts w:ascii="Arial" w:cs="Arial" w:eastAsia="Arial" w:hAnsi="Arial"/>
          <w:sz w:val="18"/>
          <w:szCs w:val="18"/>
          <w:color w:val="auto"/>
        </w:rPr>
        <w:t>”). Related Rights may be granted either at or after the time of the grant of such Option. The Administrator shall determine the Eligible Recipients to whom, and the time or times at which, grants of Share Appreciation Rights shall be made, the number of Class A Shares to be awarded, the Base Price, and all other conditions of Share Appreciation Rights. Notwithstanding the foregoing, no Related Right may be granted for more Class A Shares than are subject to the Option to which it relates. The provisions of Share Appreciation Rights need not be the same with respect to each Participant. Share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181" w:lineRule="exact"/>
        <w:rPr>
          <w:rFonts w:ascii="Arial" w:cs="Arial" w:eastAsia="Arial" w:hAnsi="Arial"/>
          <w:sz w:val="18"/>
          <w:szCs w:val="18"/>
          <w:color w:val="auto"/>
        </w:rPr>
      </w:pPr>
    </w:p>
    <w:p>
      <w:pPr>
        <w:ind w:right="260" w:firstLine="1305"/>
        <w:spacing w:after="0" w:line="262" w:lineRule="auto"/>
        <w:tabs>
          <w:tab w:leader="none" w:pos="155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Base Price</w:t>
      </w:r>
      <w:r>
        <w:rPr>
          <w:rFonts w:ascii="Arial" w:cs="Arial" w:eastAsia="Arial" w:hAnsi="Arial"/>
          <w:sz w:val="18"/>
          <w:szCs w:val="18"/>
          <w:color w:val="auto"/>
        </w:rPr>
        <w:t>. Each Share Appreciation Right shall be granted with a base price that is not less than one hundred percent (100%) of the Fair Market Value of the related Class A Shares on the date of grant (such amount, the “</w:t>
      </w:r>
      <w:r>
        <w:rPr>
          <w:rFonts w:ascii="Arial" w:cs="Arial" w:eastAsia="Arial" w:hAnsi="Arial"/>
          <w:sz w:val="18"/>
          <w:szCs w:val="18"/>
          <w:u w:val="single" w:color="auto"/>
          <w:color w:val="auto"/>
        </w:rPr>
        <w:t>Base Price</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ind w:right="280" w:firstLine="1305"/>
        <w:spacing w:after="0" w:line="248" w:lineRule="auto"/>
        <w:tabs>
          <w:tab w:leader="none" w:pos="154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 A Participant shall have no rights to dividends, dividend equivalents or any other rights of a shareholder with respect to the Class A Shares, if any, subject to a Share Appreciation Right until the Participant has given written notice of the exercise thereof and has satisfied the requirements of Section 17 hereof.</w:t>
      </w:r>
    </w:p>
    <w:p>
      <w:pPr>
        <w:spacing w:after="0" w:line="168" w:lineRule="exact"/>
        <w:rPr>
          <w:rFonts w:ascii="Arial" w:cs="Arial" w:eastAsia="Arial" w:hAnsi="Arial"/>
          <w:sz w:val="18"/>
          <w:szCs w:val="18"/>
          <w:color w:val="auto"/>
        </w:rPr>
      </w:pPr>
    </w:p>
    <w:p>
      <w:pPr>
        <w:ind w:left="1560" w:hanging="255"/>
        <w:spacing w:after="0"/>
        <w:tabs>
          <w:tab w:leader="none" w:pos="15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280" w:firstLine="1953"/>
        <w:spacing w:after="0" w:line="262" w:lineRule="auto"/>
        <w:tabs>
          <w:tab w:leader="none" w:pos="22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 Appreciation Rights that are Free Standing Rights shall be exercisable at such time or times and subject to such terms and conditions as shall be determined by the Administrator in the applicable Award Agreement.</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ind w:right="420" w:firstLine="1953"/>
        <w:spacing w:after="0" w:line="262" w:lineRule="auto"/>
        <w:tabs>
          <w:tab w:leader="none" w:pos="2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 Appreciation Rights that are Related Rights shall be exercisable only at such time or times and to the extent that the Options to which they relate shall be exercisable in accordance with the provisions of Section 7 hereof and this Section 8.</w:t>
      </w:r>
    </w:p>
    <w:p>
      <w:pPr>
        <w:spacing w:after="0" w:line="155" w:lineRule="exact"/>
        <w:rPr>
          <w:rFonts w:ascii="Arial" w:cs="Arial" w:eastAsia="Arial" w:hAnsi="Arial"/>
          <w:sz w:val="18"/>
          <w:szCs w:val="18"/>
          <w:color w:val="auto"/>
        </w:rPr>
      </w:pPr>
    </w:p>
    <w:p>
      <w:pPr>
        <w:ind w:left="1540" w:hanging="235"/>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Consideration Upon Exercise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100" w:firstLine="1953"/>
        <w:spacing w:after="0" w:line="294" w:lineRule="auto"/>
        <w:tabs>
          <w:tab w:leader="none" w:pos="22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Upon the exercise of a Free Standing Right, the Participant shall be entitled to receive up to, but not more than, that number of Class A Shares equal in value to (i) the excess of the Fair Market Value of a Class A Share as of the date of exercise over the Base Price per Class A Share specified in the Free Standing Right, multiplied by (ii) the number of Class A Shares in respect of which the Free Standing Right is being exercised.</w:t>
      </w:r>
    </w:p>
    <w:p>
      <w:pPr>
        <w:spacing w:after="0" w:line="134" w:lineRule="exact"/>
        <w:rPr>
          <w:rFonts w:ascii="Arial" w:cs="Arial" w:eastAsia="Arial" w:hAnsi="Arial"/>
          <w:sz w:val="16"/>
          <w:szCs w:val="16"/>
          <w:color w:val="auto"/>
        </w:rPr>
      </w:pPr>
    </w:p>
    <w:p>
      <w:pPr>
        <w:ind w:right="240" w:firstLine="1953"/>
        <w:spacing w:after="0" w:line="241" w:lineRule="auto"/>
        <w:tabs>
          <w:tab w:leader="none" w:pos="22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Related Right may be exercised by a Participant by surrendering the applicable portion of the related Option. Upon such exercise and surrender, the Participant shall be entitled to receive up to, but not more than, that number of Class A Shares equal in value to (i) the excess of the Fair Market Value of a Class A Share as of the date of exercise over the Exercise Price specified in the related Option, multiplied by (ii) the number of Class A Shares in respect of which the Related Right is being exercised. Options which have been so surrendered, in whole or in part, shall no longer be exercisable to the extent the Related Rights have been so exercised.</w:t>
      </w:r>
    </w:p>
    <w:p>
      <w:pPr>
        <w:spacing w:after="0" w:line="176" w:lineRule="exact"/>
        <w:rPr>
          <w:rFonts w:ascii="Arial" w:cs="Arial" w:eastAsia="Arial" w:hAnsi="Arial"/>
          <w:sz w:val="18"/>
          <w:szCs w:val="18"/>
          <w:color w:val="auto"/>
        </w:rPr>
      </w:pPr>
    </w:p>
    <w:p>
      <w:pPr>
        <w:ind w:firstLine="1953"/>
        <w:spacing w:after="0" w:line="262" w:lineRule="auto"/>
        <w:tabs>
          <w:tab w:leader="none" w:pos="22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Notwithstanding the foregoing, the Administrator may determine to settle the exercise of a Share Appreciation Right in cash (or in any combination of Class A Shares and cash).</w:t>
      </w:r>
    </w:p>
    <w:p>
      <w:pPr>
        <w:spacing w:after="0" w:line="155" w:lineRule="exact"/>
        <w:rPr>
          <w:rFonts w:ascii="Arial" w:cs="Arial" w:eastAsia="Arial" w:hAnsi="Arial"/>
          <w:sz w:val="18"/>
          <w:szCs w:val="18"/>
          <w:color w:val="auto"/>
        </w:rPr>
      </w:pPr>
    </w:p>
    <w:p>
      <w:pPr>
        <w:ind w:left="1520" w:hanging="215"/>
        <w:spacing w:after="0"/>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right="140" w:firstLine="1953"/>
        <w:spacing w:after="0" w:line="248" w:lineRule="auto"/>
        <w:tabs>
          <w:tab w:leader="none" w:pos="22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event of the termination of employment or service with the Company and all Affiliates thereof of a Participant who has been granted one or more Free Standing Rights, such rights shall be exercisable at such time or times and subject to such terms and conditions as set forth in the Award Agreement.</w:t>
      </w:r>
    </w:p>
    <w:p>
      <w:pPr>
        <w:spacing w:after="0" w:line="168" w:lineRule="exact"/>
        <w:rPr>
          <w:rFonts w:ascii="Arial" w:cs="Arial" w:eastAsia="Arial" w:hAnsi="Arial"/>
          <w:sz w:val="18"/>
          <w:szCs w:val="18"/>
          <w:color w:val="auto"/>
        </w:rPr>
      </w:pPr>
    </w:p>
    <w:p>
      <w:pPr>
        <w:ind w:right="180" w:firstLine="1953"/>
        <w:spacing w:after="0" w:line="248" w:lineRule="auto"/>
        <w:tabs>
          <w:tab w:leader="none" w:pos="22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event of the termination of employment or service with the Company and all Affiliates thereof of a Participant who has been granted one or more Related Rights, such rights shall be exercisable at such time or times and subject to such terms and conditions as set forth in the related Options.</w:t>
      </w:r>
    </w:p>
    <w:p>
      <w:pPr>
        <w:spacing w:after="0" w:line="168" w:lineRule="exact"/>
        <w:rPr>
          <w:rFonts w:ascii="Arial" w:cs="Arial" w:eastAsia="Arial" w:hAnsi="Arial"/>
          <w:sz w:val="18"/>
          <w:szCs w:val="18"/>
          <w:color w:val="auto"/>
        </w:rPr>
      </w:pPr>
    </w:p>
    <w:p>
      <w:pPr>
        <w:ind w:left="1560" w:hanging="255"/>
        <w:spacing w:after="0"/>
        <w:tabs>
          <w:tab w:leader="none" w:pos="15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40" w:firstLine="1953"/>
        <w:spacing w:after="0" w:line="262" w:lineRule="auto"/>
        <w:tabs>
          <w:tab w:leader="none" w:pos="22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term of each Free Standing Right shall be fixed by the Administrator, but no Free Standing Right shall be exercisable more than ten (10) years after the date such right is granted.</w:t>
      </w:r>
    </w:p>
    <w:p>
      <w:pPr>
        <w:spacing w:after="0" w:line="155" w:lineRule="exact"/>
        <w:rPr>
          <w:rFonts w:ascii="Arial" w:cs="Arial" w:eastAsia="Arial" w:hAnsi="Arial"/>
          <w:sz w:val="18"/>
          <w:szCs w:val="18"/>
          <w:color w:val="auto"/>
        </w:rPr>
      </w:pPr>
    </w:p>
    <w:p>
      <w:pPr>
        <w:ind w:right="340" w:firstLine="1953"/>
        <w:spacing w:after="0" w:line="262" w:lineRule="auto"/>
        <w:tabs>
          <w:tab w:leader="none" w:pos="22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term of each Related Right shall be the term of the Option to which it relates, but no Related Right shall be exercisable more than ten (10) years after the date such right is granted.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right="20" w:firstLine="1305"/>
        <w:spacing w:after="0" w:line="270" w:lineRule="auto"/>
        <w:tabs>
          <w:tab w:leader="none" w:pos="1551"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Other Change in Employment or Service Status</w:t>
      </w:r>
      <w:r>
        <w:rPr>
          <w:rFonts w:ascii="Arial" w:cs="Arial" w:eastAsia="Arial" w:hAnsi="Arial"/>
          <w:sz w:val="17"/>
          <w:szCs w:val="17"/>
          <w:color w:val="auto"/>
        </w:rPr>
        <w:t>. Share Appreciation Rights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Restricted Shares and Restricted Share Units.</w:t>
      </w:r>
    </w:p>
    <w:p>
      <w:pPr>
        <w:spacing w:after="0" w:line="202" w:lineRule="exact"/>
        <w:rPr>
          <w:sz w:val="20"/>
          <w:szCs w:val="20"/>
          <w:color w:val="auto"/>
        </w:rPr>
      </w:pPr>
    </w:p>
    <w:p>
      <w:pPr>
        <w:ind w:right="80" w:firstLine="1305"/>
        <w:spacing w:after="0" w:line="255" w:lineRule="auto"/>
        <w:tabs>
          <w:tab w:leader="none" w:pos="154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Restricted Shares and Restricted Share Units may be issued under the Plan. The Administrator shall determine the Eligible Recipients to whom, and the time or times at which, Restricted Shares or Restricted Share Units shall be made; the number of Class A Shares to be awarded; the price, if any, to be paid by the Participant for the acquisition of Restricted Shares or Restricted Share Units; the period of time prior to which Restricted Shares or Restricted Share Units become vested and free of restrictions on Transfer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the Performance Goals (if any); and all other conditions of the Restricted Shares and Restricted Share Units. If the restrictions, Performance Goals and/or conditions established by the Administrator are not attained, a Participant shall forfeit his or her Restricted Shares or Restricted Share Units, in accordance with the terms of the grant. The provisions of Restricted Shares or Restricted Share Units need not be the same with respect to each Participant.</w:t>
      </w:r>
    </w:p>
    <w:p>
      <w:pPr>
        <w:spacing w:after="0" w:line="166" w:lineRule="exact"/>
        <w:rPr>
          <w:rFonts w:ascii="Arial" w:cs="Arial" w:eastAsia="Arial" w:hAnsi="Arial"/>
          <w:sz w:val="17"/>
          <w:szCs w:val="17"/>
          <w:color w:val="auto"/>
        </w:rPr>
      </w:pPr>
    </w:p>
    <w:p>
      <w:pPr>
        <w:ind w:left="1560" w:hanging="255"/>
        <w:spacing w:after="0"/>
        <w:tabs>
          <w:tab w:leader="none" w:pos="15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Awards and Certificates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firstLine="1953"/>
        <w:spacing w:after="0" w:line="274" w:lineRule="auto"/>
        <w:tabs>
          <w:tab w:leader="none" w:pos="2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Except as otherwise provided in Section 9(c) hereof, (i) each Participant who is granted an Award of Restricted Shares may, in the Company’s sole discretion, be issued a share certificate in respect of such Restricted Shares; and (ii) any such certificate so issued shall be registered in the name of the Participant, and shall bear an appropriate legend referring to the terms, conditions, and restrictions applicable to any such Award. The Company may require that the share certificates, if any, evidencing Restricted Shares granted hereunder be held in the custody of the Company until the restrictions thereon shall have lapsed, and that, as a condition of any award of Restricted Shares, the Participant shall have delivered a transfer form, endorsed in blank, relating to the Class A Shares covered by such award. Certificates for unrestricted Class A Shares may, in the Company’s sole discretion, be delivered to the Participant only after the Restricted Period has expired without forfeiture in respect of such Restricted Shares.</w:t>
      </w:r>
    </w:p>
    <w:p>
      <w:pPr>
        <w:spacing w:after="0" w:line="150" w:lineRule="exact"/>
        <w:rPr>
          <w:rFonts w:ascii="Arial" w:cs="Arial" w:eastAsia="Arial" w:hAnsi="Arial"/>
          <w:sz w:val="16"/>
          <w:szCs w:val="16"/>
          <w:color w:val="auto"/>
        </w:rPr>
      </w:pPr>
    </w:p>
    <w:p>
      <w:pPr>
        <w:ind w:right="200" w:firstLine="1953"/>
        <w:spacing w:after="0" w:line="294" w:lineRule="auto"/>
        <w:tabs>
          <w:tab w:leader="none" w:pos="22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With respect to an Award of Restricted Share Units to be settled in Class A Shares, at the expiration of the Restricted Period, share certificates in respect of the Class A Shares underlying such Restricted Share Units may, in the Company’s sole discretion, be delivered to the Participant, or his legal representative, in a number equal to the number of Class A Shares underlying the Award of Restricted Share Units.</w:t>
      </w:r>
    </w:p>
    <w:p>
      <w:pPr>
        <w:spacing w:after="0" w:line="134" w:lineRule="exact"/>
        <w:rPr>
          <w:rFonts w:ascii="Arial" w:cs="Arial" w:eastAsia="Arial" w:hAnsi="Arial"/>
          <w:sz w:val="16"/>
          <w:szCs w:val="16"/>
          <w:color w:val="auto"/>
        </w:rPr>
      </w:pPr>
    </w:p>
    <w:p>
      <w:pPr>
        <w:ind w:right="180" w:firstLine="1953"/>
        <w:spacing w:after="0" w:line="262" w:lineRule="auto"/>
        <w:tabs>
          <w:tab w:leader="none" w:pos="22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any Restricted Shares or Restricted Share Units to be settled in Class A Shares (at the expiration of the Restricted Period) may, in the Company’s sole discretion, be issued in uncertificated form.</w:t>
      </w:r>
    </w:p>
    <w:p>
      <w:pPr>
        <w:spacing w:after="0" w:line="155" w:lineRule="exact"/>
        <w:rPr>
          <w:rFonts w:ascii="Arial" w:cs="Arial" w:eastAsia="Arial" w:hAnsi="Arial"/>
          <w:sz w:val="18"/>
          <w:szCs w:val="18"/>
          <w:color w:val="auto"/>
        </w:rPr>
      </w:pPr>
    </w:p>
    <w:p>
      <w:pPr>
        <w:ind w:right="160" w:firstLine="1953"/>
        <w:spacing w:after="0" w:line="241" w:lineRule="auto"/>
        <w:tabs>
          <w:tab w:leader="none" w:pos="22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Further, notwithstanding anything in the Plan to the contrary, with respect to Restricted Share Units, at the expiration of the Restricted Period, Class A Shares (either in certificated or uncertificated form) or cash, as applicable, shall promptly be issued to the Participant, unless otherwise deferred in accordance with procedures established by the Company in accordance with Section 409A of the Code, and such issuance or payment shall in any event be made no later than March 15th of the calendar year following the year of vesting or within such other period as is required to avoid accelerated taxation and/or tax penalties under Section 409A of the Code.</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 w:name="page21"/>
    <w:bookmarkEnd w:id="20"/>
    <w:p>
      <w:pPr>
        <w:ind w:left="-20" w:right="120" w:firstLine="1305"/>
        <w:spacing w:after="0" w:line="248" w:lineRule="auto"/>
        <w:tabs>
          <w:tab w:leader="none" w:pos="152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 The Restricted Shares and Restricted Share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spacing w:after="0" w:line="168" w:lineRule="exact"/>
        <w:rPr>
          <w:rFonts w:ascii="Arial" w:cs="Arial" w:eastAsia="Arial" w:hAnsi="Arial"/>
          <w:sz w:val="18"/>
          <w:szCs w:val="18"/>
          <w:color w:val="auto"/>
        </w:rPr>
      </w:pPr>
    </w:p>
    <w:p>
      <w:pPr>
        <w:ind w:left="-20" w:right="80" w:firstLine="1953"/>
        <w:spacing w:after="0" w:line="241" w:lineRule="auto"/>
        <w:tabs>
          <w:tab w:leader="none" w:pos="21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Subject to Section 4(d) hereof, the Award Agreement may provide for the lapse of restrictions in installments and may accelerate or waive such restrictions in whole or in part based on such factors and such circumstances as set forth in the Award Agreement, including, but not limited to, the attainment of certain performance related goals, the Participant’s termination of employment or service with the Company or any Affiliate thereof, or the Participant’s death or Disability. Notwithstanding the foregoing, upon a Change in Control, the outstanding Awards shall be subject to Section 14 hereof.</w:t>
      </w:r>
    </w:p>
    <w:p>
      <w:pPr>
        <w:spacing w:after="0" w:line="176" w:lineRule="exact"/>
        <w:rPr>
          <w:rFonts w:ascii="Arial" w:cs="Arial" w:eastAsia="Arial" w:hAnsi="Arial"/>
          <w:sz w:val="18"/>
          <w:szCs w:val="18"/>
          <w:color w:val="auto"/>
        </w:rPr>
      </w:pPr>
    </w:p>
    <w:p>
      <w:pPr>
        <w:ind w:left="-20" w:firstLine="1953"/>
        <w:spacing w:after="0" w:line="254" w:lineRule="auto"/>
        <w:tabs>
          <w:tab w:leader="none" w:pos="21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Except as provided in the applicable Award Agreement, the Participant shall generally have the rights of a shareholder of the Company with respect to Restricted Shares during the Restricted Period, including the right to vote such Class A Shares and to receive any dividends declared with respect to such Class A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provided in the applicable Award Agreement, any dividends declared during the Restricted Period with respect to such Class A Shares shall only become payable if (and to the extent) the underlying Restricted Shares vests. Except as provided in the applicable Award Agreement, the Participant shall generally not have the rights of a shareholder with respect to Class A Shares subject to Restricted Share Units during the Restricted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subject to Section 409A of the Code, an amount equal to any dividends declared during the Restricted Period with respect to the number of Class A Shares covered by Restricted Share Units may, to the extent set forth in an Award Agreement, be paid or distributed to the Participant when accrued, or at the time (and to the extent) that Class A Shares in respect of the related Restricted Share Units are delivered to the Participant.</w:t>
      </w:r>
    </w:p>
    <w:p>
      <w:pPr>
        <w:spacing w:after="0" w:line="163" w:lineRule="exact"/>
        <w:rPr>
          <w:rFonts w:ascii="Arial" w:cs="Arial" w:eastAsia="Arial" w:hAnsi="Arial"/>
          <w:sz w:val="17"/>
          <w:szCs w:val="17"/>
          <w:color w:val="auto"/>
        </w:rPr>
      </w:pPr>
    </w:p>
    <w:p>
      <w:pPr>
        <w:jc w:val="both"/>
        <w:ind w:left="-20" w:right="100" w:firstLine="1305"/>
        <w:spacing w:after="0" w:line="324" w:lineRule="auto"/>
        <w:tabs>
          <w:tab w:leader="none" w:pos="153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or Service</w:t>
      </w:r>
      <w:r>
        <w:rPr>
          <w:rFonts w:ascii="Arial" w:cs="Arial" w:eastAsia="Arial" w:hAnsi="Arial"/>
          <w:sz w:val="16"/>
          <w:szCs w:val="16"/>
          <w:color w:val="auto"/>
        </w:rPr>
        <w:t>. The rights of Participants granted Restricted Shares or Restricted Share Units upon termination of employment or service with the Company and all Affiliates thereof for any reason during the Restricted Period shall be set forth in the Award Agreement.</w:t>
      </w:r>
    </w:p>
    <w:p>
      <w:pPr>
        <w:spacing w:after="0" w:line="110" w:lineRule="exact"/>
        <w:rPr>
          <w:rFonts w:ascii="Arial" w:cs="Arial" w:eastAsia="Arial" w:hAnsi="Arial"/>
          <w:sz w:val="16"/>
          <w:szCs w:val="16"/>
          <w:color w:val="auto"/>
        </w:rPr>
      </w:pPr>
    </w:p>
    <w:p>
      <w:pPr>
        <w:ind w:left="-20" w:right="280" w:firstLine="1305"/>
        <w:spacing w:after="0" w:line="324" w:lineRule="auto"/>
        <w:tabs>
          <w:tab w:leader="none" w:pos="152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Form of Settlement</w:t>
      </w:r>
      <w:r>
        <w:rPr>
          <w:rFonts w:ascii="Arial" w:cs="Arial" w:eastAsia="Arial" w:hAnsi="Arial"/>
          <w:sz w:val="16"/>
          <w:szCs w:val="16"/>
          <w:color w:val="auto"/>
        </w:rPr>
        <w:t>. The Administrator reserves the right in its sole discretion to provide (either at or after the grant thereof) that any Restricted Share Unit represents the right to receive the amount of cash per unit that is determined by the Administrator in connection with the Award.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21" w:name="page22"/>
    <w:bookmarkEnd w:id="21"/>
    <w:p>
      <w:pPr>
        <w:spacing w:after="0"/>
        <w:tabs>
          <w:tab w:leader="none" w:pos="12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Other Share-Based Awards.</w:t>
      </w:r>
    </w:p>
    <w:p>
      <w:pPr>
        <w:spacing w:after="0" w:line="202" w:lineRule="exact"/>
        <w:rPr>
          <w:sz w:val="20"/>
          <w:szCs w:val="20"/>
          <w:color w:val="auto"/>
        </w:rPr>
      </w:pPr>
    </w:p>
    <w:p>
      <w:pPr>
        <w:ind w:right="20" w:firstLine="1297"/>
        <w:spacing w:after="0" w:line="238" w:lineRule="auto"/>
        <w:rPr>
          <w:sz w:val="20"/>
          <w:szCs w:val="20"/>
          <w:color w:val="auto"/>
        </w:rPr>
      </w:pPr>
      <w:r>
        <w:rPr>
          <w:rFonts w:ascii="Arial" w:cs="Arial" w:eastAsia="Arial" w:hAnsi="Arial"/>
          <w:sz w:val="18"/>
          <w:szCs w:val="18"/>
          <w:color w:val="auto"/>
        </w:rPr>
        <w:t>Other forms of Awards valued in whole or in part by reference to, or otherwise based on, Class A Shares, including but not limited to dividend equivalents, may be granted either alone or in addition to other Awards (other than in connection with Options or Share Appreciation Rights) under the Plan. Dividends or dividend equivalents awarded hereunder may be paid or distributed when accrued, or may be subject to the same restrictions, conditions and risks of forfeiture as the underlying Awards and only become payable if (and to the extent) the underlying Awards vest. Subject to the provisions of the Plan, the Administrator shall have sole and complete authority to determine the individuals to whom and the time or times at which such Other Share-Based Awards shall be granted, the number of Class A Shares to be granted pursuant to such Other Share-Based Awards, or the manner in which such Other Share-Based Awards shall be settled (e.g., in Class A Shares, cash or other property), or the conditions to the vesting and/or payment or settlement of such Other Share-Based Awards (which may include, but not be limited to, achievement of performance criteria) and all other terms and conditions of such Other Share-Based Awards.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Share Bonuses.</w:t>
      </w:r>
    </w:p>
    <w:p>
      <w:pPr>
        <w:spacing w:after="0" w:line="202" w:lineRule="exact"/>
        <w:rPr>
          <w:sz w:val="20"/>
          <w:szCs w:val="20"/>
          <w:color w:val="auto"/>
        </w:rPr>
      </w:pPr>
    </w:p>
    <w:p>
      <w:pPr>
        <w:jc w:val="both"/>
        <w:ind w:right="320" w:firstLine="1297"/>
        <w:spacing w:after="0" w:line="270" w:lineRule="auto"/>
        <w:rPr>
          <w:sz w:val="20"/>
          <w:szCs w:val="20"/>
          <w:color w:val="auto"/>
        </w:rPr>
      </w:pPr>
      <w:r>
        <w:rPr>
          <w:rFonts w:ascii="Arial" w:cs="Arial" w:eastAsia="Arial" w:hAnsi="Arial"/>
          <w:sz w:val="17"/>
          <w:szCs w:val="17"/>
          <w:color w:val="auto"/>
        </w:rPr>
        <w:t>In the event that the Administrator grants a Share Bonus, the Class A Shares constituting such Share Bonus shall, as determined by the Administrator, be evidenced in uncertificated form or by a book entry record or a certificate issued in the name of the Participant to whom such grant was made and delivered to such Participant as soon as practicable after the date on which such Share Bonus is payable.</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Cash Awards.</w:t>
      </w:r>
    </w:p>
    <w:p>
      <w:pPr>
        <w:spacing w:after="0" w:line="202" w:lineRule="exact"/>
        <w:rPr>
          <w:sz w:val="20"/>
          <w:szCs w:val="20"/>
          <w:color w:val="auto"/>
        </w:rPr>
      </w:pPr>
    </w:p>
    <w:p>
      <w:pPr>
        <w:jc w:val="both"/>
        <w:ind w:right="120" w:firstLine="1297"/>
        <w:spacing w:after="0" w:line="270" w:lineRule="auto"/>
        <w:rPr>
          <w:sz w:val="20"/>
          <w:szCs w:val="20"/>
          <w:color w:val="auto"/>
        </w:rPr>
      </w:pPr>
      <w:r>
        <w:rPr>
          <w:rFonts w:ascii="Arial" w:cs="Arial" w:eastAsia="Arial" w:hAnsi="Arial"/>
          <w:sz w:val="17"/>
          <w:szCs w:val="17"/>
          <w:color w:val="auto"/>
        </w:rPr>
        <w:t>The Administrator may grant Awards that are payable solely in cash, as deemed by the Administrator to be consistent with the purposes of the Plan, and such Cash Awards shall be subject to the terms, conditions, restrictions and limitations determined by the Administrator, in its sole discretion, from time to time. Cash Awards may be granted with value and payment contingent upon the achievement of Performance Goals.</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Change in Control Provisions.</w:t>
      </w:r>
    </w:p>
    <w:p>
      <w:pPr>
        <w:spacing w:after="0" w:line="202" w:lineRule="exact"/>
        <w:rPr>
          <w:sz w:val="20"/>
          <w:szCs w:val="20"/>
          <w:color w:val="auto"/>
        </w:rPr>
      </w:pPr>
    </w:p>
    <w:p>
      <w:pPr>
        <w:ind w:firstLine="1297"/>
        <w:spacing w:after="0" w:line="243" w:lineRule="auto"/>
        <w:rPr>
          <w:sz w:val="20"/>
          <w:szCs w:val="20"/>
          <w:color w:val="auto"/>
        </w:rPr>
      </w:pPr>
      <w:r>
        <w:rPr>
          <w:rFonts w:ascii="Arial" w:cs="Arial" w:eastAsia="Arial" w:hAnsi="Arial"/>
          <w:sz w:val="18"/>
          <w:szCs w:val="18"/>
          <w:color w:val="auto"/>
        </w:rPr>
        <w:t>Unless otherwise determined by the Administrator prior to a Change in Control or evidenced in an Award Agreement, in the event that (a) a Change in Control occurs and (b) the Participant’s employment or service is terminated by the Company, its successor or an Affiliate thereof without Cause or by the Participant for Good Reason (if applicable) on or after the effective date of the Change in Control but prior to twelve (12) months following the Change in Control, then:</w:t>
      </w:r>
    </w:p>
    <w:p>
      <w:pPr>
        <w:spacing w:after="0" w:line="175" w:lineRule="exact"/>
        <w:rPr>
          <w:sz w:val="20"/>
          <w:szCs w:val="20"/>
          <w:color w:val="auto"/>
        </w:rPr>
      </w:pPr>
    </w:p>
    <w:p>
      <w:pPr>
        <w:ind w:left="1540" w:hanging="235"/>
        <w:spacing w:after="0"/>
        <w:tabs>
          <w:tab w:leader="none" w:pos="1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unvested or unexercisable portion of any Award carrying a right to exercise shall become fully vested and exercisable; and</w:t>
      </w:r>
    </w:p>
    <w:p>
      <w:pPr>
        <w:spacing w:after="0" w:line="209" w:lineRule="exact"/>
        <w:rPr>
          <w:rFonts w:ascii="Arial" w:cs="Arial" w:eastAsia="Arial" w:hAnsi="Arial"/>
          <w:sz w:val="17"/>
          <w:szCs w:val="17"/>
          <w:color w:val="auto"/>
        </w:rPr>
      </w:pPr>
    </w:p>
    <w:p>
      <w:pPr>
        <w:ind w:right="220" w:firstLine="1305"/>
        <w:spacing w:after="0" w:line="248" w:lineRule="auto"/>
        <w:tabs>
          <w:tab w:leader="none" w:pos="15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restrictions, deferral limitations, payment conditions and forfeiture conditions applicable to an Award granted under the Plan shall lapse and such Awards shall be deemed fully vested and any performance conditions imposed with respect to such Awards shall be deemed to be fully achieved.</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tabs>
          <w:tab w:leader="none" w:pos="12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Voting Proxy.</w:t>
      </w:r>
    </w:p>
    <w:p>
      <w:pPr>
        <w:spacing w:after="0" w:line="202" w:lineRule="exact"/>
        <w:rPr>
          <w:sz w:val="20"/>
          <w:szCs w:val="20"/>
          <w:color w:val="auto"/>
        </w:rPr>
      </w:pPr>
    </w:p>
    <w:p>
      <w:pPr>
        <w:ind w:firstLine="1297"/>
        <w:spacing w:after="0" w:line="257" w:lineRule="auto"/>
        <w:rPr>
          <w:sz w:val="20"/>
          <w:szCs w:val="20"/>
          <w:color w:val="auto"/>
        </w:rPr>
      </w:pPr>
      <w:r>
        <w:rPr>
          <w:rFonts w:ascii="Arial" w:cs="Arial" w:eastAsia="Arial" w:hAnsi="Arial"/>
          <w:sz w:val="17"/>
          <w:szCs w:val="17"/>
          <w:color w:val="auto"/>
        </w:rPr>
        <w:t>The Company reserves the right to require the Participant, to the fullest extent permitted by applicable law, to appoint the Company’s Secretary (or another person at the request of the Administrator) as the Participant’s proxy with respect to all applicable unvested Awards of which the Participant may be the record holder of from time to time to (A) attend all meetings of the holders of the Class A Shares, with full power to vote and act for the Participant with respect to such Awards in the same manner and extent that the Participant might were the Participant personally present at such meetings, and (B) execute and deliver, on behalf of the Participant, any written consent in lieu of a meeting of the holders of the Class A Shares in the same manner and extent that the Participant might but for the proxy granted pursuant to this sentence.</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Amendment and Termination.</w:t>
      </w:r>
    </w:p>
    <w:p>
      <w:pPr>
        <w:spacing w:after="0" w:line="202" w:lineRule="exact"/>
        <w:rPr>
          <w:sz w:val="20"/>
          <w:szCs w:val="20"/>
          <w:color w:val="auto"/>
        </w:rPr>
      </w:pPr>
    </w:p>
    <w:p>
      <w:pPr>
        <w:ind w:right="60" w:firstLine="1297"/>
        <w:spacing w:after="0"/>
        <w:rPr>
          <w:sz w:val="20"/>
          <w:szCs w:val="20"/>
          <w:color w:val="auto"/>
        </w:rPr>
      </w:pPr>
      <w:r>
        <w:rPr>
          <w:rFonts w:ascii="Arial" w:cs="Arial" w:eastAsia="Arial" w:hAnsi="Arial"/>
          <w:sz w:val="18"/>
          <w:szCs w:val="18"/>
          <w:color w:val="auto"/>
        </w:rPr>
        <w:t>The Board may amend, alter or terminate the Plan, but no amendment, alteration, or termination shall be made that would impair the rights of a Participant under any Award theretofore granted without such Participant’s consent. Unless the Board determines otherwise, the Board shall obtain approval of the Company’s shareholders for any amendment to the Plan that would require such approval in order to satisfy any rules of the stock exchange on which the Class A Shares is traded or other applicable law. The Administrator may amend the terms of any Award theretofore granted, prospectively or retroactively, but, subject to Section 5 hereof and the immediately preceding sentence, no such amendment shall impair the rights of any Participant without his or her consent.</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Unfunded Status of Plan.</w:t>
      </w:r>
    </w:p>
    <w:p>
      <w:pPr>
        <w:spacing w:after="0" w:line="202" w:lineRule="exact"/>
        <w:rPr>
          <w:sz w:val="20"/>
          <w:szCs w:val="20"/>
          <w:color w:val="auto"/>
        </w:rPr>
      </w:pPr>
    </w:p>
    <w:p>
      <w:pPr>
        <w:jc w:val="both"/>
        <w:ind w:right="600" w:firstLine="1297"/>
        <w:spacing w:after="0" w:line="248" w:lineRule="auto"/>
        <w:rPr>
          <w:sz w:val="20"/>
          <w:szCs w:val="20"/>
          <w:color w:val="auto"/>
        </w:rPr>
      </w:pPr>
      <w:r>
        <w:rPr>
          <w:rFonts w:ascii="Arial" w:cs="Arial" w:eastAsia="Arial" w:hAnsi="Arial"/>
          <w:sz w:val="18"/>
          <w:szCs w:val="18"/>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3" w:name="page24"/>
    <w:bookmarkEnd w:id="23"/>
    <w:p>
      <w:pPr>
        <w:spacing w:after="0"/>
        <w:tabs>
          <w:tab w:leader="none" w:pos="128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Withholding Taxes.</w:t>
      </w:r>
    </w:p>
    <w:p>
      <w:pPr>
        <w:spacing w:after="0" w:line="202" w:lineRule="exact"/>
        <w:rPr>
          <w:sz w:val="20"/>
          <w:szCs w:val="20"/>
          <w:color w:val="auto"/>
        </w:rPr>
      </w:pPr>
    </w:p>
    <w:p>
      <w:pPr>
        <w:ind w:right="20" w:firstLine="1297"/>
        <w:spacing w:after="0" w:line="251" w:lineRule="auto"/>
        <w:rPr>
          <w:sz w:val="20"/>
          <w:szCs w:val="20"/>
          <w:color w:val="auto"/>
        </w:rPr>
      </w:pPr>
      <w:r>
        <w:rPr>
          <w:rFonts w:ascii="Arial" w:cs="Arial" w:eastAsia="Arial" w:hAnsi="Arial"/>
          <w:sz w:val="17"/>
          <w:szCs w:val="17"/>
          <w:color w:val="auto"/>
        </w:rPr>
        <w:t xml:space="preserve">Each Participant shall, no later than the date as of which the value of an Award first becomes includible in the gross income of such Participant for purposes of applicable taxes, pay to the Company, or make arrangements satisfactory to the Administrator regarding payment of, an amount in respect of such taxes up to the maximum statutory rates in the Participant’s applicable jurisdiction with respect to the Award, as determined by the Company.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as determined by the Company. Whenever Class A Shares or property other than cash are to be delivered pursuant to an Award, the Company shall have the right to (i) require the Participant to remit to the Company in cash an amount sufficient to satisfy any related taxes to be withheld and applied to the tax obligations as determined by the Company, (ii) withhold from delivery of Class A Shares or other property, or (iii) accept delivery of already owned unrestricted Class A Shares, in each case in the sole and absolute discretion of the Administrator. The Class A Shares withheld or accepted as payment for taxes must have a value not exceeding the applicable taxes to be withheld, determined based on the greatest withholding rates for federal, state, foreign and/or local tax purposes, including payroll taxes, that may be utilized without creating adverse accounting treatment with respect to such Award, as determined by the Company. For purposes of this </w:t>
      </w:r>
      <w:r>
        <w:rPr>
          <w:rFonts w:ascii="Arial" w:cs="Arial" w:eastAsia="Arial" w:hAnsi="Arial"/>
          <w:sz w:val="17"/>
          <w:szCs w:val="17"/>
          <w:u w:val="single" w:color="auto"/>
          <w:color w:val="auto"/>
        </w:rPr>
        <w:t>Section 17</w:t>
      </w:r>
      <w:r>
        <w:rPr>
          <w:rFonts w:ascii="Arial" w:cs="Arial" w:eastAsia="Arial" w:hAnsi="Arial"/>
          <w:sz w:val="17"/>
          <w:szCs w:val="17"/>
          <w:color w:val="auto"/>
        </w:rPr>
        <w:t>, Class A Shares shall be valued at their Fair Market Value on the date on which the amount of tax to be withheld is determined and any fractional share amounts resulting therefrom shall be settled in cash. The Company may also use any other method of obtaining the necessary payment or proceeds, as permitted by law, to satisfy its withholding obligation with respect to any Award as determined by the Company.</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Section18.</w:t>
      </w:r>
      <w:r>
        <w:rPr>
          <w:sz w:val="20"/>
          <w:szCs w:val="20"/>
          <w:color w:val="auto"/>
        </w:rPr>
        <w:tab/>
      </w:r>
      <w:r>
        <w:rPr>
          <w:rFonts w:ascii="Arial" w:cs="Arial" w:eastAsia="Arial" w:hAnsi="Arial"/>
          <w:sz w:val="18"/>
          <w:szCs w:val="18"/>
          <w:b w:val="1"/>
          <w:bCs w:val="1"/>
          <w:color w:val="auto"/>
        </w:rPr>
        <w:t>Transfer of Awards.</w:t>
      </w:r>
    </w:p>
    <w:p>
      <w:pPr>
        <w:spacing w:after="0" w:line="202" w:lineRule="exact"/>
        <w:rPr>
          <w:sz w:val="20"/>
          <w:szCs w:val="20"/>
          <w:color w:val="auto"/>
        </w:rPr>
      </w:pPr>
    </w:p>
    <w:p>
      <w:pPr>
        <w:ind w:firstLine="1297"/>
        <w:spacing w:after="0" w:line="270" w:lineRule="auto"/>
        <w:rPr>
          <w:sz w:val="20"/>
          <w:szCs w:val="20"/>
          <w:color w:val="auto"/>
        </w:rPr>
      </w:pPr>
      <w:r>
        <w:rPr>
          <w:rFonts w:ascii="Arial" w:cs="Arial" w:eastAsia="Arial" w:hAnsi="Arial"/>
          <w:sz w:val="16"/>
          <w:szCs w:val="16"/>
          <w:color w:val="auto"/>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Arial" w:cs="Arial" w:eastAsia="Arial" w:hAnsi="Arial"/>
          <w:sz w:val="16"/>
          <w:szCs w:val="16"/>
          <w:u w:val="single" w:color="auto"/>
          <w:color w:val="auto"/>
        </w:rPr>
        <w:t>Transfer</w:t>
      </w:r>
      <w:r>
        <w:rPr>
          <w:rFonts w:ascii="Arial" w:cs="Arial" w:eastAsia="Arial" w:hAnsi="Arial"/>
          <w:sz w:val="16"/>
          <w:szCs w:val="16"/>
          <w:color w:val="auto"/>
        </w:rPr>
        <w:t>”) by any holder thereof in violation of the provisions of the Plan or an Award Agreement will be valid, except with the prior written consent of the Administrator, which consent may be granted or withheld in the sole discretion of the Administrator. Any purported Transfer of an Award or any economic benefit or interest therein in violation of the Plan or an Award Agreement shall be null and void ab initio, and shall not create any obligation or liability of the Company, and any Person purportedly acquiring any Award or any economic benefit or interest therein transferred in violation of the Plan or an Award Agreement shall not be entitled to be recognized as a holder of any Class A Shares or other property underlying such Award. Unless otherwise determined by the Administrator in accordance with the provisions of the immediately preceding sentence, an Option or Share Appreciation Right may be exercised, during the lifetime of the Participant, only by the Participant or, during any period during which the Participant is under a legal disability, by the Participant’s guardian or legal representative.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tabs>
          <w:tab w:leader="none" w:pos="128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6"/>
          <w:szCs w:val="16"/>
          <w:b w:val="1"/>
          <w:bCs w:val="1"/>
          <w:color w:val="auto"/>
        </w:rPr>
        <w:t>Continued Employment or Service.</w:t>
      </w:r>
    </w:p>
    <w:p>
      <w:pPr>
        <w:spacing w:after="0" w:line="202" w:lineRule="exact"/>
        <w:rPr>
          <w:sz w:val="20"/>
          <w:szCs w:val="20"/>
          <w:color w:val="auto"/>
        </w:rPr>
      </w:pPr>
    </w:p>
    <w:p>
      <w:pPr>
        <w:ind w:right="180" w:firstLine="1297"/>
        <w:spacing w:after="0" w:line="248" w:lineRule="auto"/>
        <w:rPr>
          <w:sz w:val="20"/>
          <w:szCs w:val="20"/>
          <w:color w:val="auto"/>
        </w:rPr>
      </w:pPr>
      <w:r>
        <w:rPr>
          <w:rFonts w:ascii="Arial" w:cs="Arial" w:eastAsia="Arial" w:hAnsi="Arial"/>
          <w:sz w:val="18"/>
          <w:szCs w:val="18"/>
          <w:color w:val="auto"/>
        </w:rPr>
        <w:t>Neither the adoption of the Plan nor the grant of an Award hereunder shall confer upon any Eligible Recipient any right to continued employment or service with the Company or any Affiliate thereof, as the case may be, nor shall it interfere in any way with the right of the Company or any Affiliate thereof to terminate the employment or service of any of its Eligible Recipients at any time.</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20.</w:t>
      </w:r>
      <w:r>
        <w:rPr>
          <w:sz w:val="20"/>
          <w:szCs w:val="20"/>
          <w:color w:val="auto"/>
        </w:rPr>
        <w:tab/>
      </w:r>
      <w:r>
        <w:rPr>
          <w:rFonts w:ascii="Arial" w:cs="Arial" w:eastAsia="Arial" w:hAnsi="Arial"/>
          <w:sz w:val="16"/>
          <w:szCs w:val="16"/>
          <w:b w:val="1"/>
          <w:bCs w:val="1"/>
          <w:color w:val="auto"/>
        </w:rPr>
        <w:t>Effective Date.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Plan was adopted by the Board effective as of January 31, 2019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Term of Plan.</w:t>
      </w:r>
    </w:p>
    <w:p>
      <w:pPr>
        <w:spacing w:after="0" w:line="202" w:lineRule="exact"/>
        <w:rPr>
          <w:sz w:val="20"/>
          <w:szCs w:val="20"/>
          <w:color w:val="auto"/>
        </w:rPr>
      </w:pPr>
    </w:p>
    <w:p>
      <w:pPr>
        <w:ind w:right="140" w:firstLine="1297"/>
        <w:spacing w:after="0" w:line="262" w:lineRule="auto"/>
        <w:rPr>
          <w:sz w:val="20"/>
          <w:szCs w:val="20"/>
          <w:color w:val="auto"/>
        </w:rPr>
      </w:pPr>
      <w:r>
        <w:rPr>
          <w:rFonts w:ascii="Arial" w:cs="Arial" w:eastAsia="Arial" w:hAnsi="Arial"/>
          <w:sz w:val="18"/>
          <w:szCs w:val="18"/>
          <w:color w:val="auto"/>
        </w:rPr>
        <w:t>No Award shall be granted pursuant to the Plan on or after the tenth anniversary of the Effective Date, but Awards theretofore granted may extend beyond that date.</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Securities Matters and Regulations.</w:t>
      </w:r>
    </w:p>
    <w:p>
      <w:pPr>
        <w:spacing w:after="0" w:line="202" w:lineRule="exact"/>
        <w:rPr>
          <w:sz w:val="20"/>
          <w:szCs w:val="20"/>
          <w:color w:val="auto"/>
        </w:rPr>
      </w:pPr>
    </w:p>
    <w:p>
      <w:pPr>
        <w:ind w:firstLine="1305"/>
        <w:spacing w:after="0" w:line="257" w:lineRule="auto"/>
        <w:tabs>
          <w:tab w:leader="none" w:pos="1541"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obligation of the Company to sell or deliver Class A Shares with respect to any Award granted under the Plan shall be subject to all applicable laws, rules and regulations, including all applicable federal and state securities laws, the obtaining of all such approvals by governmental agencies as may be deemed necessary or appropriate by the Administrator and the listing requirements of any securities exchange on which the Class A Shares are traded. The Administrator may require, as a condition of the issuance and delivery of certificates evidencing Class A Shares pursuant to the terms hereof, that the recipient of such Class A Shares make such agreements and representations, and that such certificates bear such legends, as the Administrator, in its sole discretion, deems necessary or advisable.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firstLine="1305"/>
        <w:spacing w:after="0" w:line="259" w:lineRule="auto"/>
        <w:tabs>
          <w:tab w:leader="none" w:pos="1551"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Award is subject to the requirement that, if at any time the Administrator determines that the listing, registration or qualification of Class A Shares issuable pursuant to the Plan is required by any securities exchange or under any state or federal law, or the consent or approval of any governmental regulatory body is necessary or desirable as a condition of, or in connection with, the grant of an Award or the issuance of Class A Shares, no such Award shall be granted or payment made or Class A Shares issued, in whole or in part, unless such listing, registration, qualification, consent or approval has been effected or obtained free of any conditions not acceptable to the Administrator.</w:t>
      </w:r>
    </w:p>
    <w:p>
      <w:pPr>
        <w:spacing w:after="0" w:line="160" w:lineRule="exact"/>
        <w:rPr>
          <w:rFonts w:ascii="Arial" w:cs="Arial" w:eastAsia="Arial" w:hAnsi="Arial"/>
          <w:sz w:val="17"/>
          <w:szCs w:val="17"/>
          <w:color w:val="auto"/>
        </w:rPr>
      </w:pPr>
    </w:p>
    <w:p>
      <w:pPr>
        <w:ind w:right="140" w:firstLine="1305"/>
        <w:spacing w:after="0" w:line="241" w:lineRule="auto"/>
        <w:tabs>
          <w:tab w:leader="none" w:pos="15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event that the disposition of Class A Shares acquired pursuant to the Plan is not covered by a then current registration statement under the Securities Act and is not otherwise exempt from such registration, such Class A Shares shall be restricted against transfer to the extent required by the Securities Act or regulations thereunder, and the Administrator may require a Participant receiving Class A Shares pursuant to the Plan, as a condition precedent to receipt of such Class A Shares, to represent to the Company in writing that the Class A Shares acquired by such Participant is acquired for investment only and not with a view to distribution.</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Notification of Election Under Section 83(b) of the Code.</w:t>
      </w:r>
    </w:p>
    <w:p>
      <w:pPr>
        <w:spacing w:after="0" w:line="202" w:lineRule="exact"/>
        <w:rPr>
          <w:sz w:val="20"/>
          <w:szCs w:val="20"/>
          <w:color w:val="auto"/>
        </w:rPr>
      </w:pPr>
    </w:p>
    <w:p>
      <w:pPr>
        <w:ind w:right="60" w:firstLine="1297"/>
        <w:spacing w:after="0" w:line="248" w:lineRule="auto"/>
        <w:rPr>
          <w:sz w:val="20"/>
          <w:szCs w:val="20"/>
          <w:color w:val="auto"/>
        </w:rPr>
      </w:pPr>
      <w:r>
        <w:rPr>
          <w:rFonts w:ascii="Arial" w:cs="Arial" w:eastAsia="Arial" w:hAnsi="Arial"/>
          <w:sz w:val="18"/>
          <w:szCs w:val="18"/>
          <w:color w:val="auto"/>
        </w:rPr>
        <w:t>If any Participant shall, in connection with the acquisition of Class A Shares under the Plan, make the election permitted under Section 83(b) of the Code, such Participant shall notify the Company of such election within ten (10) days after filing notice of the election with the Internal Revenue Service.</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No Fractional Class A Shares.</w:t>
      </w:r>
    </w:p>
    <w:p>
      <w:pPr>
        <w:spacing w:after="0" w:line="202" w:lineRule="exact"/>
        <w:rPr>
          <w:sz w:val="20"/>
          <w:szCs w:val="20"/>
          <w:color w:val="auto"/>
        </w:rPr>
      </w:pPr>
    </w:p>
    <w:p>
      <w:pPr>
        <w:ind w:firstLine="1297"/>
        <w:spacing w:after="0" w:line="248" w:lineRule="auto"/>
        <w:rPr>
          <w:sz w:val="20"/>
          <w:szCs w:val="20"/>
          <w:color w:val="auto"/>
        </w:rPr>
      </w:pPr>
      <w:r>
        <w:rPr>
          <w:rFonts w:ascii="Arial" w:cs="Arial" w:eastAsia="Arial" w:hAnsi="Arial"/>
          <w:sz w:val="18"/>
          <w:szCs w:val="18"/>
          <w:color w:val="auto"/>
        </w:rPr>
        <w:t>No fractional Class A Shares shall be issued or delivered pursuant to the Plan. The Administrator shall determine whether cash, other Awards, or other property shall be issued or paid in lieu of such fractional Class A Shares or whether such fractional Class A Shares or any rights thereto shall be forfeited or otherwise eliminated.</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tabs>
          <w:tab w:leader="none" w:pos="128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color w:val="auto"/>
        </w:rPr>
        <w:t>Beneficiary.</w:t>
      </w:r>
    </w:p>
    <w:p>
      <w:pPr>
        <w:spacing w:after="0" w:line="202" w:lineRule="exact"/>
        <w:rPr>
          <w:sz w:val="20"/>
          <w:szCs w:val="20"/>
          <w:color w:val="auto"/>
        </w:rPr>
      </w:pPr>
    </w:p>
    <w:p>
      <w:pPr>
        <w:ind w:firstLine="1297"/>
        <w:spacing w:after="0" w:line="248" w:lineRule="auto"/>
        <w:rPr>
          <w:sz w:val="20"/>
          <w:szCs w:val="20"/>
          <w:color w:val="auto"/>
        </w:rPr>
      </w:pPr>
      <w:r>
        <w:rPr>
          <w:rFonts w:ascii="Arial" w:cs="Arial" w:eastAsia="Arial" w:hAnsi="Arial"/>
          <w:sz w:val="18"/>
          <w:szCs w:val="18"/>
          <w:color w:val="auto"/>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color w:val="auto"/>
        </w:rPr>
        <w:t>Paperless Administration.</w:t>
      </w:r>
    </w:p>
    <w:p>
      <w:pPr>
        <w:spacing w:after="0" w:line="202" w:lineRule="exact"/>
        <w:rPr>
          <w:sz w:val="20"/>
          <w:szCs w:val="20"/>
          <w:color w:val="auto"/>
        </w:rPr>
      </w:pPr>
    </w:p>
    <w:p>
      <w:pPr>
        <w:jc w:val="both"/>
        <w:ind w:right="500" w:firstLine="1297"/>
        <w:spacing w:after="0" w:line="270" w:lineRule="auto"/>
        <w:rPr>
          <w:sz w:val="20"/>
          <w:szCs w:val="20"/>
          <w:color w:val="auto"/>
        </w:rPr>
      </w:pPr>
      <w:r>
        <w:rPr>
          <w:rFonts w:ascii="Arial" w:cs="Arial" w:eastAsia="Arial" w:hAnsi="Arial"/>
          <w:sz w:val="17"/>
          <w:szCs w:val="17"/>
          <w:color w:val="auto"/>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6"/>
          <w:szCs w:val="16"/>
          <w:b w:val="1"/>
          <w:bCs w:val="1"/>
          <w:color w:val="auto"/>
        </w:rPr>
        <w:t>Severability.</w:t>
      </w:r>
    </w:p>
    <w:p>
      <w:pPr>
        <w:spacing w:after="0" w:line="202" w:lineRule="exact"/>
        <w:rPr>
          <w:sz w:val="20"/>
          <w:szCs w:val="20"/>
          <w:color w:val="auto"/>
        </w:rPr>
      </w:pPr>
    </w:p>
    <w:p>
      <w:pPr>
        <w:ind w:right="120" w:firstLine="1297"/>
        <w:spacing w:after="0" w:line="262" w:lineRule="auto"/>
        <w:rPr>
          <w:sz w:val="20"/>
          <w:szCs w:val="20"/>
          <w:color w:val="auto"/>
        </w:rPr>
      </w:pPr>
      <w:r>
        <w:rPr>
          <w:rFonts w:ascii="Arial" w:cs="Arial" w:eastAsia="Arial" w:hAnsi="Arial"/>
          <w:sz w:val="18"/>
          <w:szCs w:val="18"/>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color w:val="auto"/>
        </w:rPr>
        <w:t>Clawback.</w:t>
      </w:r>
    </w:p>
    <w:p>
      <w:pPr>
        <w:spacing w:after="0" w:line="202" w:lineRule="exact"/>
        <w:rPr>
          <w:sz w:val="20"/>
          <w:szCs w:val="20"/>
          <w:color w:val="auto"/>
        </w:rPr>
      </w:pPr>
    </w:p>
    <w:p>
      <w:pPr>
        <w:ind w:right="160" w:firstLine="1297"/>
        <w:spacing w:after="0" w:line="294" w:lineRule="auto"/>
        <w:rPr>
          <w:sz w:val="20"/>
          <w:szCs w:val="20"/>
          <w:color w:val="auto"/>
        </w:rPr>
      </w:pPr>
      <w:r>
        <w:rPr>
          <w:rFonts w:ascii="Arial" w:cs="Arial" w:eastAsia="Arial" w:hAnsi="Arial"/>
          <w:sz w:val="16"/>
          <w:szCs w:val="16"/>
          <w:color w:val="auto"/>
        </w:rPr>
        <w:t>Notwithstanding any other provisions in this Plan, any Award which is subject to recovery under any law, government regulation, stock exchange listing requirement or pursuant to any policy adopted by the Company, as approved by the Board, will be subject to such deductions and clawback as may be required to be made pursuant to such law, government regulation, stock exchange listing requirement or policy adopted by the Company.</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tabs>
          <w:tab w:leader="none" w:pos="128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6"/>
          <w:szCs w:val="16"/>
          <w:b w:val="1"/>
          <w:bCs w:val="1"/>
          <w:color w:val="auto"/>
        </w:rPr>
        <w:t>Section 409A of the Code.</w:t>
      </w:r>
    </w:p>
    <w:p>
      <w:pPr>
        <w:spacing w:after="0" w:line="202" w:lineRule="exact"/>
        <w:rPr>
          <w:sz w:val="20"/>
          <w:szCs w:val="20"/>
          <w:color w:val="auto"/>
        </w:rPr>
      </w:pPr>
    </w:p>
    <w:p>
      <w:pPr>
        <w:ind w:firstLine="1297"/>
        <w:spacing w:after="0" w:line="251" w:lineRule="auto"/>
        <w:rPr>
          <w:sz w:val="20"/>
          <w:szCs w:val="20"/>
          <w:color w:val="auto"/>
        </w:rPr>
      </w:pPr>
      <w:r>
        <w:rPr>
          <w:rFonts w:ascii="Arial" w:cs="Arial" w:eastAsia="Arial" w:hAnsi="Arial"/>
          <w:sz w:val="17"/>
          <w:szCs w:val="17"/>
          <w:color w:val="auto"/>
        </w:rPr>
        <w:t>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death, if earlier). Each amount to be paid or benefit to be provided under this Plan shall be construed as a separate identified payment for purposes of Section 409A of the Code.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30.</w:t>
      </w:r>
      <w:r>
        <w:rPr>
          <w:sz w:val="20"/>
          <w:szCs w:val="20"/>
          <w:color w:val="auto"/>
        </w:rPr>
        <w:tab/>
      </w:r>
      <w:r>
        <w:rPr>
          <w:rFonts w:ascii="Arial" w:cs="Arial" w:eastAsia="Arial" w:hAnsi="Arial"/>
          <w:sz w:val="16"/>
          <w:szCs w:val="16"/>
          <w:b w:val="1"/>
          <w:bCs w:val="1"/>
          <w:color w:val="auto"/>
        </w:rPr>
        <w:t>Governing Law.</w:t>
      </w:r>
    </w:p>
    <w:p>
      <w:pPr>
        <w:spacing w:after="0" w:line="202" w:lineRule="exact"/>
        <w:rPr>
          <w:sz w:val="20"/>
          <w:szCs w:val="20"/>
          <w:color w:val="auto"/>
        </w:rPr>
      </w:pPr>
    </w:p>
    <w:p>
      <w:pPr>
        <w:ind w:right="20" w:firstLine="1297"/>
        <w:spacing w:after="0" w:line="262" w:lineRule="auto"/>
        <w:rPr>
          <w:sz w:val="20"/>
          <w:szCs w:val="20"/>
          <w:color w:val="auto"/>
        </w:rPr>
      </w:pPr>
      <w:r>
        <w:rPr>
          <w:rFonts w:ascii="Arial" w:cs="Arial" w:eastAsia="Arial" w:hAnsi="Arial"/>
          <w:sz w:val="18"/>
          <w:szCs w:val="18"/>
          <w:color w:val="auto"/>
        </w:rPr>
        <w:t>The Plan shall be governed by and construed in accordance with the laws of the State of Delaware, without giving effect to the principles of conflicts of law of such state.</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color w:val="auto"/>
        </w:rPr>
        <w:t>Titles and Headings.</w:t>
      </w:r>
    </w:p>
    <w:p>
      <w:pPr>
        <w:spacing w:after="0" w:line="202" w:lineRule="exact"/>
        <w:rPr>
          <w:sz w:val="20"/>
          <w:szCs w:val="20"/>
          <w:color w:val="auto"/>
        </w:rPr>
      </w:pPr>
    </w:p>
    <w:p>
      <w:pPr>
        <w:ind w:right="380" w:firstLine="1297"/>
        <w:spacing w:after="0" w:line="262" w:lineRule="auto"/>
        <w:rPr>
          <w:sz w:val="20"/>
          <w:szCs w:val="20"/>
          <w:color w:val="auto"/>
        </w:rPr>
      </w:pPr>
      <w:r>
        <w:rPr>
          <w:rFonts w:ascii="Arial" w:cs="Arial" w:eastAsia="Arial" w:hAnsi="Arial"/>
          <w:sz w:val="18"/>
          <w:szCs w:val="18"/>
          <w:color w:val="auto"/>
        </w:rPr>
        <w:t>The titles and headings of the sections in the Plan are for convenience of reference only and, in the event of any conflict, the text of the Plan, rather than such titles or headings, shall control.</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4"/>
          <w:szCs w:val="14"/>
          <w:b w:val="1"/>
          <w:bCs w:val="1"/>
          <w:color w:val="auto"/>
        </w:rPr>
        <w:t>Successors.</w:t>
      </w:r>
    </w:p>
    <w:p>
      <w:pPr>
        <w:spacing w:after="0" w:line="202" w:lineRule="exact"/>
        <w:rPr>
          <w:sz w:val="20"/>
          <w:szCs w:val="20"/>
          <w:color w:val="auto"/>
        </w:rPr>
      </w:pPr>
    </w:p>
    <w:p>
      <w:pPr>
        <w:ind w:right="100" w:firstLine="1297"/>
        <w:spacing w:after="0" w:line="248" w:lineRule="auto"/>
        <w:rPr>
          <w:sz w:val="20"/>
          <w:szCs w:val="20"/>
          <w:color w:val="auto"/>
        </w:rPr>
      </w:pPr>
      <w:r>
        <w:rPr>
          <w:rFonts w:ascii="Arial" w:cs="Arial" w:eastAsia="Arial" w:hAnsi="Arial"/>
          <w:sz w:val="18"/>
          <w:szCs w:val="18"/>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6"/>
          <w:szCs w:val="16"/>
          <w:b w:val="1"/>
          <w:bCs w:val="1"/>
          <w:color w:val="auto"/>
        </w:rPr>
        <w:t>Relationship to other Benefits.</w:t>
      </w:r>
    </w:p>
    <w:p>
      <w:pPr>
        <w:spacing w:after="0" w:line="202" w:lineRule="exact"/>
        <w:rPr>
          <w:sz w:val="20"/>
          <w:szCs w:val="20"/>
          <w:color w:val="auto"/>
        </w:rPr>
      </w:pPr>
    </w:p>
    <w:p>
      <w:pPr>
        <w:ind w:right="160" w:firstLine="1297"/>
        <w:spacing w:after="0" w:line="248" w:lineRule="auto"/>
        <w:rPr>
          <w:sz w:val="20"/>
          <w:szCs w:val="20"/>
          <w:color w:val="auto"/>
        </w:rPr>
      </w:pPr>
      <w:r>
        <w:rPr>
          <w:rFonts w:ascii="Arial" w:cs="Arial" w:eastAsia="Arial" w:hAnsi="Arial"/>
          <w:sz w:val="18"/>
          <w:szCs w:val="18"/>
          <w:color w:val="auto"/>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5.1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February 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LLC</w:t>
      </w:r>
    </w:p>
    <w:p>
      <w:pPr>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acted as counsel for New Fortress Energy LLC, a Delaware limited liability company (the “Company”), in connection with the Company’s registration under the Securities Act of 1933, as amended (the “Act”), of the offer and sale of an aggregate of up to 18,376,471 Class A shares of the Company, representing limited liability company interests (the “Class A Shares”), pursuant to the Company’s registration statement on Form S-8 (the “Registration Statement”) to be filed with the Securities and Exchange Commission on February 4, 2019, which Class A Shares may be issued from time to time in accordance with the terms of the New Fortress Energy LLC 2019 Omnibus Incentive Plan (as amended from time to time, the “Plan”).</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certain resolutions adopted by the board of directors of the Company, (iii) the Plan, and</w:t>
      </w:r>
    </w:p>
    <w:p>
      <w:pPr>
        <w:jc w:val="both"/>
        <w:ind w:firstLine="8"/>
        <w:spacing w:after="0" w:line="255" w:lineRule="auto"/>
        <w:tabs>
          <w:tab w:leader="none" w:pos="306"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other certificates, instruments, and documents as we have considered necessary for purposes of this opinion. As to any facts material to our opinion, we have made no independent investigation or verification of such facts and have relied, to the extent that we deem such reliance proper, upon certificates and other communications of public officials and officers or other representatives of the Company.</w:t>
      </w:r>
    </w:p>
    <w:p>
      <w:pPr>
        <w:spacing w:after="0" w:line="1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(vi) that all information contained in all documents reviewed by us is true, correct and complete, and (vii) that the Class A Shares will be issued in accordance with the terms of the Plan.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Based on the foregoing and subject to the limitations set forth herein, and having due regard for the legal considerations we deem relevant, we are of the opinion that the Class A Shares have been duly authorized and, when the Class A Shares are issued by the Company in accordance with the terms of the Plan and the instruments executed pursuant to the Plan, as applicable, that govern the awards to which any Class A Share relates, the Class A Shares will be validly issued and fully paid and, under the Delaware Limited Liability Company Act, the holders of the Class A Shares will have no obligation to make further payments for the purchase of such Class A Shares or contributions to the Company solely by reason of their ownership of such Class A Shares except for their obligation to repay any funds wrongfully distributed to them.</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opinion is limited in all respects to the Delaware Limited Liability Company Act. We express no opinion as to any other law or any matter other than as expressly set forth above, and no opinion as to any other law or matter may be inferred or implied herefrom. The opinions expressed herein are rendered as of the date hereof and we expressly disclaim any obligation to update this letter or advise you of any change in any matter after the date hereof.</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20"/>
                <w:szCs w:val="20"/>
                <w:color w:val="auto"/>
              </w:rPr>
            </w:pPr>
            <w:r>
              <w:rPr>
                <w:rFonts w:ascii="Arial" w:cs="Arial" w:eastAsia="Arial" w:hAnsi="Arial"/>
                <w:sz w:val="14"/>
                <w:szCs w:val="14"/>
                <w:b w:val="1"/>
                <w:bCs w:val="1"/>
                <w:color w:val="auto"/>
              </w:rPr>
              <w:t>Vinson &amp; Elkins LLP Attorneys at Law</w:t>
            </w:r>
          </w:p>
        </w:tc>
        <w:tc>
          <w:tcPr>
            <w:tcW w:w="6300" w:type="dxa"/>
            <w:vAlign w:val="bottom"/>
          </w:tcPr>
          <w:p>
            <w:pPr>
              <w:ind w:left="900"/>
              <w:spacing w:after="0"/>
              <w:rPr>
                <w:sz w:val="20"/>
                <w:szCs w:val="20"/>
                <w:color w:val="auto"/>
              </w:rPr>
            </w:pPr>
            <w:r>
              <w:rPr>
                <w:rFonts w:ascii="Arial" w:cs="Arial" w:eastAsia="Arial" w:hAnsi="Arial"/>
                <w:sz w:val="14"/>
                <w:szCs w:val="14"/>
                <w:color w:val="auto"/>
              </w:rPr>
              <w:t>1001 Fannin Street, Suite 2500</w:t>
            </w:r>
          </w:p>
        </w:tc>
      </w:tr>
      <w:tr>
        <w:trPr>
          <w:trHeight w:val="145"/>
        </w:trPr>
        <w:tc>
          <w:tcPr>
            <w:tcW w:w="5120" w:type="dxa"/>
            <w:vAlign w:val="bottom"/>
          </w:tcPr>
          <w:p>
            <w:pPr>
              <w:spacing w:after="0" w:line="145" w:lineRule="exact"/>
              <w:rPr>
                <w:sz w:val="20"/>
                <w:szCs w:val="20"/>
                <w:color w:val="auto"/>
              </w:rPr>
            </w:pPr>
            <w:r>
              <w:rPr>
                <w:rFonts w:ascii="Arial" w:cs="Arial" w:eastAsia="Arial" w:hAnsi="Arial"/>
                <w:sz w:val="14"/>
                <w:szCs w:val="14"/>
                <w:color w:val="auto"/>
              </w:rPr>
              <w:t>Austin Beijing Dallas Dubai Hong Kong Houston London New York</w:t>
            </w:r>
          </w:p>
        </w:tc>
        <w:tc>
          <w:tcPr>
            <w:tcW w:w="6300" w:type="dxa"/>
            <w:vAlign w:val="bottom"/>
          </w:tcPr>
          <w:p>
            <w:pPr>
              <w:ind w:left="900"/>
              <w:spacing w:after="0" w:line="145" w:lineRule="exact"/>
              <w:rPr>
                <w:sz w:val="20"/>
                <w:szCs w:val="20"/>
                <w:color w:val="auto"/>
              </w:rPr>
            </w:pPr>
            <w:r>
              <w:rPr>
                <w:rFonts w:ascii="Arial" w:cs="Arial" w:eastAsia="Arial" w:hAnsi="Arial"/>
                <w:sz w:val="14"/>
                <w:szCs w:val="14"/>
                <w:color w:val="auto"/>
              </w:rPr>
              <w:t>Houston, TX 77002-6760</w:t>
            </w:r>
          </w:p>
        </w:tc>
      </w:tr>
      <w:tr>
        <w:trPr>
          <w:trHeight w:val="186"/>
        </w:trPr>
        <w:tc>
          <w:tcPr>
            <w:tcW w:w="5120" w:type="dxa"/>
            <w:vAlign w:val="bottom"/>
          </w:tcPr>
          <w:p>
            <w:pPr>
              <w:spacing w:after="0"/>
              <w:rPr>
                <w:sz w:val="20"/>
                <w:szCs w:val="20"/>
                <w:color w:val="auto"/>
              </w:rPr>
            </w:pPr>
            <w:r>
              <w:rPr>
                <w:rFonts w:ascii="Arial" w:cs="Arial" w:eastAsia="Arial" w:hAnsi="Arial"/>
                <w:sz w:val="14"/>
                <w:szCs w:val="14"/>
                <w:color w:val="auto"/>
              </w:rPr>
              <w:t>Richmond Riyadh San Francisco Tokyo Washington</w:t>
            </w:r>
          </w:p>
        </w:tc>
        <w:tc>
          <w:tcPr>
            <w:tcW w:w="6300" w:type="dxa"/>
            <w:vAlign w:val="bottom"/>
          </w:tcPr>
          <w:p>
            <w:pPr>
              <w:ind w:left="900"/>
              <w:spacing w:after="0"/>
              <w:rPr>
                <w:sz w:val="20"/>
                <w:szCs w:val="20"/>
                <w:color w:val="auto"/>
              </w:rPr>
            </w:pPr>
            <w:r>
              <w:rPr>
                <w:rFonts w:ascii="Arial" w:cs="Arial" w:eastAsia="Arial" w:hAnsi="Arial"/>
                <w:sz w:val="14"/>
                <w:szCs w:val="14"/>
                <w:b w:val="1"/>
                <w:bCs w:val="1"/>
                <w:color w:val="auto"/>
              </w:rPr>
              <w:t xml:space="preserve">Tel </w:t>
            </w:r>
            <w:r>
              <w:rPr>
                <w:rFonts w:ascii="Arial" w:cs="Arial" w:eastAsia="Arial" w:hAnsi="Arial"/>
                <w:sz w:val="14"/>
                <w:szCs w:val="14"/>
                <w:color w:val="auto"/>
              </w:rPr>
              <w:t>+1.713.758.2222</w:t>
            </w:r>
            <w:r>
              <w:rPr>
                <w:rFonts w:ascii="Arial" w:cs="Arial" w:eastAsia="Arial" w:hAnsi="Arial"/>
                <w:sz w:val="14"/>
                <w:szCs w:val="14"/>
                <w:b w:val="1"/>
                <w:bCs w:val="1"/>
                <w:color w:val="auto"/>
              </w:rPr>
              <w:t xml:space="preserve"> Fax </w:t>
            </w:r>
            <w:r>
              <w:rPr>
                <w:rFonts w:ascii="Arial" w:cs="Arial" w:eastAsia="Arial" w:hAnsi="Arial"/>
                <w:sz w:val="14"/>
                <w:szCs w:val="14"/>
                <w:color w:val="auto"/>
              </w:rPr>
              <w:t>+1.713.758.2346</w:t>
            </w:r>
            <w:r>
              <w:rPr>
                <w:rFonts w:ascii="Arial" w:cs="Arial" w:eastAsia="Arial" w:hAnsi="Arial"/>
                <w:sz w:val="14"/>
                <w:szCs w:val="14"/>
                <w:b w:val="1"/>
                <w:bCs w:val="1"/>
                <w:color w:val="auto"/>
              </w:rPr>
              <w:t xml:space="preserve"> www.velaw.com</w:t>
            </w:r>
          </w:p>
        </w:tc>
      </w:tr>
      <w:tr>
        <w:trPr>
          <w:trHeight w:val="168"/>
        </w:trPr>
        <w:tc>
          <w:tcPr>
            <w:tcW w:w="5120" w:type="dxa"/>
            <w:vAlign w:val="bottom"/>
            <w:tcBorders>
              <w:bottom w:val="single" w:sz="8" w:color="auto"/>
            </w:tcBorders>
          </w:tcPr>
          <w:p>
            <w:pPr>
              <w:spacing w:after="0"/>
              <w:rPr>
                <w:sz w:val="14"/>
                <w:szCs w:val="14"/>
                <w:color w:val="auto"/>
              </w:rPr>
            </w:pPr>
          </w:p>
        </w:tc>
        <w:tc>
          <w:tcPr>
            <w:tcW w:w="63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27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8640"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548640" cy="214630"/>
                    </a:xfrm>
                    <a:prstGeom prst="rect">
                      <a:avLst/>
                    </a:prstGeom>
                    <a:noFill/>
                  </pic:spPr>
                </pic:pic>
              </a:graphicData>
            </a:graphic>
          </wp:anchor>
        </w:drawing>
      </w:r>
    </w:p>
    <w:p>
      <w:pPr>
        <w:spacing w:after="0" w:line="3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opinion letter may be filed as an exhibit to the Registration Statement. In giving this consent, we do not thereby admit that we come within the category of persons whose consent is required under Section 7 of the Act.</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to the New Fortress Energy LLC 2019 Omnibus Incentive Plan of our report dated August 16, 2018, with respect to the consolidated financial statements of New Fortress Energy Holdings LLC included in Amendment No. 4 to the Registration Statement (Form S-1 No. 333-228339) and related Prospectus of New Fortress Energy LLC dated January 29,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lowerLetter"/>
      <w:start w:val="1"/>
    </w:lvl>
  </w:abstractNum>
  <w:abstractNum w:abstractNumId="2">
    <w:nsid w:val="436C6125"/>
    <w:multiLevelType w:val="hybridMultilevel"/>
    <w:lvl w:ilvl="0">
      <w:lvlJc w:val="left"/>
      <w:lvlText w:val="(%1)"/>
      <w:numFmt w:val="decimal"/>
      <w:start w:val="3"/>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721DA317"/>
    <w:multiLevelType w:val="hybridMultilevel"/>
    <w:lvl w:ilvl="0">
      <w:lvlJc w:val="left"/>
      <w:lvlText w:val="%1"/>
      <w:numFmt w:val="lowerLetter"/>
      <w:start w:val="1"/>
    </w:lvl>
    <w:lvl w:ilvl="1">
      <w:lvlJc w:val="left"/>
      <w:lvlText w:val="(%2)"/>
      <w:numFmt w:val="decimal"/>
      <w:start w:val="2"/>
    </w:lvl>
  </w:abstractNum>
  <w:abstractNum w:abstractNumId="6">
    <w:nsid w:val="2443A858"/>
    <w:multiLevelType w:val="hybridMultilevel"/>
    <w:lvl w:ilvl="0">
      <w:lvlJc w:val="left"/>
      <w:lvlText w:val="(%1)"/>
      <w:numFmt w:val="lowerLetter"/>
      <w:start w:val="2"/>
    </w:lvl>
    <w:lvl w:ilvl="1">
      <w:lvlJc w:val="left"/>
      <w:lvlText w:val="%2"/>
      <w:numFmt w:val="decimal"/>
      <w:start w:val="1"/>
    </w:lvl>
  </w:abstractNum>
  <w:abstractNum w:abstractNumId="7">
    <w:nsid w:val="2D1D5AE9"/>
    <w:multiLevelType w:val="hybridMultilevel"/>
    <w:lvl w:ilvl="0">
      <w:lvlJc w:val="left"/>
      <w:lvlText w:val="(%1)"/>
      <w:numFmt w:val="lowerLetter"/>
      <w:start w:val="8"/>
    </w:lvl>
  </w:abstractNum>
  <w:abstractNum w:abstractNumId="8">
    <w:nsid w:val="6763845E"/>
    <w:multiLevelType w:val="hybridMultilevel"/>
    <w:lvl w:ilvl="0">
      <w:lvlJc w:val="left"/>
      <w:lvlText w:val="(%1)"/>
      <w:numFmt w:val="lowerLetter"/>
      <w:start w:val="2"/>
    </w:lvl>
  </w:abstractNum>
  <w:abstractNum w:abstractNumId="9">
    <w:nsid w:val="75A2A8D4"/>
    <w:multiLevelType w:val="hybridMultilevel"/>
    <w:lvl w:ilvl="0">
      <w:lvlJc w:val="left"/>
      <w:lvlText w:val="(%1)"/>
      <w:numFmt w:val="lowerLetter"/>
      <w:start w:val="8"/>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lowerLetter"/>
      <w:start w:val="12"/>
    </w:lvl>
  </w:abstractNum>
  <w:abstractNum w:abstractNumId="12">
    <w:nsid w:val="4353D0CD"/>
    <w:multiLevelType w:val="hybridMultilevel"/>
    <w:lvl w:ilvl="0">
      <w:lvlJc w:val="left"/>
      <w:lvlText w:val="(%1)"/>
      <w:numFmt w:val="lowerLetter"/>
      <w:start w:val="17"/>
    </w:lvl>
  </w:abstractNum>
  <w:abstractNum w:abstractNumId="13">
    <w:nsid w:val="B03E0C6"/>
    <w:multiLevelType w:val="hybridMultilevel"/>
    <w:lvl w:ilvl="0">
      <w:lvlJc w:val="left"/>
      <w:lvlText w:val="(%1)"/>
      <w:numFmt w:val="lowerLetter"/>
      <w:start w:val="26"/>
    </w:lvl>
  </w:abstractNum>
  <w:abstractNum w:abstractNumId="14">
    <w:nsid w:val="189A769B"/>
    <w:multiLevelType w:val="hybridMultilevel"/>
    <w:lvl w:ilvl="0">
      <w:lvlJc w:val="left"/>
      <w:lvlText w:val="(%1)"/>
      <w:numFmt w:val="lowerLetter"/>
      <w:start w:val="28"/>
    </w:lvl>
  </w:abstractNum>
  <w:abstractNum w:abstractNumId="15">
    <w:nsid w:val="54E49EB4"/>
    <w:multiLevelType w:val="hybridMultilevel"/>
    <w:lvl w:ilvl="0">
      <w:lvlJc w:val="left"/>
      <w:lvlText w:val="(%1)"/>
      <w:numFmt w:val="lowerLetter"/>
      <w:start w:val="37"/>
    </w:lvl>
  </w:abstractNum>
  <w:abstractNum w:abstractNumId="16">
    <w:nsid w:val="71F32454"/>
    <w:multiLevelType w:val="hybridMultilevel"/>
    <w:lvl w:ilvl="0">
      <w:lvlJc w:val="left"/>
      <w:lvlText w:val="(%1)"/>
      <w:numFmt w:val="lowerLetter"/>
      <w:start w:val="39"/>
    </w:lvl>
  </w:abstractNum>
  <w:abstractNum w:abstractNumId="17">
    <w:nsid w:val="2CA88611"/>
    <w:multiLevelType w:val="hybridMultilevel"/>
    <w:lvl w:ilvl="0">
      <w:lvlJc w:val="left"/>
      <w:lvlText w:val="(%1)"/>
      <w:numFmt w:val="lowerLetter"/>
      <w:start w:val="1"/>
    </w:lvl>
    <w:lvl w:ilvl="1">
      <w:lvlJc w:val="left"/>
      <w:lvlText w:val="(%2)"/>
      <w:numFmt w:val="decimal"/>
      <w:start w:val="1"/>
    </w:lvl>
  </w:abstractNum>
  <w:abstractNum w:abstractNumId="18">
    <w:nsid w:val="836C40E"/>
    <w:multiLevelType w:val="hybridMultilevel"/>
    <w:lvl w:ilvl="0">
      <w:lvlJc w:val="left"/>
      <w:lvlText w:val="%1"/>
      <w:numFmt w:val="lowerLetter"/>
      <w:start w:val="1"/>
    </w:lvl>
    <w:lvl w:ilvl="1">
      <w:lvlJc w:val="left"/>
      <w:lvlText w:val="(%2)"/>
      <w:numFmt w:val="decimal"/>
      <w:start w:val="6"/>
    </w:lvl>
  </w:abstractNum>
  <w:abstractNum w:abstractNumId="19">
    <w:nsid w:val="2901D82"/>
    <w:multiLevelType w:val="hybridMultilevel"/>
    <w:lvl w:ilvl="0">
      <w:lvlJc w:val="left"/>
      <w:lvlText w:val="(%1)"/>
      <w:numFmt w:val="lowerLetter"/>
      <w:start w:val="3"/>
    </w:lvl>
    <w:lvl w:ilvl="1">
      <w:lvlJc w:val="left"/>
      <w:lvlText w:val="%2"/>
      <w:numFmt w:val="decimal"/>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2"/>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2"/>
    </w:lvl>
  </w:abstractNum>
  <w:abstractNum w:abstractNumId="24">
    <w:nsid w:val="737B8DDC"/>
    <w:multiLevelType w:val="hybridMultilevel"/>
    <w:lvl w:ilvl="0">
      <w:lvlJc w:val="left"/>
      <w:lvlText w:val="%1"/>
      <w:numFmt w:val="decimal"/>
      <w:start w:val="1"/>
    </w:lvl>
    <w:lvl w:ilvl="1">
      <w:lvlJc w:val="left"/>
      <w:lvlText w:val="(%2)"/>
      <w:numFmt w:val="lowerLetter"/>
      <w:start w:val="1"/>
    </w:lvl>
  </w:abstractNum>
  <w:abstractNum w:abstractNumId="25">
    <w:nsid w:val="6CEAF087"/>
    <w:multiLevelType w:val="hybridMultilevel"/>
    <w:lvl w:ilvl="0">
      <w:lvlJc w:val="left"/>
      <w:lvlText w:val="(%1)"/>
      <w:numFmt w:val="decimal"/>
      <w:start w:val="10"/>
    </w:lvl>
    <w:lvl w:ilvl="1">
      <w:lvlJc w:val="left"/>
      <w:lvlText w:val="(%2)"/>
      <w:numFmt w:val="lowerLetter"/>
      <w:start w:val="4"/>
    </w:lvl>
  </w:abstractNum>
  <w:abstractNum w:abstractNumId="26">
    <w:nsid w:val="22221A70"/>
    <w:multiLevelType w:val="hybridMultilevel"/>
    <w:lvl w:ilvl="0">
      <w:lvlJc w:val="left"/>
      <w:lvlText w:val="(%1)"/>
      <w:numFmt w:val="lowerLetter"/>
      <w:start w:val="5"/>
    </w:lvl>
    <w:lvl w:ilvl="1">
      <w:lvlJc w:val="left"/>
      <w:lvlText w:val="(%2)"/>
      <w:numFmt w:val="lowerRoman"/>
      <w:start w:val="1"/>
    </w:lvl>
  </w:abstractNum>
  <w:abstractNum w:abstractNumId="27">
    <w:nsid w:val="4516DDE9"/>
    <w:multiLevelType w:val="hybridMultilevel"/>
    <w:lvl w:ilvl="0">
      <w:lvlJc w:val="left"/>
      <w:lvlText w:val="(%1)"/>
      <w:numFmt w:val="lowerLetter"/>
      <w:start w:val="7"/>
    </w:lvl>
  </w:abstractNum>
  <w:abstractNum w:abstractNumId="28">
    <w:nsid w:val="3006C83E"/>
    <w:multiLevelType w:val="hybridMultilevel"/>
    <w:lvl w:ilvl="0">
      <w:lvlJc w:val="left"/>
      <w:lvlText w:val="(%1)"/>
      <w:numFmt w:val="lowerLetter"/>
      <w:start w:val="1"/>
    </w:lvl>
    <w:lvl w:ilvl="1">
      <w:lvlJc w:val="left"/>
      <w:lvlText w:val="(%2)"/>
      <w:numFmt w:val="decimal"/>
      <w:start w:val="1"/>
    </w:lvl>
  </w:abstractNum>
  <w:abstractNum w:abstractNumId="29">
    <w:nsid w:val="614FD4A1"/>
    <w:multiLevelType w:val="hybridMultilevel"/>
    <w:lvl w:ilvl="0">
      <w:lvlJc w:val="left"/>
      <w:lvlText w:val="%1"/>
      <w:numFmt w:val="lowerLetter"/>
      <w:start w:val="1"/>
    </w:lvl>
    <w:lvl w:ilvl="1">
      <w:lvlJc w:val="left"/>
      <w:lvlText w:val="(%2)"/>
      <w:numFmt w:val="decimal"/>
      <w:start w:val="2"/>
    </w:lvl>
  </w:abstractNum>
  <w:abstractNum w:abstractNumId="30">
    <w:nsid w:val="419AC241"/>
    <w:multiLevelType w:val="hybridMultilevel"/>
    <w:lvl w:ilvl="0">
      <w:lvlJc w:val="left"/>
      <w:lvlText w:val="(%1)"/>
      <w:numFmt w:val="lowerLetter"/>
      <w:start w:val="5"/>
    </w:lvl>
    <w:lvl w:ilvl="1">
      <w:lvlJc w:val="left"/>
      <w:lvlText w:val="(%2)"/>
      <w:numFmt w:val="decimal"/>
      <w:start w:val="1"/>
    </w:lvl>
  </w:abstractNum>
  <w:abstractNum w:abstractNumId="31">
    <w:nsid w:val="5577F8E1"/>
    <w:multiLevelType w:val="hybridMultilevel"/>
    <w:lvl w:ilvl="0">
      <w:lvlJc w:val="left"/>
      <w:lvlText w:val="(%1)"/>
      <w:numFmt w:val="lowerLetter"/>
      <w:start w:val="8"/>
    </w:lvl>
  </w:abstractNum>
  <w:abstractNum w:abstractNumId="32">
    <w:nsid w:val="440BADFC"/>
    <w:multiLevelType w:val="hybridMultilevel"/>
    <w:lvl w:ilvl="0">
      <w:lvlJc w:val="left"/>
      <w:lvlText w:val="(%1)"/>
      <w:numFmt w:val="lowerLetter"/>
      <w:start w:val="1"/>
    </w:lvl>
    <w:lvl w:ilvl="1">
      <w:lvlJc w:val="left"/>
      <w:lvlText w:val="(%2)"/>
      <w:numFmt w:val="decimal"/>
      <w:start w:val="1"/>
    </w:lvl>
  </w:abstractNum>
  <w:abstractNum w:abstractNumId="33">
    <w:nsid w:val="5072367"/>
    <w:multiLevelType w:val="hybridMultilevel"/>
    <w:lvl w:ilvl="0">
      <w:lvlJc w:val="left"/>
      <w:lvlText w:val="(%1)"/>
      <w:numFmt w:val="lowerLetter"/>
      <w:start w:val="3"/>
    </w:lvl>
    <w:lvl w:ilvl="1">
      <w:lvlJc w:val="left"/>
      <w:lvlText w:val="(%2)"/>
      <w:numFmt w:val="decimal"/>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lowerLetter"/>
      <w:start w:val="2"/>
    </w:lvl>
  </w:abstractNum>
  <w:abstractNum w:abstractNumId="37">
    <w:nsid w:val="5C482A9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jpe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12" Type="http://schemas.openxmlformats.org/officeDocument/2006/relationships/hyperlink" Target="http://www.sec.gov/Archives/edgar/data/1749723/000114036118042889/s002392x7_ex3-1.htm" TargetMode="External"/><Relationship Id="rId13" Type="http://schemas.openxmlformats.org/officeDocument/2006/relationships/hyperlink" Target="http://www.sec.gov/Archives/edgar/data/1749723/000114036118042889/s002392x7_ex3-2.htm" TargetMode="External"/><Relationship Id="rId14" Type="http://schemas.openxmlformats.org/officeDocument/2006/relationships/hyperlink" Target="http://www.sec.gov/Archives/edgar/data/1749723/000114036119000862/s002392x10_ex3-3.htm" TargetMode="External"/><Relationship Id="rId15" Type="http://schemas.openxmlformats.org/officeDocument/2006/relationships/hyperlink" Target="http://www.sec.gov/Archives/edgar/data/1749723/000114036118045661/s002392x8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2019-12-20T15:40:41Z</dcterms:created>
  <dcterms:modified xsi:type="dcterms:W3CDTF">2019-12-20T15:40:41Z</dcterms:modified>
</cp:coreProperties>
</file>